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91E2" w14:textId="3402CA5D" w:rsidR="0027482F" w:rsidRPr="0027482F" w:rsidRDefault="00C36937" w:rsidP="00C36937">
      <w:pPr>
        <w:pStyle w:val="IPPHeadSection"/>
        <w:jc w:val="center"/>
      </w:pPr>
      <w:r w:rsidRPr="0027482F">
        <w:t xml:space="preserve">Report to SPG </w:t>
      </w:r>
      <w:r>
        <w:t xml:space="preserve">2023 on the </w:t>
      </w:r>
      <w:r w:rsidR="0027482F" w:rsidRPr="0027482F">
        <w:t>Sustainable funding of the ePhyto Solution</w:t>
      </w:r>
    </w:p>
    <w:p w14:paraId="4C3E991B" w14:textId="2D522D91" w:rsidR="00C36937" w:rsidRDefault="00C36937" w:rsidP="0027482F">
      <w:pPr>
        <w:ind w:left="360" w:hanging="360"/>
        <w:jc w:val="center"/>
        <w:rPr>
          <w:b/>
          <w:bCs/>
        </w:rPr>
      </w:pPr>
      <w:r w:rsidRPr="00C36937">
        <w:t>(</w:t>
      </w:r>
      <w:r w:rsidRPr="00C36937">
        <w:rPr>
          <w:i/>
          <w:iCs/>
        </w:rPr>
        <w:t>Prepared by the CPM Focus Group</w:t>
      </w:r>
      <w:r w:rsidRPr="00C36937">
        <w:t>)</w:t>
      </w:r>
    </w:p>
    <w:p w14:paraId="18ACA1D0" w14:textId="3B9BC84F" w:rsidR="002D5F9C" w:rsidRPr="009D6C54" w:rsidRDefault="001071C8" w:rsidP="00C36937">
      <w:pPr>
        <w:pStyle w:val="IPPHeading1"/>
      </w:pPr>
      <w:r>
        <w:t xml:space="preserve">A. </w:t>
      </w:r>
      <w:r w:rsidR="002D5F9C" w:rsidRPr="009D6C54">
        <w:t>Purpose</w:t>
      </w:r>
    </w:p>
    <w:p w14:paraId="509A76A9" w14:textId="66E14580" w:rsidR="009D21A5" w:rsidRDefault="009D21A5" w:rsidP="00C36937">
      <w:pPr>
        <w:pStyle w:val="IPPParagraphnumbering"/>
      </w:pPr>
      <w:r>
        <w:t>This paper outlines options for sustained funding of the IPPC e</w:t>
      </w:r>
      <w:r w:rsidR="0065446F">
        <w:t>P</w:t>
      </w:r>
      <w:r>
        <w:t xml:space="preserve">hyto Solution and seeks feedback and guidance from the Strategic Planning Group, prior to </w:t>
      </w:r>
      <w:proofErr w:type="spellStart"/>
      <w:r>
        <w:t>finalising</w:t>
      </w:r>
      <w:proofErr w:type="spellEnd"/>
      <w:r>
        <w:t xml:space="preserve"> a paper with recommendations for CPM 1</w:t>
      </w:r>
      <w:r w:rsidR="00112DA6">
        <w:t>8</w:t>
      </w:r>
      <w:r>
        <w:t xml:space="preserve"> (202</w:t>
      </w:r>
      <w:r w:rsidR="00112DA6">
        <w:t>4</w:t>
      </w:r>
      <w:r>
        <w:t xml:space="preserve">). </w:t>
      </w:r>
    </w:p>
    <w:p w14:paraId="3523AE51" w14:textId="3C097203" w:rsidR="002D5F9C" w:rsidRPr="009D6C54" w:rsidRDefault="002D5F9C" w:rsidP="00C36937">
      <w:pPr>
        <w:pStyle w:val="IPPHeading1"/>
      </w:pPr>
      <w:r w:rsidRPr="009D6C54">
        <w:t>B</w:t>
      </w:r>
      <w:r w:rsidR="001071C8">
        <w:t>. B</w:t>
      </w:r>
      <w:r w:rsidRPr="009D6C54">
        <w:t>ackground</w:t>
      </w:r>
    </w:p>
    <w:p w14:paraId="345A9EAD" w14:textId="16F1A9A2" w:rsidR="00112DA6" w:rsidRDefault="009D21A5" w:rsidP="00C36937">
      <w:pPr>
        <w:pStyle w:val="IPPParagraphnumbering"/>
      </w:pPr>
      <w:r>
        <w:t xml:space="preserve">The </w:t>
      </w:r>
      <w:r w:rsidR="0080235A">
        <w:t>ePhyto Solution</w:t>
      </w:r>
      <w:r>
        <w:t xml:space="preserve"> enables countries to produce, send</w:t>
      </w:r>
      <w:r w:rsidR="0050521D">
        <w:t>,</w:t>
      </w:r>
      <w:r>
        <w:t xml:space="preserve"> and receive harmonized electronic phytosanitary certificates with other participating NPPOs through the e</w:t>
      </w:r>
      <w:r w:rsidR="000224F0">
        <w:t>P</w:t>
      </w:r>
      <w:r w:rsidR="0065446F">
        <w:t>h</w:t>
      </w:r>
      <w:r>
        <w:t xml:space="preserve">yto Hub in a secure, low cost, and efficient manner. The initial stages of the development and implementation of the </w:t>
      </w:r>
      <w:r w:rsidR="0080235A">
        <w:t>ePhyto Solution</w:t>
      </w:r>
      <w:r>
        <w:t xml:space="preserve"> were supported by the Standards and Trade Development Facility and donor countries</w:t>
      </w:r>
      <w:r w:rsidR="00112DA6">
        <w:t xml:space="preserve">.  </w:t>
      </w:r>
    </w:p>
    <w:p w14:paraId="23FF00A4" w14:textId="154D0F8F" w:rsidR="006B3D38" w:rsidRDefault="006B3D38" w:rsidP="00C36937">
      <w:pPr>
        <w:pStyle w:val="IPPParagraphnumbering"/>
      </w:pPr>
      <w:r>
        <w:t xml:space="preserve">Since that time the operating and implementation costs have been funded from </w:t>
      </w:r>
      <w:r w:rsidR="000E2275">
        <w:t>substantial</w:t>
      </w:r>
      <w:r>
        <w:t xml:space="preserve"> donations </w:t>
      </w:r>
      <w:r w:rsidR="0050521D">
        <w:t xml:space="preserve">by </w:t>
      </w:r>
      <w:r>
        <w:t xml:space="preserve">a few contracting parties and implementation </w:t>
      </w:r>
      <w:proofErr w:type="spellStart"/>
      <w:r>
        <w:t>p</w:t>
      </w:r>
      <w:r w:rsidR="00835FD1">
        <w:t>rogrammes</w:t>
      </w:r>
      <w:proofErr w:type="spellEnd"/>
      <w:r w:rsidR="00835FD1">
        <w:t xml:space="preserve"> run by the </w:t>
      </w:r>
      <w:r w:rsidR="004C4833">
        <w:t>Standards and Trade Development Facility (STDF)</w:t>
      </w:r>
      <w:r w:rsidR="00143364">
        <w:t>,</w:t>
      </w:r>
      <w:r w:rsidR="004C4833">
        <w:t xml:space="preserve"> </w:t>
      </w:r>
      <w:r w:rsidR="00835FD1">
        <w:t xml:space="preserve">World Bank, </w:t>
      </w:r>
      <w:r w:rsidR="00143364">
        <w:t xml:space="preserve">and </w:t>
      </w:r>
      <w:r w:rsidR="00835FD1">
        <w:t xml:space="preserve">the </w:t>
      </w:r>
      <w:r w:rsidR="004C4833">
        <w:t>Global Alliance for Trade Facilitation (GATF)</w:t>
      </w:r>
      <w:r w:rsidR="000E2275">
        <w:t>. The</w:t>
      </w:r>
      <w:r w:rsidR="0050521D">
        <w:t>se contributions</w:t>
      </w:r>
      <w:r w:rsidR="000E2275">
        <w:t xml:space="preserve"> have enabled the solution to be supported</w:t>
      </w:r>
      <w:r w:rsidR="00143364">
        <w:t xml:space="preserve"> and implemented</w:t>
      </w:r>
      <w:r w:rsidR="000E2275">
        <w:t xml:space="preserve"> for a few year</w:t>
      </w:r>
      <w:r w:rsidR="0065446F">
        <w:t>s</w:t>
      </w:r>
      <w:r w:rsidR="0050521D">
        <w:t>,</w:t>
      </w:r>
      <w:r w:rsidR="000E2275">
        <w:t xml:space="preserve"> but </w:t>
      </w:r>
      <w:r w:rsidR="0050521D">
        <w:t xml:space="preserve">the current funding </w:t>
      </w:r>
      <w:r w:rsidR="000E2275">
        <w:t xml:space="preserve">will run out in 2024.  Without secure funding for 2025 the </w:t>
      </w:r>
      <w:r w:rsidR="0080235A">
        <w:t>ePhyto Solution</w:t>
      </w:r>
      <w:r w:rsidR="000E2275">
        <w:t xml:space="preserve"> will not be able to continue operating.  A new funding model must be agreed in 2024.</w:t>
      </w:r>
    </w:p>
    <w:p w14:paraId="50C7046A" w14:textId="19C93261" w:rsidR="009D21A5" w:rsidRDefault="00112DA6" w:rsidP="00C36937">
      <w:pPr>
        <w:pStyle w:val="IPPParagraphnumbering"/>
      </w:pPr>
      <w:r>
        <w:t xml:space="preserve">Countries using </w:t>
      </w:r>
      <w:proofErr w:type="spellStart"/>
      <w:r w:rsidR="0080235A">
        <w:t>ephyto</w:t>
      </w:r>
      <w:proofErr w:type="spellEnd"/>
      <w:r>
        <w:t xml:space="preserve"> are now </w:t>
      </w:r>
      <w:r w:rsidR="004C4833">
        <w:t xml:space="preserve">enjoying the </w:t>
      </w:r>
      <w:r w:rsidR="002D5F9C">
        <w:t xml:space="preserve">direct benefits including easier verification, reduced fraud, and </w:t>
      </w:r>
      <w:r w:rsidR="0050521D">
        <w:t xml:space="preserve">the </w:t>
      </w:r>
      <w:r w:rsidR="002D5F9C">
        <w:t>cost savings from moving away from paper-based processes.</w:t>
      </w:r>
      <w:r>
        <w:t xml:space="preserve">  </w:t>
      </w:r>
    </w:p>
    <w:p w14:paraId="7E013A3C" w14:textId="395B7607" w:rsidR="009D21A5" w:rsidRDefault="009D21A5" w:rsidP="006030C2">
      <w:pPr>
        <w:pStyle w:val="IPPParagraphnumbering"/>
      </w:pPr>
      <w:r>
        <w:t xml:space="preserve">CPM 14 (2019) considered but did not agree a 5-year plan for the </w:t>
      </w:r>
      <w:r w:rsidR="0080235A">
        <w:t>ePhyto Solution</w:t>
      </w:r>
      <w:r>
        <w:t xml:space="preserve">.  There were calls for a sustainable funding model to be established that did not rely on donors.  </w:t>
      </w:r>
    </w:p>
    <w:p w14:paraId="4466E5BB" w14:textId="6D6716FD" w:rsidR="00660F6C" w:rsidRDefault="009D21A5" w:rsidP="00034F2E">
      <w:pPr>
        <w:pStyle w:val="IPPParagraphnumbering"/>
      </w:pPr>
      <w:r>
        <w:t xml:space="preserve">At CPM 15 (2021), the Secretariat presented a paper with seven options for financially sustaining the </w:t>
      </w:r>
      <w:r w:rsidR="0080235A">
        <w:t>ePhyto Solution</w:t>
      </w:r>
      <w:r>
        <w:t>. CPM 15 agreed to establish a focus group to prepare a funding proposal for CPM to consider in 2023.  In the interim the</w:t>
      </w:r>
      <w:r w:rsidR="002D5F9C">
        <w:t xml:space="preserve"> CPM anticipated the </w:t>
      </w:r>
      <w:r w:rsidR="0080235A">
        <w:t>ePhyto Solution</w:t>
      </w:r>
      <w:r>
        <w:t xml:space="preserve"> would continue to be funded through donor country contributions (however there is no guarantee that sufficient funding will be available).</w:t>
      </w:r>
    </w:p>
    <w:p w14:paraId="0321F135" w14:textId="33C6E292" w:rsidR="009D21A5" w:rsidRDefault="009D21A5" w:rsidP="00034F2E">
      <w:pPr>
        <w:pStyle w:val="IPPParagraphnumbering"/>
      </w:pPr>
      <w:r>
        <w:t>At CPM 17 (2023) the focus group presented recommendations for a sustainable funding mechanism</w:t>
      </w:r>
      <w:r w:rsidR="002D5F9C">
        <w:t xml:space="preserve">.  </w:t>
      </w:r>
      <w:r w:rsidR="004C6BA0">
        <w:t xml:space="preserve">Many recommendations were agreed however, the mechanism to </w:t>
      </w:r>
      <w:r w:rsidR="00BD4C38">
        <w:t>determine expected contributions</w:t>
      </w:r>
      <w:r w:rsidR="004C6BA0">
        <w:t xml:space="preserve"> among contracting parties was not agreed. The CPM requested</w:t>
      </w:r>
      <w:r w:rsidR="004C6BA0" w:rsidRPr="004C6BA0">
        <w:t xml:space="preserve"> </w:t>
      </w:r>
      <w:r w:rsidR="004C6BA0">
        <w:t>“</w:t>
      </w:r>
      <w:r w:rsidR="004C6BA0" w:rsidRPr="004C6BA0">
        <w:t xml:space="preserve">the focus group, secretariat and CPM bureau would work together to develop a detailed final proposal on the system for the funding mechanism, including a detailed overview of the expected financial contributions from individual contracting parties exchanging </w:t>
      </w:r>
      <w:proofErr w:type="spellStart"/>
      <w:r w:rsidR="0065446F" w:rsidRPr="004C6BA0">
        <w:t>e</w:t>
      </w:r>
      <w:r w:rsidR="0065446F">
        <w:t>p</w:t>
      </w:r>
      <w:r w:rsidR="0065446F" w:rsidRPr="004C6BA0">
        <w:t>hyto</w:t>
      </w:r>
      <w:r w:rsidR="0065446F">
        <w:t>s</w:t>
      </w:r>
      <w:proofErr w:type="spellEnd"/>
      <w:r w:rsidR="004C6BA0" w:rsidRPr="004C6BA0">
        <w:t xml:space="preserve"> through the Hub, to be adopted by CPM-18 (2024)</w:t>
      </w:r>
      <w:r w:rsidR="004C6BA0">
        <w:t>.”</w:t>
      </w:r>
      <w:r w:rsidR="004C6BA0">
        <w:rPr>
          <w:rStyle w:val="FootnoteReference"/>
        </w:rPr>
        <w:footnoteReference w:id="1"/>
      </w:r>
    </w:p>
    <w:p w14:paraId="3C97332C" w14:textId="6C051D98" w:rsidR="000B7165" w:rsidRDefault="00943431" w:rsidP="00034F2E">
      <w:pPr>
        <w:pStyle w:val="IPPParagraphnumberingclose"/>
      </w:pPr>
      <w:r>
        <w:t xml:space="preserve">The focus groups </w:t>
      </w:r>
      <w:r w:rsidR="0065446F">
        <w:t>have</w:t>
      </w:r>
      <w:r>
        <w:t xml:space="preserve"> </w:t>
      </w:r>
      <w:r w:rsidR="003A6F9F">
        <w:t>continued</w:t>
      </w:r>
      <w:r>
        <w:t xml:space="preserve"> to meet and has explored multiple options for a funding mechanism, guided by the principles presented to CPM and the guidance provided during CPM discussions.  Although not formally agreed, </w:t>
      </w:r>
      <w:r w:rsidR="000B7165">
        <w:t>many countries</w:t>
      </w:r>
      <w:r>
        <w:t xml:space="preserve"> expressed strong support for</w:t>
      </w:r>
      <w:r w:rsidR="000B7165">
        <w:t>:</w:t>
      </w:r>
    </w:p>
    <w:p w14:paraId="7ABAB0E5" w14:textId="5A300FA9" w:rsidR="000B7165" w:rsidRDefault="00943431" w:rsidP="00034F2E">
      <w:pPr>
        <w:pStyle w:val="IPPBullet1"/>
      </w:pPr>
      <w:r>
        <w:t xml:space="preserve">a </w:t>
      </w:r>
      <w:r w:rsidR="007C0F51">
        <w:t xml:space="preserve">funding </w:t>
      </w:r>
      <w:r>
        <w:t xml:space="preserve">model with </w:t>
      </w:r>
      <w:r w:rsidR="00A5095C">
        <w:t>the expected contribution</w:t>
      </w:r>
      <w:r w:rsidR="000B7165">
        <w:t xml:space="preserve"> being </w:t>
      </w:r>
      <w:r>
        <w:t xml:space="preserve">differentiated by development </w:t>
      </w:r>
      <w:proofErr w:type="gramStart"/>
      <w:r>
        <w:t>status</w:t>
      </w:r>
      <w:proofErr w:type="gramEnd"/>
    </w:p>
    <w:p w14:paraId="158E2A0A" w14:textId="29BBF47A" w:rsidR="000B7165" w:rsidRDefault="000B7165" w:rsidP="00034F2E">
      <w:pPr>
        <w:pStyle w:val="IPPBullet1"/>
      </w:pPr>
      <w:r>
        <w:t>not charging the least developed contracting parties</w:t>
      </w:r>
    </w:p>
    <w:p w14:paraId="2A9EC1BD" w14:textId="519539BC" w:rsidR="000B7165" w:rsidRDefault="000B7165" w:rsidP="001071C8">
      <w:pPr>
        <w:pStyle w:val="IPPBullet1Last"/>
      </w:pPr>
      <w:r>
        <w:t xml:space="preserve">a </w:t>
      </w:r>
      <w:r w:rsidR="007C0F51">
        <w:t xml:space="preserve">funding </w:t>
      </w:r>
      <w:r>
        <w:t xml:space="preserve">model that </w:t>
      </w:r>
      <w:r w:rsidR="008302FA">
        <w:t>provides a level of predictability and certainty on how much a country would pay.</w:t>
      </w:r>
    </w:p>
    <w:p w14:paraId="6215B966" w14:textId="0FD59103" w:rsidR="008302FA" w:rsidRDefault="008302FA" w:rsidP="001071C8">
      <w:pPr>
        <w:pStyle w:val="IPPParagraphnumbering"/>
      </w:pPr>
      <w:r>
        <w:lastRenderedPageBreak/>
        <w:t>Contracting parties were invited to provide additional information and proposals for consideration by the focus group. The European Union provided an alternative proposal.</w:t>
      </w:r>
    </w:p>
    <w:p w14:paraId="57A21700" w14:textId="5AFCB732" w:rsidR="00943431" w:rsidRPr="009D6C54" w:rsidRDefault="009D6C54" w:rsidP="00BD74B4">
      <w:pPr>
        <w:pStyle w:val="IPPHeading1"/>
      </w:pPr>
      <w:r>
        <w:t xml:space="preserve">C. </w:t>
      </w:r>
      <w:r w:rsidR="00943431" w:rsidRPr="009D6C54">
        <w:t>Principles</w:t>
      </w:r>
    </w:p>
    <w:p w14:paraId="6866007B" w14:textId="33114A37" w:rsidR="008302FA" w:rsidRPr="0027482F" w:rsidRDefault="008302FA" w:rsidP="00BD74B4">
      <w:pPr>
        <w:pStyle w:val="IPPParagraphnumbering"/>
      </w:pPr>
      <w:r>
        <w:t xml:space="preserve">While developing the </w:t>
      </w:r>
      <w:r w:rsidR="007C0F51">
        <w:t xml:space="preserve">funding </w:t>
      </w:r>
      <w:r>
        <w:t>model, the focus group has been mindful of the following principles:</w:t>
      </w:r>
      <w:r w:rsidRPr="008302FA">
        <w:t xml:space="preserve"> </w:t>
      </w:r>
      <w:r w:rsidRPr="0027482F">
        <w:t>accessible</w:t>
      </w:r>
      <w:r w:rsidR="003A6F9F" w:rsidRPr="0027482F">
        <w:t xml:space="preserve">, </w:t>
      </w:r>
      <w:r w:rsidRPr="0027482F">
        <w:t>transparent</w:t>
      </w:r>
      <w:r w:rsidR="003A6F9F" w:rsidRPr="0027482F">
        <w:t xml:space="preserve">, </w:t>
      </w:r>
      <w:r w:rsidRPr="0027482F">
        <w:t>efficient</w:t>
      </w:r>
      <w:r w:rsidR="003A6F9F" w:rsidRPr="0027482F">
        <w:t xml:space="preserve">, </w:t>
      </w:r>
      <w:r w:rsidRPr="0027482F">
        <w:t>user pays</w:t>
      </w:r>
      <w:r w:rsidR="003A6F9F" w:rsidRPr="0027482F">
        <w:t xml:space="preserve">, </w:t>
      </w:r>
      <w:r w:rsidRPr="0027482F">
        <w:t>simplicity</w:t>
      </w:r>
      <w:r w:rsidR="003A6F9F" w:rsidRPr="0027482F">
        <w:t xml:space="preserve">, </w:t>
      </w:r>
      <w:r w:rsidRPr="0027482F">
        <w:t>predictability</w:t>
      </w:r>
      <w:r w:rsidR="003A6F9F" w:rsidRPr="0027482F">
        <w:t>.</w:t>
      </w:r>
    </w:p>
    <w:p w14:paraId="43CCE8F1" w14:textId="646FD7FA" w:rsidR="003A6F9F" w:rsidRPr="009D6C54" w:rsidRDefault="009D6C54" w:rsidP="00BD74B4">
      <w:pPr>
        <w:pStyle w:val="IPPHeading1"/>
      </w:pPr>
      <w:r>
        <w:t xml:space="preserve">D. </w:t>
      </w:r>
      <w:r w:rsidR="003A6F9F" w:rsidRPr="009D6C54">
        <w:t xml:space="preserve">A </w:t>
      </w:r>
      <w:r w:rsidR="006C4FB5">
        <w:t>Modified</w:t>
      </w:r>
      <w:r w:rsidR="006C4FB5" w:rsidRPr="009D6C54">
        <w:t xml:space="preserve"> </w:t>
      </w:r>
      <w:r w:rsidR="007C0F51">
        <w:t xml:space="preserve">Funding </w:t>
      </w:r>
      <w:r w:rsidR="00354E35" w:rsidRPr="009D6C54">
        <w:t>M</w:t>
      </w:r>
      <w:r w:rsidR="003A6F9F" w:rsidRPr="009D6C54">
        <w:t>odel</w:t>
      </w:r>
      <w:r w:rsidR="00F1276C">
        <w:t xml:space="preserve"> Proposal </w:t>
      </w:r>
    </w:p>
    <w:p w14:paraId="2166FEBB" w14:textId="3249FC3A" w:rsidR="006049A7" w:rsidRDefault="006049A7" w:rsidP="006049A7">
      <w:r w:rsidRPr="006049A7">
        <w:t>The focus group ha</w:t>
      </w:r>
      <w:r w:rsidR="007C0F51">
        <w:t>s</w:t>
      </w:r>
      <w:r w:rsidRPr="006049A7">
        <w:t xml:space="preserve"> concluded</w:t>
      </w:r>
      <w:r>
        <w:t>:</w:t>
      </w:r>
    </w:p>
    <w:p w14:paraId="2A6BEB42" w14:textId="51B66B9A" w:rsidR="006049A7" w:rsidRDefault="006049A7" w:rsidP="00BD74B4">
      <w:pPr>
        <w:pStyle w:val="IPPBullet1"/>
      </w:pPr>
      <w:bookmarkStart w:id="0" w:name="_Hlk145622712"/>
      <w:r w:rsidRPr="00C01046">
        <w:rPr>
          <w:b/>
          <w:bCs/>
        </w:rPr>
        <w:t>the model must be able to include funding from FAO or other sources</w:t>
      </w:r>
      <w:bookmarkEnd w:id="0"/>
      <w:r w:rsidR="00CC1519">
        <w:t xml:space="preserve"> e.g., donor countries or </w:t>
      </w:r>
      <w:r w:rsidR="00802C8B">
        <w:t xml:space="preserve">international </w:t>
      </w:r>
      <w:proofErr w:type="spellStart"/>
      <w:r w:rsidR="00CC1519">
        <w:t>organisations</w:t>
      </w:r>
      <w:proofErr w:type="spellEnd"/>
      <w:r>
        <w:t xml:space="preserve">.  Such funding would reduce the </w:t>
      </w:r>
      <w:r w:rsidR="00BD4C38">
        <w:t>expected contributions</w:t>
      </w:r>
      <w:r>
        <w:t xml:space="preserve"> sought from contracting parties.</w:t>
      </w:r>
    </w:p>
    <w:p w14:paraId="19030B49" w14:textId="22E0301D" w:rsidR="00CC1519" w:rsidRPr="00C01046" w:rsidRDefault="006C4FB5" w:rsidP="00304062">
      <w:pPr>
        <w:pStyle w:val="IPPBullet1Last"/>
      </w:pPr>
      <w:r w:rsidRPr="00304062">
        <w:rPr>
          <w:b/>
          <w:bCs/>
        </w:rPr>
        <w:t>t</w:t>
      </w:r>
      <w:r w:rsidR="006049A7" w:rsidRPr="00304062">
        <w:rPr>
          <w:b/>
          <w:bCs/>
        </w:rPr>
        <w:t xml:space="preserve">he model should not expect </w:t>
      </w:r>
      <w:r w:rsidR="00AB51C9" w:rsidRPr="00304062">
        <w:rPr>
          <w:b/>
          <w:bCs/>
        </w:rPr>
        <w:t>contributions</w:t>
      </w:r>
      <w:r w:rsidR="006049A7" w:rsidRPr="00304062">
        <w:rPr>
          <w:b/>
          <w:bCs/>
        </w:rPr>
        <w:t xml:space="preserve"> from </w:t>
      </w:r>
      <w:r w:rsidR="00CC1519" w:rsidRPr="00304062">
        <w:rPr>
          <w:b/>
          <w:bCs/>
        </w:rPr>
        <w:t>contracting parties not using the ePhyto Solution</w:t>
      </w:r>
      <w:r w:rsidR="00C01046" w:rsidRPr="00C01046">
        <w:t>.</w:t>
      </w:r>
    </w:p>
    <w:p w14:paraId="4FFD0471" w14:textId="7A45BCE5" w:rsidR="003A6F9F" w:rsidRDefault="003A6F9F" w:rsidP="00304062">
      <w:pPr>
        <w:pStyle w:val="IPPParagraphnumbering"/>
      </w:pPr>
      <w:r>
        <w:t>Over the course of several meetings, the focus group</w:t>
      </w:r>
      <w:r w:rsidR="00CC1519">
        <w:t xml:space="preserve"> exp</w:t>
      </w:r>
      <w:r w:rsidR="007D45E1">
        <w:t>lored</w:t>
      </w:r>
      <w:r w:rsidR="00CC1519">
        <w:t xml:space="preserve"> </w:t>
      </w:r>
      <w:r w:rsidR="007D45E1">
        <w:t xml:space="preserve">several </w:t>
      </w:r>
      <w:r w:rsidR="00F1276C">
        <w:t xml:space="preserve">options </w:t>
      </w:r>
      <w:r w:rsidR="007D45E1">
        <w:t xml:space="preserve">to </w:t>
      </w:r>
      <w:r w:rsidR="00F1276C">
        <w:t xml:space="preserve">cater for </w:t>
      </w:r>
      <w:r w:rsidR="007D45E1">
        <w:t>the feedback from CPM</w:t>
      </w:r>
      <w:r w:rsidR="00F1276C">
        <w:t xml:space="preserve">. It </w:t>
      </w:r>
      <w:r w:rsidR="005F1984">
        <w:t>concluded</w:t>
      </w:r>
      <w:r>
        <w:t xml:space="preserve"> that an ideal </w:t>
      </w:r>
      <w:proofErr w:type="spellStart"/>
      <w:r w:rsidR="0080235A">
        <w:t>ephyto</w:t>
      </w:r>
      <w:proofErr w:type="spellEnd"/>
      <w:r w:rsidR="00F1276C">
        <w:t xml:space="preserve"> funding </w:t>
      </w:r>
      <w:r>
        <w:t xml:space="preserve">model </w:t>
      </w:r>
      <w:r w:rsidR="006049A7">
        <w:t>would</w:t>
      </w:r>
      <w:r>
        <w:t xml:space="preserve"> have a </w:t>
      </w:r>
      <w:r w:rsidR="007029BF">
        <w:t xml:space="preserve">portion </w:t>
      </w:r>
      <w:r>
        <w:t>of funding based on development status</w:t>
      </w:r>
      <w:r w:rsidR="007029BF">
        <w:t xml:space="preserve"> of the user (</w:t>
      </w:r>
      <w:r w:rsidR="00953F8D">
        <w:t>a base fee</w:t>
      </w:r>
      <w:r w:rsidR="007029BF">
        <w:t>)</w:t>
      </w:r>
      <w:r>
        <w:t xml:space="preserve">, and a </w:t>
      </w:r>
      <w:r w:rsidR="007029BF">
        <w:t xml:space="preserve">portion </w:t>
      </w:r>
      <w:r>
        <w:t xml:space="preserve">of funding based on usage of the </w:t>
      </w:r>
      <w:r w:rsidR="0080235A">
        <w:t>ePhyto Solution</w:t>
      </w:r>
      <w:r w:rsidR="007029BF">
        <w:t xml:space="preserve"> (</w:t>
      </w:r>
      <w:r w:rsidR="00953F8D">
        <w:t xml:space="preserve">usage </w:t>
      </w:r>
      <w:r w:rsidR="00F6033C">
        <w:t>fee</w:t>
      </w:r>
      <w:r w:rsidR="00953F8D">
        <w:t>)</w:t>
      </w:r>
      <w:r>
        <w:t xml:space="preserve">.  </w:t>
      </w:r>
      <w:r w:rsidR="007029BF">
        <w:t>Having a split</w:t>
      </w:r>
      <w:r>
        <w:t xml:space="preserve"> is common across similar models </w:t>
      </w:r>
      <w:r w:rsidR="00354E35">
        <w:t xml:space="preserve">that support </w:t>
      </w:r>
      <w:r w:rsidR="000E2959">
        <w:t>information</w:t>
      </w:r>
      <w:r>
        <w:t xml:space="preserve"> exchange</w:t>
      </w:r>
      <w:r w:rsidR="000E2959">
        <w:t>s</w:t>
      </w:r>
      <w:r w:rsidR="00354E35">
        <w:t>.</w:t>
      </w:r>
      <w:r>
        <w:t xml:space="preserve"> </w:t>
      </w:r>
      <w:r w:rsidR="00354E35">
        <w:t xml:space="preserve">Such a </w:t>
      </w:r>
      <w:r w:rsidR="003E4475">
        <w:t xml:space="preserve">funding </w:t>
      </w:r>
      <w:r w:rsidR="00354E35">
        <w:t>model would help to align with the accessible and user pays principles.</w:t>
      </w:r>
    </w:p>
    <w:p w14:paraId="05990306" w14:textId="7E78D327" w:rsidR="009637AF" w:rsidRDefault="00CC1519" w:rsidP="00304062">
      <w:pPr>
        <w:pStyle w:val="IPPParagraphnumberingclose"/>
      </w:pPr>
      <w:r>
        <w:t>Three</w:t>
      </w:r>
      <w:r w:rsidR="009637AF">
        <w:t xml:space="preserve"> key components then must be decided:</w:t>
      </w:r>
    </w:p>
    <w:p w14:paraId="4A7528B3" w14:textId="778E5E04" w:rsidR="00354E35" w:rsidRDefault="009637AF" w:rsidP="00304062">
      <w:pPr>
        <w:pStyle w:val="IPPNumberedList"/>
      </w:pPr>
      <w:r>
        <w:t xml:space="preserve">What proportion of the fee should be a base </w:t>
      </w:r>
      <w:r w:rsidR="00953F8D">
        <w:t xml:space="preserve">fee </w:t>
      </w:r>
      <w:r>
        <w:t xml:space="preserve">and what proportion should be a usage </w:t>
      </w:r>
      <w:r w:rsidR="006C4FB5">
        <w:t>fee</w:t>
      </w:r>
      <w:r w:rsidR="00CC1519">
        <w:t>?</w:t>
      </w:r>
    </w:p>
    <w:p w14:paraId="17B3C68F" w14:textId="6A90DA03" w:rsidR="006049A7" w:rsidRDefault="006C4FB5" w:rsidP="00304062">
      <w:pPr>
        <w:pStyle w:val="IPPNumberedList"/>
      </w:pPr>
      <w:r>
        <w:t>Ho</w:t>
      </w:r>
      <w:r w:rsidR="001C1A85">
        <w:t>w</w:t>
      </w:r>
      <w:r>
        <w:t xml:space="preserve"> should</w:t>
      </w:r>
      <w:r w:rsidR="006049A7">
        <w:t xml:space="preserve"> the base fee vary </w:t>
      </w:r>
      <w:r w:rsidR="00CC1519">
        <w:t>according to development status?</w:t>
      </w:r>
    </w:p>
    <w:p w14:paraId="27F9A33C" w14:textId="66EB2FB6" w:rsidR="00CC1519" w:rsidRDefault="00CC1519" w:rsidP="00304062">
      <w:pPr>
        <w:pStyle w:val="IPPNumberedListLast"/>
      </w:pPr>
      <w:bookmarkStart w:id="1" w:name="_Hlk144987324"/>
      <w:r>
        <w:t>Should the usage fee vary according to the level of usage?</w:t>
      </w:r>
      <w:bookmarkEnd w:id="1"/>
      <w:r>
        <w:t xml:space="preserve"> If yes, then how?</w:t>
      </w:r>
    </w:p>
    <w:p w14:paraId="5D20381F" w14:textId="4EDE1D1A" w:rsidR="007D45E1" w:rsidRPr="00F23B79" w:rsidRDefault="006919EA" w:rsidP="00304062">
      <w:pPr>
        <w:pStyle w:val="IPPHeading1"/>
      </w:pPr>
      <w:r>
        <w:t>D</w:t>
      </w:r>
      <w:r w:rsidR="0063554D">
        <w:t xml:space="preserve">1. </w:t>
      </w:r>
      <w:r w:rsidR="007D45E1" w:rsidRPr="00F23B79">
        <w:t xml:space="preserve">Proportion </w:t>
      </w:r>
      <w:r w:rsidR="00953F8D">
        <w:t xml:space="preserve">of </w:t>
      </w:r>
      <w:r w:rsidR="006C4FB5">
        <w:t>f</w:t>
      </w:r>
      <w:r w:rsidR="00953F8D">
        <w:t xml:space="preserve">unding </w:t>
      </w:r>
      <w:r w:rsidR="00F95ED2">
        <w:t>c</w:t>
      </w:r>
      <w:r w:rsidR="00953F8D">
        <w:t xml:space="preserve">ollected from </w:t>
      </w:r>
      <w:r w:rsidR="007D45E1" w:rsidRPr="00F23B79">
        <w:t xml:space="preserve">base fees </w:t>
      </w:r>
      <w:r w:rsidR="00953F8D">
        <w:t xml:space="preserve">and </w:t>
      </w:r>
      <w:r w:rsidR="007D45E1" w:rsidRPr="00F23B79">
        <w:t xml:space="preserve">usage </w:t>
      </w:r>
      <w:proofErr w:type="gramStart"/>
      <w:r w:rsidR="00F6033C">
        <w:t>Fees</w:t>
      </w:r>
      <w:proofErr w:type="gramEnd"/>
      <w:r w:rsidR="00F6033C">
        <w:t xml:space="preserve"> </w:t>
      </w:r>
    </w:p>
    <w:p w14:paraId="6C0A3188" w14:textId="5441DB02" w:rsidR="007D45E1" w:rsidRDefault="00126792" w:rsidP="00247199">
      <w:pPr>
        <w:pStyle w:val="IPPParagraphnumbering"/>
      </w:pPr>
      <w:r>
        <w:t xml:space="preserve">A base fee is typically applied to all users of a system without consideration of the amount of use they make.  </w:t>
      </w:r>
      <w:r w:rsidR="000201F8">
        <w:t>For example</w:t>
      </w:r>
      <w:r w:rsidR="005F1984">
        <w:t>,</w:t>
      </w:r>
      <w:r>
        <w:t xml:space="preserve"> </w:t>
      </w:r>
      <w:r w:rsidR="00FA6280">
        <w:t xml:space="preserve">a base fee for </w:t>
      </w:r>
      <w:r>
        <w:t xml:space="preserve">streaming television services </w:t>
      </w:r>
      <w:r w:rsidR="00FA6280">
        <w:t xml:space="preserve">is </w:t>
      </w:r>
      <w:r>
        <w:t>typically a</w:t>
      </w:r>
      <w:r w:rsidR="00FA6280">
        <w:t xml:space="preserve"> fee charged every month regardless of how much or how little the service is used in that month</w:t>
      </w:r>
      <w:r>
        <w:t>.</w:t>
      </w:r>
      <w:r w:rsidR="000201F8">
        <w:t xml:space="preserve">  The focus group considers a base fee is appropriate to include in the </w:t>
      </w:r>
      <w:r w:rsidR="00FA6280">
        <w:t xml:space="preserve">funding </w:t>
      </w:r>
      <w:r w:rsidR="000201F8">
        <w:t>model.</w:t>
      </w:r>
      <w:r w:rsidR="005F1984">
        <w:t xml:space="preserve"> A base fee </w:t>
      </w:r>
      <w:proofErr w:type="spellStart"/>
      <w:r w:rsidR="005F1984">
        <w:t>recognises</w:t>
      </w:r>
      <w:proofErr w:type="spellEnd"/>
      <w:r w:rsidR="005F1984">
        <w:t xml:space="preserve"> there are fixed costs associated with hosting, </w:t>
      </w:r>
      <w:r w:rsidR="00542045">
        <w:t>maintaining,</w:t>
      </w:r>
      <w:r w:rsidR="005F1984">
        <w:t xml:space="preserve"> and continuing to develop the </w:t>
      </w:r>
      <w:proofErr w:type="spellStart"/>
      <w:r w:rsidR="005F1984">
        <w:t>e</w:t>
      </w:r>
      <w:r w:rsidR="0065446F">
        <w:t>p</w:t>
      </w:r>
      <w:r w:rsidR="005F1984">
        <w:t>h</w:t>
      </w:r>
      <w:r w:rsidR="00C5573B">
        <w:t>yt</w:t>
      </w:r>
      <w:r w:rsidR="005F1984">
        <w:t>o</w:t>
      </w:r>
      <w:proofErr w:type="spellEnd"/>
      <w:r w:rsidR="005F1984">
        <w:t xml:space="preserve"> </w:t>
      </w:r>
      <w:r w:rsidR="0065446F">
        <w:t>s</w:t>
      </w:r>
      <w:r w:rsidR="005F1984">
        <w:t>olution.</w:t>
      </w:r>
    </w:p>
    <w:p w14:paraId="389F66D1" w14:textId="52088F30" w:rsidR="000201F8" w:rsidRDefault="000201F8" w:rsidP="00247199">
      <w:pPr>
        <w:pStyle w:val="IPPParagraphnumbering"/>
      </w:pPr>
      <w:r>
        <w:t>A usage fee is typically applied to all users of a system in proportion to the amount of the service used.</w:t>
      </w:r>
      <w:r w:rsidR="005F1984">
        <w:t xml:space="preserve"> For example, an electricity provider will typically charge a base fee and then a charge per kilowatt hour of electricity used. The focus group considers a usage fee is appropriate to include in the </w:t>
      </w:r>
      <w:r w:rsidR="00F24FB1">
        <w:t xml:space="preserve">funding </w:t>
      </w:r>
      <w:r w:rsidR="005F1984">
        <w:t xml:space="preserve">model.  A usage fee </w:t>
      </w:r>
      <w:proofErr w:type="spellStart"/>
      <w:r w:rsidR="005F1984">
        <w:t>recognises</w:t>
      </w:r>
      <w:proofErr w:type="spellEnd"/>
      <w:r w:rsidR="005F1984">
        <w:t xml:space="preserve"> </w:t>
      </w:r>
      <w:r w:rsidR="00F24FB1">
        <w:t>and attributes costs to system users in proportion to their level of use</w:t>
      </w:r>
      <w:r w:rsidR="001C1A85">
        <w:t>.</w:t>
      </w:r>
      <w:r w:rsidR="00F24FB1">
        <w:t xml:space="preserve"> </w:t>
      </w:r>
    </w:p>
    <w:p w14:paraId="52E4DFA2" w14:textId="7D6AF1C3" w:rsidR="00520CB8" w:rsidRDefault="00520CB8" w:rsidP="00247199">
      <w:pPr>
        <w:pStyle w:val="IPPParagraphnumberingclose"/>
      </w:pPr>
      <w:r w:rsidRPr="00247199">
        <w:rPr>
          <w:b/>
          <w:bCs/>
        </w:rPr>
        <w:t>The focus group ha</w:t>
      </w:r>
      <w:r w:rsidR="0071361F" w:rsidRPr="00247199">
        <w:rPr>
          <w:b/>
          <w:bCs/>
        </w:rPr>
        <w:t>s</w:t>
      </w:r>
      <w:r w:rsidRPr="00247199">
        <w:rPr>
          <w:b/>
          <w:bCs/>
        </w:rPr>
        <w:t xml:space="preserve"> concluded that </w:t>
      </w:r>
      <w:r w:rsidR="00C84775" w:rsidRPr="00247199">
        <w:rPr>
          <w:b/>
          <w:bCs/>
        </w:rPr>
        <w:t xml:space="preserve">both </w:t>
      </w:r>
      <w:r w:rsidRPr="00247199">
        <w:rPr>
          <w:b/>
          <w:bCs/>
        </w:rPr>
        <w:t xml:space="preserve">base fees </w:t>
      </w:r>
      <w:r w:rsidR="00C84775" w:rsidRPr="00247199">
        <w:rPr>
          <w:b/>
          <w:bCs/>
        </w:rPr>
        <w:t xml:space="preserve">and usage fees should be used in the </w:t>
      </w:r>
      <w:r w:rsidR="0071361F" w:rsidRPr="00247199">
        <w:rPr>
          <w:b/>
          <w:bCs/>
        </w:rPr>
        <w:t>fu</w:t>
      </w:r>
      <w:r w:rsidR="00781E25" w:rsidRPr="00247199">
        <w:rPr>
          <w:b/>
          <w:bCs/>
        </w:rPr>
        <w:t>n</w:t>
      </w:r>
      <w:r w:rsidR="0071361F" w:rsidRPr="00247199">
        <w:rPr>
          <w:b/>
          <w:bCs/>
        </w:rPr>
        <w:t xml:space="preserve">ding </w:t>
      </w:r>
      <w:r w:rsidR="00C84775" w:rsidRPr="00247199">
        <w:rPr>
          <w:b/>
          <w:bCs/>
        </w:rPr>
        <w:t>model</w:t>
      </w:r>
      <w:r w:rsidR="00C84775" w:rsidRPr="00C01046">
        <w:t xml:space="preserve"> </w:t>
      </w:r>
      <w:r w:rsidR="00C84775">
        <w:t xml:space="preserve">because: </w:t>
      </w:r>
    </w:p>
    <w:p w14:paraId="456744D0" w14:textId="35A13EB4" w:rsidR="00520CB8" w:rsidRDefault="00542045" w:rsidP="00247199">
      <w:pPr>
        <w:pStyle w:val="IPPBullet1"/>
      </w:pPr>
      <w:r>
        <w:t>During CPM 17</w:t>
      </w:r>
      <w:r w:rsidR="0071361F">
        <w:t xml:space="preserve"> (2023)</w:t>
      </w:r>
      <w:r>
        <w:t xml:space="preserve"> many countries supported the </w:t>
      </w:r>
      <w:r w:rsidR="00520CB8">
        <w:t>concept</w:t>
      </w:r>
      <w:r>
        <w:t xml:space="preserve"> of a base fee that would vary according to development status.  </w:t>
      </w:r>
    </w:p>
    <w:p w14:paraId="0D329F63" w14:textId="77777777" w:rsidR="00EE49DE" w:rsidRDefault="00520CB8" w:rsidP="00EE49DE">
      <w:pPr>
        <w:pStyle w:val="IPPBullet1"/>
      </w:pPr>
      <w:bookmarkStart w:id="2" w:name="_Hlk144910149"/>
      <w:r w:rsidRPr="00520CB8">
        <w:t xml:space="preserve">There was significantly less support for a usage model based on the number of </w:t>
      </w:r>
      <w:r w:rsidR="000E2959">
        <w:t>exchanges</w:t>
      </w:r>
      <w:r>
        <w:t>.</w:t>
      </w:r>
      <w:r w:rsidRPr="00520CB8">
        <w:t xml:space="preserve">  </w:t>
      </w:r>
      <w:bookmarkEnd w:id="2"/>
    </w:p>
    <w:p w14:paraId="515C099E" w14:textId="77777777" w:rsidR="00EE49DE" w:rsidRDefault="00D40835" w:rsidP="00EE49DE">
      <w:pPr>
        <w:pStyle w:val="IPPBullet1"/>
      </w:pPr>
      <w:r>
        <w:t>S</w:t>
      </w:r>
      <w:r w:rsidR="00520CB8" w:rsidRPr="00520CB8">
        <w:t xml:space="preserve">ome countries have </w:t>
      </w:r>
      <w:r w:rsidR="00E2032E">
        <w:t>quickly</w:t>
      </w:r>
      <w:r w:rsidR="00520CB8" w:rsidRPr="00520CB8">
        <w:t xml:space="preserve"> adopted </w:t>
      </w:r>
      <w:proofErr w:type="spellStart"/>
      <w:r w:rsidR="00520CB8" w:rsidRPr="00520CB8">
        <w:t>ephyto</w:t>
      </w:r>
      <w:proofErr w:type="spellEnd"/>
      <w:r w:rsidR="00520CB8" w:rsidRPr="00520CB8">
        <w:t xml:space="preserve"> and others are yet to start.</w:t>
      </w:r>
      <w:r w:rsidR="00520CB8">
        <w:t xml:space="preserve"> </w:t>
      </w:r>
      <w:r>
        <w:t>A</w:t>
      </w:r>
      <w:r w:rsidR="002A0273">
        <w:t xml:space="preserve"> </w:t>
      </w:r>
      <w:r w:rsidR="0071361F">
        <w:t xml:space="preserve">funding </w:t>
      </w:r>
      <w:r w:rsidR="002A0273">
        <w:t xml:space="preserve">model strongly biased towards usage </w:t>
      </w:r>
      <w:r w:rsidR="00E2032E">
        <w:t xml:space="preserve">at this time </w:t>
      </w:r>
      <w:r w:rsidR="002A0273">
        <w:t xml:space="preserve">may </w:t>
      </w:r>
      <w:r>
        <w:t xml:space="preserve">significantly </w:t>
      </w:r>
      <w:proofErr w:type="spellStart"/>
      <w:r w:rsidR="002A0273">
        <w:t>penalis</w:t>
      </w:r>
      <w:r>
        <w:t>e</w:t>
      </w:r>
      <w:proofErr w:type="spellEnd"/>
      <w:r w:rsidR="002A0273">
        <w:t xml:space="preserve"> early adopters</w:t>
      </w:r>
      <w:r>
        <w:t xml:space="preserve"> and discourage others from adopting</w:t>
      </w:r>
      <w:r w:rsidR="002A0273">
        <w:t>.</w:t>
      </w:r>
    </w:p>
    <w:p w14:paraId="2EA91B4E" w14:textId="77777777" w:rsidR="00EE49DE" w:rsidRDefault="00D40835" w:rsidP="00EE49DE">
      <w:pPr>
        <w:pStyle w:val="IPPBullet1"/>
      </w:pPr>
      <w:r>
        <w:t>Usage charges could make the cost to countries less predictable.</w:t>
      </w:r>
    </w:p>
    <w:p w14:paraId="19F021F9" w14:textId="77777777" w:rsidR="00EE49DE" w:rsidRDefault="00E2032E" w:rsidP="00EE49DE">
      <w:pPr>
        <w:pStyle w:val="IPPBullet1"/>
      </w:pPr>
      <w:r>
        <w:t>Usage charges are consistent with the user pays principle.</w:t>
      </w:r>
    </w:p>
    <w:p w14:paraId="3F397F0E" w14:textId="0FADCF23" w:rsidR="00E2032E" w:rsidRDefault="00E2032E" w:rsidP="00EE49DE">
      <w:pPr>
        <w:pStyle w:val="IPPBullet1"/>
      </w:pPr>
      <w:r>
        <w:t xml:space="preserve">Usage charges </w:t>
      </w:r>
      <w:proofErr w:type="spellStart"/>
      <w:r>
        <w:t>recognise</w:t>
      </w:r>
      <w:proofErr w:type="spellEnd"/>
      <w:r>
        <w:t xml:space="preserve"> the benefits that accrue to users.</w:t>
      </w:r>
    </w:p>
    <w:p w14:paraId="1897D2CC" w14:textId="680A2013" w:rsidR="00E2032E" w:rsidRDefault="00E2032E" w:rsidP="00EE49DE">
      <w:pPr>
        <w:pStyle w:val="IPPBullet1Last"/>
      </w:pPr>
      <w:r>
        <w:t>Most well-established model</w:t>
      </w:r>
      <w:r w:rsidR="00C84775">
        <w:t>s</w:t>
      </w:r>
      <w:r>
        <w:t xml:space="preserve"> have a significant </w:t>
      </w:r>
      <w:r w:rsidR="00781E25">
        <w:t xml:space="preserve">portion of funding from </w:t>
      </w:r>
      <w:r>
        <w:t xml:space="preserve">usage </w:t>
      </w:r>
      <w:r w:rsidR="00781E25">
        <w:t>fees</w:t>
      </w:r>
      <w:r>
        <w:t>.</w:t>
      </w:r>
    </w:p>
    <w:p w14:paraId="73D354BF" w14:textId="657316FF" w:rsidR="00C84775" w:rsidRPr="0027482F" w:rsidRDefault="00C84775" w:rsidP="00EE49DE">
      <w:pPr>
        <w:pStyle w:val="IPPParagraphnumbering"/>
      </w:pPr>
      <w:r w:rsidRPr="0027482F">
        <w:lastRenderedPageBreak/>
        <w:t xml:space="preserve">On balance </w:t>
      </w:r>
      <w:r w:rsidRPr="00EE49DE">
        <w:rPr>
          <w:b/>
          <w:bCs/>
        </w:rPr>
        <w:t xml:space="preserve">the focus group considers </w:t>
      </w:r>
      <w:bookmarkStart w:id="3" w:name="_Hlk145622807"/>
      <w:r w:rsidRPr="00EE49DE">
        <w:rPr>
          <w:b/>
          <w:bCs/>
        </w:rPr>
        <w:t xml:space="preserve">base fees should be used to meet 2/3rd of the required funding </w:t>
      </w:r>
      <w:r w:rsidR="0071361F" w:rsidRPr="00EE49DE">
        <w:rPr>
          <w:b/>
          <w:bCs/>
        </w:rPr>
        <w:t xml:space="preserve">for the </w:t>
      </w:r>
      <w:r w:rsidR="0080235A" w:rsidRPr="00EE49DE">
        <w:rPr>
          <w:b/>
          <w:bCs/>
        </w:rPr>
        <w:t>ePhyto Solution</w:t>
      </w:r>
      <w:r w:rsidR="0071361F" w:rsidRPr="00EE49DE">
        <w:rPr>
          <w:b/>
          <w:bCs/>
        </w:rPr>
        <w:t xml:space="preserve"> </w:t>
      </w:r>
      <w:r w:rsidRPr="00EE49DE">
        <w:rPr>
          <w:b/>
          <w:bCs/>
        </w:rPr>
        <w:t>and usage fees should be used to meet the remaining 1/3rd</w:t>
      </w:r>
      <w:bookmarkEnd w:id="3"/>
      <w:r w:rsidRPr="00C01046">
        <w:t>.</w:t>
      </w:r>
    </w:p>
    <w:p w14:paraId="0DF98D09" w14:textId="551BF02E" w:rsidR="000201F8" w:rsidRPr="00F23B79" w:rsidRDefault="006919EA" w:rsidP="00EE49DE">
      <w:pPr>
        <w:pStyle w:val="IPPHeading1"/>
      </w:pPr>
      <w:r>
        <w:t>D</w:t>
      </w:r>
      <w:r w:rsidR="0063554D">
        <w:t xml:space="preserve">2. </w:t>
      </w:r>
      <w:r w:rsidR="00C84775" w:rsidRPr="00F23B79">
        <w:t>Varying the base fee according to development status</w:t>
      </w:r>
    </w:p>
    <w:p w14:paraId="32575BDB" w14:textId="2C8955CC" w:rsidR="00C93F9C" w:rsidRDefault="00520CB8" w:rsidP="00EE49DE">
      <w:pPr>
        <w:pStyle w:val="IPPParagraphnumbering"/>
      </w:pPr>
      <w:r w:rsidRPr="00520CB8">
        <w:t xml:space="preserve">There </w:t>
      </w:r>
      <w:r w:rsidR="0071361F">
        <w:t xml:space="preserve">is </w:t>
      </w:r>
      <w:r w:rsidRPr="00520CB8">
        <w:t xml:space="preserve">recognition that some countries have </w:t>
      </w:r>
      <w:r w:rsidR="00161EE0">
        <w:t>variable</w:t>
      </w:r>
      <w:r w:rsidRPr="00520CB8">
        <w:t xml:space="preserve"> ability to contribute to the cost of the </w:t>
      </w:r>
      <w:r w:rsidR="0080235A">
        <w:t>ePhyto Solution</w:t>
      </w:r>
      <w:r w:rsidRPr="00520CB8">
        <w:t xml:space="preserve">.  </w:t>
      </w:r>
      <w:r w:rsidR="00B842A2">
        <w:t xml:space="preserve">At the CPM </w:t>
      </w:r>
      <w:r w:rsidR="0071361F">
        <w:t xml:space="preserve">17 (2023) </w:t>
      </w:r>
      <w:r w:rsidR="00B842A2">
        <w:t>meeting</w:t>
      </w:r>
      <w:r w:rsidR="0071361F">
        <w:t>,</w:t>
      </w:r>
      <w:r w:rsidR="00B842A2">
        <w:t xml:space="preserve"> there was strong support for varying the fee according to development status.</w:t>
      </w:r>
      <w:r w:rsidR="00D513AF">
        <w:t xml:space="preserve"> Several options have been examined to determine how to vary fees according to development status including the UN Assessment Scale</w:t>
      </w:r>
      <w:r w:rsidR="00C144C3">
        <w:t>, the</w:t>
      </w:r>
      <w:r w:rsidR="00D513AF">
        <w:t xml:space="preserve"> FAO Scale</w:t>
      </w:r>
      <w:r w:rsidR="00C144C3">
        <w:t xml:space="preserve">, and the World Bank </w:t>
      </w:r>
      <w:r w:rsidR="00284827">
        <w:t>income group</w:t>
      </w:r>
      <w:r w:rsidR="00C144C3">
        <w:t xml:space="preserve"> classification</w:t>
      </w:r>
      <w:r w:rsidR="00D513AF">
        <w:t xml:space="preserve">.  </w:t>
      </w:r>
      <w:r w:rsidR="00C144C3">
        <w:t xml:space="preserve">Some of the </w:t>
      </w:r>
      <w:r w:rsidR="0071361F">
        <w:t xml:space="preserve">options </w:t>
      </w:r>
      <w:r w:rsidR="00C144C3">
        <w:t>are quite complex</w:t>
      </w:r>
      <w:r w:rsidR="0071361F">
        <w:t>,</w:t>
      </w:r>
      <w:r w:rsidR="00C144C3">
        <w:t xml:space="preserve"> </w:t>
      </w:r>
      <w:r w:rsidR="00C93F9C">
        <w:t xml:space="preserve">for example by </w:t>
      </w:r>
      <w:r w:rsidR="00C144C3">
        <w:t xml:space="preserve">providing a proportional payment specific to every country.  </w:t>
      </w:r>
      <w:r w:rsidR="00D513AF">
        <w:t xml:space="preserve">The focus group considers </w:t>
      </w:r>
      <w:r w:rsidR="0026754C">
        <w:t xml:space="preserve">the principle of simplicity is important to ensure all </w:t>
      </w:r>
      <w:r w:rsidR="00C93F9C">
        <w:t xml:space="preserve">contracting parties </w:t>
      </w:r>
      <w:r w:rsidR="0026754C">
        <w:t xml:space="preserve">can easily understand how the </w:t>
      </w:r>
      <w:r w:rsidR="0026754C" w:rsidRPr="009D316B">
        <w:t>funding model works.</w:t>
      </w:r>
    </w:p>
    <w:p w14:paraId="3549F4D2" w14:textId="3E14764D" w:rsidR="00CC1519" w:rsidRPr="009D316B" w:rsidRDefault="00C144C3" w:rsidP="00EE49DE">
      <w:pPr>
        <w:pStyle w:val="IPPParagraphnumbering"/>
      </w:pPr>
      <w:r w:rsidRPr="009D316B">
        <w:t>The IPPC uses the World Bank classification</w:t>
      </w:r>
      <w:r w:rsidR="00284827" w:rsidRPr="009D316B">
        <w:t xml:space="preserve"> to determine travel and D</w:t>
      </w:r>
      <w:r w:rsidR="00C5573B">
        <w:t>S</w:t>
      </w:r>
      <w:r w:rsidR="00284827" w:rsidRPr="009D316B">
        <w:t>A</w:t>
      </w:r>
      <w:r w:rsidR="00802C8B">
        <w:t xml:space="preserve"> </w:t>
      </w:r>
      <w:r w:rsidR="00284827" w:rsidRPr="009D316B">
        <w:t>eligibility.</w:t>
      </w:r>
      <w:r w:rsidRPr="009D316B">
        <w:t xml:space="preserve"> </w:t>
      </w:r>
      <w:r w:rsidR="00D513AF" w:rsidRPr="009D316B">
        <w:t xml:space="preserve">There was good support at CPM </w:t>
      </w:r>
      <w:r w:rsidR="00C93F9C">
        <w:t xml:space="preserve">17 (2023) </w:t>
      </w:r>
      <w:r w:rsidR="00D513AF" w:rsidRPr="009D316B">
        <w:t>for use of the World Bank</w:t>
      </w:r>
      <w:r w:rsidR="00366923" w:rsidRPr="009D316B">
        <w:t xml:space="preserve"> country classification. This</w:t>
      </w:r>
      <w:r w:rsidR="00284827" w:rsidRPr="009D316B">
        <w:t xml:space="preserve"> classifies countries into </w:t>
      </w:r>
      <w:r w:rsidR="00875BD0">
        <w:t>four</w:t>
      </w:r>
      <w:r w:rsidR="00284827" w:rsidRPr="009D316B">
        <w:t xml:space="preserve"> categories: </w:t>
      </w:r>
      <w:r w:rsidR="00366923" w:rsidRPr="009D316B">
        <w:t xml:space="preserve"> </w:t>
      </w:r>
      <w:r w:rsidR="00284827" w:rsidRPr="009D316B">
        <w:t xml:space="preserve">Low-income, </w:t>
      </w:r>
      <w:r w:rsidR="00B87026">
        <w:t>L</w:t>
      </w:r>
      <w:r w:rsidR="00284827" w:rsidRPr="009D316B">
        <w:t>ower</w:t>
      </w:r>
      <w:r w:rsidR="00B87026">
        <w:t>-</w:t>
      </w:r>
      <w:r w:rsidR="00284827" w:rsidRPr="009D316B">
        <w:t>middle</w:t>
      </w:r>
      <w:r w:rsidR="00B87026">
        <w:t xml:space="preserve"> </w:t>
      </w:r>
      <w:r w:rsidR="00284827" w:rsidRPr="009D316B">
        <w:t xml:space="preserve">income, </w:t>
      </w:r>
      <w:r w:rsidR="00B87026">
        <w:t>U</w:t>
      </w:r>
      <w:r w:rsidR="00284827" w:rsidRPr="009D316B">
        <w:t xml:space="preserve">pper-middle income, and </w:t>
      </w:r>
      <w:r w:rsidR="00B87026">
        <w:t>H</w:t>
      </w:r>
      <w:r w:rsidR="00284827" w:rsidRPr="009D316B">
        <w:t xml:space="preserve">igh income.  In addition, the focus group considers the UN </w:t>
      </w:r>
      <w:r w:rsidR="0026754C" w:rsidRPr="009D316B">
        <w:t>L</w:t>
      </w:r>
      <w:r w:rsidR="00284827" w:rsidRPr="009D316B">
        <w:t xml:space="preserve">east </w:t>
      </w:r>
      <w:r w:rsidR="0026754C" w:rsidRPr="009D316B">
        <w:t>D</w:t>
      </w:r>
      <w:r w:rsidR="00284827" w:rsidRPr="009D316B">
        <w:t xml:space="preserve">eveloped </w:t>
      </w:r>
      <w:r w:rsidR="0026754C" w:rsidRPr="009D316B">
        <w:t>C</w:t>
      </w:r>
      <w:r w:rsidR="00284827" w:rsidRPr="009D316B">
        <w:t>ountr</w:t>
      </w:r>
      <w:r w:rsidR="0026754C" w:rsidRPr="009D316B">
        <w:t xml:space="preserve">ies </w:t>
      </w:r>
      <w:r w:rsidR="00B87026">
        <w:t xml:space="preserve">(LDC’s) </w:t>
      </w:r>
      <w:r w:rsidR="0026754C" w:rsidRPr="009D316B">
        <w:t xml:space="preserve">should be grouped with the World Bank </w:t>
      </w:r>
      <w:r w:rsidR="00B87026">
        <w:t>L</w:t>
      </w:r>
      <w:r w:rsidR="0026754C" w:rsidRPr="009D316B">
        <w:t xml:space="preserve">ow-income group (there is considerable </w:t>
      </w:r>
      <w:r w:rsidR="00B87026">
        <w:t>consistency in</w:t>
      </w:r>
      <w:r w:rsidR="0026754C" w:rsidRPr="009D316B">
        <w:t xml:space="preserve"> these lists).</w:t>
      </w:r>
    </w:p>
    <w:p w14:paraId="316C454C" w14:textId="0C7D2308" w:rsidR="0026754C" w:rsidRPr="009D316B" w:rsidRDefault="0026754C" w:rsidP="00EE49DE">
      <w:pPr>
        <w:pStyle w:val="IPPParagraphnumbering"/>
      </w:pPr>
      <w:r w:rsidRPr="009D316B">
        <w:t xml:space="preserve">This would provide for base fees to </w:t>
      </w:r>
      <w:r w:rsidR="00875BD0">
        <w:t xml:space="preserve">be set </w:t>
      </w:r>
      <w:r w:rsidRPr="009D316B">
        <w:t xml:space="preserve">across </w:t>
      </w:r>
      <w:r w:rsidR="00875BD0">
        <w:t xml:space="preserve">four </w:t>
      </w:r>
      <w:r w:rsidRPr="009D316B">
        <w:t>levels of development: Low/LDC, Lower-</w:t>
      </w:r>
      <w:r w:rsidR="00B87026">
        <w:t>m</w:t>
      </w:r>
      <w:r w:rsidRPr="009D316B">
        <w:t>iddle, Upper</w:t>
      </w:r>
      <w:r w:rsidR="00B87026">
        <w:t>-</w:t>
      </w:r>
      <w:r w:rsidRPr="009D316B">
        <w:t xml:space="preserve">middle, High. </w:t>
      </w:r>
      <w:r w:rsidRPr="006C2165">
        <w:rPr>
          <w:b/>
          <w:bCs/>
        </w:rPr>
        <w:t>The focus group considers countries in the Low/LDC group should be exe</w:t>
      </w:r>
      <w:r w:rsidR="00161EE0" w:rsidRPr="006C2165">
        <w:rPr>
          <w:b/>
          <w:bCs/>
        </w:rPr>
        <w:t>m</w:t>
      </w:r>
      <w:r w:rsidRPr="006C2165">
        <w:rPr>
          <w:b/>
          <w:bCs/>
        </w:rPr>
        <w:t>pt from contributing a base fee.</w:t>
      </w:r>
      <w:r w:rsidR="00161EE0" w:rsidRPr="009D316B">
        <w:t xml:space="preserve"> This is important to support </w:t>
      </w:r>
      <w:r w:rsidR="00F23B79" w:rsidRPr="009D316B">
        <w:t>t</w:t>
      </w:r>
      <w:r w:rsidR="00161EE0" w:rsidRPr="009D316B">
        <w:t>he accessibility principle</w:t>
      </w:r>
      <w:r w:rsidR="00875BD0">
        <w:t>: w</w:t>
      </w:r>
      <w:r w:rsidR="00161EE0" w:rsidRPr="009D316B">
        <w:t xml:space="preserve">e need to ensure the barriers to adopting </w:t>
      </w:r>
      <w:proofErr w:type="spellStart"/>
      <w:r w:rsidR="0065446F">
        <w:t>ephyto</w:t>
      </w:r>
      <w:proofErr w:type="spellEnd"/>
      <w:r w:rsidR="00161EE0" w:rsidRPr="009D316B">
        <w:t xml:space="preserve"> are low.</w:t>
      </w:r>
    </w:p>
    <w:p w14:paraId="72A0AFBD" w14:textId="63804735" w:rsidR="00F46A59" w:rsidRDefault="00F46A59" w:rsidP="00EE49DE">
      <w:pPr>
        <w:pStyle w:val="IPPParagraphnumbering"/>
      </w:pPr>
      <w:r w:rsidRPr="00127404">
        <w:rPr>
          <w:b/>
          <w:bCs/>
        </w:rPr>
        <w:t xml:space="preserve">The focus group considers the </w:t>
      </w:r>
      <w:bookmarkStart w:id="4" w:name="_Hlk145622842"/>
      <w:r w:rsidRPr="00127404">
        <w:rPr>
          <w:b/>
          <w:bCs/>
        </w:rPr>
        <w:t>base fee for countries in the remaining development levels should increase by a factor of two as development status increases (Upper-middle countries would by twice the base fee of Lower-middle countries, High countries would pay twice the base fee of Upper-middle countries)</w:t>
      </w:r>
      <w:bookmarkEnd w:id="4"/>
      <w:r w:rsidRPr="00C01046">
        <w:t>.</w:t>
      </w:r>
      <w:r>
        <w:t xml:space="preserve">  This keeps the base fee relatively low for Lower-middle countries </w:t>
      </w:r>
      <w:r w:rsidR="0063554D">
        <w:t xml:space="preserve">but still </w:t>
      </w:r>
      <w:r>
        <w:t>affordable for High countries.</w:t>
      </w:r>
    </w:p>
    <w:p w14:paraId="4A449D22" w14:textId="2BD9F1EC" w:rsidR="00161EE0" w:rsidRPr="0063554D" w:rsidRDefault="006919EA" w:rsidP="00127404">
      <w:pPr>
        <w:pStyle w:val="IPPHeading1"/>
      </w:pPr>
      <w:r>
        <w:t>D</w:t>
      </w:r>
      <w:r w:rsidR="0063554D" w:rsidRPr="0063554D">
        <w:t xml:space="preserve">3. </w:t>
      </w:r>
      <w:r w:rsidR="00F46A59" w:rsidRPr="0063554D">
        <w:t xml:space="preserve"> </w:t>
      </w:r>
      <w:r w:rsidR="0063554D">
        <w:t>V</w:t>
      </w:r>
      <w:r w:rsidR="0063554D" w:rsidRPr="0063554D">
        <w:t>ary</w:t>
      </w:r>
      <w:r w:rsidR="0063554D">
        <w:t>ing the usage fee</w:t>
      </w:r>
      <w:r w:rsidR="0063554D" w:rsidRPr="0063554D">
        <w:t xml:space="preserve"> according to usage</w:t>
      </w:r>
      <w:r w:rsidR="0063554D">
        <w:t xml:space="preserve"> level</w:t>
      </w:r>
    </w:p>
    <w:p w14:paraId="604531BC" w14:textId="1984E071" w:rsidR="00161EE0" w:rsidRDefault="00DB53A6" w:rsidP="00127404">
      <w:pPr>
        <w:pStyle w:val="IPPParagraphnumbering"/>
      </w:pPr>
      <w:r>
        <w:t xml:space="preserve">Having a usage fee assumes that the </w:t>
      </w:r>
      <w:r w:rsidR="004959D5">
        <w:t xml:space="preserve">expected contribution </w:t>
      </w:r>
      <w:r>
        <w:t>will vary according to the amount of usage.  This is fundamental to the principle of user pays.</w:t>
      </w:r>
    </w:p>
    <w:p w14:paraId="3B7AEBF2" w14:textId="4947B547" w:rsidR="0026754C" w:rsidRDefault="00105143" w:rsidP="00127404">
      <w:pPr>
        <w:pStyle w:val="IPPParagraphnumbering"/>
      </w:pPr>
      <w:r>
        <w:t>Each message sent to or received from the</w:t>
      </w:r>
      <w:r w:rsidR="00B74D76">
        <w:t xml:space="preserve"> </w:t>
      </w:r>
      <w:proofErr w:type="spellStart"/>
      <w:r w:rsidR="0065446F">
        <w:t>ephyto</w:t>
      </w:r>
      <w:proofErr w:type="spellEnd"/>
      <w:r w:rsidR="00B74D76">
        <w:t xml:space="preserve"> Hub</w:t>
      </w:r>
      <w:r>
        <w:t xml:space="preserve"> can be counted</w:t>
      </w:r>
      <w:r w:rsidR="00B556C6">
        <w:t xml:space="preserve">.  </w:t>
      </w:r>
      <w:r w:rsidR="00F00704">
        <w:t>The focus group considered s</w:t>
      </w:r>
      <w:r w:rsidR="00DB53A6">
        <w:t xml:space="preserve">etting a usage fee </w:t>
      </w:r>
      <w:r w:rsidR="00F00704">
        <w:t xml:space="preserve">for each </w:t>
      </w:r>
      <w:r w:rsidR="00151383">
        <w:t xml:space="preserve">individual </w:t>
      </w:r>
      <w:r>
        <w:t>message</w:t>
      </w:r>
      <w:r w:rsidR="00F00704">
        <w:t xml:space="preserve"> sent to or received from the Hub.  This </w:t>
      </w:r>
      <w:r w:rsidR="0099239C">
        <w:t xml:space="preserve">is possible but has some drawbacks.  While we are in an early phase of implementation there are significant extremes in usage.  Some </w:t>
      </w:r>
      <w:r w:rsidR="00F00704">
        <w:t xml:space="preserve">contracting parties </w:t>
      </w:r>
      <w:r w:rsidR="0099239C">
        <w:t>have only a few hundred exchanges</w:t>
      </w:r>
      <w:r w:rsidR="00D849A2">
        <w:t>.</w:t>
      </w:r>
      <w:r w:rsidR="005F7351">
        <w:t xml:space="preserve">  </w:t>
      </w:r>
      <w:r w:rsidR="00D849A2">
        <w:t>It would be</w:t>
      </w:r>
      <w:r w:rsidR="0099239C">
        <w:t xml:space="preserve"> hardly worth the administrative cost to </w:t>
      </w:r>
      <w:r w:rsidR="00F00704">
        <w:t xml:space="preserve">collect the </w:t>
      </w:r>
      <w:r w:rsidR="004959D5">
        <w:t xml:space="preserve">expected contribution from those contracting </w:t>
      </w:r>
      <w:r w:rsidR="001C1A85">
        <w:t>p</w:t>
      </w:r>
      <w:r w:rsidR="004959D5">
        <w:t>arties</w:t>
      </w:r>
      <w:r w:rsidR="0099239C">
        <w:t xml:space="preserve">.  Some developing countries have adopted early and are significant users </w:t>
      </w:r>
      <w:r w:rsidR="0060447C">
        <w:t xml:space="preserve">of the </w:t>
      </w:r>
      <w:r w:rsidR="0080235A">
        <w:t>ePhyto Solution</w:t>
      </w:r>
      <w:r w:rsidR="00D849A2">
        <w:t xml:space="preserve">.  Calculating contribution based on every exchange would </w:t>
      </w:r>
      <w:proofErr w:type="spellStart"/>
      <w:r w:rsidR="00D849A2">
        <w:t>penalise</w:t>
      </w:r>
      <w:proofErr w:type="spellEnd"/>
      <w:r w:rsidR="00D849A2">
        <w:t xml:space="preserve"> early adopters and result in those countries contributing an inordinate proportion of </w:t>
      </w:r>
      <w:r w:rsidR="0080235A">
        <w:t>ePhyto Solution</w:t>
      </w:r>
      <w:r w:rsidR="00D849A2">
        <w:t xml:space="preserve"> costs.  </w:t>
      </w:r>
      <w:r w:rsidR="001F4808">
        <w:t xml:space="preserve">Given that the </w:t>
      </w:r>
      <w:r w:rsidR="0080235A">
        <w:t>ePhyto Solution</w:t>
      </w:r>
      <w:r w:rsidR="001F4808">
        <w:t xml:space="preserve"> is still early in its implementation, </w:t>
      </w:r>
      <w:r w:rsidR="001F4808" w:rsidRPr="009546AE">
        <w:rPr>
          <w:b/>
          <w:bCs/>
        </w:rPr>
        <w:t xml:space="preserve">the </w:t>
      </w:r>
      <w:r w:rsidR="0060447C" w:rsidRPr="009546AE">
        <w:rPr>
          <w:b/>
          <w:bCs/>
        </w:rPr>
        <w:t>focus group consider</w:t>
      </w:r>
      <w:r w:rsidR="001F4808" w:rsidRPr="009546AE">
        <w:rPr>
          <w:b/>
          <w:bCs/>
        </w:rPr>
        <w:t>s</w:t>
      </w:r>
      <w:r w:rsidR="0060447C" w:rsidRPr="009546AE">
        <w:rPr>
          <w:b/>
          <w:bCs/>
        </w:rPr>
        <w:t xml:space="preserve"> </w:t>
      </w:r>
      <w:r w:rsidR="00151383" w:rsidRPr="009546AE">
        <w:rPr>
          <w:b/>
          <w:bCs/>
        </w:rPr>
        <w:t xml:space="preserve">a direct per </w:t>
      </w:r>
      <w:r w:rsidR="004959D5" w:rsidRPr="009546AE">
        <w:rPr>
          <w:b/>
          <w:bCs/>
        </w:rPr>
        <w:t xml:space="preserve">exchange </w:t>
      </w:r>
      <w:r w:rsidR="00151383" w:rsidRPr="009546AE">
        <w:rPr>
          <w:b/>
          <w:bCs/>
        </w:rPr>
        <w:t>charge is not desirable</w:t>
      </w:r>
      <w:r w:rsidR="00151383">
        <w:t>.</w:t>
      </w:r>
    </w:p>
    <w:p w14:paraId="6F652EBD" w14:textId="0EB554ED" w:rsidR="001F4808" w:rsidRDefault="00151383" w:rsidP="00127404">
      <w:pPr>
        <w:pStyle w:val="IPPParagraphnumbering"/>
      </w:pPr>
      <w:r>
        <w:t xml:space="preserve">The focus group considered a range of options to group </w:t>
      </w:r>
      <w:r w:rsidR="00D21E30">
        <w:t xml:space="preserve">categories of </w:t>
      </w:r>
      <w:r>
        <w:t>usage levels (e.g.</w:t>
      </w:r>
      <w:r w:rsidR="005F7351">
        <w:t>,</w:t>
      </w:r>
      <w:r>
        <w:t xml:space="preserve"> a grouping for users with less than 1,000 </w:t>
      </w:r>
      <w:r w:rsidR="005F7351">
        <w:t>exchanges</w:t>
      </w:r>
      <w:r>
        <w:t xml:space="preserve">, </w:t>
      </w:r>
      <w:r w:rsidR="00D21E30">
        <w:t>1,000 to 5</w:t>
      </w:r>
      <w:r w:rsidR="00105143">
        <w:t>0</w:t>
      </w:r>
      <w:r w:rsidR="00D21E30">
        <w:t xml:space="preserve">,000 </w:t>
      </w:r>
      <w:r w:rsidR="005F7351">
        <w:t>exchanges</w:t>
      </w:r>
      <w:r w:rsidR="00D21E30">
        <w:t>, 50,000</w:t>
      </w:r>
      <w:r w:rsidR="00105143">
        <w:t>+</w:t>
      </w:r>
      <w:r w:rsidR="00D21E30">
        <w:t xml:space="preserve">, </w:t>
      </w:r>
      <w:proofErr w:type="spellStart"/>
      <w:r w:rsidR="00D21E30">
        <w:t>etc</w:t>
      </w:r>
      <w:proofErr w:type="spellEnd"/>
      <w:r>
        <w:t xml:space="preserve">) as a method of moderating challenges outlined in the paragraph above.  </w:t>
      </w:r>
      <w:r w:rsidR="00D21E30">
        <w:t xml:space="preserve">At one extreme </w:t>
      </w:r>
      <w:r w:rsidR="001F4808">
        <w:t xml:space="preserve">there </w:t>
      </w:r>
      <w:r w:rsidR="005F7351">
        <w:t>c</w:t>
      </w:r>
      <w:r w:rsidR="00D21E30">
        <w:t xml:space="preserve">ould </w:t>
      </w:r>
      <w:r w:rsidR="001F4808">
        <w:t xml:space="preserve">be </w:t>
      </w:r>
      <w:r w:rsidR="00D21E30">
        <w:t>100 usage groups</w:t>
      </w:r>
      <w:r w:rsidR="001F4808">
        <w:t>, and</w:t>
      </w:r>
      <w:r w:rsidR="00D21E30">
        <w:t xml:space="preserve"> at the other </w:t>
      </w:r>
      <w:r w:rsidR="00105143">
        <w:t xml:space="preserve">end </w:t>
      </w:r>
      <w:r w:rsidR="001F4808">
        <w:t>there</w:t>
      </w:r>
      <w:r w:rsidR="00105143">
        <w:t xml:space="preserve"> </w:t>
      </w:r>
      <w:r w:rsidR="005F7351">
        <w:t>c</w:t>
      </w:r>
      <w:r w:rsidR="00105143">
        <w:t xml:space="preserve">ould </w:t>
      </w:r>
      <w:r w:rsidR="001F4808">
        <w:t xml:space="preserve">be </w:t>
      </w:r>
      <w:r w:rsidR="00105143" w:rsidRPr="0027482F">
        <w:t>only one or two</w:t>
      </w:r>
      <w:r w:rsidR="00D21E30" w:rsidRPr="0027482F">
        <w:t xml:space="preserve">.  The focus group needed to </w:t>
      </w:r>
      <w:r w:rsidR="001F4808">
        <w:t xml:space="preserve">ensure </w:t>
      </w:r>
      <w:r w:rsidR="00305326" w:rsidRPr="0027482F">
        <w:t xml:space="preserve">all the principles (accessible, transparent, efficient, user pays, simplicity, predictability) </w:t>
      </w:r>
      <w:r w:rsidR="001F4808">
        <w:t xml:space="preserve">were applied </w:t>
      </w:r>
      <w:r w:rsidR="00305326" w:rsidRPr="0027482F">
        <w:t xml:space="preserve">to develop an appropriate usage fee. </w:t>
      </w:r>
    </w:p>
    <w:p w14:paraId="0D4E156E" w14:textId="63D5734E" w:rsidR="0026754C" w:rsidRDefault="00305326" w:rsidP="00127404">
      <w:pPr>
        <w:pStyle w:val="IPPParagraphnumbering"/>
      </w:pPr>
      <w:r w:rsidRPr="0027482F">
        <w:t xml:space="preserve">The focus </w:t>
      </w:r>
      <w:r w:rsidR="00105143" w:rsidRPr="0027482F">
        <w:t xml:space="preserve">group </w:t>
      </w:r>
      <w:proofErr w:type="spellStart"/>
      <w:r w:rsidRPr="0027482F">
        <w:t>recognises</w:t>
      </w:r>
      <w:proofErr w:type="spellEnd"/>
      <w:r w:rsidRPr="0027482F">
        <w:t xml:space="preserve"> that the current usage levels will</w:t>
      </w:r>
      <w:r>
        <w:t xml:space="preserve"> change significantly during th</w:t>
      </w:r>
      <w:r w:rsidR="005F7351">
        <w:t>e</w:t>
      </w:r>
      <w:r>
        <w:t xml:space="preserve"> implementation phase as new countries</w:t>
      </w:r>
      <w:r w:rsidR="00105143">
        <w:t xml:space="preserve"> continue to</w:t>
      </w:r>
      <w:r>
        <w:t xml:space="preserve"> join </w:t>
      </w:r>
      <w:proofErr w:type="spellStart"/>
      <w:r>
        <w:t>ephyto</w:t>
      </w:r>
      <w:proofErr w:type="spellEnd"/>
      <w:r>
        <w:t xml:space="preserve"> and </w:t>
      </w:r>
      <w:r w:rsidR="00841A74">
        <w:t xml:space="preserve">existing users </w:t>
      </w:r>
      <w:r>
        <w:t>migrate their systems from paper-based to electronic.</w:t>
      </w:r>
    </w:p>
    <w:p w14:paraId="003AA71C" w14:textId="179B3C13" w:rsidR="00575CAD" w:rsidRDefault="00575CAD" w:rsidP="00127404">
      <w:pPr>
        <w:pStyle w:val="IPPParagraphnumberingclose"/>
      </w:pPr>
      <w:r w:rsidRPr="00127404">
        <w:rPr>
          <w:b/>
          <w:bCs/>
        </w:rPr>
        <w:lastRenderedPageBreak/>
        <w:t xml:space="preserve">On balance the focus group considers </w:t>
      </w:r>
      <w:bookmarkStart w:id="5" w:name="_Hlk145622889"/>
      <w:r w:rsidRPr="00127404">
        <w:rPr>
          <w:b/>
          <w:bCs/>
        </w:rPr>
        <w:t xml:space="preserve">four usage categories to be </w:t>
      </w:r>
      <w:r w:rsidR="00C117C5" w:rsidRPr="00127404">
        <w:rPr>
          <w:b/>
          <w:bCs/>
        </w:rPr>
        <w:t>the most practical</w:t>
      </w:r>
      <w:bookmarkEnd w:id="5"/>
      <w:r>
        <w:t>:</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tblGrid>
      <w:tr w:rsidR="00B556C6" w:rsidRPr="00621DA0" w14:paraId="208E015D" w14:textId="77777777" w:rsidTr="00B556C6">
        <w:trPr>
          <w:trHeight w:val="315"/>
          <w:jc w:val="center"/>
        </w:trPr>
        <w:tc>
          <w:tcPr>
            <w:tcW w:w="2122" w:type="dxa"/>
            <w:shd w:val="clear" w:color="auto" w:fill="auto"/>
            <w:noWrap/>
            <w:vAlign w:val="bottom"/>
          </w:tcPr>
          <w:p w14:paraId="6C3EF20B" w14:textId="5A145BF7" w:rsidR="00B556C6" w:rsidRPr="00127404" w:rsidRDefault="00B556C6" w:rsidP="00127404">
            <w:pPr>
              <w:pStyle w:val="IPPArialTable"/>
              <w:rPr>
                <w:b/>
                <w:bCs/>
                <w:lang w:eastAsia="en-NZ"/>
              </w:rPr>
            </w:pPr>
            <w:r w:rsidRPr="00127404">
              <w:rPr>
                <w:b/>
                <w:bCs/>
                <w:lang w:eastAsia="en-NZ"/>
              </w:rPr>
              <w:t>Usage Group</w:t>
            </w:r>
          </w:p>
        </w:tc>
        <w:tc>
          <w:tcPr>
            <w:tcW w:w="2551" w:type="dxa"/>
            <w:vAlign w:val="center"/>
          </w:tcPr>
          <w:p w14:paraId="45D8930C" w14:textId="40948827" w:rsidR="00B556C6" w:rsidRPr="00127404" w:rsidRDefault="004959D5" w:rsidP="00127404">
            <w:pPr>
              <w:pStyle w:val="IPPArialTable"/>
              <w:rPr>
                <w:b/>
                <w:bCs/>
                <w:lang w:eastAsia="en-NZ"/>
              </w:rPr>
            </w:pPr>
            <w:r w:rsidRPr="00127404">
              <w:rPr>
                <w:b/>
                <w:bCs/>
                <w:lang w:eastAsia="en-NZ"/>
              </w:rPr>
              <w:t xml:space="preserve">Exchange numbers </w:t>
            </w:r>
          </w:p>
        </w:tc>
      </w:tr>
      <w:tr w:rsidR="00C80BD7" w:rsidRPr="00575CAD" w14:paraId="3BECBC37" w14:textId="680C4139" w:rsidTr="00B556C6">
        <w:trPr>
          <w:trHeight w:val="315"/>
          <w:jc w:val="center"/>
        </w:trPr>
        <w:tc>
          <w:tcPr>
            <w:tcW w:w="2122" w:type="dxa"/>
            <w:shd w:val="clear" w:color="auto" w:fill="auto"/>
            <w:noWrap/>
            <w:vAlign w:val="bottom"/>
            <w:hideMark/>
          </w:tcPr>
          <w:p w14:paraId="6DA3B1E6" w14:textId="39522967" w:rsidR="00C80BD7" w:rsidRPr="00575CAD" w:rsidRDefault="00C80BD7" w:rsidP="00127404">
            <w:pPr>
              <w:pStyle w:val="IPPArialTable"/>
              <w:rPr>
                <w:lang w:eastAsia="en-NZ"/>
              </w:rPr>
            </w:pPr>
            <w:r w:rsidRPr="00575CAD">
              <w:rPr>
                <w:lang w:eastAsia="en-NZ"/>
              </w:rPr>
              <w:t>L</w:t>
            </w:r>
            <w:r w:rsidR="00B556C6">
              <w:rPr>
                <w:lang w:eastAsia="en-NZ"/>
              </w:rPr>
              <w:t>ow</w:t>
            </w:r>
          </w:p>
        </w:tc>
        <w:tc>
          <w:tcPr>
            <w:tcW w:w="2551" w:type="dxa"/>
            <w:vAlign w:val="center"/>
          </w:tcPr>
          <w:p w14:paraId="392F20DE" w14:textId="4D69F747" w:rsidR="00C80BD7" w:rsidRPr="00575CAD" w:rsidRDefault="00C80BD7" w:rsidP="00127404">
            <w:pPr>
              <w:pStyle w:val="IPPArialTable"/>
              <w:rPr>
                <w:lang w:eastAsia="en-NZ"/>
              </w:rPr>
            </w:pPr>
            <w:r w:rsidRPr="00575CAD">
              <w:rPr>
                <w:lang w:eastAsia="en-NZ"/>
              </w:rPr>
              <w:t>&lt; 1000</w:t>
            </w:r>
          </w:p>
        </w:tc>
      </w:tr>
      <w:tr w:rsidR="00C80BD7" w:rsidRPr="00575CAD" w14:paraId="08B76739" w14:textId="600CB379" w:rsidTr="00B556C6">
        <w:trPr>
          <w:trHeight w:val="315"/>
          <w:jc w:val="center"/>
        </w:trPr>
        <w:tc>
          <w:tcPr>
            <w:tcW w:w="2122" w:type="dxa"/>
            <w:shd w:val="clear" w:color="auto" w:fill="auto"/>
            <w:noWrap/>
            <w:vAlign w:val="bottom"/>
            <w:hideMark/>
          </w:tcPr>
          <w:p w14:paraId="35B5562A" w14:textId="7CE748B3" w:rsidR="00C80BD7" w:rsidRPr="00575CAD" w:rsidRDefault="00C80BD7" w:rsidP="00127404">
            <w:pPr>
              <w:pStyle w:val="IPPArialTable"/>
              <w:rPr>
                <w:lang w:eastAsia="en-NZ"/>
              </w:rPr>
            </w:pPr>
            <w:r w:rsidRPr="00575CAD">
              <w:rPr>
                <w:lang w:eastAsia="en-NZ"/>
              </w:rPr>
              <w:t>M</w:t>
            </w:r>
            <w:r w:rsidR="00B556C6">
              <w:rPr>
                <w:lang w:eastAsia="en-NZ"/>
              </w:rPr>
              <w:t>edium</w:t>
            </w:r>
          </w:p>
        </w:tc>
        <w:tc>
          <w:tcPr>
            <w:tcW w:w="2551" w:type="dxa"/>
            <w:vAlign w:val="center"/>
          </w:tcPr>
          <w:p w14:paraId="624E0617" w14:textId="754040B9" w:rsidR="00C80BD7" w:rsidRPr="00575CAD" w:rsidRDefault="00C80BD7" w:rsidP="00127404">
            <w:pPr>
              <w:pStyle w:val="IPPArialTable"/>
              <w:rPr>
                <w:lang w:eastAsia="en-NZ"/>
              </w:rPr>
            </w:pPr>
            <w:r w:rsidRPr="00575CAD">
              <w:rPr>
                <w:lang w:eastAsia="en-NZ"/>
              </w:rPr>
              <w:t>1,000 - 49,999</w:t>
            </w:r>
          </w:p>
        </w:tc>
      </w:tr>
      <w:tr w:rsidR="00C80BD7" w:rsidRPr="00575CAD" w14:paraId="3B198A67" w14:textId="664C9817" w:rsidTr="00B556C6">
        <w:trPr>
          <w:trHeight w:val="315"/>
          <w:jc w:val="center"/>
        </w:trPr>
        <w:tc>
          <w:tcPr>
            <w:tcW w:w="2122" w:type="dxa"/>
            <w:shd w:val="clear" w:color="auto" w:fill="auto"/>
            <w:noWrap/>
            <w:vAlign w:val="bottom"/>
            <w:hideMark/>
          </w:tcPr>
          <w:p w14:paraId="562DEE3D" w14:textId="3456E001" w:rsidR="00C80BD7" w:rsidRPr="00575CAD" w:rsidRDefault="00C80BD7" w:rsidP="00127404">
            <w:pPr>
              <w:pStyle w:val="IPPArialTable"/>
              <w:rPr>
                <w:lang w:eastAsia="en-NZ"/>
              </w:rPr>
            </w:pPr>
            <w:r w:rsidRPr="00575CAD">
              <w:rPr>
                <w:lang w:eastAsia="en-NZ"/>
              </w:rPr>
              <w:t>H</w:t>
            </w:r>
            <w:r w:rsidR="00B556C6">
              <w:rPr>
                <w:lang w:eastAsia="en-NZ"/>
              </w:rPr>
              <w:t>igh</w:t>
            </w:r>
          </w:p>
        </w:tc>
        <w:tc>
          <w:tcPr>
            <w:tcW w:w="2551" w:type="dxa"/>
            <w:vAlign w:val="center"/>
          </w:tcPr>
          <w:p w14:paraId="23738E3D" w14:textId="3CFFE28F" w:rsidR="00C80BD7" w:rsidRPr="00575CAD" w:rsidRDefault="00C80BD7" w:rsidP="00127404">
            <w:pPr>
              <w:pStyle w:val="IPPArialTable"/>
              <w:rPr>
                <w:lang w:eastAsia="en-NZ"/>
              </w:rPr>
            </w:pPr>
            <w:r w:rsidRPr="00575CAD">
              <w:rPr>
                <w:lang w:eastAsia="en-NZ"/>
              </w:rPr>
              <w:t>50,000 - 149,999</w:t>
            </w:r>
          </w:p>
        </w:tc>
      </w:tr>
      <w:tr w:rsidR="00C80BD7" w:rsidRPr="00575CAD" w14:paraId="5BA38E07" w14:textId="23247282" w:rsidTr="00B556C6">
        <w:trPr>
          <w:trHeight w:val="315"/>
          <w:jc w:val="center"/>
        </w:trPr>
        <w:tc>
          <w:tcPr>
            <w:tcW w:w="2122" w:type="dxa"/>
            <w:shd w:val="clear" w:color="auto" w:fill="auto"/>
            <w:noWrap/>
            <w:vAlign w:val="bottom"/>
            <w:hideMark/>
          </w:tcPr>
          <w:p w14:paraId="566E2C3A" w14:textId="33096929" w:rsidR="00C80BD7" w:rsidRPr="00575CAD" w:rsidRDefault="00C80BD7" w:rsidP="00127404">
            <w:pPr>
              <w:pStyle w:val="IPPArialTable"/>
              <w:rPr>
                <w:lang w:eastAsia="en-NZ"/>
              </w:rPr>
            </w:pPr>
            <w:r w:rsidRPr="00575CAD">
              <w:rPr>
                <w:lang w:eastAsia="en-NZ"/>
              </w:rPr>
              <w:t>V</w:t>
            </w:r>
            <w:r w:rsidR="00B556C6">
              <w:rPr>
                <w:lang w:eastAsia="en-NZ"/>
              </w:rPr>
              <w:t>ery High</w:t>
            </w:r>
          </w:p>
        </w:tc>
        <w:tc>
          <w:tcPr>
            <w:tcW w:w="2551" w:type="dxa"/>
            <w:vAlign w:val="center"/>
          </w:tcPr>
          <w:p w14:paraId="4849AF7B" w14:textId="3FA34A69" w:rsidR="00C80BD7" w:rsidRPr="00575CAD" w:rsidRDefault="00C80BD7" w:rsidP="00127404">
            <w:pPr>
              <w:pStyle w:val="IPPArialTable"/>
              <w:rPr>
                <w:lang w:eastAsia="en-NZ"/>
              </w:rPr>
            </w:pPr>
            <w:r w:rsidRPr="00575CAD">
              <w:rPr>
                <w:lang w:eastAsia="en-NZ"/>
              </w:rPr>
              <w:t>150,000+</w:t>
            </w:r>
          </w:p>
        </w:tc>
      </w:tr>
    </w:tbl>
    <w:p w14:paraId="253A31AC" w14:textId="77777777" w:rsidR="00575CAD" w:rsidRDefault="00575CAD" w:rsidP="00CC1519"/>
    <w:p w14:paraId="11865D31" w14:textId="7FC733DA" w:rsidR="00C80BD7" w:rsidRDefault="00804686" w:rsidP="00127404">
      <w:pPr>
        <w:pStyle w:val="IPPParagraphnumbering"/>
      </w:pPr>
      <w:r>
        <w:t>Based on current usage trends, o</w:t>
      </w:r>
      <w:r w:rsidR="00C80BD7">
        <w:t xml:space="preserve">f the </w:t>
      </w:r>
      <w:r w:rsidR="009546AE">
        <w:t>77</w:t>
      </w:r>
      <w:r w:rsidR="00C80BD7">
        <w:t xml:space="preserve"> countries using </w:t>
      </w:r>
      <w:proofErr w:type="spellStart"/>
      <w:r w:rsidR="0080235A">
        <w:t>ephyto</w:t>
      </w:r>
      <w:proofErr w:type="spellEnd"/>
      <w:r>
        <w:t xml:space="preserve"> in 2023</w:t>
      </w:r>
      <w:r w:rsidR="00C80BD7">
        <w:t>, 1</w:t>
      </w:r>
      <w:r w:rsidR="009546AE">
        <w:t>7</w:t>
      </w:r>
      <w:r w:rsidR="00C80BD7">
        <w:t xml:space="preserve"> </w:t>
      </w:r>
      <w:r w:rsidR="005F7351">
        <w:t xml:space="preserve">are expected to have </w:t>
      </w:r>
      <w:r w:rsidR="00C80BD7">
        <w:t>less than 1,000</w:t>
      </w:r>
      <w:r w:rsidR="004959D5">
        <w:t xml:space="preserve"> exchanges </w:t>
      </w:r>
      <w:r>
        <w:t>this year</w:t>
      </w:r>
      <w:r w:rsidR="00C80BD7">
        <w:t>.</w:t>
      </w:r>
      <w:r w:rsidR="00B556C6">
        <w:t xml:space="preserve">   </w:t>
      </w:r>
      <w:r w:rsidR="00C117C5">
        <w:t>S</w:t>
      </w:r>
      <w:r w:rsidR="009546AE">
        <w:t>ix</w:t>
      </w:r>
      <w:r w:rsidR="00B556C6">
        <w:t xml:space="preserve"> countries </w:t>
      </w:r>
      <w:r w:rsidR="005F7351">
        <w:t xml:space="preserve">will </w:t>
      </w:r>
      <w:r w:rsidR="00B556C6">
        <w:t xml:space="preserve">have more than 150,000 </w:t>
      </w:r>
      <w:r w:rsidR="00346B6E">
        <w:t xml:space="preserve">exchanges </w:t>
      </w:r>
      <w:r>
        <w:t>and the</w:t>
      </w:r>
      <w:r w:rsidR="0065128D" w:rsidRPr="0065128D">
        <w:t xml:space="preserve"> highest </w:t>
      </w:r>
      <w:r w:rsidR="00C117C5">
        <w:t xml:space="preserve">single country </w:t>
      </w:r>
      <w:r w:rsidR="0065128D" w:rsidRPr="0065128D">
        <w:t xml:space="preserve">usage </w:t>
      </w:r>
      <w:r w:rsidR="00C117C5">
        <w:t>w</w:t>
      </w:r>
      <w:r>
        <w:t>ill be over</w:t>
      </w:r>
      <w:r w:rsidR="0065128D" w:rsidRPr="0065128D">
        <w:t xml:space="preserve"> </w:t>
      </w:r>
      <w:r>
        <w:t>6</w:t>
      </w:r>
      <w:r w:rsidR="0065128D" w:rsidRPr="0065128D">
        <w:t xml:space="preserve">00,000 </w:t>
      </w:r>
      <w:r w:rsidR="00346B6E">
        <w:t xml:space="preserve">exchanges </w:t>
      </w:r>
      <w:r w:rsidR="0065128D">
        <w:t>in 202</w:t>
      </w:r>
      <w:r>
        <w:t>3</w:t>
      </w:r>
      <w:r w:rsidR="0065128D">
        <w:t>.</w:t>
      </w:r>
      <w:r w:rsidR="0065128D" w:rsidRPr="0065128D">
        <w:t xml:space="preserve">  </w:t>
      </w:r>
    </w:p>
    <w:p w14:paraId="0779373C" w14:textId="74AB4659" w:rsidR="00621DA0" w:rsidRDefault="00C80BD7" w:rsidP="00CC1519">
      <w:pPr>
        <w:pStyle w:val="IPPParagraphnumbering"/>
      </w:pPr>
      <w:r w:rsidRPr="00127404">
        <w:rPr>
          <w:b/>
          <w:bCs/>
        </w:rPr>
        <w:t xml:space="preserve">The focus group considers </w:t>
      </w:r>
      <w:r w:rsidR="00B556C6" w:rsidRPr="00127404">
        <w:rPr>
          <w:b/>
          <w:bCs/>
        </w:rPr>
        <w:t xml:space="preserve">that countries in the </w:t>
      </w:r>
      <w:r w:rsidR="0065128D" w:rsidRPr="00127404">
        <w:rPr>
          <w:b/>
          <w:bCs/>
        </w:rPr>
        <w:t>Low usage group should no</w:t>
      </w:r>
      <w:r w:rsidR="00841A74" w:rsidRPr="00127404">
        <w:rPr>
          <w:b/>
          <w:bCs/>
        </w:rPr>
        <w:t>t</w:t>
      </w:r>
      <w:r w:rsidR="0065128D" w:rsidRPr="00127404">
        <w:rPr>
          <w:b/>
          <w:bCs/>
        </w:rPr>
        <w:t xml:space="preserve"> pay a usage</w:t>
      </w:r>
      <w:r w:rsidR="009546AE" w:rsidRPr="00127404">
        <w:rPr>
          <w:b/>
          <w:bCs/>
        </w:rPr>
        <w:t xml:space="preserve"> fee</w:t>
      </w:r>
      <w:r w:rsidR="0065128D" w:rsidRPr="00127404">
        <w:rPr>
          <w:b/>
          <w:bCs/>
        </w:rPr>
        <w:t>.</w:t>
      </w:r>
      <w:r w:rsidR="00127404">
        <w:t xml:space="preserve"> </w:t>
      </w:r>
      <w:r w:rsidR="00841A74">
        <w:t xml:space="preserve">A single usage fee is set for each usage group.  This </w:t>
      </w:r>
      <w:proofErr w:type="spellStart"/>
      <w:r w:rsidR="00841A74">
        <w:t>recognises</w:t>
      </w:r>
      <w:proofErr w:type="spellEnd"/>
      <w:r w:rsidR="00841A74">
        <w:t xml:space="preserve"> that usage by countries will vary from year to year and especially </w:t>
      </w:r>
      <w:r w:rsidR="00621DA0">
        <w:t xml:space="preserve">while countries are still coming on board, usage by each country will rise over time.  </w:t>
      </w:r>
    </w:p>
    <w:p w14:paraId="3BAF8FE2" w14:textId="3AC45EC7" w:rsidR="00621DA0" w:rsidRDefault="00621DA0" w:rsidP="00862A19">
      <w:pPr>
        <w:pStyle w:val="IPPParagraphnumbering"/>
      </w:pPr>
      <w:r>
        <w:t xml:space="preserve">The usage fee for the </w:t>
      </w:r>
      <w:r w:rsidR="00A430EB">
        <w:t>h</w:t>
      </w:r>
      <w:r>
        <w:t xml:space="preserve">igh usage group is twice the fee for the </w:t>
      </w:r>
      <w:r w:rsidR="00A430EB">
        <w:t>m</w:t>
      </w:r>
      <w:r>
        <w:t xml:space="preserve">edium usage group and the usage fee for the </w:t>
      </w:r>
      <w:r w:rsidR="00A430EB">
        <w:t>v</w:t>
      </w:r>
      <w:r>
        <w:t xml:space="preserve">ery </w:t>
      </w:r>
      <w:r w:rsidR="00A430EB">
        <w:t>h</w:t>
      </w:r>
      <w:r>
        <w:t xml:space="preserve">igh usage group is twice the fee for the </w:t>
      </w:r>
      <w:r w:rsidR="00A430EB">
        <w:t>h</w:t>
      </w:r>
      <w:r>
        <w:t xml:space="preserve">igh usage group.  The fee for the </w:t>
      </w:r>
      <w:r w:rsidR="00A430EB">
        <w:t>m</w:t>
      </w:r>
      <w:r>
        <w:t xml:space="preserve">edium usage group is set at a level that results in the total of </w:t>
      </w:r>
      <w:r w:rsidR="00A430EB">
        <w:t>all</w:t>
      </w:r>
      <w:r>
        <w:t xml:space="preserve"> the usage fees </w:t>
      </w:r>
      <w:proofErr w:type="spellStart"/>
      <w:r>
        <w:t>equalling</w:t>
      </w:r>
      <w:proofErr w:type="spellEnd"/>
      <w:r>
        <w:t xml:space="preserve"> 1/3</w:t>
      </w:r>
      <w:r w:rsidRPr="00621DA0">
        <w:rPr>
          <w:vertAlign w:val="superscript"/>
        </w:rPr>
        <w:t>rd</w:t>
      </w:r>
      <w:r>
        <w:t xml:space="preserve"> of the </w:t>
      </w:r>
      <w:r w:rsidR="00A430EB">
        <w:t xml:space="preserve">total </w:t>
      </w:r>
      <w:r>
        <w:t>required funding.</w:t>
      </w:r>
    </w:p>
    <w:p w14:paraId="0F4CA796" w14:textId="2B01EF01" w:rsidR="00305326" w:rsidRDefault="00CC7DC2" w:rsidP="00CC1519">
      <w:pPr>
        <w:pStyle w:val="IPPParagraphnumbering"/>
      </w:pPr>
      <w:r>
        <w:t>Usage categories make the model simple to operate and simple to understand.</w:t>
      </w:r>
      <w:r w:rsidR="00862A19">
        <w:t xml:space="preserve"> </w:t>
      </w:r>
      <w:r w:rsidR="00621DA0">
        <w:t xml:space="preserve">Note that even if a country’s usage increases </w:t>
      </w:r>
      <w:r w:rsidR="00992B65">
        <w:t>substantially,</w:t>
      </w:r>
      <w:r w:rsidR="00621DA0">
        <w:t xml:space="preserve"> they will just pay the fee for the usage group they </w:t>
      </w:r>
      <w:r w:rsidR="00046422">
        <w:t>started in, until the fee is revised (every two years).</w:t>
      </w:r>
      <w:r w:rsidR="00621DA0">
        <w:t xml:space="preserve">  </w:t>
      </w:r>
      <w:r w:rsidR="00DE5A5F">
        <w:t>However, it also means a country with usage at the low end of the range for a group will pay the same usage fee as a country at the high end of the range for the group.</w:t>
      </w:r>
    </w:p>
    <w:p w14:paraId="77BAD691" w14:textId="28EB294E" w:rsidR="00C01046" w:rsidRPr="00F24CDD" w:rsidRDefault="00C01046" w:rsidP="00862A19">
      <w:pPr>
        <w:pStyle w:val="IPPHeading1"/>
      </w:pPr>
      <w:r w:rsidRPr="00F24CDD">
        <w:t>D4. Modelling</w:t>
      </w:r>
    </w:p>
    <w:p w14:paraId="48C51C13" w14:textId="16D92F91" w:rsidR="00305326" w:rsidRDefault="00DE5A5F" w:rsidP="00862A19">
      <w:pPr>
        <w:pStyle w:val="IPPParagraphnumbering"/>
      </w:pPr>
      <w:r>
        <w:t>T</w:t>
      </w:r>
      <w:r w:rsidR="005B60EA">
        <w:t>hree</w:t>
      </w:r>
      <w:r>
        <w:t xml:space="preserve"> scenarios have been developed </w:t>
      </w:r>
      <w:r w:rsidR="00F308BB">
        <w:t>(</w:t>
      </w:r>
      <w:r w:rsidR="00CC7DC2">
        <w:t xml:space="preserve">see </w:t>
      </w:r>
      <w:r w:rsidR="005B60EA">
        <w:t xml:space="preserve">the </w:t>
      </w:r>
      <w:r w:rsidR="00CC7DC2">
        <w:t xml:space="preserve">tables below and </w:t>
      </w:r>
      <w:r w:rsidR="00F308BB">
        <w:t>Appendi</w:t>
      </w:r>
      <w:r w:rsidR="005B60EA">
        <w:t>ces</w:t>
      </w:r>
      <w:r w:rsidR="008D17B9">
        <w:t xml:space="preserve"> </w:t>
      </w:r>
      <w:r w:rsidR="005B60EA">
        <w:t xml:space="preserve">1 to </w:t>
      </w:r>
      <w:r w:rsidR="006C2165">
        <w:t>9</w:t>
      </w:r>
      <w:r w:rsidR="00F308BB">
        <w:t>)</w:t>
      </w:r>
      <w:r w:rsidR="005B60EA">
        <w:t xml:space="preserve">. The scenarios </w:t>
      </w:r>
      <w:r w:rsidR="00C01046">
        <w:t xml:space="preserve">should </w:t>
      </w:r>
      <w:r>
        <w:t xml:space="preserve">help SPG participants understand </w:t>
      </w:r>
      <w:r w:rsidR="00F308BB">
        <w:t>how the base fee and usage fee work together</w:t>
      </w:r>
      <w:r w:rsidR="005B60EA">
        <w:t xml:space="preserve"> to meet the costs of the </w:t>
      </w:r>
      <w:r w:rsidR="0080235A">
        <w:t>ePhyto Solution</w:t>
      </w:r>
      <w:r w:rsidR="005B60EA">
        <w:t xml:space="preserve">.  They </w:t>
      </w:r>
      <w:r w:rsidR="00F308BB">
        <w:t xml:space="preserve">explore the impact of having </w:t>
      </w:r>
      <w:r w:rsidR="00CC7DC2">
        <w:t xml:space="preserve">three </w:t>
      </w:r>
      <w:r w:rsidR="00F308BB">
        <w:t xml:space="preserve">usage groups or </w:t>
      </w:r>
      <w:r w:rsidR="00CC7DC2">
        <w:t xml:space="preserve">four </w:t>
      </w:r>
      <w:r w:rsidR="00F308BB">
        <w:t>usage groups</w:t>
      </w:r>
      <w:r w:rsidR="005B60EA">
        <w:t xml:space="preserve">, and the impact of </w:t>
      </w:r>
      <w:r w:rsidR="008D17B9">
        <w:t>in the size of the low usage category</w:t>
      </w:r>
      <w:r w:rsidR="00F308BB">
        <w:t>.</w:t>
      </w:r>
      <w:r w:rsidR="0027482F">
        <w:t xml:space="preserve"> The table below </w:t>
      </w:r>
      <w:r w:rsidR="009D316B">
        <w:t>shows how the t</w:t>
      </w:r>
      <w:r w:rsidR="008D17B9">
        <w:t>hree</w:t>
      </w:r>
      <w:r w:rsidR="009D316B">
        <w:t xml:space="preserve"> factors (a base fee that varies by development</w:t>
      </w:r>
      <w:r w:rsidR="008D17B9">
        <w:t>,</w:t>
      </w:r>
      <w:r w:rsidR="009D316B">
        <w:t xml:space="preserve"> a usage fee that varies by usage level</w:t>
      </w:r>
      <w:r w:rsidR="008D17B9">
        <w:t>, and the size of the low usage category</w:t>
      </w:r>
      <w:r w:rsidR="009D316B">
        <w:t>) work together to produce a contribution level for each country.</w:t>
      </w:r>
    </w:p>
    <w:p w14:paraId="5F08505D" w14:textId="1D347D8A" w:rsidR="00321FC3" w:rsidRDefault="00321FC3" w:rsidP="00862A19">
      <w:pPr>
        <w:pStyle w:val="IPPParagraphnumberingclose"/>
      </w:pPr>
      <w:r w:rsidRPr="006C2165">
        <w:rPr>
          <w:b/>
          <w:bCs/>
        </w:rPr>
        <w:t>The preference of the focus group is Scenario 101</w:t>
      </w:r>
      <w:r>
        <w:t>.  The features of this scenario follow the focus group consideration set out in the above (in bold) are:</w:t>
      </w:r>
    </w:p>
    <w:p w14:paraId="01C0C631" w14:textId="695D6A20" w:rsidR="00321FC3" w:rsidRDefault="00321FC3" w:rsidP="00862A19">
      <w:pPr>
        <w:pStyle w:val="IPPLetterList"/>
      </w:pPr>
      <w:bookmarkStart w:id="6" w:name="_Hlk145623086"/>
      <w:r w:rsidRPr="00321FC3">
        <w:t>the model must be able to include funding from FAO or other sources</w:t>
      </w:r>
      <w:r>
        <w:t>.</w:t>
      </w:r>
    </w:p>
    <w:p w14:paraId="466C5834" w14:textId="6D63785A" w:rsidR="00321FC3" w:rsidRDefault="00321FC3" w:rsidP="00862A19">
      <w:pPr>
        <w:pStyle w:val="IPPLetterList"/>
      </w:pPr>
      <w:r w:rsidRPr="00321FC3">
        <w:t xml:space="preserve">the model should not expect contributions from contracting parties not using the </w:t>
      </w:r>
      <w:r w:rsidR="0080235A">
        <w:t>ePhyto Solution</w:t>
      </w:r>
      <w:r>
        <w:t>.</w:t>
      </w:r>
    </w:p>
    <w:p w14:paraId="14C3B665" w14:textId="57CDA452" w:rsidR="00321FC3" w:rsidRDefault="00321FC3" w:rsidP="00862A19">
      <w:pPr>
        <w:pStyle w:val="IPPLetterList"/>
      </w:pPr>
      <w:r w:rsidRPr="00321FC3">
        <w:t>both base fees and usage fees should be used in the funding model</w:t>
      </w:r>
      <w:r>
        <w:t>.</w:t>
      </w:r>
    </w:p>
    <w:p w14:paraId="4EA17FE7" w14:textId="3CA85026" w:rsidR="00321FC3" w:rsidRDefault="00321FC3" w:rsidP="00862A19">
      <w:pPr>
        <w:pStyle w:val="IPPLetterList"/>
      </w:pPr>
      <w:r w:rsidRPr="00321FC3">
        <w:t xml:space="preserve">base fees should be used to meet 2/3rd of the required funding for the </w:t>
      </w:r>
      <w:r w:rsidR="0080235A">
        <w:t>ePhyto Solution</w:t>
      </w:r>
      <w:r w:rsidRPr="00321FC3">
        <w:t xml:space="preserve"> and usage fees should be used to meet the remaining 1/3</w:t>
      </w:r>
      <w:r w:rsidRPr="00321FC3">
        <w:rPr>
          <w:vertAlign w:val="superscript"/>
        </w:rPr>
        <w:t>rd</w:t>
      </w:r>
      <w:r>
        <w:t>.</w:t>
      </w:r>
    </w:p>
    <w:p w14:paraId="7A87A617" w14:textId="4CAC45C9" w:rsidR="006C2165" w:rsidRDefault="006C2165" w:rsidP="00862A19">
      <w:pPr>
        <w:pStyle w:val="IPPLetterList"/>
      </w:pPr>
      <w:r w:rsidRPr="006C2165">
        <w:t xml:space="preserve">countries in the Low/LDC group should be exempt from contributing a base </w:t>
      </w:r>
      <w:proofErr w:type="gramStart"/>
      <w:r w:rsidRPr="006C2165">
        <w:t>fee</w:t>
      </w:r>
      <w:proofErr w:type="gramEnd"/>
    </w:p>
    <w:p w14:paraId="4EFABD98" w14:textId="76E99861" w:rsidR="00321FC3" w:rsidRDefault="006C2165" w:rsidP="00862A19">
      <w:pPr>
        <w:pStyle w:val="IPPLetterList"/>
      </w:pPr>
      <w:r w:rsidRPr="006C2165">
        <w:t>base fee for countries in the remaining development levels should increase by a factor of two as development status increases (Upper-middle countries would by twice the base fee of Lower-middle countries, High countries would pay twice the base fee of Upper-middle countries)</w:t>
      </w:r>
    </w:p>
    <w:p w14:paraId="2E5DBEBB" w14:textId="542D8636" w:rsidR="006C2165" w:rsidRDefault="006C2165" w:rsidP="00862A19">
      <w:pPr>
        <w:pStyle w:val="IPPLetterList"/>
      </w:pPr>
      <w:r w:rsidRPr="006C2165">
        <w:t>a direct per exchange charge is not desirable.</w:t>
      </w:r>
    </w:p>
    <w:p w14:paraId="7182A11A" w14:textId="2662AEC2" w:rsidR="006C2165" w:rsidRDefault="006C2165" w:rsidP="00862A19">
      <w:pPr>
        <w:pStyle w:val="IPPLetterList"/>
      </w:pPr>
      <w:r w:rsidRPr="006C2165">
        <w:t>four usage categories to be the most practical</w:t>
      </w:r>
      <w:r>
        <w:t>.</w:t>
      </w:r>
    </w:p>
    <w:p w14:paraId="32D70C23" w14:textId="4671401E" w:rsidR="006C2165" w:rsidRDefault="006C2165" w:rsidP="00862A19">
      <w:pPr>
        <w:pStyle w:val="IPPLetterList"/>
      </w:pPr>
      <w:r w:rsidRPr="006C2165">
        <w:t>countries in the Low usage group should not pay a usage fee.</w:t>
      </w:r>
    </w:p>
    <w:bookmarkEnd w:id="6"/>
    <w:p w14:paraId="0A874120" w14:textId="11E8FC8C" w:rsidR="0026754C" w:rsidRPr="009D6C54" w:rsidRDefault="009D6C54" w:rsidP="00D060C6">
      <w:pPr>
        <w:pStyle w:val="IPPHeading1"/>
      </w:pPr>
      <w:r>
        <w:lastRenderedPageBreak/>
        <w:t xml:space="preserve">E. </w:t>
      </w:r>
      <w:r w:rsidR="004E3C3C" w:rsidRPr="009D6C54">
        <w:t>Development of a CPM ePhyto Funding Procedure</w:t>
      </w:r>
    </w:p>
    <w:p w14:paraId="73CCA1A1" w14:textId="626B070C" w:rsidR="004E3C3C" w:rsidRDefault="004E3C3C" w:rsidP="00D060C6">
      <w:pPr>
        <w:pStyle w:val="IPPParagraphnumberingclose"/>
      </w:pPr>
      <w:r>
        <w:t>A procedure is being developed to support adoption of the funding mechanism by the CPM.  The procedure will include the following matters:</w:t>
      </w:r>
    </w:p>
    <w:p w14:paraId="3EFA4D26" w14:textId="350F55A1" w:rsidR="004E3C3C" w:rsidRPr="00D060C6" w:rsidRDefault="00AF3B21"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Purpose</w:t>
      </w:r>
      <w:r w:rsidRPr="00D060C6">
        <w:rPr>
          <w:rFonts w:ascii="Times New Roman" w:hAnsi="Times New Roman"/>
          <w:sz w:val="22"/>
          <w:szCs w:val="22"/>
        </w:rPr>
        <w:t xml:space="preserve"> – purpose of the procedure</w:t>
      </w:r>
      <w:r w:rsidR="00025A07" w:rsidRPr="00D060C6">
        <w:rPr>
          <w:rFonts w:ascii="Times New Roman" w:hAnsi="Times New Roman"/>
          <w:sz w:val="22"/>
          <w:szCs w:val="22"/>
        </w:rPr>
        <w:t>.</w:t>
      </w:r>
    </w:p>
    <w:p w14:paraId="3F7C0564" w14:textId="023D5BAF" w:rsidR="00AF3B21" w:rsidRPr="00D060C6" w:rsidRDefault="00AF3B21"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Applica</w:t>
      </w:r>
      <w:r w:rsidR="00CC7DC2" w:rsidRPr="00D060C6">
        <w:rPr>
          <w:rFonts w:ascii="Times New Roman" w:hAnsi="Times New Roman"/>
          <w:b/>
          <w:bCs/>
          <w:sz w:val="22"/>
          <w:szCs w:val="22"/>
        </w:rPr>
        <w:t>tion</w:t>
      </w:r>
      <w:r w:rsidR="00025A07" w:rsidRPr="00D060C6">
        <w:rPr>
          <w:rFonts w:ascii="Times New Roman" w:hAnsi="Times New Roman"/>
          <w:sz w:val="22"/>
          <w:szCs w:val="22"/>
        </w:rPr>
        <w:t xml:space="preserve"> – </w:t>
      </w:r>
      <w:r w:rsidR="0040114F" w:rsidRPr="00D060C6">
        <w:rPr>
          <w:rFonts w:ascii="Times New Roman" w:hAnsi="Times New Roman"/>
          <w:sz w:val="22"/>
          <w:szCs w:val="22"/>
        </w:rPr>
        <w:t xml:space="preserve">the </w:t>
      </w:r>
      <w:r w:rsidR="00025A07" w:rsidRPr="00D060C6">
        <w:rPr>
          <w:rFonts w:ascii="Times New Roman" w:hAnsi="Times New Roman"/>
          <w:sz w:val="22"/>
          <w:szCs w:val="22"/>
        </w:rPr>
        <w:t xml:space="preserve">parties to which the </w:t>
      </w:r>
      <w:r w:rsidR="0040114F" w:rsidRPr="00D060C6">
        <w:rPr>
          <w:rFonts w:ascii="Times New Roman" w:hAnsi="Times New Roman"/>
          <w:sz w:val="22"/>
          <w:szCs w:val="22"/>
        </w:rPr>
        <w:t>procedure applies</w:t>
      </w:r>
      <w:r w:rsidR="00025A07" w:rsidRPr="00D060C6">
        <w:rPr>
          <w:rFonts w:ascii="Times New Roman" w:hAnsi="Times New Roman"/>
          <w:sz w:val="22"/>
          <w:szCs w:val="22"/>
        </w:rPr>
        <w:t>.</w:t>
      </w:r>
    </w:p>
    <w:p w14:paraId="577D5384" w14:textId="06F30B90" w:rsidR="00025A07" w:rsidRPr="00D060C6" w:rsidRDefault="00025A07"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 xml:space="preserve">Governance </w:t>
      </w:r>
      <w:r w:rsidRPr="00D060C6">
        <w:rPr>
          <w:rFonts w:ascii="Times New Roman" w:hAnsi="Times New Roman"/>
          <w:sz w:val="22"/>
          <w:szCs w:val="22"/>
        </w:rPr>
        <w:t>– establishing Bureau oversight.</w:t>
      </w:r>
    </w:p>
    <w:p w14:paraId="1E2A13AC" w14:textId="3C185614" w:rsidR="00AF3B21" w:rsidRPr="00D060C6" w:rsidRDefault="00AF3B21"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Scope of Costs</w:t>
      </w:r>
      <w:r w:rsidR="0040114F" w:rsidRPr="00D060C6">
        <w:rPr>
          <w:rFonts w:ascii="Times New Roman" w:hAnsi="Times New Roman"/>
          <w:sz w:val="22"/>
          <w:szCs w:val="22"/>
        </w:rPr>
        <w:t xml:space="preserve"> –</w:t>
      </w:r>
      <w:r w:rsidR="00D22151" w:rsidRPr="00D060C6">
        <w:rPr>
          <w:rFonts w:ascii="Times New Roman" w:hAnsi="Times New Roman"/>
          <w:sz w:val="22"/>
          <w:szCs w:val="22"/>
        </w:rPr>
        <w:t xml:space="preserve"> </w:t>
      </w:r>
      <w:r w:rsidR="0040114F" w:rsidRPr="00D060C6">
        <w:rPr>
          <w:rFonts w:ascii="Times New Roman" w:hAnsi="Times New Roman"/>
          <w:sz w:val="22"/>
          <w:szCs w:val="22"/>
        </w:rPr>
        <w:t xml:space="preserve">the costs that can be included in the funding mechanism and specifying others that may not be included. </w:t>
      </w:r>
    </w:p>
    <w:p w14:paraId="28B30DA2" w14:textId="1AC796CD" w:rsidR="00AF3B21" w:rsidRPr="00D060C6" w:rsidRDefault="00AF3B21"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Initial Total Annual Funding Level</w:t>
      </w:r>
      <w:r w:rsidR="0040114F" w:rsidRPr="00D060C6">
        <w:rPr>
          <w:rFonts w:ascii="Times New Roman" w:hAnsi="Times New Roman"/>
          <w:b/>
          <w:bCs/>
          <w:sz w:val="22"/>
          <w:szCs w:val="22"/>
        </w:rPr>
        <w:t xml:space="preserve"> </w:t>
      </w:r>
      <w:r w:rsidR="0040114F" w:rsidRPr="00D060C6">
        <w:rPr>
          <w:rFonts w:ascii="Times New Roman" w:hAnsi="Times New Roman"/>
          <w:sz w:val="22"/>
          <w:szCs w:val="22"/>
        </w:rPr>
        <w:t>–</w:t>
      </w:r>
      <w:r w:rsidR="00D22151" w:rsidRPr="00D060C6">
        <w:rPr>
          <w:rFonts w:ascii="Times New Roman" w:hAnsi="Times New Roman"/>
          <w:sz w:val="22"/>
          <w:szCs w:val="22"/>
        </w:rPr>
        <w:t xml:space="preserve"> </w:t>
      </w:r>
      <w:r w:rsidR="0040114F" w:rsidRPr="00D060C6">
        <w:rPr>
          <w:rFonts w:ascii="Times New Roman" w:hAnsi="Times New Roman"/>
          <w:sz w:val="22"/>
          <w:szCs w:val="22"/>
        </w:rPr>
        <w:t>the initial funding required to support the system.</w:t>
      </w:r>
    </w:p>
    <w:p w14:paraId="1B97B17D" w14:textId="2113E070" w:rsidR="00AF3B21" w:rsidRPr="00D060C6" w:rsidRDefault="00CC7DC2"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 xml:space="preserve">Changing </w:t>
      </w:r>
      <w:r w:rsidR="00AF3B21" w:rsidRPr="00D060C6">
        <w:rPr>
          <w:rFonts w:ascii="Times New Roman" w:hAnsi="Times New Roman"/>
          <w:b/>
          <w:bCs/>
          <w:sz w:val="22"/>
          <w:szCs w:val="22"/>
        </w:rPr>
        <w:t>the Total Annual Funding Level</w:t>
      </w:r>
      <w:r w:rsidR="0040114F" w:rsidRPr="00D060C6">
        <w:rPr>
          <w:rFonts w:ascii="Times New Roman" w:hAnsi="Times New Roman"/>
          <w:sz w:val="22"/>
          <w:szCs w:val="22"/>
        </w:rPr>
        <w:t xml:space="preserve"> –</w:t>
      </w:r>
      <w:r w:rsidR="00D22151" w:rsidRPr="00D060C6">
        <w:rPr>
          <w:rFonts w:ascii="Times New Roman" w:hAnsi="Times New Roman"/>
          <w:sz w:val="22"/>
          <w:szCs w:val="22"/>
        </w:rPr>
        <w:t xml:space="preserve"> </w:t>
      </w:r>
      <w:r w:rsidR="0040114F" w:rsidRPr="00D060C6">
        <w:rPr>
          <w:rFonts w:ascii="Times New Roman" w:hAnsi="Times New Roman"/>
          <w:sz w:val="22"/>
          <w:szCs w:val="22"/>
        </w:rPr>
        <w:t>the process for reviewing the funding level including CPM approval.</w:t>
      </w:r>
    </w:p>
    <w:p w14:paraId="44EA4C79" w14:textId="3C42F41F" w:rsidR="00AF3B21" w:rsidRPr="00D060C6" w:rsidRDefault="00AF3B21"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 xml:space="preserve">Determining the Contracting Party </w:t>
      </w:r>
      <w:r w:rsidR="00B32F96" w:rsidRPr="00D060C6">
        <w:rPr>
          <w:rFonts w:ascii="Times New Roman" w:hAnsi="Times New Roman"/>
          <w:b/>
          <w:bCs/>
          <w:sz w:val="22"/>
          <w:szCs w:val="22"/>
        </w:rPr>
        <w:t xml:space="preserve">Expected Contribution </w:t>
      </w:r>
      <w:r w:rsidR="0040114F" w:rsidRPr="00D060C6">
        <w:rPr>
          <w:rFonts w:ascii="Times New Roman" w:hAnsi="Times New Roman"/>
          <w:sz w:val="22"/>
          <w:szCs w:val="22"/>
        </w:rPr>
        <w:t>–</w:t>
      </w:r>
      <w:r w:rsidR="00D22151" w:rsidRPr="00D060C6">
        <w:rPr>
          <w:rFonts w:ascii="Times New Roman" w:hAnsi="Times New Roman"/>
          <w:sz w:val="22"/>
          <w:szCs w:val="22"/>
        </w:rPr>
        <w:t xml:space="preserve"> the model for how </w:t>
      </w:r>
      <w:r w:rsidR="00BD4C38" w:rsidRPr="00D060C6">
        <w:rPr>
          <w:rFonts w:ascii="Times New Roman" w:hAnsi="Times New Roman"/>
          <w:sz w:val="22"/>
          <w:szCs w:val="22"/>
        </w:rPr>
        <w:t>expected contributions are determined</w:t>
      </w:r>
      <w:r w:rsidR="00D22151" w:rsidRPr="00D060C6">
        <w:rPr>
          <w:rFonts w:ascii="Times New Roman" w:hAnsi="Times New Roman"/>
          <w:sz w:val="22"/>
          <w:szCs w:val="22"/>
        </w:rPr>
        <w:t xml:space="preserve"> e.g.</w:t>
      </w:r>
      <w:r w:rsidR="000E2959" w:rsidRPr="00D060C6">
        <w:rPr>
          <w:rFonts w:ascii="Times New Roman" w:hAnsi="Times New Roman"/>
          <w:sz w:val="22"/>
          <w:szCs w:val="22"/>
        </w:rPr>
        <w:t>,</w:t>
      </w:r>
      <w:r w:rsidR="00D22151" w:rsidRPr="00D060C6">
        <w:rPr>
          <w:rFonts w:ascii="Times New Roman" w:hAnsi="Times New Roman"/>
          <w:sz w:val="22"/>
          <w:szCs w:val="22"/>
        </w:rPr>
        <w:t xml:space="preserve"> base fee and usage fee.</w:t>
      </w:r>
    </w:p>
    <w:p w14:paraId="69E8BF51" w14:textId="55EB6973" w:rsidR="00AF3B21" w:rsidRPr="00D060C6" w:rsidRDefault="00CC7DC2"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Chang</w:t>
      </w:r>
      <w:r w:rsidR="00E76DFC" w:rsidRPr="00D060C6">
        <w:rPr>
          <w:rFonts w:ascii="Times New Roman" w:hAnsi="Times New Roman"/>
          <w:b/>
          <w:bCs/>
          <w:sz w:val="22"/>
          <w:szCs w:val="22"/>
        </w:rPr>
        <w:t>ing</w:t>
      </w:r>
      <w:r w:rsidRPr="00D060C6">
        <w:rPr>
          <w:rFonts w:ascii="Times New Roman" w:hAnsi="Times New Roman"/>
          <w:b/>
          <w:bCs/>
          <w:sz w:val="22"/>
          <w:szCs w:val="22"/>
        </w:rPr>
        <w:t xml:space="preserve"> </w:t>
      </w:r>
      <w:r w:rsidR="00AF3B21" w:rsidRPr="00D060C6">
        <w:rPr>
          <w:rFonts w:ascii="Times New Roman" w:hAnsi="Times New Roman"/>
          <w:b/>
          <w:bCs/>
          <w:sz w:val="22"/>
          <w:szCs w:val="22"/>
        </w:rPr>
        <w:t xml:space="preserve">the </w:t>
      </w:r>
      <w:r w:rsidR="00B32F96" w:rsidRPr="00D060C6">
        <w:rPr>
          <w:rFonts w:ascii="Times New Roman" w:hAnsi="Times New Roman"/>
          <w:b/>
          <w:bCs/>
          <w:sz w:val="22"/>
          <w:szCs w:val="22"/>
        </w:rPr>
        <w:t>Funding</w:t>
      </w:r>
      <w:r w:rsidR="00AF3B21" w:rsidRPr="00D060C6">
        <w:rPr>
          <w:rFonts w:ascii="Times New Roman" w:hAnsi="Times New Roman"/>
          <w:b/>
          <w:bCs/>
          <w:sz w:val="22"/>
          <w:szCs w:val="22"/>
        </w:rPr>
        <w:t xml:space="preserve"> Model</w:t>
      </w:r>
      <w:r w:rsidR="00D22151" w:rsidRPr="00D060C6">
        <w:rPr>
          <w:rFonts w:ascii="Times New Roman" w:hAnsi="Times New Roman"/>
          <w:sz w:val="22"/>
          <w:szCs w:val="22"/>
        </w:rPr>
        <w:t xml:space="preserve"> – the procedure for altering the funding model including CPM approval.</w:t>
      </w:r>
    </w:p>
    <w:p w14:paraId="30AC808F" w14:textId="519FB3D6" w:rsidR="00AF3B21" w:rsidRPr="00D060C6" w:rsidRDefault="00AF3B21"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Payment Method</w:t>
      </w:r>
      <w:r w:rsidR="00D22151" w:rsidRPr="00D060C6">
        <w:rPr>
          <w:rFonts w:ascii="Times New Roman" w:hAnsi="Times New Roman"/>
          <w:sz w:val="22"/>
          <w:szCs w:val="22"/>
        </w:rPr>
        <w:t xml:space="preserve"> – how contracting parties are notified of their expected contribution by letter or by invoice if requested.</w:t>
      </w:r>
    </w:p>
    <w:p w14:paraId="457AA3FF" w14:textId="088C0F1B" w:rsidR="00AF3B21" w:rsidRPr="00D060C6" w:rsidRDefault="00AF3B21"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Reporting and Transparency</w:t>
      </w:r>
      <w:r w:rsidR="00D22151" w:rsidRPr="00D060C6">
        <w:rPr>
          <w:rFonts w:ascii="Times New Roman" w:hAnsi="Times New Roman"/>
          <w:sz w:val="22"/>
          <w:szCs w:val="22"/>
        </w:rPr>
        <w:t xml:space="preserve"> – annual financial reporting from the IPPC Secretariat to the CPM</w:t>
      </w:r>
      <w:r w:rsidR="00775F39" w:rsidRPr="00D060C6">
        <w:rPr>
          <w:rFonts w:ascii="Times New Roman" w:hAnsi="Times New Roman"/>
          <w:sz w:val="22"/>
          <w:szCs w:val="22"/>
        </w:rPr>
        <w:t>.</w:t>
      </w:r>
    </w:p>
    <w:p w14:paraId="3B231F1E" w14:textId="01B1D5EF" w:rsidR="00AF3B21" w:rsidRPr="00D060C6" w:rsidRDefault="00AF3B21" w:rsidP="00AF3B21">
      <w:pPr>
        <w:pStyle w:val="ListParagraph"/>
        <w:numPr>
          <w:ilvl w:val="0"/>
          <w:numId w:val="4"/>
        </w:numPr>
        <w:ind w:left="1240"/>
        <w:rPr>
          <w:rFonts w:ascii="Times New Roman" w:hAnsi="Times New Roman"/>
          <w:sz w:val="22"/>
          <w:szCs w:val="22"/>
        </w:rPr>
      </w:pPr>
      <w:r w:rsidRPr="00D060C6">
        <w:rPr>
          <w:rFonts w:ascii="Times New Roman" w:hAnsi="Times New Roman"/>
          <w:b/>
          <w:bCs/>
          <w:sz w:val="22"/>
          <w:szCs w:val="22"/>
        </w:rPr>
        <w:t>Voluntary Contributions to the Multi-Donor Trust Fund</w:t>
      </w:r>
      <w:r w:rsidR="00D22151" w:rsidRPr="00D060C6">
        <w:rPr>
          <w:rFonts w:ascii="Times New Roman" w:hAnsi="Times New Roman"/>
          <w:sz w:val="22"/>
          <w:szCs w:val="22"/>
        </w:rPr>
        <w:t xml:space="preserve"> </w:t>
      </w:r>
      <w:r w:rsidR="00775F39" w:rsidRPr="00D060C6">
        <w:rPr>
          <w:rFonts w:ascii="Times New Roman" w:hAnsi="Times New Roman"/>
          <w:sz w:val="22"/>
          <w:szCs w:val="22"/>
        </w:rPr>
        <w:t>–</w:t>
      </w:r>
      <w:r w:rsidR="00D22151" w:rsidRPr="00D060C6">
        <w:rPr>
          <w:rFonts w:ascii="Times New Roman" w:hAnsi="Times New Roman"/>
          <w:sz w:val="22"/>
          <w:szCs w:val="22"/>
        </w:rPr>
        <w:t xml:space="preserve"> </w:t>
      </w:r>
      <w:r w:rsidR="00775F39" w:rsidRPr="00D060C6">
        <w:rPr>
          <w:rFonts w:ascii="Times New Roman" w:hAnsi="Times New Roman"/>
          <w:sz w:val="22"/>
          <w:szCs w:val="22"/>
        </w:rPr>
        <w:t>donor contributions may go into reserves or be used to reduce contraction party expected contributions.</w:t>
      </w:r>
    </w:p>
    <w:p w14:paraId="0A79B98A" w14:textId="254B93D5" w:rsidR="00AF3B21" w:rsidRPr="00D060C6" w:rsidRDefault="00AF3B21" w:rsidP="00D060C6">
      <w:pPr>
        <w:pStyle w:val="ListParagraph"/>
        <w:numPr>
          <w:ilvl w:val="0"/>
          <w:numId w:val="4"/>
        </w:numPr>
        <w:spacing w:after="180"/>
        <w:ind w:left="1240"/>
        <w:rPr>
          <w:rFonts w:ascii="Times New Roman" w:hAnsi="Times New Roman"/>
          <w:sz w:val="22"/>
          <w:szCs w:val="22"/>
        </w:rPr>
      </w:pPr>
      <w:r w:rsidRPr="00D060C6">
        <w:rPr>
          <w:rFonts w:ascii="Times New Roman" w:hAnsi="Times New Roman"/>
          <w:b/>
          <w:bCs/>
          <w:sz w:val="22"/>
          <w:szCs w:val="22"/>
        </w:rPr>
        <w:t>Review</w:t>
      </w:r>
      <w:r w:rsidR="00775F39" w:rsidRPr="00D060C6">
        <w:rPr>
          <w:rFonts w:ascii="Times New Roman" w:hAnsi="Times New Roman"/>
          <w:sz w:val="22"/>
          <w:szCs w:val="22"/>
        </w:rPr>
        <w:t xml:space="preserve"> – describing frequency of review of the procedures and the </w:t>
      </w:r>
      <w:r w:rsidR="00A5095C" w:rsidRPr="00D060C6">
        <w:rPr>
          <w:rFonts w:ascii="Times New Roman" w:hAnsi="Times New Roman"/>
          <w:sz w:val="22"/>
          <w:szCs w:val="22"/>
        </w:rPr>
        <w:t>funding</w:t>
      </w:r>
      <w:r w:rsidR="00775F39" w:rsidRPr="00D060C6">
        <w:rPr>
          <w:rFonts w:ascii="Times New Roman" w:hAnsi="Times New Roman"/>
          <w:sz w:val="22"/>
          <w:szCs w:val="22"/>
        </w:rPr>
        <w:t xml:space="preserve"> model.</w:t>
      </w:r>
    </w:p>
    <w:p w14:paraId="7A6CBC45" w14:textId="57E6842F" w:rsidR="00775F39" w:rsidRDefault="00775F39" w:rsidP="00D060C6">
      <w:pPr>
        <w:pStyle w:val="IPPParagraphnumbering"/>
      </w:pPr>
      <w:r>
        <w:t xml:space="preserve">The draft procedures are included in Appendix </w:t>
      </w:r>
      <w:r w:rsidR="002D08EE">
        <w:t>7</w:t>
      </w:r>
      <w:r>
        <w:t>.</w:t>
      </w:r>
      <w:r w:rsidR="00525A0C">
        <w:t xml:space="preserve">  Feedback from SPG on the procedures would be helpful.</w:t>
      </w:r>
    </w:p>
    <w:p w14:paraId="2F2C4DA5" w14:textId="49F3BF75" w:rsidR="006919EA" w:rsidRPr="009D6C54" w:rsidRDefault="009D6C54" w:rsidP="00D060C6">
      <w:pPr>
        <w:pStyle w:val="IPPHeading1"/>
      </w:pPr>
      <w:r>
        <w:t xml:space="preserve">F. </w:t>
      </w:r>
      <w:r w:rsidR="006919EA" w:rsidRPr="009D6C54">
        <w:t xml:space="preserve">Other concerns raised at CPM 17 (2023) </w:t>
      </w:r>
    </w:p>
    <w:p w14:paraId="5B38CBB0" w14:textId="24EDA22E" w:rsidR="00A0763D" w:rsidRDefault="00A0763D" w:rsidP="00F54511">
      <w:pPr>
        <w:pStyle w:val="IPPHeading2"/>
      </w:pPr>
      <w:r>
        <w:t>FAO Funding</w:t>
      </w:r>
    </w:p>
    <w:p w14:paraId="4B737BA1" w14:textId="327B5F08" w:rsidR="00A50502" w:rsidRPr="00A50502" w:rsidRDefault="00BD4C38" w:rsidP="00F54511">
      <w:pPr>
        <w:pStyle w:val="IPPParagraphnumbering"/>
      </w:pPr>
      <w:r>
        <w:t>Several</w:t>
      </w:r>
      <w:r w:rsidR="00A50502" w:rsidRPr="00A50502">
        <w:t xml:space="preserve"> contracting parties wanted the FAO</w:t>
      </w:r>
      <w:r w:rsidR="00A50502">
        <w:t xml:space="preserve"> to provide </w:t>
      </w:r>
      <w:r w:rsidR="00D9208A">
        <w:t xml:space="preserve">additional </w:t>
      </w:r>
      <w:r w:rsidR="00A50502">
        <w:t xml:space="preserve">regular </w:t>
      </w:r>
      <w:proofErr w:type="spellStart"/>
      <w:r w:rsidR="00A50502">
        <w:t>programme</w:t>
      </w:r>
      <w:proofErr w:type="spellEnd"/>
      <w:r w:rsidR="00A50502">
        <w:t xml:space="preserve"> funding </w:t>
      </w:r>
      <w:r w:rsidR="00D9208A">
        <w:t>to operate and implement the</w:t>
      </w:r>
      <w:r w:rsidR="00A50502">
        <w:t xml:space="preserve"> </w:t>
      </w:r>
      <w:r w:rsidR="0080235A">
        <w:t>ePhyto Solution</w:t>
      </w:r>
      <w:r w:rsidR="00A50502">
        <w:t xml:space="preserve">.  This would </w:t>
      </w:r>
      <w:proofErr w:type="spellStart"/>
      <w:r w:rsidR="00A50502">
        <w:t>recognise</w:t>
      </w:r>
      <w:proofErr w:type="spellEnd"/>
      <w:r w:rsidR="00A50502">
        <w:t xml:space="preserve"> the substantial contribution the </w:t>
      </w:r>
      <w:proofErr w:type="spellStart"/>
      <w:r w:rsidR="00A50502">
        <w:t>ephyto</w:t>
      </w:r>
      <w:proofErr w:type="spellEnd"/>
      <w:r w:rsidR="00A50502">
        <w:t xml:space="preserve"> system makes to advance the goals of the FAO</w:t>
      </w:r>
      <w:r w:rsidR="00130B72">
        <w:t xml:space="preserve">.  </w:t>
      </w:r>
      <w:r w:rsidR="004A1F4D">
        <w:t xml:space="preserve">Since CPM 17, </w:t>
      </w:r>
      <w:r w:rsidR="004A1F4D" w:rsidRPr="004A1F4D">
        <w:t xml:space="preserve">IPPC Secretariat </w:t>
      </w:r>
      <w:r w:rsidR="004A1F4D">
        <w:t xml:space="preserve">has </w:t>
      </w:r>
      <w:r w:rsidR="004A1F4D" w:rsidRPr="004A1F4D">
        <w:t xml:space="preserve">discussed with FAO senior officers the request that FAO provides the long-term funding necessary to operate the IPPC e-Phyto system.  Senior leaders at FAO recognize the e-Phyto system as an innovative and efficient system in support of the global trade of agricultural products. The FAO has noted the request and plans to take it under consideration for the next budget cycle in 2026. </w:t>
      </w:r>
      <w:r w:rsidR="004A1F4D">
        <w:t xml:space="preserve">The focus group notes the FAO is </w:t>
      </w:r>
      <w:r w:rsidR="00130B72">
        <w:t xml:space="preserve">under severe budgetary pressures so </w:t>
      </w:r>
      <w:r w:rsidR="004A1F4D">
        <w:t xml:space="preserve">may not be able to include </w:t>
      </w:r>
      <w:proofErr w:type="spellStart"/>
      <w:r w:rsidR="004A1F4D">
        <w:t>ephyto</w:t>
      </w:r>
      <w:proofErr w:type="spellEnd"/>
      <w:r w:rsidR="004A1F4D">
        <w:t xml:space="preserve"> funding in the budget </w:t>
      </w:r>
      <w:r w:rsidR="00130B72">
        <w:t xml:space="preserve">unless FAO member countries make strong </w:t>
      </w:r>
      <w:r w:rsidR="004A1F4D">
        <w:t xml:space="preserve">interventions </w:t>
      </w:r>
      <w:r w:rsidR="00130B72">
        <w:t xml:space="preserve">during </w:t>
      </w:r>
      <w:r w:rsidR="004A1F4D">
        <w:t>FAO forums where budgets are discussed</w:t>
      </w:r>
      <w:r w:rsidR="00130B72">
        <w:t>.  AT CPM 17</w:t>
      </w:r>
      <w:r w:rsidR="00A923AA">
        <w:t xml:space="preserve"> (2023)</w:t>
      </w:r>
      <w:r w:rsidR="00130B72">
        <w:t xml:space="preserve"> </w:t>
      </w:r>
      <w:r w:rsidR="00FB39E2">
        <w:t xml:space="preserve">and at the recent IPPC Regional Workshops </w:t>
      </w:r>
      <w:r w:rsidR="00130B72">
        <w:t xml:space="preserve">contracting parties were </w:t>
      </w:r>
      <w:r w:rsidR="00FB39E2">
        <w:t>encouraged to engage with their permanent representatives to the FAO</w:t>
      </w:r>
      <w:r w:rsidR="00130B72">
        <w:t>.</w:t>
      </w:r>
    </w:p>
    <w:p w14:paraId="3754AADF" w14:textId="68FD5F2A" w:rsidR="005C1F9A" w:rsidRPr="0025645A" w:rsidRDefault="0025645A" w:rsidP="00F54511">
      <w:pPr>
        <w:pStyle w:val="IPPHeading2"/>
      </w:pPr>
      <w:r>
        <w:t>G</w:t>
      </w:r>
      <w:r w:rsidR="005C1F9A" w:rsidRPr="0025645A">
        <w:t>overnance</w:t>
      </w:r>
    </w:p>
    <w:p w14:paraId="47D1E8A7" w14:textId="6CF0E671" w:rsidR="00DB53A6" w:rsidRDefault="005C1F9A" w:rsidP="00F54511">
      <w:pPr>
        <w:pStyle w:val="IPPParagraphnumbering"/>
      </w:pPr>
      <w:r>
        <w:t xml:space="preserve">Some contracting parties called for </w:t>
      </w:r>
      <w:r w:rsidR="005F0E85">
        <w:t xml:space="preserve">the creation of </w:t>
      </w:r>
      <w:r>
        <w:t xml:space="preserve">a governance structure to </w:t>
      </w:r>
      <w:r w:rsidR="0025645A">
        <w:t xml:space="preserve">oversee the funding model and to provide strategic direction for the future of the </w:t>
      </w:r>
      <w:r w:rsidR="0080235A">
        <w:t>ePhyto Solution</w:t>
      </w:r>
      <w:r w:rsidR="0025645A">
        <w:t xml:space="preserve">. </w:t>
      </w:r>
      <w:r w:rsidR="00737278" w:rsidRPr="00737278">
        <w:t xml:space="preserve">This idea is </w:t>
      </w:r>
      <w:r w:rsidR="00737278">
        <w:t>out of scope for the focus group</w:t>
      </w:r>
      <w:r w:rsidR="00737278" w:rsidRPr="00737278">
        <w:t xml:space="preserve"> but could be address</w:t>
      </w:r>
      <w:r w:rsidR="00737278">
        <w:t>ed</w:t>
      </w:r>
      <w:r w:rsidR="00737278" w:rsidRPr="00737278">
        <w:t xml:space="preserve"> either prior to or soon after the funding model is implemented.</w:t>
      </w:r>
    </w:p>
    <w:p w14:paraId="35A8BD54" w14:textId="40C30091" w:rsidR="005C1F9A" w:rsidRPr="005C1F9A" w:rsidRDefault="00C42712" w:rsidP="00BC42BB">
      <w:pPr>
        <w:pStyle w:val="IPPHeading2"/>
      </w:pPr>
      <w:r>
        <w:t>Low/</w:t>
      </w:r>
      <w:r w:rsidR="005C1F9A" w:rsidRPr="005C1F9A">
        <w:t>LDC</w:t>
      </w:r>
      <w:r>
        <w:t xml:space="preserve"> status countries and </w:t>
      </w:r>
      <w:r w:rsidR="005C1F9A" w:rsidRPr="005C1F9A">
        <w:t xml:space="preserve">countries not using </w:t>
      </w:r>
      <w:proofErr w:type="spellStart"/>
      <w:proofErr w:type="gramStart"/>
      <w:r w:rsidR="0080235A">
        <w:t>ephyto</w:t>
      </w:r>
      <w:proofErr w:type="spellEnd"/>
      <w:proofErr w:type="gramEnd"/>
    </w:p>
    <w:p w14:paraId="21DB45DA" w14:textId="60D96120" w:rsidR="005C1F9A" w:rsidRDefault="005C1F9A" w:rsidP="00BC42BB">
      <w:pPr>
        <w:pStyle w:val="IPPParagraphnumbering"/>
      </w:pPr>
      <w:r>
        <w:t xml:space="preserve">Some contracting parties were concerned about </w:t>
      </w:r>
      <w:r w:rsidR="00737278">
        <w:t>a</w:t>
      </w:r>
      <w:r>
        <w:t xml:space="preserve"> funding model because they cannot afford to pay or are still in the very early stages of considering </w:t>
      </w:r>
      <w:proofErr w:type="spellStart"/>
      <w:r w:rsidR="0080235A">
        <w:t>ephyto</w:t>
      </w:r>
      <w:proofErr w:type="spellEnd"/>
      <w:r>
        <w:t xml:space="preserve"> for their countries.  The </w:t>
      </w:r>
      <w:r w:rsidR="005F0E85">
        <w:t xml:space="preserve">funding </w:t>
      </w:r>
      <w:r>
        <w:t xml:space="preserve">model is only applicable to countries using the </w:t>
      </w:r>
      <w:r w:rsidR="0080235A">
        <w:t>ePhyto Solution</w:t>
      </w:r>
      <w:r w:rsidR="006B487E">
        <w:t xml:space="preserve"> and</w:t>
      </w:r>
      <w:r>
        <w:t xml:space="preserve"> does not expect </w:t>
      </w:r>
      <w:r w:rsidR="006B487E">
        <w:t>low/</w:t>
      </w:r>
      <w:r>
        <w:t>LDC</w:t>
      </w:r>
      <w:r w:rsidR="006B487E">
        <w:t xml:space="preserve"> status countries</w:t>
      </w:r>
      <w:r>
        <w:t xml:space="preserve"> to </w:t>
      </w:r>
      <w:r w:rsidR="005F0E85">
        <w:t xml:space="preserve">contribute </w:t>
      </w:r>
      <w:r>
        <w:t>a base fee.</w:t>
      </w:r>
      <w:r w:rsidR="00737278">
        <w:t xml:space="preserve">  It is important to note that all funding and support has come from donor bodies or voluntary contributions from willing </w:t>
      </w:r>
      <w:r w:rsidR="000E2959">
        <w:t>countries,</w:t>
      </w:r>
      <w:r w:rsidR="00737278">
        <w:t xml:space="preserve"> but this is not a sustainable way to fund critical infrastructure for trade.</w:t>
      </w:r>
    </w:p>
    <w:p w14:paraId="69D444E4" w14:textId="42C05506" w:rsidR="00C42712" w:rsidRDefault="00C42712" w:rsidP="00BC42BB">
      <w:pPr>
        <w:pStyle w:val="IPPHeading2"/>
      </w:pPr>
      <w:r>
        <w:lastRenderedPageBreak/>
        <w:t xml:space="preserve">When contracting parties </w:t>
      </w:r>
      <w:r w:rsidR="00997EF9">
        <w:t>are</w:t>
      </w:r>
      <w:r>
        <w:t xml:space="preserve"> expected to start contributing</w:t>
      </w:r>
    </w:p>
    <w:p w14:paraId="48CDCF38" w14:textId="37B04A9A" w:rsidR="00C57F27" w:rsidRDefault="00C42712" w:rsidP="00CC1519">
      <w:pPr>
        <w:pStyle w:val="IPPParagraphnumberingclose"/>
      </w:pPr>
      <w:r w:rsidRPr="00C42712">
        <w:t xml:space="preserve">Contracting parties can start contributing </w:t>
      </w:r>
      <w:r>
        <w:t xml:space="preserve">immediately.  Some countries have been voluntarily contributing for several years already.  This is the only way the </w:t>
      </w:r>
      <w:r w:rsidR="0080235A">
        <w:t>ePhyto Solution</w:t>
      </w:r>
      <w:r>
        <w:t xml:space="preserve"> has been able to operate.</w:t>
      </w:r>
      <w:r w:rsidR="00BC42BB">
        <w:t xml:space="preserve"> </w:t>
      </w:r>
      <w:r>
        <w:t xml:space="preserve">Some countries will want to wait until the new funding model is approved.  </w:t>
      </w:r>
      <w:r w:rsidR="004A715E">
        <w:t xml:space="preserve">In that case, the first contribution would be made in 2025.  </w:t>
      </w:r>
      <w:r w:rsidR="00C57F27">
        <w:t>The following timeline would be followed:</w:t>
      </w:r>
    </w:p>
    <w:p w14:paraId="4F1A16E7" w14:textId="0BC24BCD" w:rsidR="00C57F27" w:rsidRDefault="00C57F27" w:rsidP="00BC42BB">
      <w:pPr>
        <w:pStyle w:val="IPPBullet1"/>
      </w:pPr>
      <w:r>
        <w:t>T</w:t>
      </w:r>
      <w:r w:rsidR="00C42712" w:rsidRPr="00C42712">
        <w:t xml:space="preserve">he </w:t>
      </w:r>
      <w:r>
        <w:t xml:space="preserve">funding </w:t>
      </w:r>
      <w:r w:rsidR="00C42712" w:rsidRPr="00C42712">
        <w:t xml:space="preserve">model </w:t>
      </w:r>
      <w:r>
        <w:t xml:space="preserve">needs to be approved at </w:t>
      </w:r>
      <w:r w:rsidR="00C42712" w:rsidRPr="00C42712">
        <w:t>CPM18 (20</w:t>
      </w:r>
      <w:r w:rsidR="004A715E">
        <w:t>2</w:t>
      </w:r>
      <w:r w:rsidR="00C42712" w:rsidRPr="00C42712">
        <w:t>4)</w:t>
      </w:r>
      <w:r>
        <w:t xml:space="preserve"> fo</w:t>
      </w:r>
      <w:r w:rsidR="004A715E">
        <w:t>r</w:t>
      </w:r>
      <w:r>
        <w:t xml:space="preserve"> the </w:t>
      </w:r>
      <w:r w:rsidR="0080235A">
        <w:t>ePhyto Solution</w:t>
      </w:r>
      <w:r>
        <w:t xml:space="preserve"> to continue to operate. </w:t>
      </w:r>
    </w:p>
    <w:p w14:paraId="7F955C8E" w14:textId="0C253EBC" w:rsidR="00C57F27" w:rsidRDefault="004A715E" w:rsidP="00BC42BB">
      <w:pPr>
        <w:pStyle w:val="IPPBullet1"/>
      </w:pPr>
      <w:r>
        <w:t>When</w:t>
      </w:r>
      <w:r w:rsidR="00C57F27">
        <w:t xml:space="preserve"> it is approved, </w:t>
      </w:r>
      <w:r w:rsidR="00C42712" w:rsidRPr="00C42712">
        <w:t>the Secretariat would use 20</w:t>
      </w:r>
      <w:r>
        <w:t>2</w:t>
      </w:r>
      <w:r w:rsidR="00C42712" w:rsidRPr="00C42712">
        <w:t xml:space="preserve">3 usage data to calculate the </w:t>
      </w:r>
      <w:r>
        <w:t xml:space="preserve">expected </w:t>
      </w:r>
      <w:r w:rsidR="00C42712" w:rsidRPr="00C42712">
        <w:t>contribution for each country.</w:t>
      </w:r>
      <w:r w:rsidR="00C57F27">
        <w:t xml:space="preserve"> The usage data would not include ‘test’ exchanges.</w:t>
      </w:r>
    </w:p>
    <w:p w14:paraId="1C37EE24" w14:textId="74C27823" w:rsidR="00E669AD" w:rsidRDefault="00C57F27" w:rsidP="00BC42BB">
      <w:pPr>
        <w:pStyle w:val="IPPBullet1"/>
      </w:pPr>
      <w:r>
        <w:t xml:space="preserve">The Secretariat </w:t>
      </w:r>
      <w:r w:rsidR="00C42712" w:rsidRPr="00C42712">
        <w:t>would inform country contact points before 1 July 20</w:t>
      </w:r>
      <w:r w:rsidR="004A715E">
        <w:t>2</w:t>
      </w:r>
      <w:r w:rsidR="00C42712" w:rsidRPr="00C42712">
        <w:t>4</w:t>
      </w:r>
      <w:r w:rsidR="00E669AD">
        <w:t xml:space="preserve"> of their expected contribution for the 2025 year.  T</w:t>
      </w:r>
      <w:r w:rsidR="00C42712" w:rsidRPr="00C42712">
        <w:t xml:space="preserve">his gives countries time </w:t>
      </w:r>
      <w:r w:rsidR="00E669AD">
        <w:t xml:space="preserve">include the contribution in </w:t>
      </w:r>
      <w:r w:rsidR="00C42712" w:rsidRPr="00C42712">
        <w:t>budget</w:t>
      </w:r>
      <w:r w:rsidR="00E669AD">
        <w:t>ing</w:t>
      </w:r>
      <w:r w:rsidR="00C42712" w:rsidRPr="00C42712">
        <w:t xml:space="preserve"> </w:t>
      </w:r>
      <w:r w:rsidR="00E669AD">
        <w:t>process</w:t>
      </w:r>
      <w:r w:rsidR="004A715E">
        <w:t xml:space="preserve"> for 2025</w:t>
      </w:r>
      <w:r w:rsidR="00C42712" w:rsidRPr="00C42712">
        <w:t xml:space="preserve">). </w:t>
      </w:r>
    </w:p>
    <w:p w14:paraId="01B73C57" w14:textId="3B9C626F" w:rsidR="00E669AD" w:rsidRDefault="00C42712" w:rsidP="00BC42BB">
      <w:pPr>
        <w:pStyle w:val="IPPBullet1"/>
      </w:pPr>
      <w:r w:rsidRPr="00C42712">
        <w:t xml:space="preserve">The </w:t>
      </w:r>
      <w:r w:rsidR="00E669AD">
        <w:t xml:space="preserve">first </w:t>
      </w:r>
      <w:r w:rsidRPr="00C42712">
        <w:t xml:space="preserve">contributions </w:t>
      </w:r>
      <w:r w:rsidR="00E669AD">
        <w:t xml:space="preserve">using the new funding model </w:t>
      </w:r>
      <w:r w:rsidRPr="00C42712">
        <w:t>would be made in 20</w:t>
      </w:r>
      <w:r w:rsidR="004A715E">
        <w:t>2</w:t>
      </w:r>
      <w:r w:rsidRPr="00C42712">
        <w:t>5</w:t>
      </w:r>
      <w:r w:rsidR="00E669AD">
        <w:t>.</w:t>
      </w:r>
    </w:p>
    <w:p w14:paraId="52E35613" w14:textId="3A5DB082" w:rsidR="00E669AD" w:rsidRDefault="00E669AD" w:rsidP="00BC42BB">
      <w:pPr>
        <w:pStyle w:val="IPPBullet1"/>
      </w:pPr>
      <w:r>
        <w:t>Country contributions would only be reviewed every two years.  Th</w:t>
      </w:r>
      <w:r w:rsidR="004A715E">
        <w:t>is</w:t>
      </w:r>
      <w:r>
        <w:t xml:space="preserve"> provides countries more certainty and predictability for budgeting.</w:t>
      </w:r>
    </w:p>
    <w:p w14:paraId="5D7460D9" w14:textId="3322ED47" w:rsidR="00E669AD" w:rsidRDefault="00E669AD" w:rsidP="00BC42BB">
      <w:pPr>
        <w:pStyle w:val="IPPBullet1"/>
      </w:pPr>
      <w:r>
        <w:t>In 20</w:t>
      </w:r>
      <w:r w:rsidR="00997EF9">
        <w:t>2</w:t>
      </w:r>
      <w:r>
        <w:t>6</w:t>
      </w:r>
      <w:r w:rsidR="00C42712" w:rsidRPr="00C42712">
        <w:t xml:space="preserve"> the Secretariat would calculate the </w:t>
      </w:r>
      <w:r w:rsidR="00997EF9">
        <w:t>expected contribution for 2027</w:t>
      </w:r>
      <w:r w:rsidR="00C42712" w:rsidRPr="00C42712">
        <w:t xml:space="preserve"> using the </w:t>
      </w:r>
      <w:r>
        <w:t xml:space="preserve">unchanged </w:t>
      </w:r>
      <w:r w:rsidR="00C42712" w:rsidRPr="00C42712">
        <w:t>model</w:t>
      </w:r>
      <w:r>
        <w:t xml:space="preserve"> but with usage data from 2025.</w:t>
      </w:r>
    </w:p>
    <w:p w14:paraId="63D9A9F2" w14:textId="678A92A1" w:rsidR="00C42712" w:rsidRDefault="00E669AD" w:rsidP="00BC42BB">
      <w:pPr>
        <w:pStyle w:val="IPPBullet1Last"/>
      </w:pPr>
      <w:r>
        <w:t xml:space="preserve">The Secretariat </w:t>
      </w:r>
      <w:r w:rsidR="00C42712" w:rsidRPr="00C42712">
        <w:t xml:space="preserve">would </w:t>
      </w:r>
      <w:r w:rsidR="004A715E">
        <w:t>inform country contact points of the new expected contribution by</w:t>
      </w:r>
      <w:r w:rsidR="00C42712" w:rsidRPr="00C42712">
        <w:t xml:space="preserve"> 1 July 20</w:t>
      </w:r>
      <w:r w:rsidR="00997EF9">
        <w:t>2</w:t>
      </w:r>
      <w:r w:rsidR="00C42712" w:rsidRPr="00C42712">
        <w:t xml:space="preserve">6 and </w:t>
      </w:r>
      <w:r w:rsidR="004A715E">
        <w:t xml:space="preserve">countries </w:t>
      </w:r>
      <w:r w:rsidR="00C42712" w:rsidRPr="00C42712">
        <w:t xml:space="preserve">would make the </w:t>
      </w:r>
      <w:r w:rsidR="004A715E">
        <w:t>new expected contribution in 20</w:t>
      </w:r>
      <w:r w:rsidR="00997EF9">
        <w:t>2</w:t>
      </w:r>
      <w:r w:rsidR="004A715E">
        <w:t>7</w:t>
      </w:r>
      <w:r w:rsidR="00C42712" w:rsidRPr="00C42712">
        <w:t>.</w:t>
      </w:r>
    </w:p>
    <w:p w14:paraId="2ECB15D0" w14:textId="5A9E106C" w:rsidR="0025645A" w:rsidRPr="0025645A" w:rsidRDefault="0025645A" w:rsidP="00BC42BB">
      <w:pPr>
        <w:pStyle w:val="IPPHeading2"/>
      </w:pPr>
      <w:r>
        <w:t xml:space="preserve">Contracting </w:t>
      </w:r>
      <w:r w:rsidR="00C42712">
        <w:t>p</w:t>
      </w:r>
      <w:r>
        <w:t xml:space="preserve">arties that do not contribute </w:t>
      </w:r>
      <w:proofErr w:type="gramStart"/>
      <w:r>
        <w:t>funding</w:t>
      </w:r>
      <w:proofErr w:type="gramEnd"/>
    </w:p>
    <w:p w14:paraId="4AC5858F" w14:textId="0DB0DEDC" w:rsidR="00B842A2" w:rsidRDefault="0025645A" w:rsidP="00BC42BB">
      <w:pPr>
        <w:pStyle w:val="IPPParagraphnumbering"/>
      </w:pPr>
      <w:r>
        <w:t>S</w:t>
      </w:r>
      <w:r w:rsidR="00737278">
        <w:t>ome</w:t>
      </w:r>
      <w:r>
        <w:t xml:space="preserve"> contracting parties were concerned that the </w:t>
      </w:r>
      <w:r w:rsidR="005F0E85">
        <w:t xml:space="preserve">funding </w:t>
      </w:r>
      <w:r>
        <w:t xml:space="preserve">model is not mandatory and that some contracting parties </w:t>
      </w:r>
      <w:r w:rsidR="000A2989">
        <w:t xml:space="preserve">using the </w:t>
      </w:r>
      <w:r w:rsidR="0080235A">
        <w:t>ePhyto Solution</w:t>
      </w:r>
      <w:r w:rsidR="000A2989">
        <w:t xml:space="preserve"> </w:t>
      </w:r>
      <w:r>
        <w:t xml:space="preserve">may choose to not </w:t>
      </w:r>
      <w:r w:rsidR="00496F44">
        <w:t>contribute</w:t>
      </w:r>
      <w:r>
        <w:t xml:space="preserve"> or some NPPO’s may have difficulty securing the budget to </w:t>
      </w:r>
      <w:r w:rsidR="00496F44">
        <w:t>contribute</w:t>
      </w:r>
      <w:r>
        <w:t xml:space="preserve"> if it is not mandatory.</w:t>
      </w:r>
      <w:r w:rsidR="00496F44">
        <w:t xml:space="preserve"> The Secretariat has been very clear that we cannot impose a new mandatory obligation on contracting parties.  At a minimum a supplementary agreement would have to be developed or the </w:t>
      </w:r>
      <w:r w:rsidR="000A2989">
        <w:t>C</w:t>
      </w:r>
      <w:r w:rsidR="00496F44">
        <w:t>onvention may need to be altered.</w:t>
      </w:r>
    </w:p>
    <w:p w14:paraId="0A33F284" w14:textId="12379479" w:rsidR="00A56E98" w:rsidRDefault="000A2989" w:rsidP="00BC42BB">
      <w:pPr>
        <w:pStyle w:val="IPPParagraphnumbering"/>
      </w:pPr>
      <w:r>
        <w:t>O</w:t>
      </w:r>
      <w:r w:rsidR="00496F44">
        <w:t xml:space="preserve">nce countries start using </w:t>
      </w:r>
      <w:proofErr w:type="spellStart"/>
      <w:r w:rsidR="00496F44">
        <w:t>ephyto</w:t>
      </w:r>
      <w:proofErr w:type="spellEnd"/>
      <w:r w:rsidR="00496F44">
        <w:t xml:space="preserve"> for a large proportion of their phytosanitary </w:t>
      </w:r>
      <w:r w:rsidR="00B4687B">
        <w:t xml:space="preserve">certification </w:t>
      </w:r>
      <w:r w:rsidR="00496F44">
        <w:t>the cost is minimal compared to the cost of a paper-based system.  For m</w:t>
      </w:r>
      <w:r>
        <w:t>any</w:t>
      </w:r>
      <w:r w:rsidR="00496F44">
        <w:t xml:space="preserve"> countries, the c</w:t>
      </w:r>
      <w:r>
        <w:t xml:space="preserve">ontribution to the </w:t>
      </w:r>
      <w:r w:rsidR="00496F44">
        <w:t>e</w:t>
      </w:r>
      <w:r>
        <w:t>P</w:t>
      </w:r>
      <w:r w:rsidR="00496F44">
        <w:t xml:space="preserve">hyto </w:t>
      </w:r>
      <w:r>
        <w:t xml:space="preserve">Solution could </w:t>
      </w:r>
      <w:r w:rsidR="00496F44">
        <w:t xml:space="preserve">be much less than the </w:t>
      </w:r>
      <w:r>
        <w:t xml:space="preserve">current </w:t>
      </w:r>
      <w:r w:rsidR="00B4687B">
        <w:t>paper phytosanitary certificate</w:t>
      </w:r>
      <w:r>
        <w:t xml:space="preserve"> system</w:t>
      </w:r>
      <w:r w:rsidR="00B4687B">
        <w:t>. In addition</w:t>
      </w:r>
      <w:r w:rsidR="00A0763D">
        <w:t>,</w:t>
      </w:r>
      <w:r w:rsidR="00B4687B">
        <w:t xml:space="preserve"> there are many operational efficiencies and a greater level of trust in the assurances the NPPO is receiving through the </w:t>
      </w:r>
      <w:r w:rsidR="002E5B1D">
        <w:t xml:space="preserve">ePhyto Solution </w:t>
      </w:r>
      <w:r w:rsidR="00B4687B">
        <w:t xml:space="preserve">Hub. </w:t>
      </w:r>
      <w:r w:rsidR="00A56E98">
        <w:t xml:space="preserve">The focus group hopes countries will </w:t>
      </w:r>
      <w:proofErr w:type="spellStart"/>
      <w:r w:rsidR="00A56E98">
        <w:t>recognise</w:t>
      </w:r>
      <w:proofErr w:type="spellEnd"/>
      <w:r w:rsidR="00A56E98">
        <w:t xml:space="preserve"> the value the ePhyto Solution provides and be willing to contribute their share.</w:t>
      </w:r>
    </w:p>
    <w:p w14:paraId="0F547854" w14:textId="4631D0D7" w:rsidR="00A56E98" w:rsidRDefault="00A56E98" w:rsidP="00CC1519">
      <w:pPr>
        <w:pStyle w:val="IPPParagraphnumbering"/>
      </w:pPr>
      <w:r>
        <w:t xml:space="preserve">Item ix of the </w:t>
      </w:r>
      <w:proofErr w:type="spellStart"/>
      <w:r w:rsidR="0080235A">
        <w:t>ephyto</w:t>
      </w:r>
      <w:proofErr w:type="spellEnd"/>
      <w:r>
        <w:t xml:space="preserve"> funding procedures requires that </w:t>
      </w:r>
      <w:r w:rsidRPr="00A56E98">
        <w:t>a detailed list of contracting party’s expected and actual contributions for the past current and next year</w:t>
      </w:r>
      <w:r>
        <w:t xml:space="preserve"> is presented to CPM each year.</w:t>
      </w:r>
      <w:r w:rsidR="001127CF">
        <w:t xml:space="preserve"> </w:t>
      </w:r>
      <w:r>
        <w:t>If contracting parti</w:t>
      </w:r>
      <w:r w:rsidR="00A0763D">
        <w:t>e</w:t>
      </w:r>
      <w:r>
        <w:t xml:space="preserve">s that should contribute do not, it will create a shortfall in funds which will mean less can </w:t>
      </w:r>
      <w:r w:rsidR="00A0763D">
        <w:t>be done to support development of the solution and less support to contracting parties as they start to use the system.</w:t>
      </w:r>
    </w:p>
    <w:p w14:paraId="61DDF6AA" w14:textId="03F19E89" w:rsidR="00496F44" w:rsidRPr="00A0763D" w:rsidRDefault="00496F44" w:rsidP="001127CF">
      <w:pPr>
        <w:pStyle w:val="IPPHeading2"/>
      </w:pPr>
      <w:r w:rsidRPr="00A0763D">
        <w:t xml:space="preserve">Contracting </w:t>
      </w:r>
      <w:r w:rsidR="000A2989">
        <w:t>p</w:t>
      </w:r>
      <w:r w:rsidRPr="00A0763D">
        <w:t>arty in-country arrangements.</w:t>
      </w:r>
    </w:p>
    <w:p w14:paraId="18C3ACA6" w14:textId="4FC199EC" w:rsidR="008302FA" w:rsidRDefault="00A0763D" w:rsidP="001127CF">
      <w:pPr>
        <w:pStyle w:val="IPPParagraphnumbering"/>
      </w:pPr>
      <w:r>
        <w:t xml:space="preserve">Some </w:t>
      </w:r>
      <w:r w:rsidR="002E5B1D">
        <w:t xml:space="preserve">contracting </w:t>
      </w:r>
      <w:r>
        <w:t xml:space="preserve">parties were concerned they had no way to raise the money to contribute to running the ePhyto Solution.  </w:t>
      </w:r>
      <w:r w:rsidR="00130B72">
        <w:t>Each c</w:t>
      </w:r>
      <w:r>
        <w:t>ontracting part</w:t>
      </w:r>
      <w:r w:rsidR="00130B72">
        <w:t xml:space="preserve">y </w:t>
      </w:r>
      <w:r>
        <w:t>ha</w:t>
      </w:r>
      <w:r w:rsidR="00130B72">
        <w:t>s</w:t>
      </w:r>
      <w:r>
        <w:t xml:space="preserve"> unique circumstances – some have administrative systems </w:t>
      </w:r>
      <w:r w:rsidR="002E5B1D">
        <w:t xml:space="preserve">that enable </w:t>
      </w:r>
      <w:r>
        <w:t xml:space="preserve">them to charge for the cost of </w:t>
      </w:r>
      <w:r w:rsidR="00A50502">
        <w:t xml:space="preserve">producing official assurances for exporters, some require regulations to be passed by the government, others may have to bid into the annual government budgeting process to secure the necessary funds. Each situation is </w:t>
      </w:r>
      <w:r w:rsidR="00130B72">
        <w:t>unique,</w:t>
      </w:r>
      <w:r w:rsidR="00A50502">
        <w:t xml:space="preserve"> and each country will need to work out for itself the best approach </w:t>
      </w:r>
      <w:r w:rsidR="002E5B1D">
        <w:t xml:space="preserve">to suit their domestic situation. </w:t>
      </w:r>
    </w:p>
    <w:p w14:paraId="41ABB4FF" w14:textId="705526B0" w:rsidR="009D6C54" w:rsidRPr="009D6C54" w:rsidRDefault="009D6C54" w:rsidP="001127CF">
      <w:pPr>
        <w:pStyle w:val="IPPHeading1"/>
      </w:pPr>
      <w:r>
        <w:t xml:space="preserve">G. </w:t>
      </w:r>
      <w:r w:rsidRPr="009D6C54">
        <w:t>Recommendations</w:t>
      </w:r>
    </w:p>
    <w:p w14:paraId="757E29E3" w14:textId="34B45589" w:rsidR="009D6C54" w:rsidRDefault="009D6C54" w:rsidP="001127CF">
      <w:pPr>
        <w:pStyle w:val="IPPParagraphnumberingclose"/>
      </w:pPr>
      <w:r>
        <w:t>The focus group requests SPG to:</w:t>
      </w:r>
    </w:p>
    <w:p w14:paraId="45A6F889" w14:textId="08E9656B" w:rsidR="009D6C54" w:rsidRDefault="009D6C54" w:rsidP="001127CF">
      <w:pPr>
        <w:pStyle w:val="IPPNumberedList"/>
        <w:numPr>
          <w:ilvl w:val="0"/>
          <w:numId w:val="42"/>
        </w:numPr>
      </w:pPr>
      <w:r w:rsidRPr="001127CF">
        <w:rPr>
          <w:i/>
          <w:iCs/>
        </w:rPr>
        <w:t xml:space="preserve">Provide </w:t>
      </w:r>
      <w:r>
        <w:t>feedback on the revised model:</w:t>
      </w:r>
    </w:p>
    <w:p w14:paraId="08864627" w14:textId="4F5205C0" w:rsidR="006A0AF2" w:rsidRDefault="006A0AF2" w:rsidP="001127CF">
      <w:pPr>
        <w:pStyle w:val="IPPLetterList"/>
        <w:numPr>
          <w:ilvl w:val="0"/>
          <w:numId w:val="41"/>
        </w:numPr>
      </w:pPr>
      <w:r>
        <w:lastRenderedPageBreak/>
        <w:t xml:space="preserve">Does SPG support the underlying principles that should drive the costs for users?  (i.e., base fee &amp; usage fee).  </w:t>
      </w:r>
    </w:p>
    <w:p w14:paraId="6744C78D" w14:textId="77777777" w:rsidR="006A0AF2" w:rsidRPr="001127CF" w:rsidRDefault="006A0AF2" w:rsidP="006A0AF2">
      <w:pPr>
        <w:pStyle w:val="ListParagraph"/>
        <w:numPr>
          <w:ilvl w:val="2"/>
          <w:numId w:val="3"/>
        </w:numPr>
        <w:ind w:left="1060"/>
        <w:rPr>
          <w:rFonts w:ascii="Times New Roman" w:hAnsi="Times New Roman"/>
          <w:sz w:val="22"/>
          <w:szCs w:val="28"/>
        </w:rPr>
      </w:pPr>
      <w:r w:rsidRPr="001127CF">
        <w:rPr>
          <w:rFonts w:ascii="Times New Roman" w:hAnsi="Times New Roman"/>
          <w:sz w:val="22"/>
          <w:szCs w:val="28"/>
        </w:rPr>
        <w:t>the model must be able to include funding from FAO or other sources.</w:t>
      </w:r>
    </w:p>
    <w:p w14:paraId="54A84A42" w14:textId="77777777" w:rsidR="006A0AF2" w:rsidRPr="001127CF" w:rsidRDefault="006A0AF2" w:rsidP="006A0AF2">
      <w:pPr>
        <w:pStyle w:val="ListParagraph"/>
        <w:numPr>
          <w:ilvl w:val="2"/>
          <w:numId w:val="3"/>
        </w:numPr>
        <w:ind w:left="1060"/>
        <w:rPr>
          <w:rFonts w:ascii="Times New Roman" w:hAnsi="Times New Roman"/>
          <w:sz w:val="22"/>
          <w:szCs w:val="28"/>
        </w:rPr>
      </w:pPr>
      <w:r w:rsidRPr="001127CF">
        <w:rPr>
          <w:rFonts w:ascii="Times New Roman" w:hAnsi="Times New Roman"/>
          <w:sz w:val="22"/>
          <w:szCs w:val="28"/>
        </w:rPr>
        <w:t>the model should not expect contributions from contracting parties not using the ePhyto Solution.</w:t>
      </w:r>
    </w:p>
    <w:p w14:paraId="57359E3E" w14:textId="77777777" w:rsidR="006A0AF2" w:rsidRPr="001127CF" w:rsidRDefault="006A0AF2" w:rsidP="006A0AF2">
      <w:pPr>
        <w:pStyle w:val="ListParagraph"/>
        <w:numPr>
          <w:ilvl w:val="2"/>
          <w:numId w:val="3"/>
        </w:numPr>
        <w:ind w:left="1060"/>
        <w:rPr>
          <w:rFonts w:ascii="Times New Roman" w:hAnsi="Times New Roman"/>
          <w:sz w:val="22"/>
          <w:szCs w:val="28"/>
        </w:rPr>
      </w:pPr>
      <w:r w:rsidRPr="001127CF">
        <w:rPr>
          <w:rFonts w:ascii="Times New Roman" w:hAnsi="Times New Roman"/>
          <w:sz w:val="22"/>
          <w:szCs w:val="28"/>
        </w:rPr>
        <w:t>both base fees and usage fees should be used in the funding model.</w:t>
      </w:r>
    </w:p>
    <w:p w14:paraId="2C14A545" w14:textId="77777777" w:rsidR="006A0AF2" w:rsidRPr="001127CF" w:rsidRDefault="006A0AF2" w:rsidP="006A0AF2">
      <w:pPr>
        <w:pStyle w:val="ListParagraph"/>
        <w:numPr>
          <w:ilvl w:val="2"/>
          <w:numId w:val="3"/>
        </w:numPr>
        <w:ind w:left="1060"/>
        <w:rPr>
          <w:rFonts w:ascii="Times New Roman" w:hAnsi="Times New Roman"/>
          <w:sz w:val="22"/>
          <w:szCs w:val="28"/>
        </w:rPr>
      </w:pPr>
      <w:r w:rsidRPr="001127CF">
        <w:rPr>
          <w:rFonts w:ascii="Times New Roman" w:hAnsi="Times New Roman"/>
          <w:sz w:val="22"/>
          <w:szCs w:val="28"/>
        </w:rPr>
        <w:t>countries in the Low/LDC group should be exempt from contributing a base fee</w:t>
      </w:r>
    </w:p>
    <w:p w14:paraId="55D73494" w14:textId="77777777" w:rsidR="006A0AF2" w:rsidRPr="001127CF" w:rsidRDefault="006A0AF2" w:rsidP="006A0AF2">
      <w:pPr>
        <w:pStyle w:val="ListParagraph"/>
        <w:numPr>
          <w:ilvl w:val="2"/>
          <w:numId w:val="3"/>
        </w:numPr>
        <w:ind w:left="1060"/>
        <w:rPr>
          <w:rFonts w:ascii="Times New Roman" w:hAnsi="Times New Roman"/>
          <w:sz w:val="22"/>
          <w:szCs w:val="28"/>
        </w:rPr>
      </w:pPr>
      <w:r w:rsidRPr="001127CF">
        <w:rPr>
          <w:rFonts w:ascii="Times New Roman" w:hAnsi="Times New Roman"/>
          <w:sz w:val="22"/>
          <w:szCs w:val="28"/>
        </w:rPr>
        <w:t>a direct per exchange charge is not desirable.</w:t>
      </w:r>
    </w:p>
    <w:p w14:paraId="3C08E875" w14:textId="77777777" w:rsidR="006A0AF2" w:rsidRPr="001127CF" w:rsidRDefault="006A0AF2" w:rsidP="006A0AF2">
      <w:pPr>
        <w:pStyle w:val="ListParagraph"/>
        <w:numPr>
          <w:ilvl w:val="2"/>
          <w:numId w:val="3"/>
        </w:numPr>
        <w:ind w:left="1060"/>
        <w:rPr>
          <w:rFonts w:ascii="Times New Roman" w:hAnsi="Times New Roman"/>
          <w:sz w:val="22"/>
          <w:szCs w:val="28"/>
        </w:rPr>
      </w:pPr>
      <w:r w:rsidRPr="001127CF">
        <w:rPr>
          <w:rFonts w:ascii="Times New Roman" w:hAnsi="Times New Roman"/>
          <w:sz w:val="22"/>
          <w:szCs w:val="28"/>
        </w:rPr>
        <w:t>four usage categories to be the most practical.</w:t>
      </w:r>
    </w:p>
    <w:p w14:paraId="18B36F9E" w14:textId="3AE1BC47" w:rsidR="006A0AF2" w:rsidRPr="001127CF" w:rsidRDefault="006A0AF2" w:rsidP="006A0AF2">
      <w:pPr>
        <w:pStyle w:val="ListParagraph"/>
        <w:numPr>
          <w:ilvl w:val="2"/>
          <w:numId w:val="3"/>
        </w:numPr>
        <w:ind w:left="1060"/>
        <w:rPr>
          <w:rFonts w:ascii="Times New Roman" w:hAnsi="Times New Roman"/>
          <w:sz w:val="22"/>
          <w:szCs w:val="28"/>
        </w:rPr>
      </w:pPr>
      <w:r w:rsidRPr="001127CF">
        <w:rPr>
          <w:rFonts w:ascii="Times New Roman" w:hAnsi="Times New Roman"/>
          <w:sz w:val="22"/>
          <w:szCs w:val="28"/>
        </w:rPr>
        <w:t>countries in the Low usage group should not pay a usage fee.</w:t>
      </w:r>
    </w:p>
    <w:p w14:paraId="3FDE1242" w14:textId="43B5675E" w:rsidR="006A0AF2" w:rsidRDefault="006A0AF2" w:rsidP="001127CF">
      <w:pPr>
        <w:pStyle w:val="IPPNumberedList"/>
      </w:pPr>
      <w:r>
        <w:t>Which recommended option(s) does SPG wish to have presented for CPM, which meet CPM requirements and expectations?</w:t>
      </w:r>
    </w:p>
    <w:p w14:paraId="3F615B5E" w14:textId="13D3C043" w:rsidR="00443BDE" w:rsidRDefault="00341B15" w:rsidP="001127CF">
      <w:pPr>
        <w:pStyle w:val="IPPNumberedList"/>
      </w:pPr>
      <w:r>
        <w:t>Provide feedback on the draft procedures</w:t>
      </w:r>
      <w:r w:rsidR="0064455C">
        <w:t xml:space="preserve"> (Appendix 10)</w:t>
      </w:r>
    </w:p>
    <w:p w14:paraId="3D83951E" w14:textId="339CEBC0" w:rsidR="006A0AF2" w:rsidRDefault="006A0AF2" w:rsidP="001127CF">
      <w:pPr>
        <w:pStyle w:val="IPPNumberedList"/>
      </w:pPr>
      <w:r>
        <w:t xml:space="preserve">Is anything else missing which will assist CPM </w:t>
      </w:r>
      <w:r w:rsidR="004A1F4D">
        <w:t xml:space="preserve">to </w:t>
      </w:r>
      <w:proofErr w:type="gramStart"/>
      <w:r>
        <w:t>make a decision</w:t>
      </w:r>
      <w:proofErr w:type="gramEnd"/>
      <w:r>
        <w:t>, keeping in mind the urgent need to reach consensus on a funding mechanism?</w:t>
      </w:r>
    </w:p>
    <w:p w14:paraId="46816B5B" w14:textId="77777777" w:rsidR="002A5D7A" w:rsidRDefault="002A5D7A" w:rsidP="002A5D7A">
      <w:pPr>
        <w:pStyle w:val="ListParagraph"/>
        <w:ind w:left="880"/>
        <w:sectPr w:rsidR="002A5D7A" w:rsidSect="0061062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titlePg/>
          <w:docGrid w:linePitch="360"/>
        </w:sectPr>
      </w:pPr>
    </w:p>
    <w:p w14:paraId="54670822" w14:textId="016BBDC1" w:rsidR="00440A22" w:rsidRPr="007444ED" w:rsidRDefault="007444ED" w:rsidP="000B7165">
      <w:pPr>
        <w:rPr>
          <w:b/>
          <w:bCs/>
        </w:rPr>
      </w:pPr>
      <w:r w:rsidRPr="007444ED">
        <w:rPr>
          <w:b/>
          <w:bCs/>
        </w:rPr>
        <w:lastRenderedPageBreak/>
        <w:t>Appendix 1: Scenario 101</w:t>
      </w:r>
      <w:r w:rsidR="0064455C">
        <w:rPr>
          <w:b/>
          <w:bCs/>
        </w:rPr>
        <w:t xml:space="preserve"> – </w:t>
      </w:r>
      <w:r w:rsidRPr="007444ED">
        <w:rPr>
          <w:b/>
          <w:bCs/>
        </w:rPr>
        <w:t>Summary Table</w:t>
      </w:r>
    </w:p>
    <w:tbl>
      <w:tblPr>
        <w:tblW w:w="8816" w:type="dxa"/>
        <w:tblLook w:val="04A0" w:firstRow="1" w:lastRow="0" w:firstColumn="1" w:lastColumn="0" w:noHBand="0" w:noVBand="1"/>
      </w:tblPr>
      <w:tblGrid>
        <w:gridCol w:w="435"/>
        <w:gridCol w:w="1345"/>
        <w:gridCol w:w="873"/>
        <w:gridCol w:w="1559"/>
        <w:gridCol w:w="1553"/>
        <w:gridCol w:w="1553"/>
        <w:gridCol w:w="1565"/>
      </w:tblGrid>
      <w:tr w:rsidR="00730133" w:rsidRPr="00730133" w14:paraId="0BB0ED35" w14:textId="77777777" w:rsidTr="00730133">
        <w:trPr>
          <w:trHeight w:val="300"/>
        </w:trPr>
        <w:tc>
          <w:tcPr>
            <w:tcW w:w="368" w:type="dxa"/>
            <w:tcBorders>
              <w:top w:val="single" w:sz="8" w:space="0" w:color="auto"/>
              <w:left w:val="single" w:sz="8" w:space="0" w:color="auto"/>
              <w:bottom w:val="single" w:sz="8" w:space="0" w:color="auto"/>
              <w:right w:val="nil"/>
            </w:tcBorders>
            <w:shd w:val="clear" w:color="000000" w:fill="D9D9D9"/>
            <w:noWrap/>
            <w:vAlign w:val="bottom"/>
            <w:hideMark/>
          </w:tcPr>
          <w:p w14:paraId="347E3818"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8448" w:type="dxa"/>
            <w:gridSpan w:val="6"/>
            <w:tcBorders>
              <w:top w:val="single" w:sz="8" w:space="0" w:color="auto"/>
              <w:left w:val="nil"/>
              <w:bottom w:val="single" w:sz="8" w:space="0" w:color="auto"/>
              <w:right w:val="single" w:sz="8" w:space="0" w:color="000000"/>
            </w:tcBorders>
            <w:shd w:val="clear" w:color="000000" w:fill="D9D9D9"/>
            <w:noWrap/>
            <w:vAlign w:val="bottom"/>
            <w:hideMark/>
          </w:tcPr>
          <w:p w14:paraId="693AB14E"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SCENARIO 101 - Four usage categories, Low usage category upper range set at &lt;1,000 exchanges</w:t>
            </w:r>
          </w:p>
        </w:tc>
      </w:tr>
      <w:tr w:rsidR="00730133" w:rsidRPr="00730133" w14:paraId="7877B317" w14:textId="77777777" w:rsidTr="00730133">
        <w:trPr>
          <w:trHeight w:val="290"/>
        </w:trPr>
        <w:tc>
          <w:tcPr>
            <w:tcW w:w="368" w:type="dxa"/>
            <w:tcBorders>
              <w:top w:val="nil"/>
              <w:left w:val="single" w:sz="8" w:space="0" w:color="auto"/>
              <w:bottom w:val="nil"/>
              <w:right w:val="nil"/>
            </w:tcBorders>
            <w:shd w:val="clear" w:color="auto" w:fill="auto"/>
            <w:noWrap/>
            <w:hideMark/>
          </w:tcPr>
          <w:p w14:paraId="1D88C500"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w:t>
            </w:r>
          </w:p>
        </w:tc>
        <w:tc>
          <w:tcPr>
            <w:tcW w:w="8448" w:type="dxa"/>
            <w:gridSpan w:val="6"/>
            <w:tcBorders>
              <w:top w:val="single" w:sz="8" w:space="0" w:color="auto"/>
              <w:left w:val="nil"/>
              <w:bottom w:val="nil"/>
              <w:right w:val="single" w:sz="8" w:space="0" w:color="000000"/>
            </w:tcBorders>
            <w:shd w:val="clear" w:color="auto" w:fill="auto"/>
            <w:noWrap/>
            <w:vAlign w:val="bottom"/>
            <w:hideMark/>
          </w:tcPr>
          <w:p w14:paraId="22FA5410"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Total revenue from base fee is set at 66% of total annual funding required.</w:t>
            </w:r>
          </w:p>
        </w:tc>
      </w:tr>
      <w:tr w:rsidR="00730133" w:rsidRPr="00730133" w14:paraId="7F2528EB" w14:textId="77777777" w:rsidTr="00730133">
        <w:trPr>
          <w:trHeight w:val="300"/>
        </w:trPr>
        <w:tc>
          <w:tcPr>
            <w:tcW w:w="368" w:type="dxa"/>
            <w:tcBorders>
              <w:top w:val="nil"/>
              <w:left w:val="single" w:sz="8" w:space="0" w:color="auto"/>
              <w:bottom w:val="nil"/>
              <w:right w:val="nil"/>
            </w:tcBorders>
            <w:shd w:val="clear" w:color="auto" w:fill="auto"/>
            <w:noWrap/>
            <w:hideMark/>
          </w:tcPr>
          <w:p w14:paraId="231E6BEC"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611F0C3B"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Countries classified as Low/LDC pay no base fee.</w:t>
            </w:r>
          </w:p>
        </w:tc>
      </w:tr>
      <w:tr w:rsidR="00730133" w:rsidRPr="00730133" w14:paraId="3DF9A8A9" w14:textId="77777777" w:rsidTr="00730133">
        <w:trPr>
          <w:trHeight w:val="315"/>
        </w:trPr>
        <w:tc>
          <w:tcPr>
            <w:tcW w:w="368" w:type="dxa"/>
            <w:tcBorders>
              <w:top w:val="nil"/>
              <w:left w:val="single" w:sz="8" w:space="0" w:color="auto"/>
              <w:bottom w:val="nil"/>
              <w:right w:val="nil"/>
            </w:tcBorders>
            <w:shd w:val="clear" w:color="auto" w:fill="auto"/>
            <w:noWrap/>
            <w:hideMark/>
          </w:tcPr>
          <w:p w14:paraId="4F9FB861"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3D714891"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Base fee starts at $4,000 and increases x2 for each higher development status level.</w:t>
            </w:r>
          </w:p>
        </w:tc>
      </w:tr>
      <w:tr w:rsidR="00730133" w:rsidRPr="00730133" w14:paraId="4E220472" w14:textId="77777777" w:rsidTr="00730133">
        <w:trPr>
          <w:trHeight w:val="315"/>
        </w:trPr>
        <w:tc>
          <w:tcPr>
            <w:tcW w:w="368" w:type="dxa"/>
            <w:tcBorders>
              <w:top w:val="nil"/>
              <w:left w:val="single" w:sz="8" w:space="0" w:color="auto"/>
              <w:bottom w:val="nil"/>
              <w:right w:val="nil"/>
            </w:tcBorders>
            <w:shd w:val="clear" w:color="auto" w:fill="auto"/>
            <w:noWrap/>
            <w:hideMark/>
          </w:tcPr>
          <w:p w14:paraId="2DC827E6"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72AF677C"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Remaining 33% of revenue is from usage fee.</w:t>
            </w:r>
          </w:p>
        </w:tc>
      </w:tr>
      <w:tr w:rsidR="00730133" w:rsidRPr="00730133" w14:paraId="48C13218" w14:textId="77777777" w:rsidTr="00730133">
        <w:trPr>
          <w:trHeight w:val="615"/>
        </w:trPr>
        <w:tc>
          <w:tcPr>
            <w:tcW w:w="368" w:type="dxa"/>
            <w:tcBorders>
              <w:top w:val="nil"/>
              <w:left w:val="single" w:sz="8" w:space="0" w:color="auto"/>
              <w:bottom w:val="nil"/>
              <w:right w:val="nil"/>
            </w:tcBorders>
            <w:shd w:val="clear" w:color="auto" w:fill="auto"/>
            <w:noWrap/>
            <w:hideMark/>
          </w:tcPr>
          <w:p w14:paraId="0A1161C2"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vAlign w:val="bottom"/>
            <w:hideMark/>
          </w:tcPr>
          <w:p w14:paraId="57E008DF"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4 usage categories with usage fee starting at nil for low usage (&lt;1,000 exchanges) then $4,800 for medium and increases x2 for each higher usage level.</w:t>
            </w:r>
          </w:p>
        </w:tc>
      </w:tr>
      <w:tr w:rsidR="00730133" w:rsidRPr="00730133" w14:paraId="61D26E1C" w14:textId="77777777" w:rsidTr="00730133">
        <w:trPr>
          <w:trHeight w:val="70"/>
        </w:trPr>
        <w:tc>
          <w:tcPr>
            <w:tcW w:w="368" w:type="dxa"/>
            <w:tcBorders>
              <w:top w:val="single" w:sz="8" w:space="0" w:color="auto"/>
              <w:left w:val="single" w:sz="8" w:space="0" w:color="auto"/>
              <w:bottom w:val="nil"/>
              <w:right w:val="nil"/>
            </w:tcBorders>
            <w:shd w:val="clear" w:color="auto" w:fill="auto"/>
            <w:noWrap/>
            <w:vAlign w:val="bottom"/>
            <w:hideMark/>
          </w:tcPr>
          <w:p w14:paraId="36ABAFD1"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1345" w:type="dxa"/>
            <w:tcBorders>
              <w:top w:val="single" w:sz="8" w:space="0" w:color="auto"/>
              <w:left w:val="nil"/>
              <w:bottom w:val="nil"/>
              <w:right w:val="nil"/>
            </w:tcBorders>
            <w:shd w:val="clear" w:color="auto" w:fill="auto"/>
            <w:noWrap/>
            <w:vAlign w:val="bottom"/>
            <w:hideMark/>
          </w:tcPr>
          <w:p w14:paraId="7384AA62"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873" w:type="dxa"/>
            <w:tcBorders>
              <w:top w:val="single" w:sz="8" w:space="0" w:color="auto"/>
              <w:left w:val="nil"/>
              <w:bottom w:val="nil"/>
              <w:right w:val="nil"/>
            </w:tcBorders>
            <w:shd w:val="clear" w:color="auto" w:fill="auto"/>
            <w:noWrap/>
            <w:vAlign w:val="bottom"/>
            <w:hideMark/>
          </w:tcPr>
          <w:p w14:paraId="43895A0D"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1559" w:type="dxa"/>
            <w:tcBorders>
              <w:top w:val="single" w:sz="8" w:space="0" w:color="auto"/>
              <w:left w:val="nil"/>
              <w:bottom w:val="nil"/>
              <w:right w:val="nil"/>
            </w:tcBorders>
            <w:shd w:val="clear" w:color="auto" w:fill="auto"/>
            <w:noWrap/>
            <w:vAlign w:val="bottom"/>
            <w:hideMark/>
          </w:tcPr>
          <w:p w14:paraId="075086A8"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1553" w:type="dxa"/>
            <w:tcBorders>
              <w:top w:val="single" w:sz="8" w:space="0" w:color="auto"/>
              <w:left w:val="nil"/>
              <w:bottom w:val="nil"/>
              <w:right w:val="nil"/>
            </w:tcBorders>
            <w:shd w:val="clear" w:color="auto" w:fill="auto"/>
            <w:noWrap/>
            <w:vAlign w:val="bottom"/>
            <w:hideMark/>
          </w:tcPr>
          <w:p w14:paraId="374A9E05"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1553" w:type="dxa"/>
            <w:tcBorders>
              <w:top w:val="single" w:sz="8" w:space="0" w:color="auto"/>
              <w:left w:val="nil"/>
              <w:bottom w:val="nil"/>
              <w:right w:val="nil"/>
            </w:tcBorders>
            <w:shd w:val="clear" w:color="auto" w:fill="auto"/>
            <w:noWrap/>
            <w:vAlign w:val="bottom"/>
            <w:hideMark/>
          </w:tcPr>
          <w:p w14:paraId="449CE821"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1565" w:type="dxa"/>
            <w:tcBorders>
              <w:top w:val="single" w:sz="8" w:space="0" w:color="auto"/>
              <w:left w:val="nil"/>
              <w:bottom w:val="nil"/>
              <w:right w:val="single" w:sz="8" w:space="0" w:color="auto"/>
            </w:tcBorders>
            <w:shd w:val="clear" w:color="auto" w:fill="auto"/>
            <w:noWrap/>
            <w:vAlign w:val="bottom"/>
            <w:hideMark/>
          </w:tcPr>
          <w:p w14:paraId="52820A50"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r>
      <w:tr w:rsidR="00730133" w:rsidRPr="00730133" w14:paraId="187BE456" w14:textId="77777777" w:rsidTr="00730133">
        <w:trPr>
          <w:trHeight w:val="290"/>
        </w:trPr>
        <w:tc>
          <w:tcPr>
            <w:tcW w:w="368" w:type="dxa"/>
            <w:tcBorders>
              <w:top w:val="single" w:sz="8" w:space="0" w:color="auto"/>
              <w:left w:val="single" w:sz="8" w:space="0" w:color="auto"/>
              <w:bottom w:val="nil"/>
              <w:right w:val="nil"/>
            </w:tcBorders>
            <w:shd w:val="clear" w:color="auto" w:fill="auto"/>
            <w:noWrap/>
            <w:vAlign w:val="bottom"/>
            <w:hideMark/>
          </w:tcPr>
          <w:p w14:paraId="60D71A36"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1345" w:type="dxa"/>
            <w:tcBorders>
              <w:top w:val="single" w:sz="8" w:space="0" w:color="auto"/>
              <w:left w:val="nil"/>
              <w:bottom w:val="nil"/>
              <w:right w:val="nil"/>
            </w:tcBorders>
            <w:shd w:val="clear" w:color="auto" w:fill="auto"/>
            <w:noWrap/>
            <w:vAlign w:val="bottom"/>
            <w:hideMark/>
          </w:tcPr>
          <w:p w14:paraId="371574FE"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873" w:type="dxa"/>
            <w:tcBorders>
              <w:top w:val="single" w:sz="8" w:space="0" w:color="auto"/>
              <w:left w:val="nil"/>
              <w:bottom w:val="nil"/>
              <w:right w:val="nil"/>
            </w:tcBorders>
            <w:shd w:val="clear" w:color="auto" w:fill="auto"/>
            <w:noWrap/>
            <w:vAlign w:val="bottom"/>
            <w:hideMark/>
          </w:tcPr>
          <w:p w14:paraId="4D35F2EA"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w:t>
            </w:r>
          </w:p>
        </w:tc>
        <w:tc>
          <w:tcPr>
            <w:tcW w:w="623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9B4CF27"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DEVELOPMENT STATUS</w:t>
            </w:r>
          </w:p>
        </w:tc>
      </w:tr>
      <w:tr w:rsidR="00730133" w:rsidRPr="00730133" w14:paraId="5D9D6693" w14:textId="77777777" w:rsidTr="00730133">
        <w:trPr>
          <w:trHeight w:val="290"/>
        </w:trPr>
        <w:tc>
          <w:tcPr>
            <w:tcW w:w="368" w:type="dxa"/>
            <w:tcBorders>
              <w:top w:val="nil"/>
              <w:left w:val="single" w:sz="8" w:space="0" w:color="auto"/>
              <w:bottom w:val="nil"/>
              <w:right w:val="nil"/>
            </w:tcBorders>
            <w:shd w:val="clear" w:color="auto" w:fill="auto"/>
            <w:noWrap/>
            <w:vAlign w:val="bottom"/>
            <w:hideMark/>
          </w:tcPr>
          <w:p w14:paraId="63F3708F"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1345" w:type="dxa"/>
            <w:tcBorders>
              <w:top w:val="nil"/>
              <w:left w:val="nil"/>
              <w:bottom w:val="nil"/>
              <w:right w:val="nil"/>
            </w:tcBorders>
            <w:shd w:val="clear" w:color="auto" w:fill="auto"/>
            <w:noWrap/>
            <w:vAlign w:val="bottom"/>
            <w:hideMark/>
          </w:tcPr>
          <w:p w14:paraId="0D321C6E" w14:textId="77777777" w:rsidR="00730133" w:rsidRPr="00730133" w:rsidRDefault="00730133" w:rsidP="00730133">
            <w:pPr>
              <w:rPr>
                <w:rFonts w:ascii="Arial Narrow" w:eastAsia="Times New Roman" w:hAnsi="Arial Narrow" w:cs="Calibri"/>
                <w:color w:val="000000"/>
                <w:sz w:val="18"/>
                <w:szCs w:val="18"/>
                <w:lang w:eastAsia="en-NZ"/>
              </w:rPr>
            </w:pPr>
          </w:p>
        </w:tc>
        <w:tc>
          <w:tcPr>
            <w:tcW w:w="873" w:type="dxa"/>
            <w:tcBorders>
              <w:top w:val="nil"/>
              <w:left w:val="nil"/>
              <w:bottom w:val="nil"/>
              <w:right w:val="nil"/>
            </w:tcBorders>
            <w:shd w:val="clear" w:color="auto" w:fill="auto"/>
            <w:noWrap/>
            <w:vAlign w:val="bottom"/>
            <w:hideMark/>
          </w:tcPr>
          <w:p w14:paraId="567972D0" w14:textId="77777777" w:rsidR="00730133" w:rsidRPr="00730133" w:rsidRDefault="00730133" w:rsidP="00730133">
            <w:pPr>
              <w:rPr>
                <w:rFonts w:eastAsia="Times New Roman"/>
                <w:sz w:val="20"/>
                <w:szCs w:val="20"/>
                <w:lang w:eastAsia="en-NZ"/>
              </w:rPr>
            </w:pPr>
          </w:p>
        </w:tc>
        <w:tc>
          <w:tcPr>
            <w:tcW w:w="1559" w:type="dxa"/>
            <w:tcBorders>
              <w:top w:val="nil"/>
              <w:left w:val="single" w:sz="8" w:space="0" w:color="auto"/>
              <w:bottom w:val="nil"/>
              <w:right w:val="nil"/>
            </w:tcBorders>
            <w:shd w:val="clear" w:color="auto" w:fill="auto"/>
            <w:noWrap/>
            <w:vAlign w:val="bottom"/>
            <w:hideMark/>
          </w:tcPr>
          <w:p w14:paraId="0C368103"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LOW</w:t>
            </w:r>
          </w:p>
        </w:tc>
        <w:tc>
          <w:tcPr>
            <w:tcW w:w="1553" w:type="dxa"/>
            <w:tcBorders>
              <w:top w:val="nil"/>
              <w:left w:val="nil"/>
              <w:bottom w:val="nil"/>
              <w:right w:val="nil"/>
            </w:tcBorders>
            <w:shd w:val="clear" w:color="auto" w:fill="auto"/>
            <w:noWrap/>
            <w:vAlign w:val="bottom"/>
            <w:hideMark/>
          </w:tcPr>
          <w:p w14:paraId="220015B3"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LOWER-MID</w:t>
            </w:r>
          </w:p>
        </w:tc>
        <w:tc>
          <w:tcPr>
            <w:tcW w:w="1553" w:type="dxa"/>
            <w:tcBorders>
              <w:top w:val="nil"/>
              <w:left w:val="nil"/>
              <w:bottom w:val="nil"/>
              <w:right w:val="nil"/>
            </w:tcBorders>
            <w:shd w:val="clear" w:color="auto" w:fill="auto"/>
            <w:noWrap/>
            <w:vAlign w:val="bottom"/>
            <w:hideMark/>
          </w:tcPr>
          <w:p w14:paraId="784D440C"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UPPER-MID</w:t>
            </w:r>
          </w:p>
        </w:tc>
        <w:tc>
          <w:tcPr>
            <w:tcW w:w="1565" w:type="dxa"/>
            <w:tcBorders>
              <w:top w:val="nil"/>
              <w:left w:val="nil"/>
              <w:bottom w:val="nil"/>
              <w:right w:val="single" w:sz="8" w:space="0" w:color="auto"/>
            </w:tcBorders>
            <w:shd w:val="clear" w:color="auto" w:fill="auto"/>
            <w:noWrap/>
            <w:vAlign w:val="bottom"/>
            <w:hideMark/>
          </w:tcPr>
          <w:p w14:paraId="47388043"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HIGH</w:t>
            </w:r>
          </w:p>
        </w:tc>
      </w:tr>
      <w:tr w:rsidR="00730133" w:rsidRPr="00730133" w14:paraId="5B2F6929" w14:textId="77777777" w:rsidTr="00730133">
        <w:trPr>
          <w:trHeight w:val="300"/>
        </w:trPr>
        <w:tc>
          <w:tcPr>
            <w:tcW w:w="368" w:type="dxa"/>
            <w:tcBorders>
              <w:top w:val="nil"/>
              <w:left w:val="single" w:sz="8" w:space="0" w:color="auto"/>
              <w:bottom w:val="single" w:sz="8" w:space="0" w:color="auto"/>
              <w:right w:val="nil"/>
            </w:tcBorders>
            <w:shd w:val="clear" w:color="auto" w:fill="auto"/>
            <w:noWrap/>
            <w:vAlign w:val="bottom"/>
            <w:hideMark/>
          </w:tcPr>
          <w:p w14:paraId="7A75063E"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1345" w:type="dxa"/>
            <w:tcBorders>
              <w:top w:val="nil"/>
              <w:left w:val="nil"/>
              <w:bottom w:val="single" w:sz="8" w:space="0" w:color="auto"/>
              <w:right w:val="nil"/>
            </w:tcBorders>
            <w:shd w:val="clear" w:color="auto" w:fill="auto"/>
            <w:noWrap/>
            <w:vAlign w:val="bottom"/>
            <w:hideMark/>
          </w:tcPr>
          <w:p w14:paraId="767D677D"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873" w:type="dxa"/>
            <w:tcBorders>
              <w:top w:val="nil"/>
              <w:left w:val="nil"/>
              <w:bottom w:val="nil"/>
              <w:right w:val="nil"/>
            </w:tcBorders>
            <w:shd w:val="clear" w:color="auto" w:fill="auto"/>
            <w:noWrap/>
            <w:vAlign w:val="bottom"/>
            <w:hideMark/>
          </w:tcPr>
          <w:p w14:paraId="43F82710" w14:textId="77777777" w:rsidR="00730133" w:rsidRPr="00730133" w:rsidRDefault="00730133" w:rsidP="00730133">
            <w:pPr>
              <w:rPr>
                <w:rFonts w:ascii="Arial Narrow" w:eastAsia="Times New Roman" w:hAnsi="Arial Narrow" w:cs="Calibri"/>
                <w:color w:val="000000"/>
                <w:sz w:val="18"/>
                <w:szCs w:val="18"/>
                <w:lang w:eastAsia="en-NZ"/>
              </w:rPr>
            </w:pPr>
          </w:p>
        </w:tc>
        <w:tc>
          <w:tcPr>
            <w:tcW w:w="1559" w:type="dxa"/>
            <w:tcBorders>
              <w:top w:val="nil"/>
              <w:left w:val="single" w:sz="8" w:space="0" w:color="auto"/>
              <w:bottom w:val="single" w:sz="8" w:space="0" w:color="auto"/>
              <w:right w:val="nil"/>
            </w:tcBorders>
            <w:shd w:val="clear" w:color="auto" w:fill="auto"/>
            <w:noWrap/>
            <w:vAlign w:val="bottom"/>
            <w:hideMark/>
          </w:tcPr>
          <w:p w14:paraId="21FF6602"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2 countries</w:t>
            </w:r>
          </w:p>
        </w:tc>
        <w:tc>
          <w:tcPr>
            <w:tcW w:w="1553" w:type="dxa"/>
            <w:tcBorders>
              <w:top w:val="nil"/>
              <w:left w:val="nil"/>
              <w:bottom w:val="single" w:sz="8" w:space="0" w:color="auto"/>
              <w:right w:val="nil"/>
            </w:tcBorders>
            <w:shd w:val="clear" w:color="auto" w:fill="auto"/>
            <w:noWrap/>
            <w:vAlign w:val="bottom"/>
            <w:hideMark/>
          </w:tcPr>
          <w:p w14:paraId="5DF9225B"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17 countries</w:t>
            </w:r>
          </w:p>
        </w:tc>
        <w:tc>
          <w:tcPr>
            <w:tcW w:w="1553" w:type="dxa"/>
            <w:tcBorders>
              <w:top w:val="nil"/>
              <w:left w:val="nil"/>
              <w:bottom w:val="single" w:sz="8" w:space="0" w:color="auto"/>
              <w:right w:val="nil"/>
            </w:tcBorders>
            <w:shd w:val="clear" w:color="auto" w:fill="auto"/>
            <w:noWrap/>
            <w:vAlign w:val="bottom"/>
            <w:hideMark/>
          </w:tcPr>
          <w:p w14:paraId="39A7EFC6"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19 countries</w:t>
            </w:r>
          </w:p>
        </w:tc>
        <w:tc>
          <w:tcPr>
            <w:tcW w:w="1565" w:type="dxa"/>
            <w:tcBorders>
              <w:top w:val="nil"/>
              <w:left w:val="nil"/>
              <w:bottom w:val="single" w:sz="8" w:space="0" w:color="auto"/>
              <w:right w:val="single" w:sz="8" w:space="0" w:color="auto"/>
            </w:tcBorders>
            <w:shd w:val="clear" w:color="auto" w:fill="auto"/>
            <w:noWrap/>
            <w:vAlign w:val="bottom"/>
            <w:hideMark/>
          </w:tcPr>
          <w:p w14:paraId="7AA65C49"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39 countries</w:t>
            </w:r>
          </w:p>
        </w:tc>
      </w:tr>
      <w:tr w:rsidR="00730133" w:rsidRPr="00730133" w14:paraId="77ADDC22" w14:textId="77777777" w:rsidTr="00730133">
        <w:trPr>
          <w:trHeight w:val="300"/>
        </w:trPr>
        <w:tc>
          <w:tcPr>
            <w:tcW w:w="36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4E2217C"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USAGE</w:t>
            </w:r>
          </w:p>
        </w:tc>
        <w:tc>
          <w:tcPr>
            <w:tcW w:w="1345" w:type="dxa"/>
            <w:tcBorders>
              <w:top w:val="nil"/>
              <w:left w:val="nil"/>
              <w:bottom w:val="nil"/>
              <w:right w:val="single" w:sz="8" w:space="0" w:color="auto"/>
            </w:tcBorders>
            <w:shd w:val="clear" w:color="auto" w:fill="auto"/>
            <w:noWrap/>
            <w:vAlign w:val="bottom"/>
            <w:hideMark/>
          </w:tcPr>
          <w:p w14:paraId="322B78DA"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LOW</w:t>
            </w:r>
          </w:p>
        </w:tc>
        <w:tc>
          <w:tcPr>
            <w:tcW w:w="873" w:type="dxa"/>
            <w:tcBorders>
              <w:top w:val="single" w:sz="8" w:space="0" w:color="auto"/>
              <w:left w:val="nil"/>
              <w:bottom w:val="nil"/>
              <w:right w:val="single" w:sz="4" w:space="0" w:color="auto"/>
            </w:tcBorders>
            <w:shd w:val="clear" w:color="auto" w:fill="auto"/>
            <w:noWrap/>
            <w:vAlign w:val="bottom"/>
            <w:hideMark/>
          </w:tcPr>
          <w:p w14:paraId="48C7FEC3"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Base Fee</w:t>
            </w:r>
          </w:p>
        </w:tc>
        <w:tc>
          <w:tcPr>
            <w:tcW w:w="1559" w:type="dxa"/>
            <w:tcBorders>
              <w:top w:val="nil"/>
              <w:left w:val="nil"/>
              <w:bottom w:val="nil"/>
              <w:right w:val="nil"/>
            </w:tcBorders>
            <w:shd w:val="clear" w:color="auto" w:fill="auto"/>
            <w:noWrap/>
            <w:vAlign w:val="bottom"/>
            <w:hideMark/>
          </w:tcPr>
          <w:p w14:paraId="3B856831"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   </w:t>
            </w:r>
          </w:p>
        </w:tc>
        <w:tc>
          <w:tcPr>
            <w:tcW w:w="1553" w:type="dxa"/>
            <w:tcBorders>
              <w:top w:val="nil"/>
              <w:left w:val="nil"/>
              <w:bottom w:val="nil"/>
              <w:right w:val="nil"/>
            </w:tcBorders>
            <w:shd w:val="clear" w:color="auto" w:fill="auto"/>
            <w:noWrap/>
            <w:vAlign w:val="bottom"/>
            <w:hideMark/>
          </w:tcPr>
          <w:p w14:paraId="07FAE21E"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4,000 </w:t>
            </w:r>
          </w:p>
        </w:tc>
        <w:tc>
          <w:tcPr>
            <w:tcW w:w="1553" w:type="dxa"/>
            <w:tcBorders>
              <w:top w:val="nil"/>
              <w:left w:val="nil"/>
              <w:bottom w:val="nil"/>
              <w:right w:val="nil"/>
            </w:tcBorders>
            <w:shd w:val="clear" w:color="auto" w:fill="auto"/>
            <w:noWrap/>
            <w:vAlign w:val="bottom"/>
            <w:hideMark/>
          </w:tcPr>
          <w:p w14:paraId="3EC142DC"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8,000 </w:t>
            </w:r>
          </w:p>
        </w:tc>
        <w:tc>
          <w:tcPr>
            <w:tcW w:w="1565" w:type="dxa"/>
            <w:tcBorders>
              <w:top w:val="nil"/>
              <w:left w:val="nil"/>
              <w:bottom w:val="nil"/>
              <w:right w:val="single" w:sz="8" w:space="0" w:color="auto"/>
            </w:tcBorders>
            <w:shd w:val="clear" w:color="auto" w:fill="auto"/>
            <w:noWrap/>
            <w:vAlign w:val="bottom"/>
            <w:hideMark/>
          </w:tcPr>
          <w:p w14:paraId="172EC0F9"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16,000 </w:t>
            </w:r>
          </w:p>
        </w:tc>
      </w:tr>
      <w:tr w:rsidR="00730133" w:rsidRPr="00730133" w14:paraId="17093676" w14:textId="77777777" w:rsidTr="0073013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63E2EFB9"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1413714A"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&lt; 1000</w:t>
            </w:r>
          </w:p>
        </w:tc>
        <w:tc>
          <w:tcPr>
            <w:tcW w:w="873" w:type="dxa"/>
            <w:tcBorders>
              <w:top w:val="nil"/>
              <w:left w:val="nil"/>
              <w:bottom w:val="nil"/>
              <w:right w:val="single" w:sz="4" w:space="0" w:color="auto"/>
            </w:tcBorders>
            <w:shd w:val="clear" w:color="auto" w:fill="auto"/>
            <w:noWrap/>
            <w:vAlign w:val="bottom"/>
            <w:hideMark/>
          </w:tcPr>
          <w:p w14:paraId="48EDD8A2"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Usage Fee</w:t>
            </w:r>
          </w:p>
        </w:tc>
        <w:tc>
          <w:tcPr>
            <w:tcW w:w="1559" w:type="dxa"/>
            <w:tcBorders>
              <w:top w:val="nil"/>
              <w:left w:val="nil"/>
              <w:bottom w:val="nil"/>
              <w:right w:val="nil"/>
            </w:tcBorders>
            <w:shd w:val="clear" w:color="auto" w:fill="auto"/>
            <w:noWrap/>
            <w:vAlign w:val="bottom"/>
            <w:hideMark/>
          </w:tcPr>
          <w:p w14:paraId="679C93E5"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   </w:t>
            </w:r>
          </w:p>
        </w:tc>
        <w:tc>
          <w:tcPr>
            <w:tcW w:w="1553" w:type="dxa"/>
            <w:tcBorders>
              <w:top w:val="nil"/>
              <w:left w:val="nil"/>
              <w:bottom w:val="nil"/>
              <w:right w:val="nil"/>
            </w:tcBorders>
            <w:shd w:val="clear" w:color="auto" w:fill="auto"/>
            <w:noWrap/>
            <w:vAlign w:val="bottom"/>
            <w:hideMark/>
          </w:tcPr>
          <w:p w14:paraId="7CE2983F"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   </w:t>
            </w:r>
          </w:p>
        </w:tc>
        <w:tc>
          <w:tcPr>
            <w:tcW w:w="1553" w:type="dxa"/>
            <w:tcBorders>
              <w:top w:val="nil"/>
              <w:left w:val="nil"/>
              <w:bottom w:val="nil"/>
              <w:right w:val="nil"/>
            </w:tcBorders>
            <w:shd w:val="clear" w:color="auto" w:fill="auto"/>
            <w:noWrap/>
            <w:vAlign w:val="bottom"/>
            <w:hideMark/>
          </w:tcPr>
          <w:p w14:paraId="1BF7A3D9"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   </w:t>
            </w:r>
          </w:p>
        </w:tc>
        <w:tc>
          <w:tcPr>
            <w:tcW w:w="1565" w:type="dxa"/>
            <w:tcBorders>
              <w:top w:val="nil"/>
              <w:left w:val="nil"/>
              <w:bottom w:val="nil"/>
              <w:right w:val="single" w:sz="8" w:space="0" w:color="auto"/>
            </w:tcBorders>
            <w:shd w:val="clear" w:color="auto" w:fill="auto"/>
            <w:noWrap/>
            <w:vAlign w:val="bottom"/>
            <w:hideMark/>
          </w:tcPr>
          <w:p w14:paraId="06557229"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   </w:t>
            </w:r>
          </w:p>
        </w:tc>
      </w:tr>
      <w:tr w:rsidR="00730133" w:rsidRPr="00730133" w14:paraId="1B785A35" w14:textId="77777777" w:rsidTr="0073013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577AFCBF"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single" w:sz="8" w:space="0" w:color="auto"/>
            </w:tcBorders>
            <w:shd w:val="clear" w:color="auto" w:fill="auto"/>
            <w:noWrap/>
            <w:vAlign w:val="bottom"/>
            <w:hideMark/>
          </w:tcPr>
          <w:p w14:paraId="243F07DA"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17 countries</w:t>
            </w:r>
          </w:p>
        </w:tc>
        <w:tc>
          <w:tcPr>
            <w:tcW w:w="873" w:type="dxa"/>
            <w:tcBorders>
              <w:top w:val="nil"/>
              <w:left w:val="nil"/>
              <w:bottom w:val="single" w:sz="8" w:space="0" w:color="auto"/>
              <w:right w:val="single" w:sz="4" w:space="0" w:color="auto"/>
            </w:tcBorders>
            <w:shd w:val="clear" w:color="auto" w:fill="auto"/>
            <w:noWrap/>
            <w:vAlign w:val="bottom"/>
            <w:hideMark/>
          </w:tcPr>
          <w:p w14:paraId="211CEF38"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Total</w:t>
            </w:r>
          </w:p>
        </w:tc>
        <w:tc>
          <w:tcPr>
            <w:tcW w:w="1559" w:type="dxa"/>
            <w:tcBorders>
              <w:top w:val="nil"/>
              <w:left w:val="nil"/>
              <w:bottom w:val="single" w:sz="8" w:space="0" w:color="auto"/>
              <w:right w:val="nil"/>
            </w:tcBorders>
            <w:shd w:val="clear" w:color="auto" w:fill="auto"/>
            <w:noWrap/>
            <w:vAlign w:val="bottom"/>
            <w:hideMark/>
          </w:tcPr>
          <w:p w14:paraId="6E11F395"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   </w:t>
            </w:r>
          </w:p>
        </w:tc>
        <w:tc>
          <w:tcPr>
            <w:tcW w:w="1553" w:type="dxa"/>
            <w:tcBorders>
              <w:top w:val="nil"/>
              <w:left w:val="nil"/>
              <w:bottom w:val="single" w:sz="8" w:space="0" w:color="auto"/>
              <w:right w:val="nil"/>
            </w:tcBorders>
            <w:shd w:val="clear" w:color="auto" w:fill="auto"/>
            <w:noWrap/>
            <w:vAlign w:val="bottom"/>
            <w:hideMark/>
          </w:tcPr>
          <w:p w14:paraId="41BA9CD4"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4,000 </w:t>
            </w:r>
          </w:p>
        </w:tc>
        <w:tc>
          <w:tcPr>
            <w:tcW w:w="1553" w:type="dxa"/>
            <w:tcBorders>
              <w:top w:val="nil"/>
              <w:left w:val="nil"/>
              <w:bottom w:val="single" w:sz="8" w:space="0" w:color="auto"/>
              <w:right w:val="nil"/>
            </w:tcBorders>
            <w:shd w:val="clear" w:color="auto" w:fill="auto"/>
            <w:noWrap/>
            <w:vAlign w:val="bottom"/>
            <w:hideMark/>
          </w:tcPr>
          <w:p w14:paraId="2F1F5B0A"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8,000 </w:t>
            </w:r>
          </w:p>
        </w:tc>
        <w:tc>
          <w:tcPr>
            <w:tcW w:w="1565" w:type="dxa"/>
            <w:tcBorders>
              <w:top w:val="nil"/>
              <w:left w:val="nil"/>
              <w:bottom w:val="single" w:sz="8" w:space="0" w:color="auto"/>
              <w:right w:val="single" w:sz="8" w:space="0" w:color="auto"/>
            </w:tcBorders>
            <w:shd w:val="clear" w:color="auto" w:fill="auto"/>
            <w:noWrap/>
            <w:vAlign w:val="bottom"/>
            <w:hideMark/>
          </w:tcPr>
          <w:p w14:paraId="60F4694B"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16,000 </w:t>
            </w:r>
          </w:p>
        </w:tc>
      </w:tr>
      <w:tr w:rsidR="00730133" w:rsidRPr="00730133" w14:paraId="2D8EA5C9" w14:textId="77777777" w:rsidTr="00730133">
        <w:trPr>
          <w:trHeight w:val="70"/>
        </w:trPr>
        <w:tc>
          <w:tcPr>
            <w:tcW w:w="368" w:type="dxa"/>
            <w:vMerge/>
            <w:tcBorders>
              <w:top w:val="nil"/>
              <w:left w:val="single" w:sz="8" w:space="0" w:color="auto"/>
              <w:bottom w:val="single" w:sz="8" w:space="0" w:color="000000"/>
              <w:right w:val="single" w:sz="8" w:space="0" w:color="auto"/>
            </w:tcBorders>
            <w:vAlign w:val="center"/>
            <w:hideMark/>
          </w:tcPr>
          <w:p w14:paraId="732975AC"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nil"/>
            </w:tcBorders>
            <w:shd w:val="clear" w:color="auto" w:fill="auto"/>
            <w:noWrap/>
            <w:vAlign w:val="bottom"/>
            <w:hideMark/>
          </w:tcPr>
          <w:p w14:paraId="18944032"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873" w:type="dxa"/>
            <w:tcBorders>
              <w:top w:val="nil"/>
              <w:left w:val="nil"/>
              <w:bottom w:val="nil"/>
              <w:right w:val="nil"/>
            </w:tcBorders>
            <w:shd w:val="clear" w:color="auto" w:fill="auto"/>
            <w:noWrap/>
            <w:vAlign w:val="bottom"/>
            <w:hideMark/>
          </w:tcPr>
          <w:p w14:paraId="0A6F899F" w14:textId="77777777" w:rsidR="00730133" w:rsidRPr="00730133" w:rsidRDefault="00730133" w:rsidP="00730133">
            <w:pPr>
              <w:jc w:val="center"/>
              <w:rPr>
                <w:rFonts w:ascii="Arial Narrow" w:eastAsia="Times New Roman" w:hAnsi="Arial Narrow" w:cs="Calibri"/>
                <w:color w:val="000000"/>
                <w:sz w:val="18"/>
                <w:szCs w:val="18"/>
                <w:lang w:eastAsia="en-NZ"/>
              </w:rPr>
            </w:pPr>
          </w:p>
        </w:tc>
        <w:tc>
          <w:tcPr>
            <w:tcW w:w="1559" w:type="dxa"/>
            <w:tcBorders>
              <w:top w:val="nil"/>
              <w:left w:val="nil"/>
              <w:bottom w:val="nil"/>
              <w:right w:val="nil"/>
            </w:tcBorders>
            <w:shd w:val="clear" w:color="auto" w:fill="auto"/>
            <w:noWrap/>
            <w:vAlign w:val="bottom"/>
            <w:hideMark/>
          </w:tcPr>
          <w:p w14:paraId="73FF48DD" w14:textId="77777777" w:rsidR="00730133" w:rsidRPr="00730133" w:rsidRDefault="00730133" w:rsidP="0073013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239B37A7" w14:textId="77777777" w:rsidR="00730133" w:rsidRPr="00730133" w:rsidRDefault="00730133" w:rsidP="0073013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14B2D4C4" w14:textId="77777777" w:rsidR="00730133" w:rsidRPr="00730133" w:rsidRDefault="00730133" w:rsidP="00730133">
            <w:pPr>
              <w:rPr>
                <w:rFonts w:eastAsia="Times New Roman"/>
                <w:sz w:val="20"/>
                <w:szCs w:val="20"/>
                <w:lang w:eastAsia="en-NZ"/>
              </w:rPr>
            </w:pPr>
          </w:p>
        </w:tc>
        <w:tc>
          <w:tcPr>
            <w:tcW w:w="1565" w:type="dxa"/>
            <w:tcBorders>
              <w:top w:val="nil"/>
              <w:left w:val="nil"/>
              <w:bottom w:val="nil"/>
              <w:right w:val="single" w:sz="8" w:space="0" w:color="auto"/>
            </w:tcBorders>
            <w:shd w:val="clear" w:color="auto" w:fill="auto"/>
            <w:noWrap/>
            <w:vAlign w:val="bottom"/>
            <w:hideMark/>
          </w:tcPr>
          <w:p w14:paraId="2B99278A"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r>
      <w:tr w:rsidR="00730133" w:rsidRPr="00730133" w14:paraId="1B814E7A" w14:textId="77777777" w:rsidTr="0073013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547AE2E4"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095F1AA0"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MEDIUM</w:t>
            </w:r>
          </w:p>
        </w:tc>
        <w:tc>
          <w:tcPr>
            <w:tcW w:w="873" w:type="dxa"/>
            <w:tcBorders>
              <w:top w:val="single" w:sz="8" w:space="0" w:color="auto"/>
              <w:left w:val="nil"/>
              <w:bottom w:val="nil"/>
              <w:right w:val="single" w:sz="4" w:space="0" w:color="auto"/>
            </w:tcBorders>
            <w:shd w:val="clear" w:color="auto" w:fill="auto"/>
            <w:noWrap/>
            <w:vAlign w:val="bottom"/>
            <w:hideMark/>
          </w:tcPr>
          <w:p w14:paraId="208D1EC7"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Base Fee</w:t>
            </w:r>
          </w:p>
        </w:tc>
        <w:tc>
          <w:tcPr>
            <w:tcW w:w="1559" w:type="dxa"/>
            <w:tcBorders>
              <w:top w:val="single" w:sz="8" w:space="0" w:color="auto"/>
              <w:left w:val="nil"/>
              <w:bottom w:val="nil"/>
              <w:right w:val="nil"/>
            </w:tcBorders>
            <w:shd w:val="clear" w:color="auto" w:fill="auto"/>
            <w:noWrap/>
            <w:vAlign w:val="bottom"/>
            <w:hideMark/>
          </w:tcPr>
          <w:p w14:paraId="60E28A0A"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   </w:t>
            </w:r>
          </w:p>
        </w:tc>
        <w:tc>
          <w:tcPr>
            <w:tcW w:w="1553" w:type="dxa"/>
            <w:tcBorders>
              <w:top w:val="single" w:sz="8" w:space="0" w:color="auto"/>
              <w:left w:val="nil"/>
              <w:bottom w:val="nil"/>
              <w:right w:val="nil"/>
            </w:tcBorders>
            <w:shd w:val="clear" w:color="auto" w:fill="auto"/>
            <w:noWrap/>
            <w:vAlign w:val="bottom"/>
            <w:hideMark/>
          </w:tcPr>
          <w:p w14:paraId="6DD681FD"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4,000 </w:t>
            </w:r>
          </w:p>
        </w:tc>
        <w:tc>
          <w:tcPr>
            <w:tcW w:w="1553" w:type="dxa"/>
            <w:tcBorders>
              <w:top w:val="single" w:sz="8" w:space="0" w:color="auto"/>
              <w:left w:val="nil"/>
              <w:bottom w:val="nil"/>
              <w:right w:val="nil"/>
            </w:tcBorders>
            <w:shd w:val="clear" w:color="auto" w:fill="auto"/>
            <w:noWrap/>
            <w:vAlign w:val="bottom"/>
            <w:hideMark/>
          </w:tcPr>
          <w:p w14:paraId="5945B760"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8,000 </w:t>
            </w:r>
          </w:p>
        </w:tc>
        <w:tc>
          <w:tcPr>
            <w:tcW w:w="1565" w:type="dxa"/>
            <w:tcBorders>
              <w:top w:val="single" w:sz="8" w:space="0" w:color="auto"/>
              <w:left w:val="nil"/>
              <w:bottom w:val="nil"/>
              <w:right w:val="single" w:sz="8" w:space="0" w:color="auto"/>
            </w:tcBorders>
            <w:shd w:val="clear" w:color="auto" w:fill="auto"/>
            <w:noWrap/>
            <w:vAlign w:val="bottom"/>
            <w:hideMark/>
          </w:tcPr>
          <w:p w14:paraId="6298D070"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16,000 </w:t>
            </w:r>
          </w:p>
        </w:tc>
      </w:tr>
      <w:tr w:rsidR="00730133" w:rsidRPr="00730133" w14:paraId="147DAFF6" w14:textId="77777777" w:rsidTr="0073013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4AAC667A"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52E42D16"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1,000 - 49,999</w:t>
            </w:r>
          </w:p>
        </w:tc>
        <w:tc>
          <w:tcPr>
            <w:tcW w:w="873" w:type="dxa"/>
            <w:tcBorders>
              <w:top w:val="nil"/>
              <w:left w:val="nil"/>
              <w:bottom w:val="nil"/>
              <w:right w:val="single" w:sz="4" w:space="0" w:color="auto"/>
            </w:tcBorders>
            <w:shd w:val="clear" w:color="auto" w:fill="auto"/>
            <w:noWrap/>
            <w:vAlign w:val="bottom"/>
            <w:hideMark/>
          </w:tcPr>
          <w:p w14:paraId="16A28BDF"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Usage Fee</w:t>
            </w:r>
          </w:p>
        </w:tc>
        <w:tc>
          <w:tcPr>
            <w:tcW w:w="1559" w:type="dxa"/>
            <w:tcBorders>
              <w:top w:val="nil"/>
              <w:left w:val="nil"/>
              <w:bottom w:val="nil"/>
              <w:right w:val="nil"/>
            </w:tcBorders>
            <w:shd w:val="clear" w:color="auto" w:fill="auto"/>
            <w:noWrap/>
            <w:vAlign w:val="bottom"/>
            <w:hideMark/>
          </w:tcPr>
          <w:p w14:paraId="74DCAC8C"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4,800 </w:t>
            </w:r>
          </w:p>
        </w:tc>
        <w:tc>
          <w:tcPr>
            <w:tcW w:w="1553" w:type="dxa"/>
            <w:tcBorders>
              <w:top w:val="nil"/>
              <w:left w:val="nil"/>
              <w:bottom w:val="nil"/>
              <w:right w:val="nil"/>
            </w:tcBorders>
            <w:shd w:val="clear" w:color="auto" w:fill="auto"/>
            <w:noWrap/>
            <w:vAlign w:val="bottom"/>
            <w:hideMark/>
          </w:tcPr>
          <w:p w14:paraId="50D45C16"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4,800 </w:t>
            </w:r>
          </w:p>
        </w:tc>
        <w:tc>
          <w:tcPr>
            <w:tcW w:w="1553" w:type="dxa"/>
            <w:tcBorders>
              <w:top w:val="nil"/>
              <w:left w:val="nil"/>
              <w:bottom w:val="nil"/>
              <w:right w:val="nil"/>
            </w:tcBorders>
            <w:shd w:val="clear" w:color="auto" w:fill="auto"/>
            <w:noWrap/>
            <w:vAlign w:val="bottom"/>
            <w:hideMark/>
          </w:tcPr>
          <w:p w14:paraId="7DDDA11D"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4,800 </w:t>
            </w:r>
          </w:p>
        </w:tc>
        <w:tc>
          <w:tcPr>
            <w:tcW w:w="1565" w:type="dxa"/>
            <w:tcBorders>
              <w:top w:val="nil"/>
              <w:left w:val="nil"/>
              <w:bottom w:val="nil"/>
              <w:right w:val="single" w:sz="8" w:space="0" w:color="auto"/>
            </w:tcBorders>
            <w:shd w:val="clear" w:color="auto" w:fill="auto"/>
            <w:noWrap/>
            <w:vAlign w:val="bottom"/>
            <w:hideMark/>
          </w:tcPr>
          <w:p w14:paraId="3A7ACFAB"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4,800 </w:t>
            </w:r>
          </w:p>
        </w:tc>
      </w:tr>
      <w:tr w:rsidR="00730133" w:rsidRPr="00730133" w14:paraId="1510E2EC" w14:textId="77777777" w:rsidTr="0073013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34D425DE"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single" w:sz="8" w:space="0" w:color="auto"/>
            </w:tcBorders>
            <w:shd w:val="clear" w:color="auto" w:fill="auto"/>
            <w:noWrap/>
            <w:vAlign w:val="bottom"/>
            <w:hideMark/>
          </w:tcPr>
          <w:p w14:paraId="49BD83A6"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44 countries</w:t>
            </w:r>
          </w:p>
        </w:tc>
        <w:tc>
          <w:tcPr>
            <w:tcW w:w="873" w:type="dxa"/>
            <w:tcBorders>
              <w:top w:val="nil"/>
              <w:left w:val="nil"/>
              <w:bottom w:val="single" w:sz="8" w:space="0" w:color="auto"/>
              <w:right w:val="single" w:sz="4" w:space="0" w:color="auto"/>
            </w:tcBorders>
            <w:shd w:val="clear" w:color="auto" w:fill="auto"/>
            <w:noWrap/>
            <w:vAlign w:val="bottom"/>
            <w:hideMark/>
          </w:tcPr>
          <w:p w14:paraId="06705485"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Total</w:t>
            </w:r>
          </w:p>
        </w:tc>
        <w:tc>
          <w:tcPr>
            <w:tcW w:w="1559" w:type="dxa"/>
            <w:tcBorders>
              <w:top w:val="nil"/>
              <w:left w:val="nil"/>
              <w:bottom w:val="single" w:sz="8" w:space="0" w:color="auto"/>
              <w:right w:val="nil"/>
            </w:tcBorders>
            <w:shd w:val="clear" w:color="auto" w:fill="auto"/>
            <w:noWrap/>
            <w:vAlign w:val="bottom"/>
            <w:hideMark/>
          </w:tcPr>
          <w:p w14:paraId="1E67244C"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4,800 </w:t>
            </w:r>
          </w:p>
        </w:tc>
        <w:tc>
          <w:tcPr>
            <w:tcW w:w="1553" w:type="dxa"/>
            <w:tcBorders>
              <w:top w:val="nil"/>
              <w:left w:val="nil"/>
              <w:bottom w:val="single" w:sz="8" w:space="0" w:color="auto"/>
              <w:right w:val="nil"/>
            </w:tcBorders>
            <w:shd w:val="clear" w:color="auto" w:fill="auto"/>
            <w:noWrap/>
            <w:vAlign w:val="bottom"/>
            <w:hideMark/>
          </w:tcPr>
          <w:p w14:paraId="75E83100"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8,800 </w:t>
            </w:r>
          </w:p>
        </w:tc>
        <w:tc>
          <w:tcPr>
            <w:tcW w:w="1553" w:type="dxa"/>
            <w:tcBorders>
              <w:top w:val="nil"/>
              <w:left w:val="nil"/>
              <w:bottom w:val="single" w:sz="8" w:space="0" w:color="auto"/>
              <w:right w:val="nil"/>
            </w:tcBorders>
            <w:shd w:val="clear" w:color="auto" w:fill="auto"/>
            <w:noWrap/>
            <w:vAlign w:val="bottom"/>
            <w:hideMark/>
          </w:tcPr>
          <w:p w14:paraId="67ACD272"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12,800 </w:t>
            </w:r>
          </w:p>
        </w:tc>
        <w:tc>
          <w:tcPr>
            <w:tcW w:w="1565" w:type="dxa"/>
            <w:tcBorders>
              <w:top w:val="nil"/>
              <w:left w:val="nil"/>
              <w:bottom w:val="single" w:sz="8" w:space="0" w:color="auto"/>
              <w:right w:val="single" w:sz="8" w:space="0" w:color="auto"/>
            </w:tcBorders>
            <w:shd w:val="clear" w:color="auto" w:fill="auto"/>
            <w:noWrap/>
            <w:vAlign w:val="bottom"/>
            <w:hideMark/>
          </w:tcPr>
          <w:p w14:paraId="6C124C95"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20,800 </w:t>
            </w:r>
          </w:p>
        </w:tc>
      </w:tr>
      <w:tr w:rsidR="00730133" w:rsidRPr="00730133" w14:paraId="4811F412" w14:textId="77777777" w:rsidTr="00730133">
        <w:trPr>
          <w:trHeight w:val="80"/>
        </w:trPr>
        <w:tc>
          <w:tcPr>
            <w:tcW w:w="368" w:type="dxa"/>
            <w:vMerge/>
            <w:tcBorders>
              <w:top w:val="nil"/>
              <w:left w:val="single" w:sz="8" w:space="0" w:color="auto"/>
              <w:bottom w:val="single" w:sz="8" w:space="0" w:color="000000"/>
              <w:right w:val="single" w:sz="8" w:space="0" w:color="auto"/>
            </w:tcBorders>
            <w:vAlign w:val="center"/>
            <w:hideMark/>
          </w:tcPr>
          <w:p w14:paraId="43DE35B3"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nil"/>
            </w:tcBorders>
            <w:shd w:val="clear" w:color="auto" w:fill="auto"/>
            <w:noWrap/>
            <w:vAlign w:val="bottom"/>
            <w:hideMark/>
          </w:tcPr>
          <w:p w14:paraId="3EBEF62F"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873" w:type="dxa"/>
            <w:tcBorders>
              <w:top w:val="nil"/>
              <w:left w:val="nil"/>
              <w:bottom w:val="nil"/>
              <w:right w:val="nil"/>
            </w:tcBorders>
            <w:shd w:val="clear" w:color="auto" w:fill="auto"/>
            <w:noWrap/>
            <w:vAlign w:val="bottom"/>
            <w:hideMark/>
          </w:tcPr>
          <w:p w14:paraId="3EF740F7" w14:textId="77777777" w:rsidR="00730133" w:rsidRPr="00730133" w:rsidRDefault="00730133" w:rsidP="00730133">
            <w:pPr>
              <w:jc w:val="center"/>
              <w:rPr>
                <w:rFonts w:ascii="Arial Narrow" w:eastAsia="Times New Roman" w:hAnsi="Arial Narrow" w:cs="Calibri"/>
                <w:color w:val="000000"/>
                <w:sz w:val="18"/>
                <w:szCs w:val="18"/>
                <w:lang w:eastAsia="en-NZ"/>
              </w:rPr>
            </w:pPr>
          </w:p>
        </w:tc>
        <w:tc>
          <w:tcPr>
            <w:tcW w:w="1559" w:type="dxa"/>
            <w:tcBorders>
              <w:top w:val="nil"/>
              <w:left w:val="nil"/>
              <w:bottom w:val="nil"/>
              <w:right w:val="nil"/>
            </w:tcBorders>
            <w:shd w:val="clear" w:color="auto" w:fill="auto"/>
            <w:noWrap/>
            <w:vAlign w:val="bottom"/>
            <w:hideMark/>
          </w:tcPr>
          <w:p w14:paraId="2E84200B" w14:textId="77777777" w:rsidR="00730133" w:rsidRPr="00730133" w:rsidRDefault="00730133" w:rsidP="0073013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1DCE1772" w14:textId="77777777" w:rsidR="00730133" w:rsidRPr="00730133" w:rsidRDefault="00730133" w:rsidP="0073013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066634E7" w14:textId="77777777" w:rsidR="00730133" w:rsidRPr="00730133" w:rsidRDefault="00730133" w:rsidP="00730133">
            <w:pPr>
              <w:rPr>
                <w:rFonts w:eastAsia="Times New Roman"/>
                <w:sz w:val="20"/>
                <w:szCs w:val="20"/>
                <w:lang w:eastAsia="en-NZ"/>
              </w:rPr>
            </w:pPr>
          </w:p>
        </w:tc>
        <w:tc>
          <w:tcPr>
            <w:tcW w:w="1565" w:type="dxa"/>
            <w:tcBorders>
              <w:top w:val="nil"/>
              <w:left w:val="nil"/>
              <w:bottom w:val="nil"/>
              <w:right w:val="single" w:sz="8" w:space="0" w:color="auto"/>
            </w:tcBorders>
            <w:shd w:val="clear" w:color="auto" w:fill="auto"/>
            <w:noWrap/>
            <w:vAlign w:val="bottom"/>
            <w:hideMark/>
          </w:tcPr>
          <w:p w14:paraId="1A083625"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r>
      <w:tr w:rsidR="00730133" w:rsidRPr="00730133" w14:paraId="0F4DE190" w14:textId="77777777" w:rsidTr="0073013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73CD2D14"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2147509A"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HIGH</w:t>
            </w:r>
          </w:p>
        </w:tc>
        <w:tc>
          <w:tcPr>
            <w:tcW w:w="873" w:type="dxa"/>
            <w:tcBorders>
              <w:top w:val="single" w:sz="8" w:space="0" w:color="auto"/>
              <w:left w:val="nil"/>
              <w:bottom w:val="nil"/>
              <w:right w:val="single" w:sz="4" w:space="0" w:color="auto"/>
            </w:tcBorders>
            <w:shd w:val="clear" w:color="auto" w:fill="auto"/>
            <w:noWrap/>
            <w:vAlign w:val="bottom"/>
            <w:hideMark/>
          </w:tcPr>
          <w:p w14:paraId="47EBF2FF"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Base Fee</w:t>
            </w:r>
          </w:p>
        </w:tc>
        <w:tc>
          <w:tcPr>
            <w:tcW w:w="1559" w:type="dxa"/>
            <w:tcBorders>
              <w:top w:val="single" w:sz="8" w:space="0" w:color="auto"/>
              <w:left w:val="nil"/>
              <w:bottom w:val="nil"/>
              <w:right w:val="nil"/>
            </w:tcBorders>
            <w:shd w:val="clear" w:color="auto" w:fill="auto"/>
            <w:noWrap/>
            <w:vAlign w:val="bottom"/>
            <w:hideMark/>
          </w:tcPr>
          <w:p w14:paraId="41D5EC51"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   </w:t>
            </w:r>
          </w:p>
        </w:tc>
        <w:tc>
          <w:tcPr>
            <w:tcW w:w="1553" w:type="dxa"/>
            <w:tcBorders>
              <w:top w:val="single" w:sz="8" w:space="0" w:color="auto"/>
              <w:left w:val="nil"/>
              <w:bottom w:val="nil"/>
              <w:right w:val="nil"/>
            </w:tcBorders>
            <w:shd w:val="clear" w:color="auto" w:fill="auto"/>
            <w:noWrap/>
            <w:vAlign w:val="bottom"/>
            <w:hideMark/>
          </w:tcPr>
          <w:p w14:paraId="46D7A46F"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4,000 </w:t>
            </w:r>
          </w:p>
        </w:tc>
        <w:tc>
          <w:tcPr>
            <w:tcW w:w="1553" w:type="dxa"/>
            <w:tcBorders>
              <w:top w:val="single" w:sz="8" w:space="0" w:color="auto"/>
              <w:left w:val="nil"/>
              <w:bottom w:val="nil"/>
              <w:right w:val="nil"/>
            </w:tcBorders>
            <w:shd w:val="clear" w:color="auto" w:fill="auto"/>
            <w:noWrap/>
            <w:vAlign w:val="bottom"/>
            <w:hideMark/>
          </w:tcPr>
          <w:p w14:paraId="59CC1B54"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8,000 </w:t>
            </w:r>
          </w:p>
        </w:tc>
        <w:tc>
          <w:tcPr>
            <w:tcW w:w="1565" w:type="dxa"/>
            <w:tcBorders>
              <w:top w:val="single" w:sz="8" w:space="0" w:color="auto"/>
              <w:left w:val="nil"/>
              <w:bottom w:val="nil"/>
              <w:right w:val="single" w:sz="8" w:space="0" w:color="auto"/>
            </w:tcBorders>
            <w:shd w:val="clear" w:color="auto" w:fill="auto"/>
            <w:noWrap/>
            <w:vAlign w:val="bottom"/>
            <w:hideMark/>
          </w:tcPr>
          <w:p w14:paraId="064139AA"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16,000 </w:t>
            </w:r>
          </w:p>
        </w:tc>
      </w:tr>
      <w:tr w:rsidR="00730133" w:rsidRPr="00730133" w14:paraId="5B216F59" w14:textId="77777777" w:rsidTr="0073013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39D30AA2"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704BC0F7"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50,000 - 149,999</w:t>
            </w:r>
          </w:p>
        </w:tc>
        <w:tc>
          <w:tcPr>
            <w:tcW w:w="873" w:type="dxa"/>
            <w:tcBorders>
              <w:top w:val="nil"/>
              <w:left w:val="nil"/>
              <w:bottom w:val="nil"/>
              <w:right w:val="single" w:sz="4" w:space="0" w:color="auto"/>
            </w:tcBorders>
            <w:shd w:val="clear" w:color="auto" w:fill="auto"/>
            <w:noWrap/>
            <w:vAlign w:val="bottom"/>
            <w:hideMark/>
          </w:tcPr>
          <w:p w14:paraId="2536B4F3"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Usage Fee</w:t>
            </w:r>
          </w:p>
        </w:tc>
        <w:tc>
          <w:tcPr>
            <w:tcW w:w="1559" w:type="dxa"/>
            <w:tcBorders>
              <w:top w:val="nil"/>
              <w:left w:val="nil"/>
              <w:bottom w:val="nil"/>
              <w:right w:val="nil"/>
            </w:tcBorders>
            <w:shd w:val="clear" w:color="auto" w:fill="auto"/>
            <w:noWrap/>
            <w:vAlign w:val="bottom"/>
            <w:hideMark/>
          </w:tcPr>
          <w:p w14:paraId="3EC89370"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9,600 </w:t>
            </w:r>
          </w:p>
        </w:tc>
        <w:tc>
          <w:tcPr>
            <w:tcW w:w="1553" w:type="dxa"/>
            <w:tcBorders>
              <w:top w:val="nil"/>
              <w:left w:val="nil"/>
              <w:bottom w:val="nil"/>
              <w:right w:val="nil"/>
            </w:tcBorders>
            <w:shd w:val="clear" w:color="auto" w:fill="auto"/>
            <w:noWrap/>
            <w:vAlign w:val="bottom"/>
            <w:hideMark/>
          </w:tcPr>
          <w:p w14:paraId="2FCCFC44"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9,600 </w:t>
            </w:r>
          </w:p>
        </w:tc>
        <w:tc>
          <w:tcPr>
            <w:tcW w:w="1553" w:type="dxa"/>
            <w:tcBorders>
              <w:top w:val="nil"/>
              <w:left w:val="nil"/>
              <w:bottom w:val="nil"/>
              <w:right w:val="nil"/>
            </w:tcBorders>
            <w:shd w:val="clear" w:color="auto" w:fill="auto"/>
            <w:noWrap/>
            <w:vAlign w:val="bottom"/>
            <w:hideMark/>
          </w:tcPr>
          <w:p w14:paraId="65F6889A"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9,600 </w:t>
            </w:r>
          </w:p>
        </w:tc>
        <w:tc>
          <w:tcPr>
            <w:tcW w:w="1565" w:type="dxa"/>
            <w:tcBorders>
              <w:top w:val="nil"/>
              <w:left w:val="nil"/>
              <w:bottom w:val="nil"/>
              <w:right w:val="single" w:sz="8" w:space="0" w:color="auto"/>
            </w:tcBorders>
            <w:shd w:val="clear" w:color="auto" w:fill="auto"/>
            <w:noWrap/>
            <w:vAlign w:val="bottom"/>
            <w:hideMark/>
          </w:tcPr>
          <w:p w14:paraId="3DE37C39"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9,600 </w:t>
            </w:r>
          </w:p>
        </w:tc>
      </w:tr>
      <w:tr w:rsidR="00730133" w:rsidRPr="00730133" w14:paraId="03E64FB6" w14:textId="77777777" w:rsidTr="0073013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2CB97E9A"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single" w:sz="8" w:space="0" w:color="auto"/>
            </w:tcBorders>
            <w:shd w:val="clear" w:color="auto" w:fill="auto"/>
            <w:noWrap/>
            <w:vAlign w:val="bottom"/>
            <w:hideMark/>
          </w:tcPr>
          <w:p w14:paraId="633AA88B"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10 countries</w:t>
            </w:r>
          </w:p>
        </w:tc>
        <w:tc>
          <w:tcPr>
            <w:tcW w:w="873" w:type="dxa"/>
            <w:tcBorders>
              <w:top w:val="nil"/>
              <w:left w:val="nil"/>
              <w:bottom w:val="single" w:sz="8" w:space="0" w:color="auto"/>
              <w:right w:val="single" w:sz="4" w:space="0" w:color="auto"/>
            </w:tcBorders>
            <w:shd w:val="clear" w:color="auto" w:fill="auto"/>
            <w:noWrap/>
            <w:vAlign w:val="bottom"/>
            <w:hideMark/>
          </w:tcPr>
          <w:p w14:paraId="5C60CB17"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Total</w:t>
            </w:r>
          </w:p>
        </w:tc>
        <w:tc>
          <w:tcPr>
            <w:tcW w:w="1559" w:type="dxa"/>
            <w:tcBorders>
              <w:top w:val="nil"/>
              <w:left w:val="nil"/>
              <w:bottom w:val="single" w:sz="8" w:space="0" w:color="auto"/>
              <w:right w:val="nil"/>
            </w:tcBorders>
            <w:shd w:val="clear" w:color="auto" w:fill="auto"/>
            <w:noWrap/>
            <w:vAlign w:val="bottom"/>
            <w:hideMark/>
          </w:tcPr>
          <w:p w14:paraId="085C0F18"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9,600 </w:t>
            </w:r>
          </w:p>
        </w:tc>
        <w:tc>
          <w:tcPr>
            <w:tcW w:w="1553" w:type="dxa"/>
            <w:tcBorders>
              <w:top w:val="nil"/>
              <w:left w:val="nil"/>
              <w:bottom w:val="single" w:sz="8" w:space="0" w:color="auto"/>
              <w:right w:val="nil"/>
            </w:tcBorders>
            <w:shd w:val="clear" w:color="auto" w:fill="auto"/>
            <w:noWrap/>
            <w:vAlign w:val="bottom"/>
            <w:hideMark/>
          </w:tcPr>
          <w:p w14:paraId="4EBBC81C"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13,600 </w:t>
            </w:r>
          </w:p>
        </w:tc>
        <w:tc>
          <w:tcPr>
            <w:tcW w:w="1553" w:type="dxa"/>
            <w:tcBorders>
              <w:top w:val="nil"/>
              <w:left w:val="nil"/>
              <w:bottom w:val="single" w:sz="8" w:space="0" w:color="auto"/>
              <w:right w:val="nil"/>
            </w:tcBorders>
            <w:shd w:val="clear" w:color="auto" w:fill="auto"/>
            <w:noWrap/>
            <w:vAlign w:val="bottom"/>
            <w:hideMark/>
          </w:tcPr>
          <w:p w14:paraId="14F8C373"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17,600 </w:t>
            </w:r>
          </w:p>
        </w:tc>
        <w:tc>
          <w:tcPr>
            <w:tcW w:w="1565" w:type="dxa"/>
            <w:tcBorders>
              <w:top w:val="nil"/>
              <w:left w:val="nil"/>
              <w:bottom w:val="single" w:sz="8" w:space="0" w:color="auto"/>
              <w:right w:val="single" w:sz="8" w:space="0" w:color="auto"/>
            </w:tcBorders>
            <w:shd w:val="clear" w:color="auto" w:fill="auto"/>
            <w:noWrap/>
            <w:vAlign w:val="bottom"/>
            <w:hideMark/>
          </w:tcPr>
          <w:p w14:paraId="266ECE1F"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25,600 </w:t>
            </w:r>
          </w:p>
        </w:tc>
      </w:tr>
      <w:tr w:rsidR="00730133" w:rsidRPr="00730133" w14:paraId="1B9D9856" w14:textId="77777777" w:rsidTr="00730133">
        <w:trPr>
          <w:trHeight w:val="70"/>
        </w:trPr>
        <w:tc>
          <w:tcPr>
            <w:tcW w:w="368" w:type="dxa"/>
            <w:vMerge/>
            <w:tcBorders>
              <w:top w:val="nil"/>
              <w:left w:val="single" w:sz="8" w:space="0" w:color="auto"/>
              <w:bottom w:val="single" w:sz="8" w:space="0" w:color="000000"/>
              <w:right w:val="single" w:sz="8" w:space="0" w:color="auto"/>
            </w:tcBorders>
            <w:vAlign w:val="center"/>
            <w:hideMark/>
          </w:tcPr>
          <w:p w14:paraId="358CA16E"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nil"/>
            </w:tcBorders>
            <w:shd w:val="clear" w:color="auto" w:fill="auto"/>
            <w:noWrap/>
            <w:vAlign w:val="bottom"/>
            <w:hideMark/>
          </w:tcPr>
          <w:p w14:paraId="6F19C828"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c>
          <w:tcPr>
            <w:tcW w:w="873" w:type="dxa"/>
            <w:tcBorders>
              <w:top w:val="nil"/>
              <w:left w:val="nil"/>
              <w:bottom w:val="nil"/>
              <w:right w:val="nil"/>
            </w:tcBorders>
            <w:shd w:val="clear" w:color="auto" w:fill="auto"/>
            <w:noWrap/>
            <w:vAlign w:val="bottom"/>
            <w:hideMark/>
          </w:tcPr>
          <w:p w14:paraId="4B20A682" w14:textId="77777777" w:rsidR="00730133" w:rsidRPr="00730133" w:rsidRDefault="00730133" w:rsidP="00730133">
            <w:pPr>
              <w:jc w:val="center"/>
              <w:rPr>
                <w:rFonts w:ascii="Arial Narrow" w:eastAsia="Times New Roman" w:hAnsi="Arial Narrow" w:cs="Calibri"/>
                <w:color w:val="000000"/>
                <w:sz w:val="18"/>
                <w:szCs w:val="18"/>
                <w:lang w:eastAsia="en-NZ"/>
              </w:rPr>
            </w:pPr>
          </w:p>
        </w:tc>
        <w:tc>
          <w:tcPr>
            <w:tcW w:w="1559" w:type="dxa"/>
            <w:tcBorders>
              <w:top w:val="nil"/>
              <w:left w:val="nil"/>
              <w:bottom w:val="nil"/>
              <w:right w:val="nil"/>
            </w:tcBorders>
            <w:shd w:val="clear" w:color="auto" w:fill="auto"/>
            <w:noWrap/>
            <w:vAlign w:val="bottom"/>
            <w:hideMark/>
          </w:tcPr>
          <w:p w14:paraId="3EA0AC5B" w14:textId="77777777" w:rsidR="00730133" w:rsidRPr="00730133" w:rsidRDefault="00730133" w:rsidP="0073013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350104D0" w14:textId="77777777" w:rsidR="00730133" w:rsidRPr="00730133" w:rsidRDefault="00730133" w:rsidP="0073013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03226CAB" w14:textId="77777777" w:rsidR="00730133" w:rsidRPr="00730133" w:rsidRDefault="00730133" w:rsidP="00730133">
            <w:pPr>
              <w:rPr>
                <w:rFonts w:eastAsia="Times New Roman"/>
                <w:sz w:val="20"/>
                <w:szCs w:val="20"/>
                <w:lang w:eastAsia="en-NZ"/>
              </w:rPr>
            </w:pPr>
          </w:p>
        </w:tc>
        <w:tc>
          <w:tcPr>
            <w:tcW w:w="1565" w:type="dxa"/>
            <w:tcBorders>
              <w:top w:val="nil"/>
              <w:left w:val="nil"/>
              <w:bottom w:val="nil"/>
              <w:right w:val="single" w:sz="8" w:space="0" w:color="auto"/>
            </w:tcBorders>
            <w:shd w:val="clear" w:color="auto" w:fill="auto"/>
            <w:noWrap/>
            <w:vAlign w:val="bottom"/>
            <w:hideMark/>
          </w:tcPr>
          <w:p w14:paraId="5AAF8C13"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w:t>
            </w:r>
          </w:p>
        </w:tc>
      </w:tr>
      <w:tr w:rsidR="00730133" w:rsidRPr="00730133" w14:paraId="1777BFD7" w14:textId="77777777" w:rsidTr="0073013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07E9E726"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3355505B" w14:textId="77777777" w:rsidR="00730133" w:rsidRPr="00730133" w:rsidRDefault="00730133" w:rsidP="00730133">
            <w:pPr>
              <w:jc w:val="cente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VERY HIGH</w:t>
            </w:r>
          </w:p>
        </w:tc>
        <w:tc>
          <w:tcPr>
            <w:tcW w:w="873" w:type="dxa"/>
            <w:tcBorders>
              <w:top w:val="single" w:sz="8" w:space="0" w:color="auto"/>
              <w:left w:val="nil"/>
              <w:bottom w:val="nil"/>
              <w:right w:val="single" w:sz="4" w:space="0" w:color="auto"/>
            </w:tcBorders>
            <w:shd w:val="clear" w:color="auto" w:fill="auto"/>
            <w:noWrap/>
            <w:vAlign w:val="bottom"/>
            <w:hideMark/>
          </w:tcPr>
          <w:p w14:paraId="6AF88BB2"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Base Fee</w:t>
            </w:r>
          </w:p>
        </w:tc>
        <w:tc>
          <w:tcPr>
            <w:tcW w:w="1559" w:type="dxa"/>
            <w:tcBorders>
              <w:top w:val="single" w:sz="8" w:space="0" w:color="auto"/>
              <w:left w:val="nil"/>
              <w:bottom w:val="nil"/>
              <w:right w:val="nil"/>
            </w:tcBorders>
            <w:shd w:val="clear" w:color="auto" w:fill="auto"/>
            <w:noWrap/>
            <w:vAlign w:val="bottom"/>
            <w:hideMark/>
          </w:tcPr>
          <w:p w14:paraId="5C14274B"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   </w:t>
            </w:r>
          </w:p>
        </w:tc>
        <w:tc>
          <w:tcPr>
            <w:tcW w:w="1553" w:type="dxa"/>
            <w:tcBorders>
              <w:top w:val="single" w:sz="8" w:space="0" w:color="auto"/>
              <w:left w:val="nil"/>
              <w:bottom w:val="nil"/>
              <w:right w:val="nil"/>
            </w:tcBorders>
            <w:shd w:val="clear" w:color="auto" w:fill="auto"/>
            <w:noWrap/>
            <w:vAlign w:val="bottom"/>
            <w:hideMark/>
          </w:tcPr>
          <w:p w14:paraId="0C345D5D"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4,000 </w:t>
            </w:r>
          </w:p>
        </w:tc>
        <w:tc>
          <w:tcPr>
            <w:tcW w:w="1553" w:type="dxa"/>
            <w:tcBorders>
              <w:top w:val="single" w:sz="8" w:space="0" w:color="auto"/>
              <w:left w:val="nil"/>
              <w:bottom w:val="nil"/>
              <w:right w:val="nil"/>
            </w:tcBorders>
            <w:shd w:val="clear" w:color="auto" w:fill="auto"/>
            <w:noWrap/>
            <w:vAlign w:val="bottom"/>
            <w:hideMark/>
          </w:tcPr>
          <w:p w14:paraId="4FEE6897"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8,000 </w:t>
            </w:r>
          </w:p>
        </w:tc>
        <w:tc>
          <w:tcPr>
            <w:tcW w:w="1565" w:type="dxa"/>
            <w:tcBorders>
              <w:top w:val="single" w:sz="8" w:space="0" w:color="auto"/>
              <w:left w:val="nil"/>
              <w:bottom w:val="nil"/>
              <w:right w:val="single" w:sz="8" w:space="0" w:color="auto"/>
            </w:tcBorders>
            <w:shd w:val="clear" w:color="auto" w:fill="auto"/>
            <w:noWrap/>
            <w:vAlign w:val="bottom"/>
            <w:hideMark/>
          </w:tcPr>
          <w:p w14:paraId="082F3E5A"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16,000 </w:t>
            </w:r>
          </w:p>
        </w:tc>
      </w:tr>
      <w:tr w:rsidR="00730133" w:rsidRPr="00730133" w14:paraId="28C8F942" w14:textId="77777777" w:rsidTr="0073013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680756F9"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7CA06D50"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150,000+</w:t>
            </w:r>
          </w:p>
        </w:tc>
        <w:tc>
          <w:tcPr>
            <w:tcW w:w="873" w:type="dxa"/>
            <w:tcBorders>
              <w:top w:val="nil"/>
              <w:left w:val="nil"/>
              <w:bottom w:val="nil"/>
              <w:right w:val="single" w:sz="4" w:space="0" w:color="auto"/>
            </w:tcBorders>
            <w:shd w:val="clear" w:color="auto" w:fill="auto"/>
            <w:noWrap/>
            <w:vAlign w:val="bottom"/>
            <w:hideMark/>
          </w:tcPr>
          <w:p w14:paraId="318E949E"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Usage Fee</w:t>
            </w:r>
          </w:p>
        </w:tc>
        <w:tc>
          <w:tcPr>
            <w:tcW w:w="1559" w:type="dxa"/>
            <w:tcBorders>
              <w:top w:val="nil"/>
              <w:left w:val="nil"/>
              <w:bottom w:val="nil"/>
              <w:right w:val="nil"/>
            </w:tcBorders>
            <w:shd w:val="clear" w:color="auto" w:fill="auto"/>
            <w:noWrap/>
            <w:vAlign w:val="bottom"/>
            <w:hideMark/>
          </w:tcPr>
          <w:p w14:paraId="45E8434C"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19,200 </w:t>
            </w:r>
          </w:p>
        </w:tc>
        <w:tc>
          <w:tcPr>
            <w:tcW w:w="1553" w:type="dxa"/>
            <w:tcBorders>
              <w:top w:val="nil"/>
              <w:left w:val="nil"/>
              <w:bottom w:val="nil"/>
              <w:right w:val="nil"/>
            </w:tcBorders>
            <w:shd w:val="clear" w:color="auto" w:fill="auto"/>
            <w:noWrap/>
            <w:vAlign w:val="bottom"/>
            <w:hideMark/>
          </w:tcPr>
          <w:p w14:paraId="7A6A828A"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19,200 </w:t>
            </w:r>
          </w:p>
        </w:tc>
        <w:tc>
          <w:tcPr>
            <w:tcW w:w="1553" w:type="dxa"/>
            <w:tcBorders>
              <w:top w:val="nil"/>
              <w:left w:val="nil"/>
              <w:bottom w:val="nil"/>
              <w:right w:val="nil"/>
            </w:tcBorders>
            <w:shd w:val="clear" w:color="auto" w:fill="auto"/>
            <w:noWrap/>
            <w:vAlign w:val="bottom"/>
            <w:hideMark/>
          </w:tcPr>
          <w:p w14:paraId="631ED05B"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19,200 </w:t>
            </w:r>
          </w:p>
        </w:tc>
        <w:tc>
          <w:tcPr>
            <w:tcW w:w="1565" w:type="dxa"/>
            <w:tcBorders>
              <w:top w:val="nil"/>
              <w:left w:val="nil"/>
              <w:bottom w:val="nil"/>
              <w:right w:val="single" w:sz="8" w:space="0" w:color="auto"/>
            </w:tcBorders>
            <w:shd w:val="clear" w:color="auto" w:fill="auto"/>
            <w:noWrap/>
            <w:vAlign w:val="bottom"/>
            <w:hideMark/>
          </w:tcPr>
          <w:p w14:paraId="302C2660" w14:textId="77777777" w:rsidR="00730133" w:rsidRPr="00730133" w:rsidRDefault="00730133" w:rsidP="00730133">
            <w:pP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 xml:space="preserve"> $                  19,200 </w:t>
            </w:r>
          </w:p>
        </w:tc>
      </w:tr>
      <w:tr w:rsidR="00730133" w:rsidRPr="00730133" w14:paraId="723799FC" w14:textId="77777777" w:rsidTr="0073013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410F1E49" w14:textId="77777777" w:rsidR="00730133" w:rsidRPr="00730133" w:rsidRDefault="00730133" w:rsidP="0073013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single" w:sz="8" w:space="0" w:color="auto"/>
            </w:tcBorders>
            <w:shd w:val="clear" w:color="auto" w:fill="auto"/>
            <w:noWrap/>
            <w:vAlign w:val="bottom"/>
            <w:hideMark/>
          </w:tcPr>
          <w:p w14:paraId="7C09B108" w14:textId="77777777" w:rsidR="00730133" w:rsidRPr="00730133" w:rsidRDefault="00730133" w:rsidP="00730133">
            <w:pPr>
              <w:jc w:val="center"/>
              <w:rPr>
                <w:rFonts w:ascii="Arial Narrow" w:eastAsia="Times New Roman" w:hAnsi="Arial Narrow" w:cs="Calibri"/>
                <w:color w:val="000000"/>
                <w:sz w:val="18"/>
                <w:szCs w:val="18"/>
                <w:lang w:eastAsia="en-NZ"/>
              </w:rPr>
            </w:pPr>
            <w:r w:rsidRPr="00730133">
              <w:rPr>
                <w:rFonts w:ascii="Arial Narrow" w:eastAsia="Times New Roman" w:hAnsi="Arial Narrow" w:cs="Calibri"/>
                <w:color w:val="000000"/>
                <w:sz w:val="18"/>
                <w:szCs w:val="18"/>
                <w:lang w:eastAsia="en-NZ"/>
              </w:rPr>
              <w:t>6 countries</w:t>
            </w:r>
          </w:p>
        </w:tc>
        <w:tc>
          <w:tcPr>
            <w:tcW w:w="873" w:type="dxa"/>
            <w:tcBorders>
              <w:top w:val="nil"/>
              <w:left w:val="nil"/>
              <w:bottom w:val="single" w:sz="8" w:space="0" w:color="auto"/>
              <w:right w:val="single" w:sz="4" w:space="0" w:color="auto"/>
            </w:tcBorders>
            <w:shd w:val="clear" w:color="auto" w:fill="auto"/>
            <w:noWrap/>
            <w:vAlign w:val="bottom"/>
            <w:hideMark/>
          </w:tcPr>
          <w:p w14:paraId="1AD969EF"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Total</w:t>
            </w:r>
          </w:p>
        </w:tc>
        <w:tc>
          <w:tcPr>
            <w:tcW w:w="1559" w:type="dxa"/>
            <w:tcBorders>
              <w:top w:val="nil"/>
              <w:left w:val="nil"/>
              <w:bottom w:val="single" w:sz="8" w:space="0" w:color="auto"/>
              <w:right w:val="nil"/>
            </w:tcBorders>
            <w:shd w:val="clear" w:color="auto" w:fill="auto"/>
            <w:noWrap/>
            <w:vAlign w:val="bottom"/>
            <w:hideMark/>
          </w:tcPr>
          <w:p w14:paraId="21C1AA34"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19,200 </w:t>
            </w:r>
          </w:p>
        </w:tc>
        <w:tc>
          <w:tcPr>
            <w:tcW w:w="1553" w:type="dxa"/>
            <w:tcBorders>
              <w:top w:val="nil"/>
              <w:left w:val="nil"/>
              <w:bottom w:val="single" w:sz="8" w:space="0" w:color="auto"/>
              <w:right w:val="nil"/>
            </w:tcBorders>
            <w:shd w:val="clear" w:color="auto" w:fill="auto"/>
            <w:noWrap/>
            <w:vAlign w:val="bottom"/>
            <w:hideMark/>
          </w:tcPr>
          <w:p w14:paraId="1DAB3F18"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23,200 </w:t>
            </w:r>
          </w:p>
        </w:tc>
        <w:tc>
          <w:tcPr>
            <w:tcW w:w="1553" w:type="dxa"/>
            <w:tcBorders>
              <w:top w:val="nil"/>
              <w:left w:val="nil"/>
              <w:bottom w:val="single" w:sz="8" w:space="0" w:color="auto"/>
              <w:right w:val="nil"/>
            </w:tcBorders>
            <w:shd w:val="clear" w:color="auto" w:fill="auto"/>
            <w:noWrap/>
            <w:vAlign w:val="bottom"/>
            <w:hideMark/>
          </w:tcPr>
          <w:p w14:paraId="4DA04A05"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27,200 </w:t>
            </w:r>
          </w:p>
        </w:tc>
        <w:tc>
          <w:tcPr>
            <w:tcW w:w="1565" w:type="dxa"/>
            <w:tcBorders>
              <w:top w:val="nil"/>
              <w:left w:val="nil"/>
              <w:bottom w:val="single" w:sz="8" w:space="0" w:color="auto"/>
              <w:right w:val="single" w:sz="8" w:space="0" w:color="auto"/>
            </w:tcBorders>
            <w:shd w:val="clear" w:color="auto" w:fill="auto"/>
            <w:noWrap/>
            <w:vAlign w:val="bottom"/>
            <w:hideMark/>
          </w:tcPr>
          <w:p w14:paraId="1944748A" w14:textId="77777777" w:rsidR="00730133" w:rsidRPr="00730133" w:rsidRDefault="00730133" w:rsidP="00730133">
            <w:pPr>
              <w:rPr>
                <w:rFonts w:ascii="Arial Narrow" w:eastAsia="Times New Roman" w:hAnsi="Arial Narrow" w:cs="Calibri"/>
                <w:b/>
                <w:bCs/>
                <w:color w:val="000000"/>
                <w:sz w:val="18"/>
                <w:szCs w:val="18"/>
                <w:lang w:eastAsia="en-NZ"/>
              </w:rPr>
            </w:pPr>
            <w:r w:rsidRPr="00730133">
              <w:rPr>
                <w:rFonts w:ascii="Arial Narrow" w:eastAsia="Times New Roman" w:hAnsi="Arial Narrow" w:cs="Calibri"/>
                <w:b/>
                <w:bCs/>
                <w:color w:val="000000"/>
                <w:sz w:val="18"/>
                <w:szCs w:val="18"/>
                <w:lang w:eastAsia="en-NZ"/>
              </w:rPr>
              <w:t xml:space="preserve"> $                  35,200 </w:t>
            </w:r>
          </w:p>
        </w:tc>
      </w:tr>
    </w:tbl>
    <w:p w14:paraId="7185C035" w14:textId="77777777" w:rsidR="00BD3B72" w:rsidRDefault="00BD3B72" w:rsidP="000B7165"/>
    <w:p w14:paraId="2D68CDD1" w14:textId="5203A961" w:rsidR="00EC5E4F" w:rsidRDefault="00EC5E4F" w:rsidP="000B7165">
      <w:pPr>
        <w:sectPr w:rsidR="00EC5E4F" w:rsidSect="007444ED">
          <w:pgSz w:w="11906" w:h="16838"/>
          <w:pgMar w:top="1440" w:right="1440" w:bottom="1440" w:left="1440" w:header="708" w:footer="708" w:gutter="0"/>
          <w:cols w:space="708"/>
          <w:docGrid w:linePitch="360"/>
        </w:sectPr>
      </w:pPr>
    </w:p>
    <w:p w14:paraId="4E69A8C8" w14:textId="5DAAD952" w:rsidR="00A420EE" w:rsidRPr="007444ED" w:rsidRDefault="00A420EE" w:rsidP="000B7165">
      <w:pPr>
        <w:rPr>
          <w:b/>
          <w:bCs/>
        </w:rPr>
      </w:pPr>
      <w:r w:rsidRPr="007444ED">
        <w:rPr>
          <w:b/>
          <w:bCs/>
        </w:rPr>
        <w:lastRenderedPageBreak/>
        <w:t xml:space="preserve">Appendix </w:t>
      </w:r>
      <w:r w:rsidR="007444ED" w:rsidRPr="007444ED">
        <w:rPr>
          <w:b/>
          <w:bCs/>
        </w:rPr>
        <w:t>2</w:t>
      </w:r>
      <w:r w:rsidRPr="007444ED">
        <w:rPr>
          <w:b/>
          <w:bCs/>
        </w:rPr>
        <w:t xml:space="preserve">: Scenario 101 – </w:t>
      </w:r>
      <w:r w:rsidR="007444ED" w:rsidRPr="007444ED">
        <w:rPr>
          <w:b/>
          <w:bCs/>
        </w:rPr>
        <w:t>Model Calculations</w:t>
      </w:r>
    </w:p>
    <w:p w14:paraId="724D2B77" w14:textId="0ADA1FEB" w:rsidR="00A420EE" w:rsidRDefault="00DE2616" w:rsidP="000B7165">
      <w:r w:rsidRPr="00DE2616">
        <w:rPr>
          <w:noProof/>
        </w:rPr>
        <w:drawing>
          <wp:inline distT="0" distB="0" distL="0" distR="0" wp14:anchorId="1B111D6A" wp14:editId="69DAF5A2">
            <wp:extent cx="9777730" cy="452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7730" cy="4521200"/>
                    </a:xfrm>
                    <a:prstGeom prst="rect">
                      <a:avLst/>
                    </a:prstGeom>
                    <a:noFill/>
                    <a:ln>
                      <a:noFill/>
                    </a:ln>
                  </pic:spPr>
                </pic:pic>
              </a:graphicData>
            </a:graphic>
          </wp:inline>
        </w:drawing>
      </w:r>
    </w:p>
    <w:p w14:paraId="5A045ACE" w14:textId="4ADE47B0" w:rsidR="00A420EE" w:rsidRDefault="00A420EE" w:rsidP="000B7165"/>
    <w:p w14:paraId="74D1B6E4" w14:textId="77777777" w:rsidR="00B25B5B" w:rsidRDefault="00B25B5B" w:rsidP="000B7165">
      <w:pPr>
        <w:sectPr w:rsidR="00B25B5B" w:rsidSect="00B67EED">
          <w:pgSz w:w="16838" w:h="11906" w:orient="landscape"/>
          <w:pgMar w:top="720" w:right="720" w:bottom="720" w:left="720" w:header="708" w:footer="708" w:gutter="0"/>
          <w:cols w:space="708"/>
          <w:docGrid w:linePitch="360"/>
        </w:sectPr>
      </w:pPr>
    </w:p>
    <w:p w14:paraId="6F6E2E87" w14:textId="5E275585" w:rsidR="00B25B5B" w:rsidRPr="007444ED" w:rsidRDefault="00B25B5B" w:rsidP="00B25B5B">
      <w:pPr>
        <w:rPr>
          <w:b/>
          <w:bCs/>
        </w:rPr>
      </w:pPr>
      <w:r w:rsidRPr="007444ED">
        <w:rPr>
          <w:b/>
          <w:bCs/>
        </w:rPr>
        <w:lastRenderedPageBreak/>
        <w:t xml:space="preserve">Appendix </w:t>
      </w:r>
      <w:r w:rsidR="007444ED" w:rsidRPr="007444ED">
        <w:rPr>
          <w:b/>
          <w:bCs/>
        </w:rPr>
        <w:t>3</w:t>
      </w:r>
      <w:r w:rsidRPr="007444ED">
        <w:rPr>
          <w:b/>
          <w:bCs/>
        </w:rPr>
        <w:t xml:space="preserve">: </w:t>
      </w:r>
      <w:r w:rsidR="00043BEB" w:rsidRPr="007444ED">
        <w:rPr>
          <w:b/>
          <w:bCs/>
        </w:rPr>
        <w:t>Scenario 101</w:t>
      </w:r>
      <w:r w:rsidR="0064455C">
        <w:rPr>
          <w:b/>
          <w:bCs/>
        </w:rPr>
        <w:t xml:space="preserve"> – </w:t>
      </w:r>
      <w:r w:rsidRPr="007444ED">
        <w:rPr>
          <w:b/>
          <w:bCs/>
        </w:rPr>
        <w:t>Country Specific Calculations</w:t>
      </w:r>
    </w:p>
    <w:p w14:paraId="2C62400A" w14:textId="67372D92" w:rsidR="00CB49F1" w:rsidRDefault="00DE2616" w:rsidP="000B7165">
      <w:pPr>
        <w:sectPr w:rsidR="00CB49F1" w:rsidSect="00B25B5B">
          <w:pgSz w:w="11906" w:h="16838"/>
          <w:pgMar w:top="720" w:right="720" w:bottom="720" w:left="720" w:header="708" w:footer="708" w:gutter="0"/>
          <w:cols w:space="708"/>
          <w:docGrid w:linePitch="360"/>
        </w:sectPr>
      </w:pPr>
      <w:bookmarkStart w:id="7" w:name="_Hlk145363909"/>
      <w:r w:rsidRPr="00DE2616">
        <w:rPr>
          <w:noProof/>
        </w:rPr>
        <w:drawing>
          <wp:inline distT="0" distB="0" distL="0" distR="0" wp14:anchorId="0EC97905" wp14:editId="7D9E1CBE">
            <wp:extent cx="4352108" cy="8926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39"/>
                    <a:stretch/>
                  </pic:blipFill>
                  <pic:spPr bwMode="auto">
                    <a:xfrm>
                      <a:off x="0" y="0"/>
                      <a:ext cx="4398459" cy="9021903"/>
                    </a:xfrm>
                    <a:prstGeom prst="rect">
                      <a:avLst/>
                    </a:prstGeom>
                    <a:noFill/>
                    <a:ln>
                      <a:noFill/>
                    </a:ln>
                    <a:extLst>
                      <a:ext uri="{53640926-AAD7-44D8-BBD7-CCE9431645EC}">
                        <a14:shadowObscured xmlns:a14="http://schemas.microsoft.com/office/drawing/2010/main"/>
                      </a:ext>
                    </a:extLst>
                  </pic:spPr>
                </pic:pic>
              </a:graphicData>
            </a:graphic>
          </wp:inline>
        </w:drawing>
      </w:r>
    </w:p>
    <w:p w14:paraId="07E3247A" w14:textId="425CDEEE" w:rsidR="00732A1D" w:rsidRPr="00732A1D" w:rsidRDefault="00732A1D" w:rsidP="000B7165">
      <w:pPr>
        <w:rPr>
          <w:b/>
          <w:bCs/>
        </w:rPr>
      </w:pPr>
      <w:r w:rsidRPr="00732A1D">
        <w:rPr>
          <w:b/>
          <w:bCs/>
        </w:rPr>
        <w:lastRenderedPageBreak/>
        <w:t>Appendix 4: Scenario 102</w:t>
      </w:r>
      <w:r w:rsidR="0064455C">
        <w:rPr>
          <w:b/>
          <w:bCs/>
        </w:rPr>
        <w:t xml:space="preserve"> –</w:t>
      </w:r>
      <w:r w:rsidRPr="00732A1D">
        <w:rPr>
          <w:b/>
          <w:bCs/>
        </w:rPr>
        <w:t xml:space="preserve"> Summary Table</w:t>
      </w:r>
    </w:p>
    <w:tbl>
      <w:tblPr>
        <w:tblW w:w="8816" w:type="dxa"/>
        <w:tblLook w:val="04A0" w:firstRow="1" w:lastRow="0" w:firstColumn="1" w:lastColumn="0" w:noHBand="0" w:noVBand="1"/>
      </w:tblPr>
      <w:tblGrid>
        <w:gridCol w:w="435"/>
        <w:gridCol w:w="1177"/>
        <w:gridCol w:w="893"/>
        <w:gridCol w:w="1596"/>
        <w:gridCol w:w="1590"/>
        <w:gridCol w:w="1590"/>
        <w:gridCol w:w="1602"/>
      </w:tblGrid>
      <w:tr w:rsidR="003029F3" w:rsidRPr="003029F3" w14:paraId="16E6B627" w14:textId="77777777" w:rsidTr="003029F3">
        <w:trPr>
          <w:trHeight w:val="300"/>
        </w:trPr>
        <w:tc>
          <w:tcPr>
            <w:tcW w:w="368" w:type="dxa"/>
            <w:tcBorders>
              <w:top w:val="single" w:sz="8" w:space="0" w:color="auto"/>
              <w:left w:val="single" w:sz="8" w:space="0" w:color="auto"/>
              <w:bottom w:val="single" w:sz="8" w:space="0" w:color="auto"/>
              <w:right w:val="nil"/>
            </w:tcBorders>
            <w:shd w:val="clear" w:color="000000" w:fill="D9D9D9"/>
            <w:noWrap/>
            <w:vAlign w:val="bottom"/>
            <w:hideMark/>
          </w:tcPr>
          <w:p w14:paraId="0F769634"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448" w:type="dxa"/>
            <w:gridSpan w:val="6"/>
            <w:tcBorders>
              <w:top w:val="single" w:sz="8" w:space="0" w:color="auto"/>
              <w:left w:val="nil"/>
              <w:bottom w:val="single" w:sz="8" w:space="0" w:color="auto"/>
              <w:right w:val="single" w:sz="8" w:space="0" w:color="000000"/>
            </w:tcBorders>
            <w:shd w:val="clear" w:color="000000" w:fill="D9D9D9"/>
            <w:noWrap/>
            <w:vAlign w:val="bottom"/>
            <w:hideMark/>
          </w:tcPr>
          <w:p w14:paraId="536CFB04"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SCENARIO 102 - Three usage categories, Low usage category upper range set at &lt;1,000 exchanges</w:t>
            </w:r>
          </w:p>
        </w:tc>
      </w:tr>
      <w:tr w:rsidR="003029F3" w:rsidRPr="003029F3" w14:paraId="294904CD" w14:textId="77777777" w:rsidTr="003029F3">
        <w:trPr>
          <w:trHeight w:val="290"/>
        </w:trPr>
        <w:tc>
          <w:tcPr>
            <w:tcW w:w="368" w:type="dxa"/>
            <w:tcBorders>
              <w:top w:val="nil"/>
              <w:left w:val="single" w:sz="8" w:space="0" w:color="auto"/>
              <w:bottom w:val="nil"/>
              <w:right w:val="nil"/>
            </w:tcBorders>
            <w:shd w:val="clear" w:color="auto" w:fill="auto"/>
            <w:noWrap/>
            <w:hideMark/>
          </w:tcPr>
          <w:p w14:paraId="2BE6A6A6"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single" w:sz="8" w:space="0" w:color="auto"/>
              <w:left w:val="nil"/>
              <w:bottom w:val="nil"/>
              <w:right w:val="single" w:sz="8" w:space="0" w:color="000000"/>
            </w:tcBorders>
            <w:shd w:val="clear" w:color="auto" w:fill="auto"/>
            <w:noWrap/>
            <w:vAlign w:val="bottom"/>
            <w:hideMark/>
          </w:tcPr>
          <w:p w14:paraId="4A93F5C9"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Total revenue from base fee is set at 66% of total annual funding required.</w:t>
            </w:r>
          </w:p>
        </w:tc>
      </w:tr>
      <w:tr w:rsidR="003029F3" w:rsidRPr="003029F3" w14:paraId="49A7BA93" w14:textId="77777777" w:rsidTr="003029F3">
        <w:trPr>
          <w:trHeight w:val="290"/>
        </w:trPr>
        <w:tc>
          <w:tcPr>
            <w:tcW w:w="368" w:type="dxa"/>
            <w:tcBorders>
              <w:top w:val="nil"/>
              <w:left w:val="single" w:sz="8" w:space="0" w:color="auto"/>
              <w:bottom w:val="nil"/>
              <w:right w:val="nil"/>
            </w:tcBorders>
            <w:shd w:val="clear" w:color="auto" w:fill="auto"/>
            <w:noWrap/>
            <w:hideMark/>
          </w:tcPr>
          <w:p w14:paraId="7149EBB6"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3BE48AA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Countries classified as Low/LDC pay no base fee.</w:t>
            </w:r>
          </w:p>
        </w:tc>
      </w:tr>
      <w:tr w:rsidR="003029F3" w:rsidRPr="003029F3" w14:paraId="5364157C" w14:textId="77777777" w:rsidTr="003029F3">
        <w:trPr>
          <w:trHeight w:val="290"/>
        </w:trPr>
        <w:tc>
          <w:tcPr>
            <w:tcW w:w="368" w:type="dxa"/>
            <w:tcBorders>
              <w:top w:val="nil"/>
              <w:left w:val="single" w:sz="8" w:space="0" w:color="auto"/>
              <w:bottom w:val="nil"/>
              <w:right w:val="nil"/>
            </w:tcBorders>
            <w:shd w:val="clear" w:color="auto" w:fill="auto"/>
            <w:noWrap/>
            <w:hideMark/>
          </w:tcPr>
          <w:p w14:paraId="42AD830D"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158967E9"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 starts at $4,000 and increases x2 for each higher development status level.</w:t>
            </w:r>
          </w:p>
        </w:tc>
      </w:tr>
      <w:tr w:rsidR="003029F3" w:rsidRPr="003029F3" w14:paraId="36FE52AA" w14:textId="77777777" w:rsidTr="003029F3">
        <w:trPr>
          <w:trHeight w:val="315"/>
        </w:trPr>
        <w:tc>
          <w:tcPr>
            <w:tcW w:w="368" w:type="dxa"/>
            <w:tcBorders>
              <w:top w:val="nil"/>
              <w:left w:val="single" w:sz="8" w:space="0" w:color="auto"/>
              <w:bottom w:val="nil"/>
              <w:right w:val="nil"/>
            </w:tcBorders>
            <w:shd w:val="clear" w:color="auto" w:fill="auto"/>
            <w:noWrap/>
            <w:hideMark/>
          </w:tcPr>
          <w:p w14:paraId="41990698"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269ED92D"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Remaining 33% of revenue is from usage fee.</w:t>
            </w:r>
          </w:p>
        </w:tc>
      </w:tr>
      <w:tr w:rsidR="003029F3" w:rsidRPr="003029F3" w14:paraId="5D7BF5C2" w14:textId="77777777" w:rsidTr="003029F3">
        <w:trPr>
          <w:trHeight w:val="550"/>
        </w:trPr>
        <w:tc>
          <w:tcPr>
            <w:tcW w:w="368" w:type="dxa"/>
            <w:tcBorders>
              <w:top w:val="nil"/>
              <w:left w:val="single" w:sz="8" w:space="0" w:color="auto"/>
              <w:bottom w:val="nil"/>
              <w:right w:val="nil"/>
            </w:tcBorders>
            <w:shd w:val="clear" w:color="auto" w:fill="auto"/>
            <w:noWrap/>
            <w:hideMark/>
          </w:tcPr>
          <w:p w14:paraId="55B609E4"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vAlign w:val="bottom"/>
            <w:hideMark/>
          </w:tcPr>
          <w:p w14:paraId="43A64A44"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3 usage categories with usage fee starting at nil for low usage (&lt;1,000 exchanges) then $4600 for medium and increases x3 for each higher usage level.</w:t>
            </w:r>
          </w:p>
        </w:tc>
      </w:tr>
      <w:tr w:rsidR="003029F3" w:rsidRPr="003029F3" w14:paraId="0E8538FB" w14:textId="77777777" w:rsidTr="003029F3">
        <w:trPr>
          <w:trHeight w:val="80"/>
        </w:trPr>
        <w:tc>
          <w:tcPr>
            <w:tcW w:w="368" w:type="dxa"/>
            <w:tcBorders>
              <w:top w:val="single" w:sz="8" w:space="0" w:color="auto"/>
              <w:left w:val="single" w:sz="8" w:space="0" w:color="auto"/>
              <w:bottom w:val="single" w:sz="8" w:space="0" w:color="auto"/>
              <w:right w:val="nil"/>
            </w:tcBorders>
            <w:shd w:val="clear" w:color="auto" w:fill="auto"/>
            <w:noWrap/>
            <w:vAlign w:val="bottom"/>
            <w:hideMark/>
          </w:tcPr>
          <w:p w14:paraId="778FF242"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177" w:type="dxa"/>
            <w:tcBorders>
              <w:top w:val="single" w:sz="8" w:space="0" w:color="auto"/>
              <w:left w:val="nil"/>
              <w:bottom w:val="single" w:sz="8" w:space="0" w:color="auto"/>
              <w:right w:val="nil"/>
            </w:tcBorders>
            <w:shd w:val="clear" w:color="auto" w:fill="auto"/>
            <w:noWrap/>
            <w:vAlign w:val="bottom"/>
            <w:hideMark/>
          </w:tcPr>
          <w:p w14:paraId="684DC58F"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93" w:type="dxa"/>
            <w:tcBorders>
              <w:top w:val="single" w:sz="8" w:space="0" w:color="auto"/>
              <w:left w:val="nil"/>
              <w:bottom w:val="single" w:sz="8" w:space="0" w:color="auto"/>
              <w:right w:val="nil"/>
            </w:tcBorders>
            <w:shd w:val="clear" w:color="auto" w:fill="auto"/>
            <w:noWrap/>
            <w:vAlign w:val="bottom"/>
            <w:hideMark/>
          </w:tcPr>
          <w:p w14:paraId="0AA0FB42"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96" w:type="dxa"/>
            <w:tcBorders>
              <w:top w:val="single" w:sz="8" w:space="0" w:color="auto"/>
              <w:left w:val="nil"/>
              <w:bottom w:val="single" w:sz="8" w:space="0" w:color="auto"/>
              <w:right w:val="nil"/>
            </w:tcBorders>
            <w:shd w:val="clear" w:color="auto" w:fill="auto"/>
            <w:noWrap/>
            <w:vAlign w:val="bottom"/>
            <w:hideMark/>
          </w:tcPr>
          <w:p w14:paraId="5CD3D390"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90" w:type="dxa"/>
            <w:tcBorders>
              <w:top w:val="single" w:sz="8" w:space="0" w:color="auto"/>
              <w:left w:val="nil"/>
              <w:bottom w:val="single" w:sz="8" w:space="0" w:color="auto"/>
              <w:right w:val="nil"/>
            </w:tcBorders>
            <w:shd w:val="clear" w:color="auto" w:fill="auto"/>
            <w:noWrap/>
            <w:vAlign w:val="bottom"/>
            <w:hideMark/>
          </w:tcPr>
          <w:p w14:paraId="45682B2E"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90" w:type="dxa"/>
            <w:tcBorders>
              <w:top w:val="single" w:sz="8" w:space="0" w:color="auto"/>
              <w:left w:val="nil"/>
              <w:bottom w:val="single" w:sz="8" w:space="0" w:color="auto"/>
              <w:right w:val="nil"/>
            </w:tcBorders>
            <w:shd w:val="clear" w:color="auto" w:fill="auto"/>
            <w:noWrap/>
            <w:vAlign w:val="bottom"/>
            <w:hideMark/>
          </w:tcPr>
          <w:p w14:paraId="484D64D1"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602" w:type="dxa"/>
            <w:tcBorders>
              <w:top w:val="single" w:sz="8" w:space="0" w:color="auto"/>
              <w:left w:val="nil"/>
              <w:bottom w:val="single" w:sz="8" w:space="0" w:color="auto"/>
              <w:right w:val="single" w:sz="8" w:space="0" w:color="auto"/>
            </w:tcBorders>
            <w:shd w:val="clear" w:color="auto" w:fill="auto"/>
            <w:noWrap/>
            <w:vAlign w:val="bottom"/>
            <w:hideMark/>
          </w:tcPr>
          <w:p w14:paraId="5C218F59"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r>
      <w:tr w:rsidR="003029F3" w:rsidRPr="003029F3" w14:paraId="749AC275" w14:textId="77777777" w:rsidTr="003029F3">
        <w:trPr>
          <w:trHeight w:val="350"/>
        </w:trPr>
        <w:tc>
          <w:tcPr>
            <w:tcW w:w="368" w:type="dxa"/>
            <w:tcBorders>
              <w:top w:val="nil"/>
              <w:left w:val="single" w:sz="8" w:space="0" w:color="auto"/>
              <w:bottom w:val="nil"/>
              <w:right w:val="nil"/>
            </w:tcBorders>
            <w:shd w:val="clear" w:color="auto" w:fill="auto"/>
            <w:noWrap/>
            <w:vAlign w:val="bottom"/>
            <w:hideMark/>
          </w:tcPr>
          <w:p w14:paraId="27E79B0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177" w:type="dxa"/>
            <w:tcBorders>
              <w:top w:val="nil"/>
              <w:left w:val="nil"/>
              <w:bottom w:val="nil"/>
              <w:right w:val="nil"/>
            </w:tcBorders>
            <w:shd w:val="clear" w:color="auto" w:fill="auto"/>
            <w:noWrap/>
            <w:vAlign w:val="bottom"/>
            <w:hideMark/>
          </w:tcPr>
          <w:p w14:paraId="7B33049A" w14:textId="77777777" w:rsidR="003029F3" w:rsidRPr="003029F3" w:rsidRDefault="003029F3" w:rsidP="003029F3">
            <w:pPr>
              <w:rPr>
                <w:rFonts w:ascii="Arial Narrow" w:eastAsia="Times New Roman" w:hAnsi="Arial Narrow" w:cs="Calibri"/>
                <w:color w:val="000000"/>
                <w:sz w:val="18"/>
                <w:szCs w:val="18"/>
                <w:lang w:eastAsia="en-NZ"/>
              </w:rPr>
            </w:pPr>
          </w:p>
        </w:tc>
        <w:tc>
          <w:tcPr>
            <w:tcW w:w="893" w:type="dxa"/>
            <w:tcBorders>
              <w:top w:val="nil"/>
              <w:left w:val="nil"/>
              <w:bottom w:val="nil"/>
              <w:right w:val="nil"/>
            </w:tcBorders>
            <w:shd w:val="clear" w:color="auto" w:fill="auto"/>
            <w:noWrap/>
            <w:vAlign w:val="bottom"/>
            <w:hideMark/>
          </w:tcPr>
          <w:p w14:paraId="6F447676" w14:textId="77777777" w:rsidR="003029F3" w:rsidRPr="003029F3" w:rsidRDefault="003029F3" w:rsidP="003029F3">
            <w:pPr>
              <w:rPr>
                <w:rFonts w:eastAsia="Times New Roman"/>
                <w:sz w:val="20"/>
                <w:szCs w:val="20"/>
                <w:lang w:eastAsia="en-NZ"/>
              </w:rPr>
            </w:pPr>
          </w:p>
        </w:tc>
        <w:tc>
          <w:tcPr>
            <w:tcW w:w="637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818A13"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DEVELOPMENT STATUS</w:t>
            </w:r>
          </w:p>
        </w:tc>
      </w:tr>
      <w:tr w:rsidR="003029F3" w:rsidRPr="003029F3" w14:paraId="5344065A" w14:textId="77777777" w:rsidTr="003029F3">
        <w:trPr>
          <w:trHeight w:val="300"/>
        </w:trPr>
        <w:tc>
          <w:tcPr>
            <w:tcW w:w="368" w:type="dxa"/>
            <w:tcBorders>
              <w:top w:val="nil"/>
              <w:left w:val="single" w:sz="8" w:space="0" w:color="auto"/>
              <w:bottom w:val="nil"/>
              <w:right w:val="nil"/>
            </w:tcBorders>
            <w:shd w:val="clear" w:color="auto" w:fill="auto"/>
            <w:noWrap/>
            <w:vAlign w:val="bottom"/>
            <w:hideMark/>
          </w:tcPr>
          <w:p w14:paraId="7022EE40"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177" w:type="dxa"/>
            <w:tcBorders>
              <w:top w:val="nil"/>
              <w:left w:val="nil"/>
              <w:bottom w:val="nil"/>
              <w:right w:val="nil"/>
            </w:tcBorders>
            <w:shd w:val="clear" w:color="auto" w:fill="auto"/>
            <w:noWrap/>
            <w:vAlign w:val="bottom"/>
            <w:hideMark/>
          </w:tcPr>
          <w:p w14:paraId="071AEEE3" w14:textId="77777777" w:rsidR="003029F3" w:rsidRPr="003029F3" w:rsidRDefault="003029F3" w:rsidP="003029F3">
            <w:pPr>
              <w:rPr>
                <w:rFonts w:ascii="Arial Narrow" w:eastAsia="Times New Roman" w:hAnsi="Arial Narrow" w:cs="Calibri"/>
                <w:color w:val="000000"/>
                <w:sz w:val="18"/>
                <w:szCs w:val="18"/>
                <w:lang w:eastAsia="en-NZ"/>
              </w:rPr>
            </w:pPr>
          </w:p>
        </w:tc>
        <w:tc>
          <w:tcPr>
            <w:tcW w:w="893" w:type="dxa"/>
            <w:tcBorders>
              <w:top w:val="nil"/>
              <w:left w:val="nil"/>
              <w:bottom w:val="nil"/>
              <w:right w:val="nil"/>
            </w:tcBorders>
            <w:shd w:val="clear" w:color="auto" w:fill="auto"/>
            <w:noWrap/>
            <w:vAlign w:val="bottom"/>
            <w:hideMark/>
          </w:tcPr>
          <w:p w14:paraId="2F4B21A7" w14:textId="77777777" w:rsidR="003029F3" w:rsidRPr="003029F3" w:rsidRDefault="003029F3" w:rsidP="003029F3">
            <w:pPr>
              <w:rPr>
                <w:rFonts w:eastAsia="Times New Roman"/>
                <w:sz w:val="20"/>
                <w:szCs w:val="20"/>
                <w:lang w:eastAsia="en-NZ"/>
              </w:rPr>
            </w:pPr>
          </w:p>
        </w:tc>
        <w:tc>
          <w:tcPr>
            <w:tcW w:w="1596" w:type="dxa"/>
            <w:tcBorders>
              <w:top w:val="nil"/>
              <w:left w:val="single" w:sz="8" w:space="0" w:color="auto"/>
              <w:bottom w:val="nil"/>
              <w:right w:val="nil"/>
            </w:tcBorders>
            <w:shd w:val="clear" w:color="auto" w:fill="auto"/>
            <w:noWrap/>
            <w:vAlign w:val="bottom"/>
            <w:hideMark/>
          </w:tcPr>
          <w:p w14:paraId="7056DD6E"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LOW</w:t>
            </w:r>
          </w:p>
        </w:tc>
        <w:tc>
          <w:tcPr>
            <w:tcW w:w="1590" w:type="dxa"/>
            <w:tcBorders>
              <w:top w:val="nil"/>
              <w:left w:val="nil"/>
              <w:bottom w:val="nil"/>
              <w:right w:val="nil"/>
            </w:tcBorders>
            <w:shd w:val="clear" w:color="auto" w:fill="auto"/>
            <w:noWrap/>
            <w:vAlign w:val="bottom"/>
            <w:hideMark/>
          </w:tcPr>
          <w:p w14:paraId="4F79B607"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LOWER-MID</w:t>
            </w:r>
          </w:p>
        </w:tc>
        <w:tc>
          <w:tcPr>
            <w:tcW w:w="1590" w:type="dxa"/>
            <w:tcBorders>
              <w:top w:val="nil"/>
              <w:left w:val="nil"/>
              <w:bottom w:val="nil"/>
              <w:right w:val="nil"/>
            </w:tcBorders>
            <w:shd w:val="clear" w:color="auto" w:fill="auto"/>
            <w:noWrap/>
            <w:vAlign w:val="bottom"/>
            <w:hideMark/>
          </w:tcPr>
          <w:p w14:paraId="0B490822"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UPPER-MID</w:t>
            </w:r>
          </w:p>
        </w:tc>
        <w:tc>
          <w:tcPr>
            <w:tcW w:w="1602" w:type="dxa"/>
            <w:tcBorders>
              <w:top w:val="nil"/>
              <w:left w:val="nil"/>
              <w:bottom w:val="nil"/>
              <w:right w:val="single" w:sz="8" w:space="0" w:color="auto"/>
            </w:tcBorders>
            <w:shd w:val="clear" w:color="auto" w:fill="auto"/>
            <w:noWrap/>
            <w:vAlign w:val="bottom"/>
            <w:hideMark/>
          </w:tcPr>
          <w:p w14:paraId="0BC9AED0"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HIGH</w:t>
            </w:r>
          </w:p>
        </w:tc>
      </w:tr>
      <w:tr w:rsidR="003029F3" w:rsidRPr="003029F3" w14:paraId="72BC621C" w14:textId="77777777" w:rsidTr="003029F3">
        <w:trPr>
          <w:trHeight w:val="300"/>
        </w:trPr>
        <w:tc>
          <w:tcPr>
            <w:tcW w:w="368" w:type="dxa"/>
            <w:tcBorders>
              <w:top w:val="nil"/>
              <w:left w:val="single" w:sz="8" w:space="0" w:color="auto"/>
              <w:bottom w:val="single" w:sz="8" w:space="0" w:color="auto"/>
              <w:right w:val="nil"/>
            </w:tcBorders>
            <w:shd w:val="clear" w:color="auto" w:fill="auto"/>
            <w:noWrap/>
            <w:vAlign w:val="bottom"/>
            <w:hideMark/>
          </w:tcPr>
          <w:p w14:paraId="73B48BA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177" w:type="dxa"/>
            <w:tcBorders>
              <w:top w:val="nil"/>
              <w:left w:val="nil"/>
              <w:bottom w:val="single" w:sz="8" w:space="0" w:color="auto"/>
              <w:right w:val="nil"/>
            </w:tcBorders>
            <w:shd w:val="clear" w:color="auto" w:fill="auto"/>
            <w:noWrap/>
            <w:vAlign w:val="bottom"/>
            <w:hideMark/>
          </w:tcPr>
          <w:p w14:paraId="705E6127"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93" w:type="dxa"/>
            <w:tcBorders>
              <w:top w:val="nil"/>
              <w:left w:val="nil"/>
              <w:bottom w:val="single" w:sz="8" w:space="0" w:color="auto"/>
              <w:right w:val="nil"/>
            </w:tcBorders>
            <w:shd w:val="clear" w:color="auto" w:fill="auto"/>
            <w:noWrap/>
            <w:vAlign w:val="bottom"/>
            <w:hideMark/>
          </w:tcPr>
          <w:p w14:paraId="6FC20D20"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96" w:type="dxa"/>
            <w:tcBorders>
              <w:top w:val="nil"/>
              <w:left w:val="single" w:sz="8" w:space="0" w:color="auto"/>
              <w:bottom w:val="single" w:sz="8" w:space="0" w:color="auto"/>
              <w:right w:val="nil"/>
            </w:tcBorders>
            <w:shd w:val="clear" w:color="auto" w:fill="auto"/>
            <w:noWrap/>
            <w:vAlign w:val="bottom"/>
            <w:hideMark/>
          </w:tcPr>
          <w:p w14:paraId="027E7D7D"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2 countries</w:t>
            </w:r>
          </w:p>
        </w:tc>
        <w:tc>
          <w:tcPr>
            <w:tcW w:w="1590" w:type="dxa"/>
            <w:tcBorders>
              <w:top w:val="nil"/>
              <w:left w:val="nil"/>
              <w:bottom w:val="single" w:sz="8" w:space="0" w:color="auto"/>
              <w:right w:val="nil"/>
            </w:tcBorders>
            <w:shd w:val="clear" w:color="auto" w:fill="auto"/>
            <w:noWrap/>
            <w:vAlign w:val="bottom"/>
            <w:hideMark/>
          </w:tcPr>
          <w:p w14:paraId="49A0D770"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17 countries</w:t>
            </w:r>
          </w:p>
        </w:tc>
        <w:tc>
          <w:tcPr>
            <w:tcW w:w="1590" w:type="dxa"/>
            <w:tcBorders>
              <w:top w:val="nil"/>
              <w:left w:val="nil"/>
              <w:bottom w:val="single" w:sz="8" w:space="0" w:color="auto"/>
              <w:right w:val="nil"/>
            </w:tcBorders>
            <w:shd w:val="clear" w:color="auto" w:fill="auto"/>
            <w:noWrap/>
            <w:vAlign w:val="bottom"/>
            <w:hideMark/>
          </w:tcPr>
          <w:p w14:paraId="3A75B1EA"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19 countries</w:t>
            </w:r>
          </w:p>
        </w:tc>
        <w:tc>
          <w:tcPr>
            <w:tcW w:w="1602" w:type="dxa"/>
            <w:tcBorders>
              <w:top w:val="nil"/>
              <w:left w:val="nil"/>
              <w:bottom w:val="single" w:sz="8" w:space="0" w:color="auto"/>
              <w:right w:val="single" w:sz="8" w:space="0" w:color="auto"/>
            </w:tcBorders>
            <w:shd w:val="clear" w:color="auto" w:fill="auto"/>
            <w:noWrap/>
            <w:vAlign w:val="bottom"/>
            <w:hideMark/>
          </w:tcPr>
          <w:p w14:paraId="503740C3"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39 countries</w:t>
            </w:r>
          </w:p>
        </w:tc>
      </w:tr>
      <w:tr w:rsidR="003029F3" w:rsidRPr="003029F3" w14:paraId="677C7E34" w14:textId="77777777" w:rsidTr="003029F3">
        <w:trPr>
          <w:trHeight w:val="300"/>
        </w:trPr>
        <w:tc>
          <w:tcPr>
            <w:tcW w:w="36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00CD43E"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USAGE</w:t>
            </w:r>
          </w:p>
        </w:tc>
        <w:tc>
          <w:tcPr>
            <w:tcW w:w="1177" w:type="dxa"/>
            <w:tcBorders>
              <w:top w:val="nil"/>
              <w:left w:val="nil"/>
              <w:bottom w:val="nil"/>
              <w:right w:val="single" w:sz="8" w:space="0" w:color="auto"/>
            </w:tcBorders>
            <w:shd w:val="clear" w:color="auto" w:fill="auto"/>
            <w:noWrap/>
            <w:vAlign w:val="bottom"/>
            <w:hideMark/>
          </w:tcPr>
          <w:p w14:paraId="473722F8"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LOW</w:t>
            </w:r>
          </w:p>
        </w:tc>
        <w:tc>
          <w:tcPr>
            <w:tcW w:w="893" w:type="dxa"/>
            <w:tcBorders>
              <w:top w:val="nil"/>
              <w:left w:val="nil"/>
              <w:bottom w:val="nil"/>
              <w:right w:val="single" w:sz="4" w:space="0" w:color="auto"/>
            </w:tcBorders>
            <w:shd w:val="clear" w:color="auto" w:fill="auto"/>
            <w:noWrap/>
            <w:vAlign w:val="bottom"/>
            <w:hideMark/>
          </w:tcPr>
          <w:p w14:paraId="294552C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w:t>
            </w:r>
          </w:p>
        </w:tc>
        <w:tc>
          <w:tcPr>
            <w:tcW w:w="1596" w:type="dxa"/>
            <w:tcBorders>
              <w:top w:val="nil"/>
              <w:left w:val="nil"/>
              <w:bottom w:val="nil"/>
              <w:right w:val="nil"/>
            </w:tcBorders>
            <w:shd w:val="clear" w:color="auto" w:fill="auto"/>
            <w:noWrap/>
            <w:vAlign w:val="bottom"/>
            <w:hideMark/>
          </w:tcPr>
          <w:p w14:paraId="63851EC4"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90" w:type="dxa"/>
            <w:tcBorders>
              <w:top w:val="nil"/>
              <w:left w:val="nil"/>
              <w:bottom w:val="nil"/>
              <w:right w:val="nil"/>
            </w:tcBorders>
            <w:shd w:val="clear" w:color="auto" w:fill="auto"/>
            <w:noWrap/>
            <w:vAlign w:val="bottom"/>
            <w:hideMark/>
          </w:tcPr>
          <w:p w14:paraId="04FA1ED2"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4,000 </w:t>
            </w:r>
          </w:p>
        </w:tc>
        <w:tc>
          <w:tcPr>
            <w:tcW w:w="1590" w:type="dxa"/>
            <w:tcBorders>
              <w:top w:val="nil"/>
              <w:left w:val="nil"/>
              <w:bottom w:val="nil"/>
              <w:right w:val="nil"/>
            </w:tcBorders>
            <w:shd w:val="clear" w:color="auto" w:fill="auto"/>
            <w:noWrap/>
            <w:vAlign w:val="bottom"/>
            <w:hideMark/>
          </w:tcPr>
          <w:p w14:paraId="0A7D1B0F"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8,000 </w:t>
            </w:r>
          </w:p>
        </w:tc>
        <w:tc>
          <w:tcPr>
            <w:tcW w:w="1602" w:type="dxa"/>
            <w:tcBorders>
              <w:top w:val="nil"/>
              <w:left w:val="nil"/>
              <w:bottom w:val="nil"/>
              <w:right w:val="single" w:sz="8" w:space="0" w:color="auto"/>
            </w:tcBorders>
            <w:shd w:val="clear" w:color="auto" w:fill="auto"/>
            <w:noWrap/>
            <w:vAlign w:val="bottom"/>
            <w:hideMark/>
          </w:tcPr>
          <w:p w14:paraId="7C83CDD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16,000 </w:t>
            </w:r>
          </w:p>
        </w:tc>
      </w:tr>
      <w:tr w:rsidR="003029F3" w:rsidRPr="003029F3" w14:paraId="521B69E9" w14:textId="77777777" w:rsidTr="003029F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2E028DA6"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3300DD57"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&lt; 1000</w:t>
            </w:r>
          </w:p>
        </w:tc>
        <w:tc>
          <w:tcPr>
            <w:tcW w:w="893" w:type="dxa"/>
            <w:tcBorders>
              <w:top w:val="nil"/>
              <w:left w:val="nil"/>
              <w:bottom w:val="nil"/>
              <w:right w:val="single" w:sz="4" w:space="0" w:color="auto"/>
            </w:tcBorders>
            <w:shd w:val="clear" w:color="auto" w:fill="auto"/>
            <w:noWrap/>
            <w:vAlign w:val="bottom"/>
            <w:hideMark/>
          </w:tcPr>
          <w:p w14:paraId="433829BF"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Usage Fee</w:t>
            </w:r>
          </w:p>
        </w:tc>
        <w:tc>
          <w:tcPr>
            <w:tcW w:w="1596" w:type="dxa"/>
            <w:tcBorders>
              <w:top w:val="nil"/>
              <w:left w:val="nil"/>
              <w:bottom w:val="nil"/>
              <w:right w:val="nil"/>
            </w:tcBorders>
            <w:shd w:val="clear" w:color="auto" w:fill="auto"/>
            <w:noWrap/>
            <w:vAlign w:val="bottom"/>
            <w:hideMark/>
          </w:tcPr>
          <w:p w14:paraId="5CA667BD"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90" w:type="dxa"/>
            <w:tcBorders>
              <w:top w:val="nil"/>
              <w:left w:val="nil"/>
              <w:bottom w:val="nil"/>
              <w:right w:val="nil"/>
            </w:tcBorders>
            <w:shd w:val="clear" w:color="auto" w:fill="auto"/>
            <w:noWrap/>
            <w:vAlign w:val="bottom"/>
            <w:hideMark/>
          </w:tcPr>
          <w:p w14:paraId="76E6B851"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90" w:type="dxa"/>
            <w:tcBorders>
              <w:top w:val="nil"/>
              <w:left w:val="nil"/>
              <w:bottom w:val="nil"/>
              <w:right w:val="nil"/>
            </w:tcBorders>
            <w:shd w:val="clear" w:color="auto" w:fill="auto"/>
            <w:noWrap/>
            <w:vAlign w:val="bottom"/>
            <w:hideMark/>
          </w:tcPr>
          <w:p w14:paraId="0C39E288"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602" w:type="dxa"/>
            <w:tcBorders>
              <w:top w:val="nil"/>
              <w:left w:val="nil"/>
              <w:bottom w:val="nil"/>
              <w:right w:val="single" w:sz="8" w:space="0" w:color="auto"/>
            </w:tcBorders>
            <w:shd w:val="clear" w:color="auto" w:fill="auto"/>
            <w:noWrap/>
            <w:vAlign w:val="bottom"/>
            <w:hideMark/>
          </w:tcPr>
          <w:p w14:paraId="23B42C7D"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r>
      <w:tr w:rsidR="003029F3" w:rsidRPr="003029F3" w14:paraId="46098EF2" w14:textId="77777777" w:rsidTr="003029F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00BAF9D2"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single" w:sz="8" w:space="0" w:color="auto"/>
              <w:right w:val="single" w:sz="8" w:space="0" w:color="auto"/>
            </w:tcBorders>
            <w:shd w:val="clear" w:color="auto" w:fill="auto"/>
            <w:noWrap/>
            <w:vAlign w:val="bottom"/>
            <w:hideMark/>
          </w:tcPr>
          <w:p w14:paraId="200EAF87"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17 countries</w:t>
            </w:r>
          </w:p>
        </w:tc>
        <w:tc>
          <w:tcPr>
            <w:tcW w:w="893" w:type="dxa"/>
            <w:tcBorders>
              <w:top w:val="nil"/>
              <w:left w:val="nil"/>
              <w:bottom w:val="single" w:sz="8" w:space="0" w:color="auto"/>
              <w:right w:val="single" w:sz="4" w:space="0" w:color="auto"/>
            </w:tcBorders>
            <w:shd w:val="clear" w:color="auto" w:fill="auto"/>
            <w:noWrap/>
            <w:vAlign w:val="bottom"/>
            <w:hideMark/>
          </w:tcPr>
          <w:p w14:paraId="6E709765"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Total</w:t>
            </w:r>
          </w:p>
        </w:tc>
        <w:tc>
          <w:tcPr>
            <w:tcW w:w="1596" w:type="dxa"/>
            <w:tcBorders>
              <w:top w:val="nil"/>
              <w:left w:val="nil"/>
              <w:bottom w:val="single" w:sz="8" w:space="0" w:color="auto"/>
              <w:right w:val="nil"/>
            </w:tcBorders>
            <w:shd w:val="clear" w:color="auto" w:fill="auto"/>
            <w:noWrap/>
            <w:vAlign w:val="bottom"/>
            <w:hideMark/>
          </w:tcPr>
          <w:p w14:paraId="706D02B9"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   </w:t>
            </w:r>
          </w:p>
        </w:tc>
        <w:tc>
          <w:tcPr>
            <w:tcW w:w="1590" w:type="dxa"/>
            <w:tcBorders>
              <w:top w:val="nil"/>
              <w:left w:val="nil"/>
              <w:bottom w:val="single" w:sz="8" w:space="0" w:color="auto"/>
              <w:right w:val="nil"/>
            </w:tcBorders>
            <w:shd w:val="clear" w:color="auto" w:fill="auto"/>
            <w:noWrap/>
            <w:vAlign w:val="bottom"/>
            <w:hideMark/>
          </w:tcPr>
          <w:p w14:paraId="210E7390"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4,000 </w:t>
            </w:r>
          </w:p>
        </w:tc>
        <w:tc>
          <w:tcPr>
            <w:tcW w:w="1590" w:type="dxa"/>
            <w:tcBorders>
              <w:top w:val="nil"/>
              <w:left w:val="nil"/>
              <w:bottom w:val="single" w:sz="8" w:space="0" w:color="auto"/>
              <w:right w:val="nil"/>
            </w:tcBorders>
            <w:shd w:val="clear" w:color="auto" w:fill="auto"/>
            <w:noWrap/>
            <w:vAlign w:val="bottom"/>
            <w:hideMark/>
          </w:tcPr>
          <w:p w14:paraId="427414A2"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8,000 </w:t>
            </w:r>
          </w:p>
        </w:tc>
        <w:tc>
          <w:tcPr>
            <w:tcW w:w="1602" w:type="dxa"/>
            <w:tcBorders>
              <w:top w:val="nil"/>
              <w:left w:val="nil"/>
              <w:bottom w:val="single" w:sz="8" w:space="0" w:color="auto"/>
              <w:right w:val="single" w:sz="8" w:space="0" w:color="auto"/>
            </w:tcBorders>
            <w:shd w:val="clear" w:color="auto" w:fill="auto"/>
            <w:noWrap/>
            <w:vAlign w:val="bottom"/>
            <w:hideMark/>
          </w:tcPr>
          <w:p w14:paraId="7A4862F7"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16,000 </w:t>
            </w:r>
          </w:p>
        </w:tc>
      </w:tr>
      <w:tr w:rsidR="003029F3" w:rsidRPr="003029F3" w14:paraId="4A510B62" w14:textId="77777777" w:rsidTr="003029F3">
        <w:trPr>
          <w:trHeight w:val="70"/>
        </w:trPr>
        <w:tc>
          <w:tcPr>
            <w:tcW w:w="368" w:type="dxa"/>
            <w:vMerge/>
            <w:tcBorders>
              <w:top w:val="nil"/>
              <w:left w:val="single" w:sz="8" w:space="0" w:color="auto"/>
              <w:bottom w:val="single" w:sz="8" w:space="0" w:color="000000"/>
              <w:right w:val="single" w:sz="8" w:space="0" w:color="auto"/>
            </w:tcBorders>
            <w:vAlign w:val="center"/>
            <w:hideMark/>
          </w:tcPr>
          <w:p w14:paraId="77BDC56F"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single" w:sz="8" w:space="0" w:color="auto"/>
              <w:right w:val="nil"/>
            </w:tcBorders>
            <w:shd w:val="clear" w:color="auto" w:fill="auto"/>
            <w:noWrap/>
            <w:vAlign w:val="bottom"/>
            <w:hideMark/>
          </w:tcPr>
          <w:p w14:paraId="464C2644"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93" w:type="dxa"/>
            <w:tcBorders>
              <w:top w:val="nil"/>
              <w:left w:val="nil"/>
              <w:bottom w:val="nil"/>
              <w:right w:val="nil"/>
            </w:tcBorders>
            <w:shd w:val="clear" w:color="auto" w:fill="auto"/>
            <w:noWrap/>
            <w:vAlign w:val="bottom"/>
            <w:hideMark/>
          </w:tcPr>
          <w:p w14:paraId="7264CAC1" w14:textId="77777777" w:rsidR="003029F3" w:rsidRPr="003029F3" w:rsidRDefault="003029F3" w:rsidP="003029F3">
            <w:pPr>
              <w:jc w:val="center"/>
              <w:rPr>
                <w:rFonts w:ascii="Arial Narrow" w:eastAsia="Times New Roman" w:hAnsi="Arial Narrow" w:cs="Calibri"/>
                <w:color w:val="000000"/>
                <w:sz w:val="18"/>
                <w:szCs w:val="18"/>
                <w:lang w:eastAsia="en-NZ"/>
              </w:rPr>
            </w:pPr>
          </w:p>
        </w:tc>
        <w:tc>
          <w:tcPr>
            <w:tcW w:w="1596" w:type="dxa"/>
            <w:tcBorders>
              <w:top w:val="nil"/>
              <w:left w:val="nil"/>
              <w:bottom w:val="nil"/>
              <w:right w:val="nil"/>
            </w:tcBorders>
            <w:shd w:val="clear" w:color="auto" w:fill="auto"/>
            <w:noWrap/>
            <w:vAlign w:val="bottom"/>
            <w:hideMark/>
          </w:tcPr>
          <w:p w14:paraId="1FC335F7" w14:textId="77777777" w:rsidR="003029F3" w:rsidRPr="003029F3" w:rsidRDefault="003029F3" w:rsidP="003029F3">
            <w:pPr>
              <w:rPr>
                <w:rFonts w:eastAsia="Times New Roman"/>
                <w:sz w:val="20"/>
                <w:szCs w:val="20"/>
                <w:lang w:eastAsia="en-NZ"/>
              </w:rPr>
            </w:pPr>
          </w:p>
        </w:tc>
        <w:tc>
          <w:tcPr>
            <w:tcW w:w="1590" w:type="dxa"/>
            <w:tcBorders>
              <w:top w:val="nil"/>
              <w:left w:val="nil"/>
              <w:bottom w:val="nil"/>
              <w:right w:val="nil"/>
            </w:tcBorders>
            <w:shd w:val="clear" w:color="auto" w:fill="auto"/>
            <w:noWrap/>
            <w:vAlign w:val="bottom"/>
            <w:hideMark/>
          </w:tcPr>
          <w:p w14:paraId="1EFA1548" w14:textId="77777777" w:rsidR="003029F3" w:rsidRPr="003029F3" w:rsidRDefault="003029F3" w:rsidP="003029F3">
            <w:pPr>
              <w:rPr>
                <w:rFonts w:eastAsia="Times New Roman"/>
                <w:sz w:val="20"/>
                <w:szCs w:val="20"/>
                <w:lang w:eastAsia="en-NZ"/>
              </w:rPr>
            </w:pPr>
          </w:p>
        </w:tc>
        <w:tc>
          <w:tcPr>
            <w:tcW w:w="1590" w:type="dxa"/>
            <w:tcBorders>
              <w:top w:val="nil"/>
              <w:left w:val="nil"/>
              <w:bottom w:val="nil"/>
              <w:right w:val="nil"/>
            </w:tcBorders>
            <w:shd w:val="clear" w:color="auto" w:fill="auto"/>
            <w:noWrap/>
            <w:vAlign w:val="bottom"/>
            <w:hideMark/>
          </w:tcPr>
          <w:p w14:paraId="7B0F28BE" w14:textId="77777777" w:rsidR="003029F3" w:rsidRPr="003029F3" w:rsidRDefault="003029F3" w:rsidP="003029F3">
            <w:pPr>
              <w:rPr>
                <w:rFonts w:eastAsia="Times New Roman"/>
                <w:sz w:val="20"/>
                <w:szCs w:val="20"/>
                <w:lang w:eastAsia="en-NZ"/>
              </w:rPr>
            </w:pPr>
          </w:p>
        </w:tc>
        <w:tc>
          <w:tcPr>
            <w:tcW w:w="1602" w:type="dxa"/>
            <w:tcBorders>
              <w:top w:val="nil"/>
              <w:left w:val="nil"/>
              <w:bottom w:val="nil"/>
              <w:right w:val="single" w:sz="8" w:space="0" w:color="auto"/>
            </w:tcBorders>
            <w:shd w:val="clear" w:color="auto" w:fill="auto"/>
            <w:noWrap/>
            <w:vAlign w:val="bottom"/>
            <w:hideMark/>
          </w:tcPr>
          <w:p w14:paraId="0F9B0D11"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r>
      <w:tr w:rsidR="003029F3" w:rsidRPr="003029F3" w14:paraId="7FCD25A5" w14:textId="77777777" w:rsidTr="003029F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222E9003"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6F577BA8"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MEDIUM</w:t>
            </w:r>
          </w:p>
        </w:tc>
        <w:tc>
          <w:tcPr>
            <w:tcW w:w="893" w:type="dxa"/>
            <w:tcBorders>
              <w:top w:val="single" w:sz="8" w:space="0" w:color="auto"/>
              <w:left w:val="nil"/>
              <w:bottom w:val="nil"/>
              <w:right w:val="single" w:sz="4" w:space="0" w:color="auto"/>
            </w:tcBorders>
            <w:shd w:val="clear" w:color="auto" w:fill="auto"/>
            <w:noWrap/>
            <w:vAlign w:val="bottom"/>
            <w:hideMark/>
          </w:tcPr>
          <w:p w14:paraId="0A2FE18F"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w:t>
            </w:r>
          </w:p>
        </w:tc>
        <w:tc>
          <w:tcPr>
            <w:tcW w:w="1596" w:type="dxa"/>
            <w:tcBorders>
              <w:top w:val="single" w:sz="8" w:space="0" w:color="auto"/>
              <w:left w:val="nil"/>
              <w:bottom w:val="nil"/>
              <w:right w:val="nil"/>
            </w:tcBorders>
            <w:shd w:val="clear" w:color="auto" w:fill="auto"/>
            <w:noWrap/>
            <w:vAlign w:val="bottom"/>
            <w:hideMark/>
          </w:tcPr>
          <w:p w14:paraId="69ECD26F"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90" w:type="dxa"/>
            <w:tcBorders>
              <w:top w:val="single" w:sz="8" w:space="0" w:color="auto"/>
              <w:left w:val="nil"/>
              <w:bottom w:val="nil"/>
              <w:right w:val="nil"/>
            </w:tcBorders>
            <w:shd w:val="clear" w:color="auto" w:fill="auto"/>
            <w:noWrap/>
            <w:vAlign w:val="bottom"/>
            <w:hideMark/>
          </w:tcPr>
          <w:p w14:paraId="3D51E1F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4,000 </w:t>
            </w:r>
          </w:p>
        </w:tc>
        <w:tc>
          <w:tcPr>
            <w:tcW w:w="1590" w:type="dxa"/>
            <w:tcBorders>
              <w:top w:val="single" w:sz="8" w:space="0" w:color="auto"/>
              <w:left w:val="nil"/>
              <w:bottom w:val="nil"/>
              <w:right w:val="nil"/>
            </w:tcBorders>
            <w:shd w:val="clear" w:color="auto" w:fill="auto"/>
            <w:noWrap/>
            <w:vAlign w:val="bottom"/>
            <w:hideMark/>
          </w:tcPr>
          <w:p w14:paraId="09567AF4"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8,000 </w:t>
            </w:r>
          </w:p>
        </w:tc>
        <w:tc>
          <w:tcPr>
            <w:tcW w:w="1602" w:type="dxa"/>
            <w:tcBorders>
              <w:top w:val="single" w:sz="8" w:space="0" w:color="auto"/>
              <w:left w:val="nil"/>
              <w:bottom w:val="nil"/>
              <w:right w:val="single" w:sz="8" w:space="0" w:color="auto"/>
            </w:tcBorders>
            <w:shd w:val="clear" w:color="auto" w:fill="auto"/>
            <w:noWrap/>
            <w:vAlign w:val="bottom"/>
            <w:hideMark/>
          </w:tcPr>
          <w:p w14:paraId="55B79B49"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16,000 </w:t>
            </w:r>
          </w:p>
        </w:tc>
      </w:tr>
      <w:tr w:rsidR="003029F3" w:rsidRPr="003029F3" w14:paraId="311D28B7" w14:textId="77777777" w:rsidTr="003029F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7C2A1AE2"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76563853"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1,000 - 49,999</w:t>
            </w:r>
          </w:p>
        </w:tc>
        <w:tc>
          <w:tcPr>
            <w:tcW w:w="893" w:type="dxa"/>
            <w:tcBorders>
              <w:top w:val="nil"/>
              <w:left w:val="nil"/>
              <w:bottom w:val="nil"/>
              <w:right w:val="single" w:sz="4" w:space="0" w:color="auto"/>
            </w:tcBorders>
            <w:shd w:val="clear" w:color="auto" w:fill="auto"/>
            <w:noWrap/>
            <w:vAlign w:val="bottom"/>
            <w:hideMark/>
          </w:tcPr>
          <w:p w14:paraId="64BBBB77"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Usage Fee</w:t>
            </w:r>
          </w:p>
        </w:tc>
        <w:tc>
          <w:tcPr>
            <w:tcW w:w="1596" w:type="dxa"/>
            <w:tcBorders>
              <w:top w:val="nil"/>
              <w:left w:val="nil"/>
              <w:bottom w:val="nil"/>
              <w:right w:val="nil"/>
            </w:tcBorders>
            <w:shd w:val="clear" w:color="auto" w:fill="auto"/>
            <w:noWrap/>
            <w:vAlign w:val="bottom"/>
            <w:hideMark/>
          </w:tcPr>
          <w:p w14:paraId="1113B30D"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4,600 </w:t>
            </w:r>
          </w:p>
        </w:tc>
        <w:tc>
          <w:tcPr>
            <w:tcW w:w="1590" w:type="dxa"/>
            <w:tcBorders>
              <w:top w:val="nil"/>
              <w:left w:val="nil"/>
              <w:bottom w:val="nil"/>
              <w:right w:val="nil"/>
            </w:tcBorders>
            <w:shd w:val="clear" w:color="auto" w:fill="auto"/>
            <w:noWrap/>
            <w:vAlign w:val="bottom"/>
            <w:hideMark/>
          </w:tcPr>
          <w:p w14:paraId="3BC8C600"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4,600 </w:t>
            </w:r>
          </w:p>
        </w:tc>
        <w:tc>
          <w:tcPr>
            <w:tcW w:w="1590" w:type="dxa"/>
            <w:tcBorders>
              <w:top w:val="nil"/>
              <w:left w:val="nil"/>
              <w:bottom w:val="nil"/>
              <w:right w:val="nil"/>
            </w:tcBorders>
            <w:shd w:val="clear" w:color="auto" w:fill="auto"/>
            <w:noWrap/>
            <w:vAlign w:val="bottom"/>
            <w:hideMark/>
          </w:tcPr>
          <w:p w14:paraId="2060C46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4,600 </w:t>
            </w:r>
          </w:p>
        </w:tc>
        <w:tc>
          <w:tcPr>
            <w:tcW w:w="1602" w:type="dxa"/>
            <w:tcBorders>
              <w:top w:val="nil"/>
              <w:left w:val="nil"/>
              <w:bottom w:val="nil"/>
              <w:right w:val="single" w:sz="8" w:space="0" w:color="auto"/>
            </w:tcBorders>
            <w:shd w:val="clear" w:color="auto" w:fill="auto"/>
            <w:noWrap/>
            <w:vAlign w:val="bottom"/>
            <w:hideMark/>
          </w:tcPr>
          <w:p w14:paraId="3B5B1ABA"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4,600 </w:t>
            </w:r>
          </w:p>
        </w:tc>
      </w:tr>
      <w:tr w:rsidR="003029F3" w:rsidRPr="003029F3" w14:paraId="512C24F3" w14:textId="77777777" w:rsidTr="003029F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46AFB179"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single" w:sz="8" w:space="0" w:color="auto"/>
              <w:right w:val="single" w:sz="8" w:space="0" w:color="auto"/>
            </w:tcBorders>
            <w:shd w:val="clear" w:color="auto" w:fill="auto"/>
            <w:noWrap/>
            <w:vAlign w:val="bottom"/>
            <w:hideMark/>
          </w:tcPr>
          <w:p w14:paraId="5D384340"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44 countries</w:t>
            </w:r>
          </w:p>
        </w:tc>
        <w:tc>
          <w:tcPr>
            <w:tcW w:w="893" w:type="dxa"/>
            <w:tcBorders>
              <w:top w:val="nil"/>
              <w:left w:val="nil"/>
              <w:bottom w:val="single" w:sz="8" w:space="0" w:color="auto"/>
              <w:right w:val="single" w:sz="4" w:space="0" w:color="auto"/>
            </w:tcBorders>
            <w:shd w:val="clear" w:color="auto" w:fill="auto"/>
            <w:noWrap/>
            <w:vAlign w:val="bottom"/>
            <w:hideMark/>
          </w:tcPr>
          <w:p w14:paraId="5278D55A"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Total</w:t>
            </w:r>
          </w:p>
        </w:tc>
        <w:tc>
          <w:tcPr>
            <w:tcW w:w="1596" w:type="dxa"/>
            <w:tcBorders>
              <w:top w:val="nil"/>
              <w:left w:val="nil"/>
              <w:bottom w:val="single" w:sz="8" w:space="0" w:color="auto"/>
              <w:right w:val="nil"/>
            </w:tcBorders>
            <w:shd w:val="clear" w:color="auto" w:fill="auto"/>
            <w:noWrap/>
            <w:vAlign w:val="bottom"/>
            <w:hideMark/>
          </w:tcPr>
          <w:p w14:paraId="009DB524"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4,600 </w:t>
            </w:r>
          </w:p>
        </w:tc>
        <w:tc>
          <w:tcPr>
            <w:tcW w:w="1590" w:type="dxa"/>
            <w:tcBorders>
              <w:top w:val="nil"/>
              <w:left w:val="nil"/>
              <w:bottom w:val="single" w:sz="8" w:space="0" w:color="auto"/>
              <w:right w:val="nil"/>
            </w:tcBorders>
            <w:shd w:val="clear" w:color="auto" w:fill="auto"/>
            <w:noWrap/>
            <w:vAlign w:val="bottom"/>
            <w:hideMark/>
          </w:tcPr>
          <w:p w14:paraId="3D3AD895"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8,600 </w:t>
            </w:r>
          </w:p>
        </w:tc>
        <w:tc>
          <w:tcPr>
            <w:tcW w:w="1590" w:type="dxa"/>
            <w:tcBorders>
              <w:top w:val="nil"/>
              <w:left w:val="nil"/>
              <w:bottom w:val="single" w:sz="8" w:space="0" w:color="auto"/>
              <w:right w:val="nil"/>
            </w:tcBorders>
            <w:shd w:val="clear" w:color="auto" w:fill="auto"/>
            <w:noWrap/>
            <w:vAlign w:val="bottom"/>
            <w:hideMark/>
          </w:tcPr>
          <w:p w14:paraId="15938FF1"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12,600 </w:t>
            </w:r>
          </w:p>
        </w:tc>
        <w:tc>
          <w:tcPr>
            <w:tcW w:w="1602" w:type="dxa"/>
            <w:tcBorders>
              <w:top w:val="nil"/>
              <w:left w:val="nil"/>
              <w:bottom w:val="single" w:sz="8" w:space="0" w:color="auto"/>
              <w:right w:val="single" w:sz="8" w:space="0" w:color="auto"/>
            </w:tcBorders>
            <w:shd w:val="clear" w:color="auto" w:fill="auto"/>
            <w:noWrap/>
            <w:vAlign w:val="bottom"/>
            <w:hideMark/>
          </w:tcPr>
          <w:p w14:paraId="5905DE40"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20,600 </w:t>
            </w:r>
          </w:p>
        </w:tc>
      </w:tr>
      <w:tr w:rsidR="003029F3" w:rsidRPr="003029F3" w14:paraId="23751228" w14:textId="77777777" w:rsidTr="003029F3">
        <w:trPr>
          <w:trHeight w:val="80"/>
        </w:trPr>
        <w:tc>
          <w:tcPr>
            <w:tcW w:w="368" w:type="dxa"/>
            <w:vMerge/>
            <w:tcBorders>
              <w:top w:val="nil"/>
              <w:left w:val="single" w:sz="8" w:space="0" w:color="auto"/>
              <w:bottom w:val="single" w:sz="8" w:space="0" w:color="000000"/>
              <w:right w:val="single" w:sz="8" w:space="0" w:color="auto"/>
            </w:tcBorders>
            <w:vAlign w:val="center"/>
            <w:hideMark/>
          </w:tcPr>
          <w:p w14:paraId="2592671B"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single" w:sz="8" w:space="0" w:color="auto"/>
              <w:right w:val="nil"/>
            </w:tcBorders>
            <w:shd w:val="clear" w:color="auto" w:fill="auto"/>
            <w:noWrap/>
            <w:vAlign w:val="bottom"/>
            <w:hideMark/>
          </w:tcPr>
          <w:p w14:paraId="7C8A2EB4"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93" w:type="dxa"/>
            <w:tcBorders>
              <w:top w:val="nil"/>
              <w:left w:val="nil"/>
              <w:bottom w:val="nil"/>
              <w:right w:val="nil"/>
            </w:tcBorders>
            <w:shd w:val="clear" w:color="auto" w:fill="auto"/>
            <w:noWrap/>
            <w:vAlign w:val="bottom"/>
            <w:hideMark/>
          </w:tcPr>
          <w:p w14:paraId="5C2E9C8F" w14:textId="77777777" w:rsidR="003029F3" w:rsidRPr="003029F3" w:rsidRDefault="003029F3" w:rsidP="003029F3">
            <w:pPr>
              <w:jc w:val="center"/>
              <w:rPr>
                <w:rFonts w:ascii="Arial Narrow" w:eastAsia="Times New Roman" w:hAnsi="Arial Narrow" w:cs="Calibri"/>
                <w:color w:val="000000"/>
                <w:sz w:val="18"/>
                <w:szCs w:val="18"/>
                <w:lang w:eastAsia="en-NZ"/>
              </w:rPr>
            </w:pPr>
          </w:p>
        </w:tc>
        <w:tc>
          <w:tcPr>
            <w:tcW w:w="1596" w:type="dxa"/>
            <w:tcBorders>
              <w:top w:val="nil"/>
              <w:left w:val="nil"/>
              <w:bottom w:val="nil"/>
              <w:right w:val="nil"/>
            </w:tcBorders>
            <w:shd w:val="clear" w:color="auto" w:fill="auto"/>
            <w:noWrap/>
            <w:vAlign w:val="bottom"/>
            <w:hideMark/>
          </w:tcPr>
          <w:p w14:paraId="03390CD1" w14:textId="77777777" w:rsidR="003029F3" w:rsidRPr="003029F3" w:rsidRDefault="003029F3" w:rsidP="003029F3">
            <w:pPr>
              <w:rPr>
                <w:rFonts w:eastAsia="Times New Roman"/>
                <w:sz w:val="20"/>
                <w:szCs w:val="20"/>
                <w:lang w:eastAsia="en-NZ"/>
              </w:rPr>
            </w:pPr>
          </w:p>
        </w:tc>
        <w:tc>
          <w:tcPr>
            <w:tcW w:w="1590" w:type="dxa"/>
            <w:tcBorders>
              <w:top w:val="nil"/>
              <w:left w:val="nil"/>
              <w:bottom w:val="nil"/>
              <w:right w:val="nil"/>
            </w:tcBorders>
            <w:shd w:val="clear" w:color="auto" w:fill="auto"/>
            <w:noWrap/>
            <w:vAlign w:val="bottom"/>
            <w:hideMark/>
          </w:tcPr>
          <w:p w14:paraId="3EAD72DC" w14:textId="77777777" w:rsidR="003029F3" w:rsidRPr="003029F3" w:rsidRDefault="003029F3" w:rsidP="003029F3">
            <w:pPr>
              <w:rPr>
                <w:rFonts w:eastAsia="Times New Roman"/>
                <w:sz w:val="20"/>
                <w:szCs w:val="20"/>
                <w:lang w:eastAsia="en-NZ"/>
              </w:rPr>
            </w:pPr>
          </w:p>
        </w:tc>
        <w:tc>
          <w:tcPr>
            <w:tcW w:w="1590" w:type="dxa"/>
            <w:tcBorders>
              <w:top w:val="nil"/>
              <w:left w:val="nil"/>
              <w:bottom w:val="nil"/>
              <w:right w:val="nil"/>
            </w:tcBorders>
            <w:shd w:val="clear" w:color="auto" w:fill="auto"/>
            <w:noWrap/>
            <w:vAlign w:val="bottom"/>
            <w:hideMark/>
          </w:tcPr>
          <w:p w14:paraId="1F1C3FF6" w14:textId="77777777" w:rsidR="003029F3" w:rsidRPr="003029F3" w:rsidRDefault="003029F3" w:rsidP="003029F3">
            <w:pPr>
              <w:rPr>
                <w:rFonts w:eastAsia="Times New Roman"/>
                <w:sz w:val="20"/>
                <w:szCs w:val="20"/>
                <w:lang w:eastAsia="en-NZ"/>
              </w:rPr>
            </w:pPr>
          </w:p>
        </w:tc>
        <w:tc>
          <w:tcPr>
            <w:tcW w:w="1602" w:type="dxa"/>
            <w:tcBorders>
              <w:top w:val="nil"/>
              <w:left w:val="nil"/>
              <w:bottom w:val="nil"/>
              <w:right w:val="single" w:sz="8" w:space="0" w:color="auto"/>
            </w:tcBorders>
            <w:shd w:val="clear" w:color="auto" w:fill="auto"/>
            <w:noWrap/>
            <w:vAlign w:val="bottom"/>
            <w:hideMark/>
          </w:tcPr>
          <w:p w14:paraId="19CE894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r>
      <w:tr w:rsidR="003029F3" w:rsidRPr="003029F3" w14:paraId="672C6CA1" w14:textId="77777777" w:rsidTr="003029F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5D464632"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6BFFD8CF"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HIGH</w:t>
            </w:r>
          </w:p>
        </w:tc>
        <w:tc>
          <w:tcPr>
            <w:tcW w:w="893" w:type="dxa"/>
            <w:tcBorders>
              <w:top w:val="single" w:sz="8" w:space="0" w:color="auto"/>
              <w:left w:val="nil"/>
              <w:bottom w:val="nil"/>
              <w:right w:val="single" w:sz="4" w:space="0" w:color="auto"/>
            </w:tcBorders>
            <w:shd w:val="clear" w:color="auto" w:fill="auto"/>
            <w:noWrap/>
            <w:vAlign w:val="bottom"/>
            <w:hideMark/>
          </w:tcPr>
          <w:p w14:paraId="512D6593"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w:t>
            </w:r>
          </w:p>
        </w:tc>
        <w:tc>
          <w:tcPr>
            <w:tcW w:w="1596" w:type="dxa"/>
            <w:tcBorders>
              <w:top w:val="single" w:sz="8" w:space="0" w:color="auto"/>
              <w:left w:val="nil"/>
              <w:bottom w:val="nil"/>
              <w:right w:val="nil"/>
            </w:tcBorders>
            <w:shd w:val="clear" w:color="auto" w:fill="auto"/>
            <w:noWrap/>
            <w:vAlign w:val="bottom"/>
            <w:hideMark/>
          </w:tcPr>
          <w:p w14:paraId="559E934A"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90" w:type="dxa"/>
            <w:tcBorders>
              <w:top w:val="single" w:sz="8" w:space="0" w:color="auto"/>
              <w:left w:val="nil"/>
              <w:bottom w:val="nil"/>
              <w:right w:val="nil"/>
            </w:tcBorders>
            <w:shd w:val="clear" w:color="auto" w:fill="auto"/>
            <w:noWrap/>
            <w:vAlign w:val="bottom"/>
            <w:hideMark/>
          </w:tcPr>
          <w:p w14:paraId="3F856463"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4,000 </w:t>
            </w:r>
          </w:p>
        </w:tc>
        <w:tc>
          <w:tcPr>
            <w:tcW w:w="1590" w:type="dxa"/>
            <w:tcBorders>
              <w:top w:val="single" w:sz="8" w:space="0" w:color="auto"/>
              <w:left w:val="nil"/>
              <w:bottom w:val="nil"/>
              <w:right w:val="nil"/>
            </w:tcBorders>
            <w:shd w:val="clear" w:color="auto" w:fill="auto"/>
            <w:noWrap/>
            <w:vAlign w:val="bottom"/>
            <w:hideMark/>
          </w:tcPr>
          <w:p w14:paraId="7B68F00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8,000 </w:t>
            </w:r>
          </w:p>
        </w:tc>
        <w:tc>
          <w:tcPr>
            <w:tcW w:w="1602" w:type="dxa"/>
            <w:tcBorders>
              <w:top w:val="single" w:sz="8" w:space="0" w:color="auto"/>
              <w:left w:val="nil"/>
              <w:bottom w:val="nil"/>
              <w:right w:val="single" w:sz="8" w:space="0" w:color="auto"/>
            </w:tcBorders>
            <w:shd w:val="clear" w:color="auto" w:fill="auto"/>
            <w:noWrap/>
            <w:vAlign w:val="bottom"/>
            <w:hideMark/>
          </w:tcPr>
          <w:p w14:paraId="03CCE9A7"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16,000 </w:t>
            </w:r>
          </w:p>
        </w:tc>
      </w:tr>
      <w:tr w:rsidR="003029F3" w:rsidRPr="003029F3" w14:paraId="74BA763F" w14:textId="77777777" w:rsidTr="003029F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2E5048D6"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5907063E"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50,000+</w:t>
            </w:r>
          </w:p>
        </w:tc>
        <w:tc>
          <w:tcPr>
            <w:tcW w:w="893" w:type="dxa"/>
            <w:tcBorders>
              <w:top w:val="nil"/>
              <w:left w:val="nil"/>
              <w:bottom w:val="nil"/>
              <w:right w:val="single" w:sz="4" w:space="0" w:color="auto"/>
            </w:tcBorders>
            <w:shd w:val="clear" w:color="auto" w:fill="auto"/>
            <w:noWrap/>
            <w:vAlign w:val="bottom"/>
            <w:hideMark/>
          </w:tcPr>
          <w:p w14:paraId="7D8763D1"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Usage Fee</w:t>
            </w:r>
          </w:p>
        </w:tc>
        <w:tc>
          <w:tcPr>
            <w:tcW w:w="1596" w:type="dxa"/>
            <w:tcBorders>
              <w:top w:val="nil"/>
              <w:left w:val="nil"/>
              <w:bottom w:val="nil"/>
              <w:right w:val="nil"/>
            </w:tcBorders>
            <w:shd w:val="clear" w:color="auto" w:fill="auto"/>
            <w:noWrap/>
            <w:vAlign w:val="bottom"/>
            <w:hideMark/>
          </w:tcPr>
          <w:p w14:paraId="4E0D4D53"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13,800 </w:t>
            </w:r>
          </w:p>
        </w:tc>
        <w:tc>
          <w:tcPr>
            <w:tcW w:w="1590" w:type="dxa"/>
            <w:tcBorders>
              <w:top w:val="nil"/>
              <w:left w:val="nil"/>
              <w:bottom w:val="nil"/>
              <w:right w:val="nil"/>
            </w:tcBorders>
            <w:shd w:val="clear" w:color="auto" w:fill="auto"/>
            <w:noWrap/>
            <w:vAlign w:val="bottom"/>
            <w:hideMark/>
          </w:tcPr>
          <w:p w14:paraId="6F5C417E"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13,800 </w:t>
            </w:r>
          </w:p>
        </w:tc>
        <w:tc>
          <w:tcPr>
            <w:tcW w:w="1590" w:type="dxa"/>
            <w:tcBorders>
              <w:top w:val="nil"/>
              <w:left w:val="nil"/>
              <w:bottom w:val="nil"/>
              <w:right w:val="nil"/>
            </w:tcBorders>
            <w:shd w:val="clear" w:color="auto" w:fill="auto"/>
            <w:noWrap/>
            <w:vAlign w:val="bottom"/>
            <w:hideMark/>
          </w:tcPr>
          <w:p w14:paraId="41495E88"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13,800 </w:t>
            </w:r>
          </w:p>
        </w:tc>
        <w:tc>
          <w:tcPr>
            <w:tcW w:w="1602" w:type="dxa"/>
            <w:tcBorders>
              <w:top w:val="nil"/>
              <w:left w:val="nil"/>
              <w:bottom w:val="nil"/>
              <w:right w:val="single" w:sz="8" w:space="0" w:color="auto"/>
            </w:tcBorders>
            <w:shd w:val="clear" w:color="auto" w:fill="auto"/>
            <w:noWrap/>
            <w:vAlign w:val="bottom"/>
            <w:hideMark/>
          </w:tcPr>
          <w:p w14:paraId="36BC66A4"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13,800 </w:t>
            </w:r>
          </w:p>
        </w:tc>
      </w:tr>
      <w:tr w:rsidR="003029F3" w:rsidRPr="003029F3" w14:paraId="76B55AB0" w14:textId="77777777" w:rsidTr="003029F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30573278"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177" w:type="dxa"/>
            <w:tcBorders>
              <w:top w:val="nil"/>
              <w:left w:val="nil"/>
              <w:bottom w:val="single" w:sz="8" w:space="0" w:color="auto"/>
              <w:right w:val="single" w:sz="8" w:space="0" w:color="auto"/>
            </w:tcBorders>
            <w:shd w:val="clear" w:color="auto" w:fill="auto"/>
            <w:noWrap/>
            <w:vAlign w:val="bottom"/>
            <w:hideMark/>
          </w:tcPr>
          <w:p w14:paraId="1C37E882"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16 countries</w:t>
            </w:r>
          </w:p>
        </w:tc>
        <w:tc>
          <w:tcPr>
            <w:tcW w:w="893" w:type="dxa"/>
            <w:tcBorders>
              <w:top w:val="nil"/>
              <w:left w:val="nil"/>
              <w:bottom w:val="single" w:sz="8" w:space="0" w:color="auto"/>
              <w:right w:val="single" w:sz="4" w:space="0" w:color="auto"/>
            </w:tcBorders>
            <w:shd w:val="clear" w:color="auto" w:fill="auto"/>
            <w:noWrap/>
            <w:vAlign w:val="bottom"/>
            <w:hideMark/>
          </w:tcPr>
          <w:p w14:paraId="27DF7E92"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Total</w:t>
            </w:r>
          </w:p>
        </w:tc>
        <w:tc>
          <w:tcPr>
            <w:tcW w:w="1596" w:type="dxa"/>
            <w:tcBorders>
              <w:top w:val="nil"/>
              <w:left w:val="nil"/>
              <w:bottom w:val="single" w:sz="8" w:space="0" w:color="auto"/>
              <w:right w:val="nil"/>
            </w:tcBorders>
            <w:shd w:val="clear" w:color="auto" w:fill="auto"/>
            <w:noWrap/>
            <w:vAlign w:val="bottom"/>
            <w:hideMark/>
          </w:tcPr>
          <w:p w14:paraId="44077B7C"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13,800 </w:t>
            </w:r>
          </w:p>
        </w:tc>
        <w:tc>
          <w:tcPr>
            <w:tcW w:w="1590" w:type="dxa"/>
            <w:tcBorders>
              <w:top w:val="nil"/>
              <w:left w:val="nil"/>
              <w:bottom w:val="single" w:sz="8" w:space="0" w:color="auto"/>
              <w:right w:val="nil"/>
            </w:tcBorders>
            <w:shd w:val="clear" w:color="auto" w:fill="auto"/>
            <w:noWrap/>
            <w:vAlign w:val="bottom"/>
            <w:hideMark/>
          </w:tcPr>
          <w:p w14:paraId="6E1912B8"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17,800 </w:t>
            </w:r>
          </w:p>
        </w:tc>
        <w:tc>
          <w:tcPr>
            <w:tcW w:w="1590" w:type="dxa"/>
            <w:tcBorders>
              <w:top w:val="nil"/>
              <w:left w:val="nil"/>
              <w:bottom w:val="single" w:sz="8" w:space="0" w:color="auto"/>
              <w:right w:val="nil"/>
            </w:tcBorders>
            <w:shd w:val="clear" w:color="auto" w:fill="auto"/>
            <w:noWrap/>
            <w:vAlign w:val="bottom"/>
            <w:hideMark/>
          </w:tcPr>
          <w:p w14:paraId="52F01268"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21,800 </w:t>
            </w:r>
          </w:p>
        </w:tc>
        <w:tc>
          <w:tcPr>
            <w:tcW w:w="1602" w:type="dxa"/>
            <w:tcBorders>
              <w:top w:val="nil"/>
              <w:left w:val="nil"/>
              <w:bottom w:val="single" w:sz="8" w:space="0" w:color="auto"/>
              <w:right w:val="single" w:sz="8" w:space="0" w:color="auto"/>
            </w:tcBorders>
            <w:shd w:val="clear" w:color="auto" w:fill="auto"/>
            <w:noWrap/>
            <w:vAlign w:val="bottom"/>
            <w:hideMark/>
          </w:tcPr>
          <w:p w14:paraId="5EFEF978"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29,800 </w:t>
            </w:r>
          </w:p>
        </w:tc>
      </w:tr>
    </w:tbl>
    <w:p w14:paraId="4E886C0C" w14:textId="77777777" w:rsidR="00732A1D" w:rsidRDefault="00732A1D" w:rsidP="000B7165"/>
    <w:p w14:paraId="14E3C1B2" w14:textId="2FFB1604" w:rsidR="00732A1D" w:rsidRDefault="00732A1D" w:rsidP="000B7165">
      <w:pPr>
        <w:sectPr w:rsidR="00732A1D" w:rsidSect="00732A1D">
          <w:pgSz w:w="11906" w:h="16838"/>
          <w:pgMar w:top="1440" w:right="1440" w:bottom="1440" w:left="1440" w:header="708" w:footer="708" w:gutter="0"/>
          <w:cols w:space="708"/>
          <w:docGrid w:linePitch="360"/>
        </w:sectPr>
      </w:pPr>
    </w:p>
    <w:p w14:paraId="2D4B36F1" w14:textId="29CD7AA8" w:rsidR="00A420EE" w:rsidRDefault="00A420EE" w:rsidP="000B7165">
      <w:r w:rsidRPr="0064455C">
        <w:rPr>
          <w:b/>
          <w:bCs/>
        </w:rPr>
        <w:lastRenderedPageBreak/>
        <w:t xml:space="preserve">Appendix </w:t>
      </w:r>
      <w:r w:rsidR="00732A1D" w:rsidRPr="0064455C">
        <w:rPr>
          <w:b/>
          <w:bCs/>
        </w:rPr>
        <w:t>5</w:t>
      </w:r>
      <w:r w:rsidRPr="0064455C">
        <w:rPr>
          <w:b/>
          <w:bCs/>
        </w:rPr>
        <w:t xml:space="preserve">: Scenario 102 – </w:t>
      </w:r>
      <w:bookmarkEnd w:id="7"/>
      <w:r w:rsidR="0048626E">
        <w:rPr>
          <w:b/>
          <w:bCs/>
        </w:rPr>
        <w:t>Model Calculations</w:t>
      </w:r>
    </w:p>
    <w:p w14:paraId="33CC10D6" w14:textId="3D0C2580" w:rsidR="00043BEB" w:rsidRDefault="0048626E">
      <w:pPr>
        <w:sectPr w:rsidR="00043BEB" w:rsidSect="007444ED">
          <w:pgSz w:w="16838" w:h="11906" w:orient="landscape"/>
          <w:pgMar w:top="720" w:right="720" w:bottom="720" w:left="720" w:header="708" w:footer="708" w:gutter="0"/>
          <w:cols w:space="708"/>
          <w:docGrid w:linePitch="360"/>
        </w:sectPr>
      </w:pPr>
      <w:r w:rsidRPr="0048626E">
        <w:rPr>
          <w:noProof/>
        </w:rPr>
        <w:drawing>
          <wp:inline distT="0" distB="0" distL="0" distR="0" wp14:anchorId="1451BBBF" wp14:editId="3BF61A02">
            <wp:extent cx="9777730" cy="4459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7730" cy="4459605"/>
                    </a:xfrm>
                    <a:prstGeom prst="rect">
                      <a:avLst/>
                    </a:prstGeom>
                    <a:noFill/>
                    <a:ln>
                      <a:noFill/>
                    </a:ln>
                  </pic:spPr>
                </pic:pic>
              </a:graphicData>
            </a:graphic>
          </wp:inline>
        </w:drawing>
      </w:r>
    </w:p>
    <w:p w14:paraId="76DADB58" w14:textId="31ACFE88" w:rsidR="00043BEB" w:rsidRPr="0064455C" w:rsidRDefault="00043BEB">
      <w:pPr>
        <w:rPr>
          <w:b/>
          <w:bCs/>
        </w:rPr>
      </w:pPr>
      <w:r w:rsidRPr="0064455C">
        <w:rPr>
          <w:b/>
          <w:bCs/>
        </w:rPr>
        <w:lastRenderedPageBreak/>
        <w:t xml:space="preserve">Appendix </w:t>
      </w:r>
      <w:r w:rsidR="00732A1D" w:rsidRPr="0064455C">
        <w:rPr>
          <w:b/>
          <w:bCs/>
        </w:rPr>
        <w:t>6</w:t>
      </w:r>
      <w:r w:rsidRPr="0064455C">
        <w:rPr>
          <w:b/>
          <w:bCs/>
        </w:rPr>
        <w:t>: Scenario 102</w:t>
      </w:r>
      <w:r w:rsidR="0064455C">
        <w:rPr>
          <w:b/>
          <w:bCs/>
        </w:rPr>
        <w:t xml:space="preserve"> – </w:t>
      </w:r>
      <w:r w:rsidRPr="0064455C">
        <w:rPr>
          <w:b/>
          <w:bCs/>
        </w:rPr>
        <w:t>Country Specific Calculations</w:t>
      </w:r>
    </w:p>
    <w:p w14:paraId="790ED191" w14:textId="5BC22AF9" w:rsidR="00043BEB" w:rsidRDefault="0048626E">
      <w:pPr>
        <w:rPr>
          <w:noProof/>
        </w:rPr>
      </w:pPr>
      <w:r w:rsidRPr="0048626E">
        <w:rPr>
          <w:noProof/>
        </w:rPr>
        <w:lastRenderedPageBreak/>
        <w:drawing>
          <wp:inline distT="0" distB="0" distL="0" distR="0" wp14:anchorId="18CEE090" wp14:editId="2A41C320">
            <wp:extent cx="4397776" cy="911541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69"/>
                    <a:stretch/>
                  </pic:blipFill>
                  <pic:spPr bwMode="auto">
                    <a:xfrm>
                      <a:off x="0" y="0"/>
                      <a:ext cx="4409300" cy="9139299"/>
                    </a:xfrm>
                    <a:prstGeom prst="rect">
                      <a:avLst/>
                    </a:prstGeom>
                    <a:noFill/>
                    <a:ln>
                      <a:noFill/>
                    </a:ln>
                    <a:extLst>
                      <a:ext uri="{53640926-AAD7-44D8-BBD7-CCE9431645EC}">
                        <a14:shadowObscured xmlns:a14="http://schemas.microsoft.com/office/drawing/2010/main"/>
                      </a:ext>
                    </a:extLst>
                  </pic:spPr>
                </pic:pic>
              </a:graphicData>
            </a:graphic>
          </wp:inline>
        </w:drawing>
      </w:r>
    </w:p>
    <w:p w14:paraId="3FF67DF6" w14:textId="233666B4" w:rsidR="00CB49F1" w:rsidRDefault="00CB49F1">
      <w:pPr>
        <w:sectPr w:rsidR="00CB49F1" w:rsidSect="00043BEB">
          <w:pgSz w:w="11906" w:h="16838"/>
          <w:pgMar w:top="720" w:right="720" w:bottom="720" w:left="720" w:header="708" w:footer="708" w:gutter="0"/>
          <w:cols w:space="708"/>
          <w:docGrid w:linePitch="360"/>
        </w:sectPr>
      </w:pPr>
    </w:p>
    <w:p w14:paraId="789715A5" w14:textId="452DA794" w:rsidR="00732A1D" w:rsidRDefault="00732A1D" w:rsidP="00043BEB">
      <w:pPr>
        <w:rPr>
          <w:b/>
          <w:bCs/>
        </w:rPr>
      </w:pPr>
      <w:bookmarkStart w:id="8" w:name="_Hlk145364849"/>
      <w:r w:rsidRPr="00732A1D">
        <w:rPr>
          <w:b/>
          <w:bCs/>
        </w:rPr>
        <w:lastRenderedPageBreak/>
        <w:t xml:space="preserve">Appendix 7: Scenario 103 </w:t>
      </w:r>
      <w:r w:rsidR="0064455C">
        <w:rPr>
          <w:b/>
          <w:bCs/>
        </w:rPr>
        <w:t xml:space="preserve">– </w:t>
      </w:r>
      <w:r w:rsidRPr="00732A1D">
        <w:rPr>
          <w:b/>
          <w:bCs/>
        </w:rPr>
        <w:t>Summary Table</w:t>
      </w:r>
    </w:p>
    <w:tbl>
      <w:tblPr>
        <w:tblW w:w="8816" w:type="dxa"/>
        <w:tblLook w:val="04A0" w:firstRow="1" w:lastRow="0" w:firstColumn="1" w:lastColumn="0" w:noHBand="0" w:noVBand="1"/>
      </w:tblPr>
      <w:tblGrid>
        <w:gridCol w:w="435"/>
        <w:gridCol w:w="1345"/>
        <w:gridCol w:w="873"/>
        <w:gridCol w:w="1559"/>
        <w:gridCol w:w="1553"/>
        <w:gridCol w:w="1553"/>
        <w:gridCol w:w="1565"/>
      </w:tblGrid>
      <w:tr w:rsidR="003029F3" w:rsidRPr="003029F3" w14:paraId="6F172F08" w14:textId="77777777" w:rsidTr="003029F3">
        <w:trPr>
          <w:trHeight w:val="300"/>
        </w:trPr>
        <w:tc>
          <w:tcPr>
            <w:tcW w:w="368" w:type="dxa"/>
            <w:tcBorders>
              <w:top w:val="single" w:sz="8" w:space="0" w:color="auto"/>
              <w:left w:val="single" w:sz="8" w:space="0" w:color="auto"/>
              <w:bottom w:val="single" w:sz="8" w:space="0" w:color="auto"/>
              <w:right w:val="nil"/>
            </w:tcBorders>
            <w:shd w:val="clear" w:color="000000" w:fill="D9D9D9"/>
            <w:noWrap/>
            <w:vAlign w:val="bottom"/>
            <w:hideMark/>
          </w:tcPr>
          <w:p w14:paraId="347C069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448" w:type="dxa"/>
            <w:gridSpan w:val="6"/>
            <w:tcBorders>
              <w:top w:val="single" w:sz="8" w:space="0" w:color="auto"/>
              <w:left w:val="nil"/>
              <w:bottom w:val="single" w:sz="8" w:space="0" w:color="auto"/>
              <w:right w:val="single" w:sz="8" w:space="0" w:color="000000"/>
            </w:tcBorders>
            <w:shd w:val="clear" w:color="000000" w:fill="D9D9D9"/>
            <w:noWrap/>
            <w:vAlign w:val="bottom"/>
            <w:hideMark/>
          </w:tcPr>
          <w:p w14:paraId="15155980"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SCENARIO 103 - Four usage categories, Low usage category upper range set at &lt;5,000 exchanges</w:t>
            </w:r>
          </w:p>
        </w:tc>
      </w:tr>
      <w:tr w:rsidR="003029F3" w:rsidRPr="003029F3" w14:paraId="4F0968FD" w14:textId="77777777" w:rsidTr="003029F3">
        <w:trPr>
          <w:trHeight w:val="300"/>
        </w:trPr>
        <w:tc>
          <w:tcPr>
            <w:tcW w:w="368" w:type="dxa"/>
            <w:tcBorders>
              <w:top w:val="nil"/>
              <w:left w:val="single" w:sz="8" w:space="0" w:color="auto"/>
              <w:bottom w:val="nil"/>
              <w:right w:val="nil"/>
            </w:tcBorders>
            <w:shd w:val="clear" w:color="auto" w:fill="auto"/>
            <w:noWrap/>
            <w:hideMark/>
          </w:tcPr>
          <w:p w14:paraId="67743433"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single" w:sz="8" w:space="0" w:color="auto"/>
              <w:left w:val="nil"/>
              <w:bottom w:val="nil"/>
              <w:right w:val="single" w:sz="8" w:space="0" w:color="000000"/>
            </w:tcBorders>
            <w:shd w:val="clear" w:color="auto" w:fill="auto"/>
            <w:noWrap/>
            <w:vAlign w:val="bottom"/>
            <w:hideMark/>
          </w:tcPr>
          <w:p w14:paraId="700370C0"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Total revenue from base fee is set at 66% of total annual funding required.</w:t>
            </w:r>
          </w:p>
        </w:tc>
      </w:tr>
      <w:tr w:rsidR="003029F3" w:rsidRPr="003029F3" w14:paraId="0F99CA12" w14:textId="77777777" w:rsidTr="003029F3">
        <w:trPr>
          <w:trHeight w:val="290"/>
        </w:trPr>
        <w:tc>
          <w:tcPr>
            <w:tcW w:w="368" w:type="dxa"/>
            <w:tcBorders>
              <w:top w:val="nil"/>
              <w:left w:val="single" w:sz="8" w:space="0" w:color="auto"/>
              <w:bottom w:val="nil"/>
              <w:right w:val="nil"/>
            </w:tcBorders>
            <w:shd w:val="clear" w:color="auto" w:fill="auto"/>
            <w:noWrap/>
            <w:hideMark/>
          </w:tcPr>
          <w:p w14:paraId="370D99D6"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1FD37E1C"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Countries classified as Low/LDC pay no base fee.</w:t>
            </w:r>
          </w:p>
        </w:tc>
      </w:tr>
      <w:tr w:rsidR="003029F3" w:rsidRPr="003029F3" w14:paraId="2F20782B" w14:textId="77777777" w:rsidTr="003029F3">
        <w:trPr>
          <w:trHeight w:val="615"/>
        </w:trPr>
        <w:tc>
          <w:tcPr>
            <w:tcW w:w="368" w:type="dxa"/>
            <w:tcBorders>
              <w:top w:val="nil"/>
              <w:left w:val="single" w:sz="8" w:space="0" w:color="auto"/>
              <w:bottom w:val="nil"/>
              <w:right w:val="nil"/>
            </w:tcBorders>
            <w:shd w:val="clear" w:color="auto" w:fill="auto"/>
            <w:noWrap/>
            <w:hideMark/>
          </w:tcPr>
          <w:p w14:paraId="19E9DC79"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3BBBCFD2"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 starts at $4,000 and increases x2 for each higher development status level.</w:t>
            </w:r>
          </w:p>
        </w:tc>
      </w:tr>
      <w:tr w:rsidR="003029F3" w:rsidRPr="003029F3" w14:paraId="35726A2B" w14:textId="77777777" w:rsidTr="003029F3">
        <w:trPr>
          <w:trHeight w:val="315"/>
        </w:trPr>
        <w:tc>
          <w:tcPr>
            <w:tcW w:w="368" w:type="dxa"/>
            <w:tcBorders>
              <w:top w:val="nil"/>
              <w:left w:val="single" w:sz="8" w:space="0" w:color="auto"/>
              <w:bottom w:val="nil"/>
              <w:right w:val="nil"/>
            </w:tcBorders>
            <w:shd w:val="clear" w:color="auto" w:fill="auto"/>
            <w:noWrap/>
            <w:hideMark/>
          </w:tcPr>
          <w:p w14:paraId="0BAECB09"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4BAFE1B3"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Remaining 33% of revenue is from usage fee.</w:t>
            </w:r>
          </w:p>
        </w:tc>
      </w:tr>
      <w:tr w:rsidR="003029F3" w:rsidRPr="003029F3" w14:paraId="7B49FDBF" w14:textId="77777777" w:rsidTr="003029F3">
        <w:trPr>
          <w:trHeight w:val="500"/>
        </w:trPr>
        <w:tc>
          <w:tcPr>
            <w:tcW w:w="368" w:type="dxa"/>
            <w:tcBorders>
              <w:top w:val="nil"/>
              <w:left w:val="single" w:sz="8" w:space="0" w:color="auto"/>
              <w:bottom w:val="nil"/>
              <w:right w:val="nil"/>
            </w:tcBorders>
            <w:shd w:val="clear" w:color="auto" w:fill="auto"/>
            <w:noWrap/>
            <w:hideMark/>
          </w:tcPr>
          <w:p w14:paraId="015FBACF"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vAlign w:val="bottom"/>
            <w:hideMark/>
          </w:tcPr>
          <w:p w14:paraId="508E39BE"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4 usage categories with usage fee starting at nil for low usage (&lt;5,000 exchanges) then $6,200 for medium and increases x2 for each higher usage level.</w:t>
            </w:r>
          </w:p>
        </w:tc>
      </w:tr>
      <w:tr w:rsidR="003029F3" w:rsidRPr="003029F3" w14:paraId="70725916" w14:textId="77777777" w:rsidTr="003029F3">
        <w:trPr>
          <w:trHeight w:val="70"/>
        </w:trPr>
        <w:tc>
          <w:tcPr>
            <w:tcW w:w="368" w:type="dxa"/>
            <w:tcBorders>
              <w:top w:val="single" w:sz="8" w:space="0" w:color="auto"/>
              <w:left w:val="single" w:sz="8" w:space="0" w:color="auto"/>
              <w:bottom w:val="single" w:sz="8" w:space="0" w:color="auto"/>
              <w:right w:val="nil"/>
            </w:tcBorders>
            <w:shd w:val="clear" w:color="auto" w:fill="auto"/>
            <w:noWrap/>
            <w:vAlign w:val="bottom"/>
            <w:hideMark/>
          </w:tcPr>
          <w:p w14:paraId="609877E1"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345" w:type="dxa"/>
            <w:tcBorders>
              <w:top w:val="single" w:sz="8" w:space="0" w:color="auto"/>
              <w:left w:val="nil"/>
              <w:bottom w:val="single" w:sz="8" w:space="0" w:color="auto"/>
              <w:right w:val="nil"/>
            </w:tcBorders>
            <w:shd w:val="clear" w:color="auto" w:fill="auto"/>
            <w:noWrap/>
            <w:vAlign w:val="bottom"/>
            <w:hideMark/>
          </w:tcPr>
          <w:p w14:paraId="543BD75E"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73" w:type="dxa"/>
            <w:tcBorders>
              <w:top w:val="single" w:sz="8" w:space="0" w:color="auto"/>
              <w:left w:val="nil"/>
              <w:bottom w:val="single" w:sz="8" w:space="0" w:color="auto"/>
              <w:right w:val="nil"/>
            </w:tcBorders>
            <w:shd w:val="clear" w:color="auto" w:fill="auto"/>
            <w:noWrap/>
            <w:vAlign w:val="bottom"/>
            <w:hideMark/>
          </w:tcPr>
          <w:p w14:paraId="16C208D1"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59" w:type="dxa"/>
            <w:tcBorders>
              <w:top w:val="single" w:sz="8" w:space="0" w:color="auto"/>
              <w:left w:val="nil"/>
              <w:bottom w:val="single" w:sz="8" w:space="0" w:color="auto"/>
              <w:right w:val="nil"/>
            </w:tcBorders>
            <w:shd w:val="clear" w:color="auto" w:fill="auto"/>
            <w:noWrap/>
            <w:vAlign w:val="bottom"/>
            <w:hideMark/>
          </w:tcPr>
          <w:p w14:paraId="2CD90155"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53" w:type="dxa"/>
            <w:tcBorders>
              <w:top w:val="single" w:sz="8" w:space="0" w:color="auto"/>
              <w:left w:val="nil"/>
              <w:bottom w:val="single" w:sz="8" w:space="0" w:color="auto"/>
              <w:right w:val="nil"/>
            </w:tcBorders>
            <w:shd w:val="clear" w:color="auto" w:fill="auto"/>
            <w:noWrap/>
            <w:vAlign w:val="bottom"/>
            <w:hideMark/>
          </w:tcPr>
          <w:p w14:paraId="1C14F7B1"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53" w:type="dxa"/>
            <w:tcBorders>
              <w:top w:val="single" w:sz="8" w:space="0" w:color="auto"/>
              <w:left w:val="nil"/>
              <w:bottom w:val="single" w:sz="8" w:space="0" w:color="auto"/>
              <w:right w:val="nil"/>
            </w:tcBorders>
            <w:shd w:val="clear" w:color="auto" w:fill="auto"/>
            <w:noWrap/>
            <w:vAlign w:val="bottom"/>
            <w:hideMark/>
          </w:tcPr>
          <w:p w14:paraId="6B6F04A9"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65" w:type="dxa"/>
            <w:tcBorders>
              <w:top w:val="single" w:sz="8" w:space="0" w:color="auto"/>
              <w:left w:val="nil"/>
              <w:bottom w:val="single" w:sz="8" w:space="0" w:color="auto"/>
              <w:right w:val="single" w:sz="8" w:space="0" w:color="auto"/>
            </w:tcBorders>
            <w:shd w:val="clear" w:color="auto" w:fill="auto"/>
            <w:noWrap/>
            <w:vAlign w:val="bottom"/>
            <w:hideMark/>
          </w:tcPr>
          <w:p w14:paraId="1D12AC8D"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r>
      <w:tr w:rsidR="003029F3" w:rsidRPr="003029F3" w14:paraId="58BD4E68" w14:textId="77777777" w:rsidTr="003029F3">
        <w:trPr>
          <w:trHeight w:val="330"/>
        </w:trPr>
        <w:tc>
          <w:tcPr>
            <w:tcW w:w="368" w:type="dxa"/>
            <w:tcBorders>
              <w:top w:val="nil"/>
              <w:left w:val="single" w:sz="8" w:space="0" w:color="auto"/>
              <w:bottom w:val="nil"/>
              <w:right w:val="nil"/>
            </w:tcBorders>
            <w:shd w:val="clear" w:color="auto" w:fill="auto"/>
            <w:noWrap/>
            <w:vAlign w:val="bottom"/>
            <w:hideMark/>
          </w:tcPr>
          <w:p w14:paraId="6DD0A63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345" w:type="dxa"/>
            <w:tcBorders>
              <w:top w:val="nil"/>
              <w:left w:val="nil"/>
              <w:bottom w:val="nil"/>
              <w:right w:val="nil"/>
            </w:tcBorders>
            <w:shd w:val="clear" w:color="auto" w:fill="auto"/>
            <w:noWrap/>
            <w:vAlign w:val="bottom"/>
            <w:hideMark/>
          </w:tcPr>
          <w:p w14:paraId="78856451" w14:textId="77777777" w:rsidR="003029F3" w:rsidRPr="003029F3" w:rsidRDefault="003029F3" w:rsidP="003029F3">
            <w:pPr>
              <w:rPr>
                <w:rFonts w:ascii="Arial Narrow" w:eastAsia="Times New Roman" w:hAnsi="Arial Narrow" w:cs="Calibri"/>
                <w:color w:val="000000"/>
                <w:sz w:val="18"/>
                <w:szCs w:val="18"/>
                <w:lang w:eastAsia="en-NZ"/>
              </w:rPr>
            </w:pPr>
          </w:p>
        </w:tc>
        <w:tc>
          <w:tcPr>
            <w:tcW w:w="873" w:type="dxa"/>
            <w:tcBorders>
              <w:top w:val="nil"/>
              <w:left w:val="nil"/>
              <w:bottom w:val="nil"/>
              <w:right w:val="nil"/>
            </w:tcBorders>
            <w:shd w:val="clear" w:color="auto" w:fill="auto"/>
            <w:noWrap/>
            <w:vAlign w:val="bottom"/>
            <w:hideMark/>
          </w:tcPr>
          <w:p w14:paraId="30667DA0" w14:textId="77777777" w:rsidR="003029F3" w:rsidRPr="003029F3" w:rsidRDefault="003029F3" w:rsidP="003029F3">
            <w:pPr>
              <w:rPr>
                <w:rFonts w:eastAsia="Times New Roman"/>
                <w:sz w:val="20"/>
                <w:szCs w:val="20"/>
                <w:lang w:eastAsia="en-NZ"/>
              </w:rPr>
            </w:pPr>
          </w:p>
        </w:tc>
        <w:tc>
          <w:tcPr>
            <w:tcW w:w="623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6EE22E3"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DEVELOPMENT STATUS</w:t>
            </w:r>
          </w:p>
        </w:tc>
      </w:tr>
      <w:tr w:rsidR="003029F3" w:rsidRPr="003029F3" w14:paraId="7CB7CBD6" w14:textId="77777777" w:rsidTr="003029F3">
        <w:trPr>
          <w:trHeight w:val="290"/>
        </w:trPr>
        <w:tc>
          <w:tcPr>
            <w:tcW w:w="368" w:type="dxa"/>
            <w:tcBorders>
              <w:top w:val="nil"/>
              <w:left w:val="single" w:sz="8" w:space="0" w:color="auto"/>
              <w:bottom w:val="nil"/>
              <w:right w:val="nil"/>
            </w:tcBorders>
            <w:shd w:val="clear" w:color="auto" w:fill="auto"/>
            <w:noWrap/>
            <w:vAlign w:val="bottom"/>
            <w:hideMark/>
          </w:tcPr>
          <w:p w14:paraId="7175D3DB"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345" w:type="dxa"/>
            <w:tcBorders>
              <w:top w:val="nil"/>
              <w:left w:val="nil"/>
              <w:bottom w:val="nil"/>
              <w:right w:val="nil"/>
            </w:tcBorders>
            <w:shd w:val="clear" w:color="auto" w:fill="auto"/>
            <w:noWrap/>
            <w:vAlign w:val="bottom"/>
            <w:hideMark/>
          </w:tcPr>
          <w:p w14:paraId="504D5DDC" w14:textId="77777777" w:rsidR="003029F3" w:rsidRPr="003029F3" w:rsidRDefault="003029F3" w:rsidP="003029F3">
            <w:pPr>
              <w:rPr>
                <w:rFonts w:ascii="Arial Narrow" w:eastAsia="Times New Roman" w:hAnsi="Arial Narrow" w:cs="Calibri"/>
                <w:color w:val="000000"/>
                <w:sz w:val="18"/>
                <w:szCs w:val="18"/>
                <w:lang w:eastAsia="en-NZ"/>
              </w:rPr>
            </w:pPr>
          </w:p>
        </w:tc>
        <w:tc>
          <w:tcPr>
            <w:tcW w:w="873" w:type="dxa"/>
            <w:tcBorders>
              <w:top w:val="nil"/>
              <w:left w:val="nil"/>
              <w:bottom w:val="nil"/>
              <w:right w:val="nil"/>
            </w:tcBorders>
            <w:shd w:val="clear" w:color="auto" w:fill="auto"/>
            <w:noWrap/>
            <w:vAlign w:val="bottom"/>
            <w:hideMark/>
          </w:tcPr>
          <w:p w14:paraId="4316B0F1" w14:textId="77777777" w:rsidR="003029F3" w:rsidRPr="003029F3" w:rsidRDefault="003029F3" w:rsidP="003029F3">
            <w:pPr>
              <w:rPr>
                <w:rFonts w:eastAsia="Times New Roman"/>
                <w:sz w:val="20"/>
                <w:szCs w:val="20"/>
                <w:lang w:eastAsia="en-NZ"/>
              </w:rPr>
            </w:pPr>
          </w:p>
        </w:tc>
        <w:tc>
          <w:tcPr>
            <w:tcW w:w="1559" w:type="dxa"/>
            <w:tcBorders>
              <w:top w:val="nil"/>
              <w:left w:val="single" w:sz="8" w:space="0" w:color="auto"/>
              <w:bottom w:val="nil"/>
              <w:right w:val="nil"/>
            </w:tcBorders>
            <w:shd w:val="clear" w:color="auto" w:fill="auto"/>
            <w:noWrap/>
            <w:vAlign w:val="bottom"/>
            <w:hideMark/>
          </w:tcPr>
          <w:p w14:paraId="588ED63B"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LOW</w:t>
            </w:r>
          </w:p>
        </w:tc>
        <w:tc>
          <w:tcPr>
            <w:tcW w:w="1553" w:type="dxa"/>
            <w:tcBorders>
              <w:top w:val="nil"/>
              <w:left w:val="nil"/>
              <w:bottom w:val="nil"/>
              <w:right w:val="nil"/>
            </w:tcBorders>
            <w:shd w:val="clear" w:color="auto" w:fill="auto"/>
            <w:noWrap/>
            <w:vAlign w:val="bottom"/>
            <w:hideMark/>
          </w:tcPr>
          <w:p w14:paraId="7ABD769D"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LOWER-MID</w:t>
            </w:r>
          </w:p>
        </w:tc>
        <w:tc>
          <w:tcPr>
            <w:tcW w:w="1553" w:type="dxa"/>
            <w:tcBorders>
              <w:top w:val="nil"/>
              <w:left w:val="nil"/>
              <w:bottom w:val="nil"/>
              <w:right w:val="nil"/>
            </w:tcBorders>
            <w:shd w:val="clear" w:color="auto" w:fill="auto"/>
            <w:noWrap/>
            <w:vAlign w:val="bottom"/>
            <w:hideMark/>
          </w:tcPr>
          <w:p w14:paraId="517C556D"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UPPER-MID</w:t>
            </w:r>
          </w:p>
        </w:tc>
        <w:tc>
          <w:tcPr>
            <w:tcW w:w="1565" w:type="dxa"/>
            <w:tcBorders>
              <w:top w:val="nil"/>
              <w:left w:val="nil"/>
              <w:bottom w:val="nil"/>
              <w:right w:val="single" w:sz="8" w:space="0" w:color="auto"/>
            </w:tcBorders>
            <w:shd w:val="clear" w:color="auto" w:fill="auto"/>
            <w:noWrap/>
            <w:vAlign w:val="bottom"/>
            <w:hideMark/>
          </w:tcPr>
          <w:p w14:paraId="29E6221F"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HIGH</w:t>
            </w:r>
          </w:p>
        </w:tc>
      </w:tr>
      <w:tr w:rsidR="003029F3" w:rsidRPr="003029F3" w14:paraId="3FBEFB96" w14:textId="77777777" w:rsidTr="003029F3">
        <w:trPr>
          <w:trHeight w:val="300"/>
        </w:trPr>
        <w:tc>
          <w:tcPr>
            <w:tcW w:w="368" w:type="dxa"/>
            <w:tcBorders>
              <w:top w:val="nil"/>
              <w:left w:val="single" w:sz="8" w:space="0" w:color="auto"/>
              <w:bottom w:val="single" w:sz="8" w:space="0" w:color="auto"/>
              <w:right w:val="nil"/>
            </w:tcBorders>
            <w:shd w:val="clear" w:color="auto" w:fill="auto"/>
            <w:noWrap/>
            <w:vAlign w:val="bottom"/>
            <w:hideMark/>
          </w:tcPr>
          <w:p w14:paraId="3213C302"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345" w:type="dxa"/>
            <w:tcBorders>
              <w:top w:val="nil"/>
              <w:left w:val="nil"/>
              <w:bottom w:val="single" w:sz="8" w:space="0" w:color="auto"/>
              <w:right w:val="nil"/>
            </w:tcBorders>
            <w:shd w:val="clear" w:color="auto" w:fill="auto"/>
            <w:noWrap/>
            <w:vAlign w:val="bottom"/>
            <w:hideMark/>
          </w:tcPr>
          <w:p w14:paraId="3B2CFDB7"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73" w:type="dxa"/>
            <w:tcBorders>
              <w:top w:val="nil"/>
              <w:left w:val="nil"/>
              <w:bottom w:val="single" w:sz="8" w:space="0" w:color="auto"/>
              <w:right w:val="nil"/>
            </w:tcBorders>
            <w:shd w:val="clear" w:color="auto" w:fill="auto"/>
            <w:noWrap/>
            <w:vAlign w:val="bottom"/>
            <w:hideMark/>
          </w:tcPr>
          <w:p w14:paraId="480E3517"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1559" w:type="dxa"/>
            <w:tcBorders>
              <w:top w:val="nil"/>
              <w:left w:val="single" w:sz="8" w:space="0" w:color="auto"/>
              <w:bottom w:val="single" w:sz="8" w:space="0" w:color="auto"/>
              <w:right w:val="nil"/>
            </w:tcBorders>
            <w:shd w:val="clear" w:color="auto" w:fill="auto"/>
            <w:noWrap/>
            <w:vAlign w:val="bottom"/>
            <w:hideMark/>
          </w:tcPr>
          <w:p w14:paraId="64178480"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2 countries</w:t>
            </w:r>
          </w:p>
        </w:tc>
        <w:tc>
          <w:tcPr>
            <w:tcW w:w="1553" w:type="dxa"/>
            <w:tcBorders>
              <w:top w:val="nil"/>
              <w:left w:val="nil"/>
              <w:bottom w:val="single" w:sz="8" w:space="0" w:color="auto"/>
              <w:right w:val="nil"/>
            </w:tcBorders>
            <w:shd w:val="clear" w:color="auto" w:fill="auto"/>
            <w:noWrap/>
            <w:vAlign w:val="bottom"/>
            <w:hideMark/>
          </w:tcPr>
          <w:p w14:paraId="754317D6"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17 countries</w:t>
            </w:r>
          </w:p>
        </w:tc>
        <w:tc>
          <w:tcPr>
            <w:tcW w:w="1553" w:type="dxa"/>
            <w:tcBorders>
              <w:top w:val="nil"/>
              <w:left w:val="nil"/>
              <w:bottom w:val="single" w:sz="8" w:space="0" w:color="auto"/>
              <w:right w:val="nil"/>
            </w:tcBorders>
            <w:shd w:val="clear" w:color="auto" w:fill="auto"/>
            <w:noWrap/>
            <w:vAlign w:val="bottom"/>
            <w:hideMark/>
          </w:tcPr>
          <w:p w14:paraId="29F657D1"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19 countries</w:t>
            </w:r>
          </w:p>
        </w:tc>
        <w:tc>
          <w:tcPr>
            <w:tcW w:w="1565" w:type="dxa"/>
            <w:tcBorders>
              <w:top w:val="nil"/>
              <w:left w:val="nil"/>
              <w:bottom w:val="single" w:sz="8" w:space="0" w:color="auto"/>
              <w:right w:val="single" w:sz="8" w:space="0" w:color="auto"/>
            </w:tcBorders>
            <w:shd w:val="clear" w:color="auto" w:fill="auto"/>
            <w:noWrap/>
            <w:vAlign w:val="bottom"/>
            <w:hideMark/>
          </w:tcPr>
          <w:p w14:paraId="6A93B621"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39 countries</w:t>
            </w:r>
          </w:p>
        </w:tc>
      </w:tr>
      <w:tr w:rsidR="003029F3" w:rsidRPr="003029F3" w14:paraId="1F1B70D7" w14:textId="77777777" w:rsidTr="003029F3">
        <w:trPr>
          <w:trHeight w:val="315"/>
        </w:trPr>
        <w:tc>
          <w:tcPr>
            <w:tcW w:w="36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CC67D0A"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USAGE</w:t>
            </w:r>
          </w:p>
        </w:tc>
        <w:tc>
          <w:tcPr>
            <w:tcW w:w="1345" w:type="dxa"/>
            <w:tcBorders>
              <w:top w:val="nil"/>
              <w:left w:val="nil"/>
              <w:bottom w:val="nil"/>
              <w:right w:val="single" w:sz="8" w:space="0" w:color="auto"/>
            </w:tcBorders>
            <w:shd w:val="clear" w:color="auto" w:fill="auto"/>
            <w:noWrap/>
            <w:vAlign w:val="bottom"/>
            <w:hideMark/>
          </w:tcPr>
          <w:p w14:paraId="05B7B06B"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LOW</w:t>
            </w:r>
          </w:p>
        </w:tc>
        <w:tc>
          <w:tcPr>
            <w:tcW w:w="873" w:type="dxa"/>
            <w:tcBorders>
              <w:top w:val="nil"/>
              <w:left w:val="nil"/>
              <w:bottom w:val="nil"/>
              <w:right w:val="single" w:sz="4" w:space="0" w:color="auto"/>
            </w:tcBorders>
            <w:shd w:val="clear" w:color="auto" w:fill="auto"/>
            <w:noWrap/>
            <w:vAlign w:val="bottom"/>
            <w:hideMark/>
          </w:tcPr>
          <w:p w14:paraId="72F7ACCB"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w:t>
            </w:r>
          </w:p>
        </w:tc>
        <w:tc>
          <w:tcPr>
            <w:tcW w:w="1559" w:type="dxa"/>
            <w:tcBorders>
              <w:top w:val="nil"/>
              <w:left w:val="nil"/>
              <w:bottom w:val="nil"/>
              <w:right w:val="nil"/>
            </w:tcBorders>
            <w:shd w:val="clear" w:color="auto" w:fill="auto"/>
            <w:noWrap/>
            <w:vAlign w:val="bottom"/>
            <w:hideMark/>
          </w:tcPr>
          <w:p w14:paraId="22ACE33B"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53" w:type="dxa"/>
            <w:tcBorders>
              <w:top w:val="nil"/>
              <w:left w:val="nil"/>
              <w:bottom w:val="nil"/>
              <w:right w:val="nil"/>
            </w:tcBorders>
            <w:shd w:val="clear" w:color="auto" w:fill="auto"/>
            <w:noWrap/>
            <w:vAlign w:val="bottom"/>
            <w:hideMark/>
          </w:tcPr>
          <w:p w14:paraId="5D960F18"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4,000 </w:t>
            </w:r>
          </w:p>
        </w:tc>
        <w:tc>
          <w:tcPr>
            <w:tcW w:w="1553" w:type="dxa"/>
            <w:tcBorders>
              <w:top w:val="nil"/>
              <w:left w:val="nil"/>
              <w:bottom w:val="nil"/>
              <w:right w:val="nil"/>
            </w:tcBorders>
            <w:shd w:val="clear" w:color="auto" w:fill="auto"/>
            <w:noWrap/>
            <w:vAlign w:val="bottom"/>
            <w:hideMark/>
          </w:tcPr>
          <w:p w14:paraId="60CE028E"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8,000 </w:t>
            </w:r>
          </w:p>
        </w:tc>
        <w:tc>
          <w:tcPr>
            <w:tcW w:w="1565" w:type="dxa"/>
            <w:tcBorders>
              <w:top w:val="nil"/>
              <w:left w:val="nil"/>
              <w:bottom w:val="nil"/>
              <w:right w:val="single" w:sz="8" w:space="0" w:color="auto"/>
            </w:tcBorders>
            <w:shd w:val="clear" w:color="auto" w:fill="auto"/>
            <w:noWrap/>
            <w:vAlign w:val="bottom"/>
            <w:hideMark/>
          </w:tcPr>
          <w:p w14:paraId="5A44DE92"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16,000 </w:t>
            </w:r>
          </w:p>
        </w:tc>
      </w:tr>
      <w:tr w:rsidR="003029F3" w:rsidRPr="003029F3" w14:paraId="61E9E315" w14:textId="77777777" w:rsidTr="003029F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7AC4ADDC"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664ED53E"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&lt; 5000</w:t>
            </w:r>
          </w:p>
        </w:tc>
        <w:tc>
          <w:tcPr>
            <w:tcW w:w="873" w:type="dxa"/>
            <w:tcBorders>
              <w:top w:val="nil"/>
              <w:left w:val="nil"/>
              <w:bottom w:val="nil"/>
              <w:right w:val="single" w:sz="4" w:space="0" w:color="auto"/>
            </w:tcBorders>
            <w:shd w:val="clear" w:color="auto" w:fill="auto"/>
            <w:noWrap/>
            <w:vAlign w:val="bottom"/>
            <w:hideMark/>
          </w:tcPr>
          <w:p w14:paraId="7957A35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Usage Fee</w:t>
            </w:r>
          </w:p>
        </w:tc>
        <w:tc>
          <w:tcPr>
            <w:tcW w:w="1559" w:type="dxa"/>
            <w:tcBorders>
              <w:top w:val="nil"/>
              <w:left w:val="nil"/>
              <w:bottom w:val="nil"/>
              <w:right w:val="nil"/>
            </w:tcBorders>
            <w:shd w:val="clear" w:color="auto" w:fill="auto"/>
            <w:noWrap/>
            <w:vAlign w:val="bottom"/>
            <w:hideMark/>
          </w:tcPr>
          <w:p w14:paraId="3221DEBA"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53" w:type="dxa"/>
            <w:tcBorders>
              <w:top w:val="nil"/>
              <w:left w:val="nil"/>
              <w:bottom w:val="nil"/>
              <w:right w:val="nil"/>
            </w:tcBorders>
            <w:shd w:val="clear" w:color="auto" w:fill="auto"/>
            <w:noWrap/>
            <w:vAlign w:val="bottom"/>
            <w:hideMark/>
          </w:tcPr>
          <w:p w14:paraId="586A604F"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53" w:type="dxa"/>
            <w:tcBorders>
              <w:top w:val="nil"/>
              <w:left w:val="nil"/>
              <w:bottom w:val="nil"/>
              <w:right w:val="nil"/>
            </w:tcBorders>
            <w:shd w:val="clear" w:color="auto" w:fill="auto"/>
            <w:noWrap/>
            <w:vAlign w:val="bottom"/>
            <w:hideMark/>
          </w:tcPr>
          <w:p w14:paraId="03FD8F4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65" w:type="dxa"/>
            <w:tcBorders>
              <w:top w:val="nil"/>
              <w:left w:val="nil"/>
              <w:bottom w:val="nil"/>
              <w:right w:val="single" w:sz="8" w:space="0" w:color="auto"/>
            </w:tcBorders>
            <w:shd w:val="clear" w:color="auto" w:fill="auto"/>
            <w:noWrap/>
            <w:vAlign w:val="bottom"/>
            <w:hideMark/>
          </w:tcPr>
          <w:p w14:paraId="316DF201"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r>
      <w:tr w:rsidR="003029F3" w:rsidRPr="003029F3" w14:paraId="7BA41239" w14:textId="77777777" w:rsidTr="003029F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64B98AD9"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single" w:sz="8" w:space="0" w:color="auto"/>
            </w:tcBorders>
            <w:shd w:val="clear" w:color="auto" w:fill="auto"/>
            <w:noWrap/>
            <w:vAlign w:val="bottom"/>
            <w:hideMark/>
          </w:tcPr>
          <w:p w14:paraId="3D108817"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37 countries</w:t>
            </w:r>
          </w:p>
        </w:tc>
        <w:tc>
          <w:tcPr>
            <w:tcW w:w="873" w:type="dxa"/>
            <w:tcBorders>
              <w:top w:val="nil"/>
              <w:left w:val="nil"/>
              <w:bottom w:val="single" w:sz="8" w:space="0" w:color="auto"/>
              <w:right w:val="single" w:sz="4" w:space="0" w:color="auto"/>
            </w:tcBorders>
            <w:shd w:val="clear" w:color="auto" w:fill="auto"/>
            <w:noWrap/>
            <w:vAlign w:val="bottom"/>
            <w:hideMark/>
          </w:tcPr>
          <w:p w14:paraId="3E41AB5A"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Total</w:t>
            </w:r>
          </w:p>
        </w:tc>
        <w:tc>
          <w:tcPr>
            <w:tcW w:w="1559" w:type="dxa"/>
            <w:tcBorders>
              <w:top w:val="nil"/>
              <w:left w:val="nil"/>
              <w:bottom w:val="single" w:sz="8" w:space="0" w:color="auto"/>
              <w:right w:val="nil"/>
            </w:tcBorders>
            <w:shd w:val="clear" w:color="auto" w:fill="auto"/>
            <w:noWrap/>
            <w:vAlign w:val="bottom"/>
            <w:hideMark/>
          </w:tcPr>
          <w:p w14:paraId="78578318"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   </w:t>
            </w:r>
          </w:p>
        </w:tc>
        <w:tc>
          <w:tcPr>
            <w:tcW w:w="1553" w:type="dxa"/>
            <w:tcBorders>
              <w:top w:val="nil"/>
              <w:left w:val="nil"/>
              <w:bottom w:val="single" w:sz="8" w:space="0" w:color="auto"/>
              <w:right w:val="nil"/>
            </w:tcBorders>
            <w:shd w:val="clear" w:color="auto" w:fill="auto"/>
            <w:noWrap/>
            <w:vAlign w:val="bottom"/>
            <w:hideMark/>
          </w:tcPr>
          <w:p w14:paraId="504D2308"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4,000 </w:t>
            </w:r>
          </w:p>
        </w:tc>
        <w:tc>
          <w:tcPr>
            <w:tcW w:w="1553" w:type="dxa"/>
            <w:tcBorders>
              <w:top w:val="nil"/>
              <w:left w:val="nil"/>
              <w:bottom w:val="single" w:sz="8" w:space="0" w:color="auto"/>
              <w:right w:val="nil"/>
            </w:tcBorders>
            <w:shd w:val="clear" w:color="auto" w:fill="auto"/>
            <w:noWrap/>
            <w:vAlign w:val="bottom"/>
            <w:hideMark/>
          </w:tcPr>
          <w:p w14:paraId="3A45D8BA"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8,000 </w:t>
            </w:r>
          </w:p>
        </w:tc>
        <w:tc>
          <w:tcPr>
            <w:tcW w:w="1565" w:type="dxa"/>
            <w:tcBorders>
              <w:top w:val="nil"/>
              <w:left w:val="nil"/>
              <w:bottom w:val="single" w:sz="8" w:space="0" w:color="auto"/>
              <w:right w:val="single" w:sz="8" w:space="0" w:color="auto"/>
            </w:tcBorders>
            <w:shd w:val="clear" w:color="auto" w:fill="auto"/>
            <w:noWrap/>
            <w:vAlign w:val="bottom"/>
            <w:hideMark/>
          </w:tcPr>
          <w:p w14:paraId="249823D9"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16,000 </w:t>
            </w:r>
          </w:p>
        </w:tc>
      </w:tr>
      <w:tr w:rsidR="003029F3" w:rsidRPr="003029F3" w14:paraId="1EA03AE6" w14:textId="77777777" w:rsidTr="003029F3">
        <w:trPr>
          <w:trHeight w:val="70"/>
        </w:trPr>
        <w:tc>
          <w:tcPr>
            <w:tcW w:w="368" w:type="dxa"/>
            <w:vMerge/>
            <w:tcBorders>
              <w:top w:val="nil"/>
              <w:left w:val="single" w:sz="8" w:space="0" w:color="auto"/>
              <w:bottom w:val="single" w:sz="8" w:space="0" w:color="000000"/>
              <w:right w:val="single" w:sz="8" w:space="0" w:color="auto"/>
            </w:tcBorders>
            <w:vAlign w:val="center"/>
            <w:hideMark/>
          </w:tcPr>
          <w:p w14:paraId="605BFF1B"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nil"/>
            </w:tcBorders>
            <w:shd w:val="clear" w:color="auto" w:fill="auto"/>
            <w:noWrap/>
            <w:vAlign w:val="bottom"/>
            <w:hideMark/>
          </w:tcPr>
          <w:p w14:paraId="445685F3"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73" w:type="dxa"/>
            <w:tcBorders>
              <w:top w:val="nil"/>
              <w:left w:val="nil"/>
              <w:bottom w:val="nil"/>
              <w:right w:val="nil"/>
            </w:tcBorders>
            <w:shd w:val="clear" w:color="auto" w:fill="auto"/>
            <w:noWrap/>
            <w:vAlign w:val="bottom"/>
            <w:hideMark/>
          </w:tcPr>
          <w:p w14:paraId="465D9EA2" w14:textId="77777777" w:rsidR="003029F3" w:rsidRPr="003029F3" w:rsidRDefault="003029F3" w:rsidP="003029F3">
            <w:pPr>
              <w:jc w:val="center"/>
              <w:rPr>
                <w:rFonts w:ascii="Arial Narrow" w:eastAsia="Times New Roman" w:hAnsi="Arial Narrow" w:cs="Calibri"/>
                <w:color w:val="000000"/>
                <w:sz w:val="18"/>
                <w:szCs w:val="18"/>
                <w:lang w:eastAsia="en-NZ"/>
              </w:rPr>
            </w:pPr>
          </w:p>
        </w:tc>
        <w:tc>
          <w:tcPr>
            <w:tcW w:w="1559" w:type="dxa"/>
            <w:tcBorders>
              <w:top w:val="nil"/>
              <w:left w:val="nil"/>
              <w:bottom w:val="nil"/>
              <w:right w:val="nil"/>
            </w:tcBorders>
            <w:shd w:val="clear" w:color="auto" w:fill="auto"/>
            <w:noWrap/>
            <w:vAlign w:val="bottom"/>
            <w:hideMark/>
          </w:tcPr>
          <w:p w14:paraId="109B8126" w14:textId="77777777" w:rsidR="003029F3" w:rsidRPr="003029F3" w:rsidRDefault="003029F3" w:rsidP="003029F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38B64F8B" w14:textId="77777777" w:rsidR="003029F3" w:rsidRPr="003029F3" w:rsidRDefault="003029F3" w:rsidP="003029F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45165EF0" w14:textId="77777777" w:rsidR="003029F3" w:rsidRPr="003029F3" w:rsidRDefault="003029F3" w:rsidP="003029F3">
            <w:pPr>
              <w:rPr>
                <w:rFonts w:eastAsia="Times New Roman"/>
                <w:sz w:val="20"/>
                <w:szCs w:val="20"/>
                <w:lang w:eastAsia="en-NZ"/>
              </w:rPr>
            </w:pPr>
          </w:p>
        </w:tc>
        <w:tc>
          <w:tcPr>
            <w:tcW w:w="1565" w:type="dxa"/>
            <w:tcBorders>
              <w:top w:val="nil"/>
              <w:left w:val="nil"/>
              <w:bottom w:val="nil"/>
              <w:right w:val="single" w:sz="8" w:space="0" w:color="auto"/>
            </w:tcBorders>
            <w:shd w:val="clear" w:color="auto" w:fill="auto"/>
            <w:noWrap/>
            <w:vAlign w:val="bottom"/>
            <w:hideMark/>
          </w:tcPr>
          <w:p w14:paraId="0644F60E"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r>
      <w:tr w:rsidR="003029F3" w:rsidRPr="003029F3" w14:paraId="4FDD98DC" w14:textId="77777777" w:rsidTr="003029F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04004BCC"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1A68741A"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MEDIUM</w:t>
            </w:r>
          </w:p>
        </w:tc>
        <w:tc>
          <w:tcPr>
            <w:tcW w:w="873" w:type="dxa"/>
            <w:tcBorders>
              <w:top w:val="single" w:sz="8" w:space="0" w:color="auto"/>
              <w:left w:val="nil"/>
              <w:bottom w:val="nil"/>
              <w:right w:val="single" w:sz="4" w:space="0" w:color="auto"/>
            </w:tcBorders>
            <w:shd w:val="clear" w:color="auto" w:fill="auto"/>
            <w:noWrap/>
            <w:vAlign w:val="bottom"/>
            <w:hideMark/>
          </w:tcPr>
          <w:p w14:paraId="343ADC9E"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w:t>
            </w:r>
          </w:p>
        </w:tc>
        <w:tc>
          <w:tcPr>
            <w:tcW w:w="1559" w:type="dxa"/>
            <w:tcBorders>
              <w:top w:val="single" w:sz="8" w:space="0" w:color="auto"/>
              <w:left w:val="nil"/>
              <w:bottom w:val="nil"/>
              <w:right w:val="nil"/>
            </w:tcBorders>
            <w:shd w:val="clear" w:color="auto" w:fill="auto"/>
            <w:noWrap/>
            <w:vAlign w:val="bottom"/>
            <w:hideMark/>
          </w:tcPr>
          <w:p w14:paraId="512E64B3"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53" w:type="dxa"/>
            <w:tcBorders>
              <w:top w:val="single" w:sz="8" w:space="0" w:color="auto"/>
              <w:left w:val="nil"/>
              <w:bottom w:val="nil"/>
              <w:right w:val="nil"/>
            </w:tcBorders>
            <w:shd w:val="clear" w:color="auto" w:fill="auto"/>
            <w:noWrap/>
            <w:vAlign w:val="bottom"/>
            <w:hideMark/>
          </w:tcPr>
          <w:p w14:paraId="7BDA15EB"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4,000 </w:t>
            </w:r>
          </w:p>
        </w:tc>
        <w:tc>
          <w:tcPr>
            <w:tcW w:w="1553" w:type="dxa"/>
            <w:tcBorders>
              <w:top w:val="single" w:sz="8" w:space="0" w:color="auto"/>
              <w:left w:val="nil"/>
              <w:bottom w:val="nil"/>
              <w:right w:val="nil"/>
            </w:tcBorders>
            <w:shd w:val="clear" w:color="auto" w:fill="auto"/>
            <w:noWrap/>
            <w:vAlign w:val="bottom"/>
            <w:hideMark/>
          </w:tcPr>
          <w:p w14:paraId="7887D1FA"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8,000 </w:t>
            </w:r>
          </w:p>
        </w:tc>
        <w:tc>
          <w:tcPr>
            <w:tcW w:w="1565" w:type="dxa"/>
            <w:tcBorders>
              <w:top w:val="single" w:sz="8" w:space="0" w:color="auto"/>
              <w:left w:val="nil"/>
              <w:bottom w:val="nil"/>
              <w:right w:val="single" w:sz="8" w:space="0" w:color="auto"/>
            </w:tcBorders>
            <w:shd w:val="clear" w:color="auto" w:fill="auto"/>
            <w:noWrap/>
            <w:vAlign w:val="bottom"/>
            <w:hideMark/>
          </w:tcPr>
          <w:p w14:paraId="0D8F5C88"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16,000 </w:t>
            </w:r>
          </w:p>
        </w:tc>
      </w:tr>
      <w:tr w:rsidR="003029F3" w:rsidRPr="003029F3" w14:paraId="03DB932B" w14:textId="77777777" w:rsidTr="003029F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033E0665"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7D87F554"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5,000 - 49,999</w:t>
            </w:r>
          </w:p>
        </w:tc>
        <w:tc>
          <w:tcPr>
            <w:tcW w:w="873" w:type="dxa"/>
            <w:tcBorders>
              <w:top w:val="nil"/>
              <w:left w:val="nil"/>
              <w:bottom w:val="nil"/>
              <w:right w:val="single" w:sz="4" w:space="0" w:color="auto"/>
            </w:tcBorders>
            <w:shd w:val="clear" w:color="auto" w:fill="auto"/>
            <w:noWrap/>
            <w:vAlign w:val="bottom"/>
            <w:hideMark/>
          </w:tcPr>
          <w:p w14:paraId="63DB90E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Usage Fee</w:t>
            </w:r>
          </w:p>
        </w:tc>
        <w:tc>
          <w:tcPr>
            <w:tcW w:w="1559" w:type="dxa"/>
            <w:tcBorders>
              <w:top w:val="nil"/>
              <w:left w:val="nil"/>
              <w:bottom w:val="nil"/>
              <w:right w:val="nil"/>
            </w:tcBorders>
            <w:shd w:val="clear" w:color="auto" w:fill="auto"/>
            <w:noWrap/>
            <w:vAlign w:val="bottom"/>
            <w:hideMark/>
          </w:tcPr>
          <w:p w14:paraId="7952C25C"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6,200 </w:t>
            </w:r>
          </w:p>
        </w:tc>
        <w:tc>
          <w:tcPr>
            <w:tcW w:w="1553" w:type="dxa"/>
            <w:tcBorders>
              <w:top w:val="nil"/>
              <w:left w:val="nil"/>
              <w:bottom w:val="nil"/>
              <w:right w:val="nil"/>
            </w:tcBorders>
            <w:shd w:val="clear" w:color="auto" w:fill="auto"/>
            <w:noWrap/>
            <w:vAlign w:val="bottom"/>
            <w:hideMark/>
          </w:tcPr>
          <w:p w14:paraId="76F7387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6,200 </w:t>
            </w:r>
          </w:p>
        </w:tc>
        <w:tc>
          <w:tcPr>
            <w:tcW w:w="1553" w:type="dxa"/>
            <w:tcBorders>
              <w:top w:val="nil"/>
              <w:left w:val="nil"/>
              <w:bottom w:val="nil"/>
              <w:right w:val="nil"/>
            </w:tcBorders>
            <w:shd w:val="clear" w:color="auto" w:fill="auto"/>
            <w:noWrap/>
            <w:vAlign w:val="bottom"/>
            <w:hideMark/>
          </w:tcPr>
          <w:p w14:paraId="053DD638"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6,200 </w:t>
            </w:r>
          </w:p>
        </w:tc>
        <w:tc>
          <w:tcPr>
            <w:tcW w:w="1565" w:type="dxa"/>
            <w:tcBorders>
              <w:top w:val="nil"/>
              <w:left w:val="nil"/>
              <w:bottom w:val="nil"/>
              <w:right w:val="single" w:sz="8" w:space="0" w:color="auto"/>
            </w:tcBorders>
            <w:shd w:val="clear" w:color="auto" w:fill="auto"/>
            <w:noWrap/>
            <w:vAlign w:val="bottom"/>
            <w:hideMark/>
          </w:tcPr>
          <w:p w14:paraId="304FE39C"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6,200 </w:t>
            </w:r>
          </w:p>
        </w:tc>
      </w:tr>
      <w:tr w:rsidR="003029F3" w:rsidRPr="003029F3" w14:paraId="418F63C4" w14:textId="77777777" w:rsidTr="003029F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19A994A4"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single" w:sz="8" w:space="0" w:color="auto"/>
            </w:tcBorders>
            <w:shd w:val="clear" w:color="auto" w:fill="auto"/>
            <w:noWrap/>
            <w:vAlign w:val="bottom"/>
            <w:hideMark/>
          </w:tcPr>
          <w:p w14:paraId="19B81E03"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24 countries</w:t>
            </w:r>
          </w:p>
        </w:tc>
        <w:tc>
          <w:tcPr>
            <w:tcW w:w="873" w:type="dxa"/>
            <w:tcBorders>
              <w:top w:val="nil"/>
              <w:left w:val="nil"/>
              <w:bottom w:val="single" w:sz="8" w:space="0" w:color="auto"/>
              <w:right w:val="single" w:sz="4" w:space="0" w:color="auto"/>
            </w:tcBorders>
            <w:shd w:val="clear" w:color="auto" w:fill="auto"/>
            <w:noWrap/>
            <w:vAlign w:val="bottom"/>
            <w:hideMark/>
          </w:tcPr>
          <w:p w14:paraId="4764290A"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Total</w:t>
            </w:r>
          </w:p>
        </w:tc>
        <w:tc>
          <w:tcPr>
            <w:tcW w:w="1559" w:type="dxa"/>
            <w:tcBorders>
              <w:top w:val="nil"/>
              <w:left w:val="nil"/>
              <w:bottom w:val="single" w:sz="8" w:space="0" w:color="auto"/>
              <w:right w:val="nil"/>
            </w:tcBorders>
            <w:shd w:val="clear" w:color="auto" w:fill="auto"/>
            <w:noWrap/>
            <w:vAlign w:val="bottom"/>
            <w:hideMark/>
          </w:tcPr>
          <w:p w14:paraId="68873734"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6,200 </w:t>
            </w:r>
          </w:p>
        </w:tc>
        <w:tc>
          <w:tcPr>
            <w:tcW w:w="1553" w:type="dxa"/>
            <w:tcBorders>
              <w:top w:val="nil"/>
              <w:left w:val="nil"/>
              <w:bottom w:val="single" w:sz="8" w:space="0" w:color="auto"/>
              <w:right w:val="nil"/>
            </w:tcBorders>
            <w:shd w:val="clear" w:color="auto" w:fill="auto"/>
            <w:noWrap/>
            <w:vAlign w:val="bottom"/>
            <w:hideMark/>
          </w:tcPr>
          <w:p w14:paraId="265DA62D"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10,200 </w:t>
            </w:r>
          </w:p>
        </w:tc>
        <w:tc>
          <w:tcPr>
            <w:tcW w:w="1553" w:type="dxa"/>
            <w:tcBorders>
              <w:top w:val="nil"/>
              <w:left w:val="nil"/>
              <w:bottom w:val="single" w:sz="8" w:space="0" w:color="auto"/>
              <w:right w:val="nil"/>
            </w:tcBorders>
            <w:shd w:val="clear" w:color="auto" w:fill="auto"/>
            <w:noWrap/>
            <w:vAlign w:val="bottom"/>
            <w:hideMark/>
          </w:tcPr>
          <w:p w14:paraId="71BCCF7B"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14,200 </w:t>
            </w:r>
          </w:p>
        </w:tc>
        <w:tc>
          <w:tcPr>
            <w:tcW w:w="1565" w:type="dxa"/>
            <w:tcBorders>
              <w:top w:val="nil"/>
              <w:left w:val="nil"/>
              <w:bottom w:val="single" w:sz="8" w:space="0" w:color="auto"/>
              <w:right w:val="single" w:sz="8" w:space="0" w:color="auto"/>
            </w:tcBorders>
            <w:shd w:val="clear" w:color="auto" w:fill="auto"/>
            <w:noWrap/>
            <w:vAlign w:val="bottom"/>
            <w:hideMark/>
          </w:tcPr>
          <w:p w14:paraId="7370984B"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22,200 </w:t>
            </w:r>
          </w:p>
        </w:tc>
      </w:tr>
      <w:tr w:rsidR="003029F3" w:rsidRPr="003029F3" w14:paraId="526455C1" w14:textId="77777777" w:rsidTr="003029F3">
        <w:trPr>
          <w:trHeight w:val="70"/>
        </w:trPr>
        <w:tc>
          <w:tcPr>
            <w:tcW w:w="368" w:type="dxa"/>
            <w:vMerge/>
            <w:tcBorders>
              <w:top w:val="nil"/>
              <w:left w:val="single" w:sz="8" w:space="0" w:color="auto"/>
              <w:bottom w:val="single" w:sz="8" w:space="0" w:color="000000"/>
              <w:right w:val="single" w:sz="8" w:space="0" w:color="auto"/>
            </w:tcBorders>
            <w:vAlign w:val="center"/>
            <w:hideMark/>
          </w:tcPr>
          <w:p w14:paraId="34F32D0C"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nil"/>
            </w:tcBorders>
            <w:shd w:val="clear" w:color="auto" w:fill="auto"/>
            <w:noWrap/>
            <w:vAlign w:val="bottom"/>
            <w:hideMark/>
          </w:tcPr>
          <w:p w14:paraId="7013ECD7"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73" w:type="dxa"/>
            <w:tcBorders>
              <w:top w:val="nil"/>
              <w:left w:val="nil"/>
              <w:bottom w:val="nil"/>
              <w:right w:val="nil"/>
            </w:tcBorders>
            <w:shd w:val="clear" w:color="auto" w:fill="auto"/>
            <w:noWrap/>
            <w:vAlign w:val="bottom"/>
            <w:hideMark/>
          </w:tcPr>
          <w:p w14:paraId="4771D8E2" w14:textId="77777777" w:rsidR="003029F3" w:rsidRPr="003029F3" w:rsidRDefault="003029F3" w:rsidP="003029F3">
            <w:pPr>
              <w:jc w:val="center"/>
              <w:rPr>
                <w:rFonts w:ascii="Arial Narrow" w:eastAsia="Times New Roman" w:hAnsi="Arial Narrow" w:cs="Calibri"/>
                <w:color w:val="000000"/>
                <w:sz w:val="18"/>
                <w:szCs w:val="18"/>
                <w:lang w:eastAsia="en-NZ"/>
              </w:rPr>
            </w:pPr>
          </w:p>
        </w:tc>
        <w:tc>
          <w:tcPr>
            <w:tcW w:w="1559" w:type="dxa"/>
            <w:tcBorders>
              <w:top w:val="nil"/>
              <w:left w:val="nil"/>
              <w:bottom w:val="nil"/>
              <w:right w:val="nil"/>
            </w:tcBorders>
            <w:shd w:val="clear" w:color="auto" w:fill="auto"/>
            <w:noWrap/>
            <w:vAlign w:val="bottom"/>
            <w:hideMark/>
          </w:tcPr>
          <w:p w14:paraId="759A3BC7" w14:textId="77777777" w:rsidR="003029F3" w:rsidRPr="003029F3" w:rsidRDefault="003029F3" w:rsidP="003029F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38F42DCA" w14:textId="77777777" w:rsidR="003029F3" w:rsidRPr="003029F3" w:rsidRDefault="003029F3" w:rsidP="003029F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0A8D78D3" w14:textId="77777777" w:rsidR="003029F3" w:rsidRPr="003029F3" w:rsidRDefault="003029F3" w:rsidP="003029F3">
            <w:pPr>
              <w:rPr>
                <w:rFonts w:eastAsia="Times New Roman"/>
                <w:sz w:val="20"/>
                <w:szCs w:val="20"/>
                <w:lang w:eastAsia="en-NZ"/>
              </w:rPr>
            </w:pPr>
          </w:p>
        </w:tc>
        <w:tc>
          <w:tcPr>
            <w:tcW w:w="1565" w:type="dxa"/>
            <w:tcBorders>
              <w:top w:val="nil"/>
              <w:left w:val="nil"/>
              <w:bottom w:val="nil"/>
              <w:right w:val="single" w:sz="8" w:space="0" w:color="auto"/>
            </w:tcBorders>
            <w:shd w:val="clear" w:color="auto" w:fill="auto"/>
            <w:noWrap/>
            <w:vAlign w:val="bottom"/>
            <w:hideMark/>
          </w:tcPr>
          <w:p w14:paraId="7060F357"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r>
      <w:tr w:rsidR="003029F3" w:rsidRPr="003029F3" w14:paraId="1F4A2A31" w14:textId="77777777" w:rsidTr="003029F3">
        <w:trPr>
          <w:trHeight w:val="315"/>
        </w:trPr>
        <w:tc>
          <w:tcPr>
            <w:tcW w:w="368" w:type="dxa"/>
            <w:vMerge/>
            <w:tcBorders>
              <w:top w:val="nil"/>
              <w:left w:val="single" w:sz="8" w:space="0" w:color="auto"/>
              <w:bottom w:val="single" w:sz="8" w:space="0" w:color="000000"/>
              <w:right w:val="single" w:sz="8" w:space="0" w:color="auto"/>
            </w:tcBorders>
            <w:vAlign w:val="center"/>
            <w:hideMark/>
          </w:tcPr>
          <w:p w14:paraId="6E3A9E68"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59DBFF0E"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HIGH</w:t>
            </w:r>
          </w:p>
        </w:tc>
        <w:tc>
          <w:tcPr>
            <w:tcW w:w="873" w:type="dxa"/>
            <w:tcBorders>
              <w:top w:val="single" w:sz="8" w:space="0" w:color="auto"/>
              <w:left w:val="nil"/>
              <w:bottom w:val="nil"/>
              <w:right w:val="single" w:sz="4" w:space="0" w:color="auto"/>
            </w:tcBorders>
            <w:shd w:val="clear" w:color="auto" w:fill="auto"/>
            <w:noWrap/>
            <w:vAlign w:val="bottom"/>
            <w:hideMark/>
          </w:tcPr>
          <w:p w14:paraId="67D49EEA"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w:t>
            </w:r>
          </w:p>
        </w:tc>
        <w:tc>
          <w:tcPr>
            <w:tcW w:w="1559" w:type="dxa"/>
            <w:tcBorders>
              <w:top w:val="single" w:sz="8" w:space="0" w:color="auto"/>
              <w:left w:val="nil"/>
              <w:bottom w:val="nil"/>
              <w:right w:val="nil"/>
            </w:tcBorders>
            <w:shd w:val="clear" w:color="auto" w:fill="auto"/>
            <w:noWrap/>
            <w:vAlign w:val="bottom"/>
            <w:hideMark/>
          </w:tcPr>
          <w:p w14:paraId="62E16740"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53" w:type="dxa"/>
            <w:tcBorders>
              <w:top w:val="single" w:sz="8" w:space="0" w:color="auto"/>
              <w:left w:val="nil"/>
              <w:bottom w:val="nil"/>
              <w:right w:val="nil"/>
            </w:tcBorders>
            <w:shd w:val="clear" w:color="auto" w:fill="auto"/>
            <w:noWrap/>
            <w:vAlign w:val="bottom"/>
            <w:hideMark/>
          </w:tcPr>
          <w:p w14:paraId="7C42DFD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4,000 </w:t>
            </w:r>
          </w:p>
        </w:tc>
        <w:tc>
          <w:tcPr>
            <w:tcW w:w="1553" w:type="dxa"/>
            <w:tcBorders>
              <w:top w:val="single" w:sz="8" w:space="0" w:color="auto"/>
              <w:left w:val="nil"/>
              <w:bottom w:val="nil"/>
              <w:right w:val="nil"/>
            </w:tcBorders>
            <w:shd w:val="clear" w:color="auto" w:fill="auto"/>
            <w:noWrap/>
            <w:vAlign w:val="bottom"/>
            <w:hideMark/>
          </w:tcPr>
          <w:p w14:paraId="2C91E990"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8,000 </w:t>
            </w:r>
          </w:p>
        </w:tc>
        <w:tc>
          <w:tcPr>
            <w:tcW w:w="1565" w:type="dxa"/>
            <w:tcBorders>
              <w:top w:val="single" w:sz="8" w:space="0" w:color="auto"/>
              <w:left w:val="nil"/>
              <w:bottom w:val="nil"/>
              <w:right w:val="single" w:sz="8" w:space="0" w:color="auto"/>
            </w:tcBorders>
            <w:shd w:val="clear" w:color="auto" w:fill="auto"/>
            <w:noWrap/>
            <w:vAlign w:val="bottom"/>
            <w:hideMark/>
          </w:tcPr>
          <w:p w14:paraId="74BA047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16,000 </w:t>
            </w:r>
          </w:p>
        </w:tc>
      </w:tr>
      <w:tr w:rsidR="003029F3" w:rsidRPr="003029F3" w14:paraId="39E92933" w14:textId="77777777" w:rsidTr="003029F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7B414F12"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13836B5D"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50,000 - 149,999</w:t>
            </w:r>
          </w:p>
        </w:tc>
        <w:tc>
          <w:tcPr>
            <w:tcW w:w="873" w:type="dxa"/>
            <w:tcBorders>
              <w:top w:val="nil"/>
              <w:left w:val="nil"/>
              <w:bottom w:val="nil"/>
              <w:right w:val="single" w:sz="4" w:space="0" w:color="auto"/>
            </w:tcBorders>
            <w:shd w:val="clear" w:color="auto" w:fill="auto"/>
            <w:noWrap/>
            <w:vAlign w:val="bottom"/>
            <w:hideMark/>
          </w:tcPr>
          <w:p w14:paraId="33BA9226"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Usage Fee</w:t>
            </w:r>
          </w:p>
        </w:tc>
        <w:tc>
          <w:tcPr>
            <w:tcW w:w="1559" w:type="dxa"/>
            <w:tcBorders>
              <w:top w:val="nil"/>
              <w:left w:val="nil"/>
              <w:bottom w:val="nil"/>
              <w:right w:val="nil"/>
            </w:tcBorders>
            <w:shd w:val="clear" w:color="auto" w:fill="auto"/>
            <w:noWrap/>
            <w:vAlign w:val="bottom"/>
            <w:hideMark/>
          </w:tcPr>
          <w:p w14:paraId="17857A99"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12,400 </w:t>
            </w:r>
          </w:p>
        </w:tc>
        <w:tc>
          <w:tcPr>
            <w:tcW w:w="1553" w:type="dxa"/>
            <w:tcBorders>
              <w:top w:val="nil"/>
              <w:left w:val="nil"/>
              <w:bottom w:val="nil"/>
              <w:right w:val="nil"/>
            </w:tcBorders>
            <w:shd w:val="clear" w:color="auto" w:fill="auto"/>
            <w:noWrap/>
            <w:vAlign w:val="bottom"/>
            <w:hideMark/>
          </w:tcPr>
          <w:p w14:paraId="76BCFB4C"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12,400 </w:t>
            </w:r>
          </w:p>
        </w:tc>
        <w:tc>
          <w:tcPr>
            <w:tcW w:w="1553" w:type="dxa"/>
            <w:tcBorders>
              <w:top w:val="nil"/>
              <w:left w:val="nil"/>
              <w:bottom w:val="nil"/>
              <w:right w:val="nil"/>
            </w:tcBorders>
            <w:shd w:val="clear" w:color="auto" w:fill="auto"/>
            <w:noWrap/>
            <w:vAlign w:val="bottom"/>
            <w:hideMark/>
          </w:tcPr>
          <w:p w14:paraId="4B0189E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12,400 </w:t>
            </w:r>
          </w:p>
        </w:tc>
        <w:tc>
          <w:tcPr>
            <w:tcW w:w="1565" w:type="dxa"/>
            <w:tcBorders>
              <w:top w:val="nil"/>
              <w:left w:val="nil"/>
              <w:bottom w:val="nil"/>
              <w:right w:val="single" w:sz="8" w:space="0" w:color="auto"/>
            </w:tcBorders>
            <w:shd w:val="clear" w:color="auto" w:fill="auto"/>
            <w:noWrap/>
            <w:vAlign w:val="bottom"/>
            <w:hideMark/>
          </w:tcPr>
          <w:p w14:paraId="1513F6A1"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12,400 </w:t>
            </w:r>
          </w:p>
        </w:tc>
      </w:tr>
      <w:tr w:rsidR="003029F3" w:rsidRPr="003029F3" w14:paraId="4145926B" w14:textId="77777777" w:rsidTr="003029F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40DE5189"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single" w:sz="8" w:space="0" w:color="auto"/>
            </w:tcBorders>
            <w:shd w:val="clear" w:color="auto" w:fill="auto"/>
            <w:noWrap/>
            <w:vAlign w:val="bottom"/>
            <w:hideMark/>
          </w:tcPr>
          <w:p w14:paraId="2BEABD9A"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10 countries</w:t>
            </w:r>
          </w:p>
        </w:tc>
        <w:tc>
          <w:tcPr>
            <w:tcW w:w="873" w:type="dxa"/>
            <w:tcBorders>
              <w:top w:val="nil"/>
              <w:left w:val="nil"/>
              <w:bottom w:val="single" w:sz="8" w:space="0" w:color="auto"/>
              <w:right w:val="single" w:sz="4" w:space="0" w:color="auto"/>
            </w:tcBorders>
            <w:shd w:val="clear" w:color="auto" w:fill="auto"/>
            <w:noWrap/>
            <w:vAlign w:val="bottom"/>
            <w:hideMark/>
          </w:tcPr>
          <w:p w14:paraId="677885B3"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Total</w:t>
            </w:r>
          </w:p>
        </w:tc>
        <w:tc>
          <w:tcPr>
            <w:tcW w:w="1559" w:type="dxa"/>
            <w:tcBorders>
              <w:top w:val="nil"/>
              <w:left w:val="nil"/>
              <w:bottom w:val="single" w:sz="8" w:space="0" w:color="auto"/>
              <w:right w:val="nil"/>
            </w:tcBorders>
            <w:shd w:val="clear" w:color="auto" w:fill="auto"/>
            <w:noWrap/>
            <w:vAlign w:val="bottom"/>
            <w:hideMark/>
          </w:tcPr>
          <w:p w14:paraId="15AE0C2E"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12,400 </w:t>
            </w:r>
          </w:p>
        </w:tc>
        <w:tc>
          <w:tcPr>
            <w:tcW w:w="1553" w:type="dxa"/>
            <w:tcBorders>
              <w:top w:val="nil"/>
              <w:left w:val="nil"/>
              <w:bottom w:val="single" w:sz="8" w:space="0" w:color="auto"/>
              <w:right w:val="nil"/>
            </w:tcBorders>
            <w:shd w:val="clear" w:color="auto" w:fill="auto"/>
            <w:noWrap/>
            <w:vAlign w:val="bottom"/>
            <w:hideMark/>
          </w:tcPr>
          <w:p w14:paraId="5116069E"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16,400 </w:t>
            </w:r>
          </w:p>
        </w:tc>
        <w:tc>
          <w:tcPr>
            <w:tcW w:w="1553" w:type="dxa"/>
            <w:tcBorders>
              <w:top w:val="nil"/>
              <w:left w:val="nil"/>
              <w:bottom w:val="single" w:sz="8" w:space="0" w:color="auto"/>
              <w:right w:val="nil"/>
            </w:tcBorders>
            <w:shd w:val="clear" w:color="auto" w:fill="auto"/>
            <w:noWrap/>
            <w:vAlign w:val="bottom"/>
            <w:hideMark/>
          </w:tcPr>
          <w:p w14:paraId="5508C74B"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20,400 </w:t>
            </w:r>
          </w:p>
        </w:tc>
        <w:tc>
          <w:tcPr>
            <w:tcW w:w="1565" w:type="dxa"/>
            <w:tcBorders>
              <w:top w:val="nil"/>
              <w:left w:val="nil"/>
              <w:bottom w:val="single" w:sz="8" w:space="0" w:color="auto"/>
              <w:right w:val="single" w:sz="8" w:space="0" w:color="auto"/>
            </w:tcBorders>
            <w:shd w:val="clear" w:color="auto" w:fill="auto"/>
            <w:noWrap/>
            <w:vAlign w:val="bottom"/>
            <w:hideMark/>
          </w:tcPr>
          <w:p w14:paraId="4CD277AA"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28,400 </w:t>
            </w:r>
          </w:p>
        </w:tc>
      </w:tr>
      <w:tr w:rsidR="003029F3" w:rsidRPr="003029F3" w14:paraId="1FCD5257" w14:textId="77777777" w:rsidTr="003029F3">
        <w:trPr>
          <w:trHeight w:val="70"/>
        </w:trPr>
        <w:tc>
          <w:tcPr>
            <w:tcW w:w="368" w:type="dxa"/>
            <w:vMerge/>
            <w:tcBorders>
              <w:top w:val="nil"/>
              <w:left w:val="single" w:sz="8" w:space="0" w:color="auto"/>
              <w:bottom w:val="single" w:sz="8" w:space="0" w:color="000000"/>
              <w:right w:val="single" w:sz="8" w:space="0" w:color="auto"/>
            </w:tcBorders>
            <w:vAlign w:val="center"/>
            <w:hideMark/>
          </w:tcPr>
          <w:p w14:paraId="250EEEA9"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nil"/>
            </w:tcBorders>
            <w:shd w:val="clear" w:color="auto" w:fill="auto"/>
            <w:noWrap/>
            <w:vAlign w:val="bottom"/>
            <w:hideMark/>
          </w:tcPr>
          <w:p w14:paraId="48E6906D"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c>
          <w:tcPr>
            <w:tcW w:w="873" w:type="dxa"/>
            <w:tcBorders>
              <w:top w:val="nil"/>
              <w:left w:val="nil"/>
              <w:bottom w:val="nil"/>
              <w:right w:val="nil"/>
            </w:tcBorders>
            <w:shd w:val="clear" w:color="auto" w:fill="auto"/>
            <w:noWrap/>
            <w:vAlign w:val="bottom"/>
            <w:hideMark/>
          </w:tcPr>
          <w:p w14:paraId="503F86EE" w14:textId="77777777" w:rsidR="003029F3" w:rsidRPr="003029F3" w:rsidRDefault="003029F3" w:rsidP="003029F3">
            <w:pPr>
              <w:jc w:val="center"/>
              <w:rPr>
                <w:rFonts w:ascii="Arial Narrow" w:eastAsia="Times New Roman" w:hAnsi="Arial Narrow" w:cs="Calibri"/>
                <w:color w:val="000000"/>
                <w:sz w:val="18"/>
                <w:szCs w:val="18"/>
                <w:lang w:eastAsia="en-NZ"/>
              </w:rPr>
            </w:pPr>
          </w:p>
        </w:tc>
        <w:tc>
          <w:tcPr>
            <w:tcW w:w="1559" w:type="dxa"/>
            <w:tcBorders>
              <w:top w:val="nil"/>
              <w:left w:val="nil"/>
              <w:bottom w:val="nil"/>
              <w:right w:val="nil"/>
            </w:tcBorders>
            <w:shd w:val="clear" w:color="auto" w:fill="auto"/>
            <w:noWrap/>
            <w:vAlign w:val="bottom"/>
            <w:hideMark/>
          </w:tcPr>
          <w:p w14:paraId="3028306E" w14:textId="77777777" w:rsidR="003029F3" w:rsidRPr="003029F3" w:rsidRDefault="003029F3" w:rsidP="003029F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10D6A8E1" w14:textId="77777777" w:rsidR="003029F3" w:rsidRPr="003029F3" w:rsidRDefault="003029F3" w:rsidP="003029F3">
            <w:pPr>
              <w:rPr>
                <w:rFonts w:eastAsia="Times New Roman"/>
                <w:sz w:val="20"/>
                <w:szCs w:val="20"/>
                <w:lang w:eastAsia="en-NZ"/>
              </w:rPr>
            </w:pPr>
          </w:p>
        </w:tc>
        <w:tc>
          <w:tcPr>
            <w:tcW w:w="1553" w:type="dxa"/>
            <w:tcBorders>
              <w:top w:val="nil"/>
              <w:left w:val="nil"/>
              <w:bottom w:val="nil"/>
              <w:right w:val="nil"/>
            </w:tcBorders>
            <w:shd w:val="clear" w:color="auto" w:fill="auto"/>
            <w:noWrap/>
            <w:vAlign w:val="bottom"/>
            <w:hideMark/>
          </w:tcPr>
          <w:p w14:paraId="16198D11" w14:textId="77777777" w:rsidR="003029F3" w:rsidRPr="003029F3" w:rsidRDefault="003029F3" w:rsidP="003029F3">
            <w:pPr>
              <w:rPr>
                <w:rFonts w:eastAsia="Times New Roman"/>
                <w:sz w:val="20"/>
                <w:szCs w:val="20"/>
                <w:lang w:eastAsia="en-NZ"/>
              </w:rPr>
            </w:pPr>
          </w:p>
        </w:tc>
        <w:tc>
          <w:tcPr>
            <w:tcW w:w="1565" w:type="dxa"/>
            <w:tcBorders>
              <w:top w:val="nil"/>
              <w:left w:val="nil"/>
              <w:bottom w:val="nil"/>
              <w:right w:val="single" w:sz="8" w:space="0" w:color="auto"/>
            </w:tcBorders>
            <w:shd w:val="clear" w:color="auto" w:fill="auto"/>
            <w:noWrap/>
            <w:vAlign w:val="bottom"/>
            <w:hideMark/>
          </w:tcPr>
          <w:p w14:paraId="6D458A08"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w:t>
            </w:r>
          </w:p>
        </w:tc>
      </w:tr>
      <w:tr w:rsidR="003029F3" w:rsidRPr="003029F3" w14:paraId="3206FD89" w14:textId="77777777" w:rsidTr="003029F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22DC89C8"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019E7DA6" w14:textId="77777777" w:rsidR="003029F3" w:rsidRPr="003029F3" w:rsidRDefault="003029F3" w:rsidP="003029F3">
            <w:pPr>
              <w:jc w:val="cente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VERY HIGH</w:t>
            </w:r>
          </w:p>
        </w:tc>
        <w:tc>
          <w:tcPr>
            <w:tcW w:w="873" w:type="dxa"/>
            <w:tcBorders>
              <w:top w:val="single" w:sz="8" w:space="0" w:color="auto"/>
              <w:left w:val="nil"/>
              <w:bottom w:val="nil"/>
              <w:right w:val="single" w:sz="4" w:space="0" w:color="auto"/>
            </w:tcBorders>
            <w:shd w:val="clear" w:color="auto" w:fill="auto"/>
            <w:noWrap/>
            <w:vAlign w:val="bottom"/>
            <w:hideMark/>
          </w:tcPr>
          <w:p w14:paraId="3847016D"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Base Fee</w:t>
            </w:r>
          </w:p>
        </w:tc>
        <w:tc>
          <w:tcPr>
            <w:tcW w:w="1559" w:type="dxa"/>
            <w:tcBorders>
              <w:top w:val="single" w:sz="8" w:space="0" w:color="auto"/>
              <w:left w:val="nil"/>
              <w:bottom w:val="nil"/>
              <w:right w:val="nil"/>
            </w:tcBorders>
            <w:shd w:val="clear" w:color="auto" w:fill="auto"/>
            <w:noWrap/>
            <w:vAlign w:val="bottom"/>
            <w:hideMark/>
          </w:tcPr>
          <w:p w14:paraId="170E8E50"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   </w:t>
            </w:r>
          </w:p>
        </w:tc>
        <w:tc>
          <w:tcPr>
            <w:tcW w:w="1553" w:type="dxa"/>
            <w:tcBorders>
              <w:top w:val="single" w:sz="8" w:space="0" w:color="auto"/>
              <w:left w:val="nil"/>
              <w:bottom w:val="nil"/>
              <w:right w:val="nil"/>
            </w:tcBorders>
            <w:shd w:val="clear" w:color="auto" w:fill="auto"/>
            <w:noWrap/>
            <w:vAlign w:val="bottom"/>
            <w:hideMark/>
          </w:tcPr>
          <w:p w14:paraId="24765E98"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4,000 </w:t>
            </w:r>
          </w:p>
        </w:tc>
        <w:tc>
          <w:tcPr>
            <w:tcW w:w="1553" w:type="dxa"/>
            <w:tcBorders>
              <w:top w:val="single" w:sz="8" w:space="0" w:color="auto"/>
              <w:left w:val="nil"/>
              <w:bottom w:val="nil"/>
              <w:right w:val="nil"/>
            </w:tcBorders>
            <w:shd w:val="clear" w:color="auto" w:fill="auto"/>
            <w:noWrap/>
            <w:vAlign w:val="bottom"/>
            <w:hideMark/>
          </w:tcPr>
          <w:p w14:paraId="6C17A44A"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8,000 </w:t>
            </w:r>
          </w:p>
        </w:tc>
        <w:tc>
          <w:tcPr>
            <w:tcW w:w="1565" w:type="dxa"/>
            <w:tcBorders>
              <w:top w:val="single" w:sz="8" w:space="0" w:color="auto"/>
              <w:left w:val="nil"/>
              <w:bottom w:val="nil"/>
              <w:right w:val="single" w:sz="8" w:space="0" w:color="auto"/>
            </w:tcBorders>
            <w:shd w:val="clear" w:color="auto" w:fill="auto"/>
            <w:noWrap/>
            <w:vAlign w:val="bottom"/>
            <w:hideMark/>
          </w:tcPr>
          <w:p w14:paraId="62069820"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16,000 </w:t>
            </w:r>
          </w:p>
        </w:tc>
      </w:tr>
      <w:tr w:rsidR="003029F3" w:rsidRPr="003029F3" w14:paraId="51E7B133" w14:textId="77777777" w:rsidTr="003029F3">
        <w:trPr>
          <w:trHeight w:val="290"/>
        </w:trPr>
        <w:tc>
          <w:tcPr>
            <w:tcW w:w="368" w:type="dxa"/>
            <w:vMerge/>
            <w:tcBorders>
              <w:top w:val="nil"/>
              <w:left w:val="single" w:sz="8" w:space="0" w:color="auto"/>
              <w:bottom w:val="single" w:sz="8" w:space="0" w:color="000000"/>
              <w:right w:val="single" w:sz="8" w:space="0" w:color="auto"/>
            </w:tcBorders>
            <w:vAlign w:val="center"/>
            <w:hideMark/>
          </w:tcPr>
          <w:p w14:paraId="5139388D"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nil"/>
              <w:right w:val="single" w:sz="8" w:space="0" w:color="auto"/>
            </w:tcBorders>
            <w:shd w:val="clear" w:color="auto" w:fill="auto"/>
            <w:noWrap/>
            <w:vAlign w:val="bottom"/>
            <w:hideMark/>
          </w:tcPr>
          <w:p w14:paraId="1B3B5384"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150,000+</w:t>
            </w:r>
          </w:p>
        </w:tc>
        <w:tc>
          <w:tcPr>
            <w:tcW w:w="873" w:type="dxa"/>
            <w:tcBorders>
              <w:top w:val="nil"/>
              <w:left w:val="nil"/>
              <w:bottom w:val="nil"/>
              <w:right w:val="single" w:sz="4" w:space="0" w:color="auto"/>
            </w:tcBorders>
            <w:shd w:val="clear" w:color="auto" w:fill="auto"/>
            <w:noWrap/>
            <w:vAlign w:val="bottom"/>
            <w:hideMark/>
          </w:tcPr>
          <w:p w14:paraId="4DFF9DB5"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Usage Fee</w:t>
            </w:r>
          </w:p>
        </w:tc>
        <w:tc>
          <w:tcPr>
            <w:tcW w:w="1559" w:type="dxa"/>
            <w:tcBorders>
              <w:top w:val="nil"/>
              <w:left w:val="nil"/>
              <w:bottom w:val="nil"/>
              <w:right w:val="nil"/>
            </w:tcBorders>
            <w:shd w:val="clear" w:color="auto" w:fill="auto"/>
            <w:noWrap/>
            <w:vAlign w:val="bottom"/>
            <w:hideMark/>
          </w:tcPr>
          <w:p w14:paraId="62520FC7"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24,800 </w:t>
            </w:r>
          </w:p>
        </w:tc>
        <w:tc>
          <w:tcPr>
            <w:tcW w:w="1553" w:type="dxa"/>
            <w:tcBorders>
              <w:top w:val="nil"/>
              <w:left w:val="nil"/>
              <w:bottom w:val="nil"/>
              <w:right w:val="nil"/>
            </w:tcBorders>
            <w:shd w:val="clear" w:color="auto" w:fill="auto"/>
            <w:noWrap/>
            <w:vAlign w:val="bottom"/>
            <w:hideMark/>
          </w:tcPr>
          <w:p w14:paraId="01343C22"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24,800 </w:t>
            </w:r>
          </w:p>
        </w:tc>
        <w:tc>
          <w:tcPr>
            <w:tcW w:w="1553" w:type="dxa"/>
            <w:tcBorders>
              <w:top w:val="nil"/>
              <w:left w:val="nil"/>
              <w:bottom w:val="nil"/>
              <w:right w:val="nil"/>
            </w:tcBorders>
            <w:shd w:val="clear" w:color="auto" w:fill="auto"/>
            <w:noWrap/>
            <w:vAlign w:val="bottom"/>
            <w:hideMark/>
          </w:tcPr>
          <w:p w14:paraId="4BF39AF9"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24,800 </w:t>
            </w:r>
          </w:p>
        </w:tc>
        <w:tc>
          <w:tcPr>
            <w:tcW w:w="1565" w:type="dxa"/>
            <w:tcBorders>
              <w:top w:val="nil"/>
              <w:left w:val="nil"/>
              <w:bottom w:val="nil"/>
              <w:right w:val="single" w:sz="8" w:space="0" w:color="auto"/>
            </w:tcBorders>
            <w:shd w:val="clear" w:color="auto" w:fill="auto"/>
            <w:noWrap/>
            <w:vAlign w:val="bottom"/>
            <w:hideMark/>
          </w:tcPr>
          <w:p w14:paraId="5B8D2C41" w14:textId="77777777" w:rsidR="003029F3" w:rsidRPr="003029F3" w:rsidRDefault="003029F3" w:rsidP="003029F3">
            <w:pP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 xml:space="preserve"> $                  24,800 </w:t>
            </w:r>
          </w:p>
        </w:tc>
      </w:tr>
      <w:tr w:rsidR="003029F3" w:rsidRPr="003029F3" w14:paraId="5AC32801" w14:textId="77777777" w:rsidTr="003029F3">
        <w:trPr>
          <w:trHeight w:val="300"/>
        </w:trPr>
        <w:tc>
          <w:tcPr>
            <w:tcW w:w="368" w:type="dxa"/>
            <w:vMerge/>
            <w:tcBorders>
              <w:top w:val="nil"/>
              <w:left w:val="single" w:sz="8" w:space="0" w:color="auto"/>
              <w:bottom w:val="single" w:sz="8" w:space="0" w:color="000000"/>
              <w:right w:val="single" w:sz="8" w:space="0" w:color="auto"/>
            </w:tcBorders>
            <w:vAlign w:val="center"/>
            <w:hideMark/>
          </w:tcPr>
          <w:p w14:paraId="4085C778" w14:textId="77777777" w:rsidR="003029F3" w:rsidRPr="003029F3" w:rsidRDefault="003029F3" w:rsidP="003029F3">
            <w:pPr>
              <w:rPr>
                <w:rFonts w:ascii="Arial Narrow" w:eastAsia="Times New Roman" w:hAnsi="Arial Narrow" w:cs="Calibri"/>
                <w:b/>
                <w:bCs/>
                <w:color w:val="000000"/>
                <w:sz w:val="18"/>
                <w:szCs w:val="18"/>
                <w:lang w:eastAsia="en-NZ"/>
              </w:rPr>
            </w:pPr>
          </w:p>
        </w:tc>
        <w:tc>
          <w:tcPr>
            <w:tcW w:w="1345" w:type="dxa"/>
            <w:tcBorders>
              <w:top w:val="nil"/>
              <w:left w:val="nil"/>
              <w:bottom w:val="single" w:sz="8" w:space="0" w:color="auto"/>
              <w:right w:val="single" w:sz="8" w:space="0" w:color="auto"/>
            </w:tcBorders>
            <w:shd w:val="clear" w:color="auto" w:fill="auto"/>
            <w:noWrap/>
            <w:vAlign w:val="bottom"/>
            <w:hideMark/>
          </w:tcPr>
          <w:p w14:paraId="67422D8B" w14:textId="77777777" w:rsidR="003029F3" w:rsidRPr="003029F3" w:rsidRDefault="003029F3" w:rsidP="003029F3">
            <w:pPr>
              <w:jc w:val="center"/>
              <w:rPr>
                <w:rFonts w:ascii="Arial Narrow" w:eastAsia="Times New Roman" w:hAnsi="Arial Narrow" w:cs="Calibri"/>
                <w:color w:val="000000"/>
                <w:sz w:val="18"/>
                <w:szCs w:val="18"/>
                <w:lang w:eastAsia="en-NZ"/>
              </w:rPr>
            </w:pPr>
            <w:r w:rsidRPr="003029F3">
              <w:rPr>
                <w:rFonts w:ascii="Arial Narrow" w:eastAsia="Times New Roman" w:hAnsi="Arial Narrow" w:cs="Calibri"/>
                <w:color w:val="000000"/>
                <w:sz w:val="18"/>
                <w:szCs w:val="18"/>
                <w:lang w:eastAsia="en-NZ"/>
              </w:rPr>
              <w:t>6 countries</w:t>
            </w:r>
          </w:p>
        </w:tc>
        <w:tc>
          <w:tcPr>
            <w:tcW w:w="873" w:type="dxa"/>
            <w:tcBorders>
              <w:top w:val="nil"/>
              <w:left w:val="nil"/>
              <w:bottom w:val="single" w:sz="8" w:space="0" w:color="auto"/>
              <w:right w:val="single" w:sz="4" w:space="0" w:color="auto"/>
            </w:tcBorders>
            <w:shd w:val="clear" w:color="auto" w:fill="auto"/>
            <w:noWrap/>
            <w:vAlign w:val="bottom"/>
            <w:hideMark/>
          </w:tcPr>
          <w:p w14:paraId="70DA1D5D"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Total</w:t>
            </w:r>
          </w:p>
        </w:tc>
        <w:tc>
          <w:tcPr>
            <w:tcW w:w="1559" w:type="dxa"/>
            <w:tcBorders>
              <w:top w:val="nil"/>
              <w:left w:val="nil"/>
              <w:bottom w:val="single" w:sz="8" w:space="0" w:color="auto"/>
              <w:right w:val="nil"/>
            </w:tcBorders>
            <w:shd w:val="clear" w:color="auto" w:fill="auto"/>
            <w:noWrap/>
            <w:vAlign w:val="bottom"/>
            <w:hideMark/>
          </w:tcPr>
          <w:p w14:paraId="7AA559E4"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24,800 </w:t>
            </w:r>
          </w:p>
        </w:tc>
        <w:tc>
          <w:tcPr>
            <w:tcW w:w="1553" w:type="dxa"/>
            <w:tcBorders>
              <w:top w:val="nil"/>
              <w:left w:val="nil"/>
              <w:bottom w:val="single" w:sz="8" w:space="0" w:color="auto"/>
              <w:right w:val="nil"/>
            </w:tcBorders>
            <w:shd w:val="clear" w:color="auto" w:fill="auto"/>
            <w:noWrap/>
            <w:vAlign w:val="bottom"/>
            <w:hideMark/>
          </w:tcPr>
          <w:p w14:paraId="34766941"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28,800 </w:t>
            </w:r>
          </w:p>
        </w:tc>
        <w:tc>
          <w:tcPr>
            <w:tcW w:w="1553" w:type="dxa"/>
            <w:tcBorders>
              <w:top w:val="nil"/>
              <w:left w:val="nil"/>
              <w:bottom w:val="single" w:sz="8" w:space="0" w:color="auto"/>
              <w:right w:val="nil"/>
            </w:tcBorders>
            <w:shd w:val="clear" w:color="auto" w:fill="auto"/>
            <w:noWrap/>
            <w:vAlign w:val="bottom"/>
            <w:hideMark/>
          </w:tcPr>
          <w:p w14:paraId="3DB0ABF8"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32,800 </w:t>
            </w:r>
          </w:p>
        </w:tc>
        <w:tc>
          <w:tcPr>
            <w:tcW w:w="1565" w:type="dxa"/>
            <w:tcBorders>
              <w:top w:val="nil"/>
              <w:left w:val="nil"/>
              <w:bottom w:val="single" w:sz="8" w:space="0" w:color="auto"/>
              <w:right w:val="single" w:sz="8" w:space="0" w:color="auto"/>
            </w:tcBorders>
            <w:shd w:val="clear" w:color="auto" w:fill="auto"/>
            <w:noWrap/>
            <w:vAlign w:val="bottom"/>
            <w:hideMark/>
          </w:tcPr>
          <w:p w14:paraId="3DC21C44" w14:textId="77777777" w:rsidR="003029F3" w:rsidRPr="003029F3" w:rsidRDefault="003029F3" w:rsidP="003029F3">
            <w:pPr>
              <w:rPr>
                <w:rFonts w:ascii="Arial Narrow" w:eastAsia="Times New Roman" w:hAnsi="Arial Narrow" w:cs="Calibri"/>
                <w:b/>
                <w:bCs/>
                <w:color w:val="000000"/>
                <w:sz w:val="18"/>
                <w:szCs w:val="18"/>
                <w:lang w:eastAsia="en-NZ"/>
              </w:rPr>
            </w:pPr>
            <w:r w:rsidRPr="003029F3">
              <w:rPr>
                <w:rFonts w:ascii="Arial Narrow" w:eastAsia="Times New Roman" w:hAnsi="Arial Narrow" w:cs="Calibri"/>
                <w:b/>
                <w:bCs/>
                <w:color w:val="000000"/>
                <w:sz w:val="18"/>
                <w:szCs w:val="18"/>
                <w:lang w:eastAsia="en-NZ"/>
              </w:rPr>
              <w:t xml:space="preserve"> $                  40,800 </w:t>
            </w:r>
          </w:p>
        </w:tc>
      </w:tr>
    </w:tbl>
    <w:p w14:paraId="24989310" w14:textId="77777777" w:rsidR="00771EF8" w:rsidRDefault="00771EF8" w:rsidP="00043BEB">
      <w:pPr>
        <w:rPr>
          <w:b/>
          <w:bCs/>
        </w:rPr>
      </w:pPr>
    </w:p>
    <w:p w14:paraId="1F670AD2" w14:textId="77777777" w:rsidR="00732A1D" w:rsidRPr="00732A1D" w:rsidRDefault="00732A1D" w:rsidP="00043BEB"/>
    <w:p w14:paraId="18644627" w14:textId="77777777" w:rsidR="0064455C" w:rsidRDefault="0064455C" w:rsidP="00043BEB">
      <w:pPr>
        <w:rPr>
          <w:b/>
          <w:bCs/>
        </w:rPr>
        <w:sectPr w:rsidR="0064455C" w:rsidSect="0064455C">
          <w:pgSz w:w="11906" w:h="16838"/>
          <w:pgMar w:top="1440" w:right="1440" w:bottom="1440" w:left="1440" w:header="708" w:footer="708" w:gutter="0"/>
          <w:cols w:space="708"/>
          <w:docGrid w:linePitch="360"/>
        </w:sectPr>
      </w:pPr>
    </w:p>
    <w:p w14:paraId="7336A841" w14:textId="3D4147BA" w:rsidR="00043BEB" w:rsidRPr="0064455C" w:rsidRDefault="00043BEB" w:rsidP="00043BEB">
      <w:pPr>
        <w:rPr>
          <w:b/>
          <w:bCs/>
        </w:rPr>
      </w:pPr>
      <w:r w:rsidRPr="0064455C">
        <w:rPr>
          <w:b/>
          <w:bCs/>
        </w:rPr>
        <w:lastRenderedPageBreak/>
        <w:t xml:space="preserve">Appendix </w:t>
      </w:r>
      <w:r w:rsidR="00732A1D" w:rsidRPr="0064455C">
        <w:rPr>
          <w:b/>
          <w:bCs/>
        </w:rPr>
        <w:t>8</w:t>
      </w:r>
      <w:r w:rsidRPr="0064455C">
        <w:rPr>
          <w:b/>
          <w:bCs/>
        </w:rPr>
        <w:t xml:space="preserve">: Scenario 103 – </w:t>
      </w:r>
      <w:bookmarkEnd w:id="8"/>
      <w:r w:rsidR="00871130">
        <w:rPr>
          <w:b/>
          <w:bCs/>
        </w:rPr>
        <w:t>Model Calculations</w:t>
      </w:r>
    </w:p>
    <w:p w14:paraId="354DF200" w14:textId="2202D79B" w:rsidR="00B67EED" w:rsidRDefault="00871130">
      <w:r w:rsidRPr="00871130">
        <w:rPr>
          <w:noProof/>
        </w:rPr>
        <w:drawing>
          <wp:inline distT="0" distB="0" distL="0" distR="0" wp14:anchorId="0D696560" wp14:editId="5D5611D9">
            <wp:extent cx="9777730" cy="4718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7730" cy="4718050"/>
                    </a:xfrm>
                    <a:prstGeom prst="rect">
                      <a:avLst/>
                    </a:prstGeom>
                    <a:noFill/>
                    <a:ln>
                      <a:noFill/>
                    </a:ln>
                  </pic:spPr>
                </pic:pic>
              </a:graphicData>
            </a:graphic>
          </wp:inline>
        </w:drawing>
      </w:r>
    </w:p>
    <w:p w14:paraId="494FD345" w14:textId="77777777" w:rsidR="00B67EED" w:rsidRDefault="00B67EED"/>
    <w:p w14:paraId="622AFF09" w14:textId="77777777" w:rsidR="00B67EED" w:rsidRDefault="00B67EED">
      <w:pPr>
        <w:sectPr w:rsidR="00B67EED" w:rsidSect="0064455C">
          <w:pgSz w:w="16838" w:h="11906" w:orient="landscape"/>
          <w:pgMar w:top="720" w:right="720" w:bottom="720" w:left="720" w:header="708" w:footer="708" w:gutter="0"/>
          <w:cols w:space="708"/>
          <w:docGrid w:linePitch="360"/>
        </w:sectPr>
      </w:pPr>
    </w:p>
    <w:p w14:paraId="14BA6B36" w14:textId="19A523D9" w:rsidR="00B67EED" w:rsidRPr="0064455C" w:rsidRDefault="00B67EED">
      <w:pPr>
        <w:rPr>
          <w:b/>
          <w:bCs/>
        </w:rPr>
      </w:pPr>
      <w:r w:rsidRPr="0064455C">
        <w:rPr>
          <w:b/>
          <w:bCs/>
        </w:rPr>
        <w:lastRenderedPageBreak/>
        <w:t xml:space="preserve">Appendix </w:t>
      </w:r>
      <w:r w:rsidR="0064455C">
        <w:rPr>
          <w:b/>
          <w:bCs/>
        </w:rPr>
        <w:t>9</w:t>
      </w:r>
      <w:r w:rsidRPr="0064455C">
        <w:rPr>
          <w:b/>
          <w:bCs/>
        </w:rPr>
        <w:t>: Scenario 103 – Country Specific Calculations</w:t>
      </w:r>
    </w:p>
    <w:p w14:paraId="78BF49A2" w14:textId="7A8CC8F5" w:rsidR="00B67EED" w:rsidRDefault="00871130">
      <w:r w:rsidRPr="00871130">
        <w:rPr>
          <w:noProof/>
        </w:rPr>
        <w:lastRenderedPageBreak/>
        <w:drawing>
          <wp:inline distT="0" distB="0" distL="0" distR="0" wp14:anchorId="58A842A9" wp14:editId="37802DEE">
            <wp:extent cx="4477970" cy="914082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104"/>
                    <a:stretch/>
                  </pic:blipFill>
                  <pic:spPr bwMode="auto">
                    <a:xfrm>
                      <a:off x="0" y="0"/>
                      <a:ext cx="4492906" cy="9171309"/>
                    </a:xfrm>
                    <a:prstGeom prst="rect">
                      <a:avLst/>
                    </a:prstGeom>
                    <a:noFill/>
                    <a:ln>
                      <a:noFill/>
                    </a:ln>
                    <a:extLst>
                      <a:ext uri="{53640926-AAD7-44D8-BBD7-CCE9431645EC}">
                        <a14:shadowObscured xmlns:a14="http://schemas.microsoft.com/office/drawing/2010/main"/>
                      </a:ext>
                    </a:extLst>
                  </pic:spPr>
                </pic:pic>
              </a:graphicData>
            </a:graphic>
          </wp:inline>
        </w:drawing>
      </w:r>
    </w:p>
    <w:p w14:paraId="2391DE23" w14:textId="77777777" w:rsidR="00EC5E4F" w:rsidRDefault="00EC5E4F">
      <w:pPr>
        <w:sectPr w:rsidR="00EC5E4F" w:rsidSect="00B67EED">
          <w:pgSz w:w="11906" w:h="16838"/>
          <w:pgMar w:top="720" w:right="720" w:bottom="720" w:left="720" w:header="708" w:footer="708" w:gutter="0"/>
          <w:cols w:space="708"/>
          <w:docGrid w:linePitch="360"/>
        </w:sectPr>
      </w:pPr>
    </w:p>
    <w:p w14:paraId="599DC87F" w14:textId="77777777" w:rsidR="006A687F" w:rsidRDefault="006A687F" w:rsidP="000B7165">
      <w:pPr>
        <w:rPr>
          <w:b/>
          <w:bCs/>
        </w:rPr>
      </w:pPr>
      <w:r w:rsidRPr="00732A1D">
        <w:rPr>
          <w:b/>
          <w:bCs/>
        </w:rPr>
        <w:lastRenderedPageBreak/>
        <w:t xml:space="preserve">Appendix </w:t>
      </w:r>
      <w:r>
        <w:rPr>
          <w:b/>
          <w:bCs/>
        </w:rPr>
        <w:t>10</w:t>
      </w:r>
      <w:r w:rsidRPr="00732A1D">
        <w:rPr>
          <w:b/>
          <w:bCs/>
        </w:rPr>
        <w:t>: Scenario 10</w:t>
      </w:r>
      <w:r>
        <w:rPr>
          <w:b/>
          <w:bCs/>
        </w:rPr>
        <w:t>4</w:t>
      </w:r>
      <w:r w:rsidRPr="00732A1D">
        <w:rPr>
          <w:b/>
          <w:bCs/>
        </w:rPr>
        <w:t xml:space="preserve"> </w:t>
      </w:r>
      <w:r>
        <w:rPr>
          <w:b/>
          <w:bCs/>
        </w:rPr>
        <w:t xml:space="preserve">– </w:t>
      </w:r>
      <w:r w:rsidRPr="00732A1D">
        <w:rPr>
          <w:b/>
          <w:bCs/>
        </w:rPr>
        <w:t>Summary Tabl</w:t>
      </w:r>
      <w:r w:rsidR="003029F3">
        <w:rPr>
          <w:b/>
          <w:bCs/>
        </w:rPr>
        <w:t>e</w:t>
      </w:r>
    </w:p>
    <w:tbl>
      <w:tblPr>
        <w:tblW w:w="8883" w:type="dxa"/>
        <w:tblLook w:val="04A0" w:firstRow="1" w:lastRow="0" w:firstColumn="1" w:lastColumn="0" w:noHBand="0" w:noVBand="1"/>
      </w:tblPr>
      <w:tblGrid>
        <w:gridCol w:w="435"/>
        <w:gridCol w:w="1177"/>
        <w:gridCol w:w="893"/>
        <w:gridCol w:w="1596"/>
        <w:gridCol w:w="1590"/>
        <w:gridCol w:w="1590"/>
        <w:gridCol w:w="1602"/>
      </w:tblGrid>
      <w:tr w:rsidR="003B0B90" w:rsidRPr="003B0B90" w14:paraId="732C3D70" w14:textId="77777777" w:rsidTr="00871130">
        <w:trPr>
          <w:trHeight w:val="300"/>
        </w:trPr>
        <w:tc>
          <w:tcPr>
            <w:tcW w:w="435" w:type="dxa"/>
            <w:tcBorders>
              <w:top w:val="single" w:sz="8" w:space="0" w:color="auto"/>
              <w:left w:val="single" w:sz="8" w:space="0" w:color="auto"/>
              <w:bottom w:val="single" w:sz="8" w:space="0" w:color="auto"/>
              <w:right w:val="nil"/>
            </w:tcBorders>
            <w:shd w:val="clear" w:color="000000" w:fill="D9D9D9"/>
            <w:noWrap/>
            <w:vAlign w:val="bottom"/>
            <w:hideMark/>
          </w:tcPr>
          <w:p w14:paraId="2471FE52"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8448" w:type="dxa"/>
            <w:gridSpan w:val="6"/>
            <w:tcBorders>
              <w:top w:val="single" w:sz="8" w:space="0" w:color="auto"/>
              <w:left w:val="nil"/>
              <w:bottom w:val="single" w:sz="8" w:space="0" w:color="auto"/>
              <w:right w:val="single" w:sz="8" w:space="0" w:color="000000"/>
            </w:tcBorders>
            <w:shd w:val="clear" w:color="000000" w:fill="D9D9D9"/>
            <w:noWrap/>
            <w:vAlign w:val="bottom"/>
            <w:hideMark/>
          </w:tcPr>
          <w:p w14:paraId="44365373" w14:textId="77777777" w:rsidR="003B0B90" w:rsidRPr="003B0B90" w:rsidRDefault="003B0B90" w:rsidP="003B0B90">
            <w:pPr>
              <w:jc w:val="cente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SCENARIO 104 - Three usage categories, Low usage category upper range set at &lt;5,000 exchanges</w:t>
            </w:r>
          </w:p>
        </w:tc>
      </w:tr>
      <w:tr w:rsidR="003B0B90" w:rsidRPr="003B0B90" w14:paraId="27EA2CCB" w14:textId="77777777" w:rsidTr="00871130">
        <w:trPr>
          <w:trHeight w:val="290"/>
        </w:trPr>
        <w:tc>
          <w:tcPr>
            <w:tcW w:w="435" w:type="dxa"/>
            <w:tcBorders>
              <w:top w:val="nil"/>
              <w:left w:val="single" w:sz="8" w:space="0" w:color="auto"/>
              <w:bottom w:val="nil"/>
              <w:right w:val="nil"/>
            </w:tcBorders>
            <w:shd w:val="clear" w:color="auto" w:fill="auto"/>
            <w:noWrap/>
            <w:hideMark/>
          </w:tcPr>
          <w:p w14:paraId="033DE9A7"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w:t>
            </w:r>
          </w:p>
        </w:tc>
        <w:tc>
          <w:tcPr>
            <w:tcW w:w="8448" w:type="dxa"/>
            <w:gridSpan w:val="6"/>
            <w:tcBorders>
              <w:top w:val="single" w:sz="8" w:space="0" w:color="auto"/>
              <w:left w:val="nil"/>
              <w:bottom w:val="nil"/>
              <w:right w:val="single" w:sz="8" w:space="0" w:color="000000"/>
            </w:tcBorders>
            <w:shd w:val="clear" w:color="auto" w:fill="auto"/>
            <w:noWrap/>
            <w:vAlign w:val="bottom"/>
            <w:hideMark/>
          </w:tcPr>
          <w:p w14:paraId="793957CC"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Total revenue from base fee is set at 66% of total annual funding required.</w:t>
            </w:r>
          </w:p>
        </w:tc>
      </w:tr>
      <w:tr w:rsidR="003B0B90" w:rsidRPr="003B0B90" w14:paraId="3FB7D311" w14:textId="77777777" w:rsidTr="00871130">
        <w:trPr>
          <w:trHeight w:val="315"/>
        </w:trPr>
        <w:tc>
          <w:tcPr>
            <w:tcW w:w="435" w:type="dxa"/>
            <w:tcBorders>
              <w:top w:val="nil"/>
              <w:left w:val="single" w:sz="8" w:space="0" w:color="auto"/>
              <w:bottom w:val="nil"/>
              <w:right w:val="nil"/>
            </w:tcBorders>
            <w:shd w:val="clear" w:color="auto" w:fill="auto"/>
            <w:noWrap/>
            <w:hideMark/>
          </w:tcPr>
          <w:p w14:paraId="5DC51FB7"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6E5EA39E"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Countries classified as Low/LDC pay no base fee.</w:t>
            </w:r>
          </w:p>
        </w:tc>
      </w:tr>
      <w:tr w:rsidR="003B0B90" w:rsidRPr="003B0B90" w14:paraId="4CD01D0D" w14:textId="77777777" w:rsidTr="00871130">
        <w:trPr>
          <w:trHeight w:val="290"/>
        </w:trPr>
        <w:tc>
          <w:tcPr>
            <w:tcW w:w="435" w:type="dxa"/>
            <w:tcBorders>
              <w:top w:val="nil"/>
              <w:left w:val="single" w:sz="8" w:space="0" w:color="auto"/>
              <w:bottom w:val="nil"/>
              <w:right w:val="nil"/>
            </w:tcBorders>
            <w:shd w:val="clear" w:color="auto" w:fill="auto"/>
            <w:noWrap/>
            <w:hideMark/>
          </w:tcPr>
          <w:p w14:paraId="0A2917F5"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6588D13E"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Base fee starts at $4,000 and increases x2 for each higher development status level.</w:t>
            </w:r>
          </w:p>
        </w:tc>
      </w:tr>
      <w:tr w:rsidR="003B0B90" w:rsidRPr="003B0B90" w14:paraId="11F61A0D" w14:textId="77777777" w:rsidTr="00871130">
        <w:trPr>
          <w:trHeight w:val="290"/>
        </w:trPr>
        <w:tc>
          <w:tcPr>
            <w:tcW w:w="435" w:type="dxa"/>
            <w:tcBorders>
              <w:top w:val="nil"/>
              <w:left w:val="single" w:sz="8" w:space="0" w:color="auto"/>
              <w:bottom w:val="nil"/>
              <w:right w:val="nil"/>
            </w:tcBorders>
            <w:shd w:val="clear" w:color="auto" w:fill="auto"/>
            <w:noWrap/>
            <w:hideMark/>
          </w:tcPr>
          <w:p w14:paraId="66F75A48"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noWrap/>
            <w:vAlign w:val="bottom"/>
            <w:hideMark/>
          </w:tcPr>
          <w:p w14:paraId="3A4F5ED6"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Remaining 33% of revenue is from usage fee.</w:t>
            </w:r>
          </w:p>
        </w:tc>
      </w:tr>
      <w:tr w:rsidR="003B0B90" w:rsidRPr="003B0B90" w14:paraId="5C36626C" w14:textId="77777777" w:rsidTr="00871130">
        <w:trPr>
          <w:trHeight w:val="510"/>
        </w:trPr>
        <w:tc>
          <w:tcPr>
            <w:tcW w:w="435" w:type="dxa"/>
            <w:tcBorders>
              <w:top w:val="nil"/>
              <w:left w:val="single" w:sz="8" w:space="0" w:color="auto"/>
              <w:bottom w:val="nil"/>
              <w:right w:val="nil"/>
            </w:tcBorders>
            <w:shd w:val="clear" w:color="auto" w:fill="auto"/>
            <w:noWrap/>
            <w:hideMark/>
          </w:tcPr>
          <w:p w14:paraId="29522430"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w:t>
            </w:r>
          </w:p>
        </w:tc>
        <w:tc>
          <w:tcPr>
            <w:tcW w:w="8448" w:type="dxa"/>
            <w:gridSpan w:val="6"/>
            <w:tcBorders>
              <w:top w:val="nil"/>
              <w:left w:val="nil"/>
              <w:bottom w:val="nil"/>
              <w:right w:val="single" w:sz="8" w:space="0" w:color="000000"/>
            </w:tcBorders>
            <w:shd w:val="clear" w:color="auto" w:fill="auto"/>
            <w:vAlign w:val="bottom"/>
            <w:hideMark/>
          </w:tcPr>
          <w:p w14:paraId="4F431982"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3 usage categories with usage fee starting at nil for low usage (&lt;1,000 exchanges) then $4600 for medium and increases x3 for each higher usage level.</w:t>
            </w:r>
          </w:p>
        </w:tc>
      </w:tr>
      <w:tr w:rsidR="003B0B90" w:rsidRPr="003B0B90" w14:paraId="1CE8F07A" w14:textId="77777777" w:rsidTr="00871130">
        <w:trPr>
          <w:trHeight w:val="70"/>
        </w:trPr>
        <w:tc>
          <w:tcPr>
            <w:tcW w:w="435" w:type="dxa"/>
            <w:tcBorders>
              <w:top w:val="single" w:sz="8" w:space="0" w:color="auto"/>
              <w:left w:val="single" w:sz="8" w:space="0" w:color="auto"/>
              <w:bottom w:val="single" w:sz="8" w:space="0" w:color="auto"/>
              <w:right w:val="nil"/>
            </w:tcBorders>
            <w:shd w:val="clear" w:color="auto" w:fill="auto"/>
            <w:noWrap/>
            <w:vAlign w:val="bottom"/>
            <w:hideMark/>
          </w:tcPr>
          <w:p w14:paraId="2D6AAD0A"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177" w:type="dxa"/>
            <w:tcBorders>
              <w:top w:val="single" w:sz="8" w:space="0" w:color="auto"/>
              <w:left w:val="nil"/>
              <w:bottom w:val="single" w:sz="8" w:space="0" w:color="auto"/>
              <w:right w:val="nil"/>
            </w:tcBorders>
            <w:shd w:val="clear" w:color="auto" w:fill="auto"/>
            <w:noWrap/>
            <w:vAlign w:val="bottom"/>
            <w:hideMark/>
          </w:tcPr>
          <w:p w14:paraId="707D305F"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893" w:type="dxa"/>
            <w:tcBorders>
              <w:top w:val="single" w:sz="8" w:space="0" w:color="auto"/>
              <w:left w:val="nil"/>
              <w:bottom w:val="single" w:sz="8" w:space="0" w:color="auto"/>
              <w:right w:val="nil"/>
            </w:tcBorders>
            <w:shd w:val="clear" w:color="auto" w:fill="auto"/>
            <w:noWrap/>
            <w:vAlign w:val="bottom"/>
            <w:hideMark/>
          </w:tcPr>
          <w:p w14:paraId="0DB5A141"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596" w:type="dxa"/>
            <w:tcBorders>
              <w:top w:val="single" w:sz="8" w:space="0" w:color="auto"/>
              <w:left w:val="nil"/>
              <w:bottom w:val="single" w:sz="8" w:space="0" w:color="auto"/>
              <w:right w:val="nil"/>
            </w:tcBorders>
            <w:shd w:val="clear" w:color="auto" w:fill="auto"/>
            <w:noWrap/>
            <w:vAlign w:val="bottom"/>
            <w:hideMark/>
          </w:tcPr>
          <w:p w14:paraId="0BF7EE18"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590" w:type="dxa"/>
            <w:tcBorders>
              <w:top w:val="single" w:sz="8" w:space="0" w:color="auto"/>
              <w:left w:val="nil"/>
              <w:bottom w:val="single" w:sz="8" w:space="0" w:color="auto"/>
              <w:right w:val="nil"/>
            </w:tcBorders>
            <w:shd w:val="clear" w:color="auto" w:fill="auto"/>
            <w:noWrap/>
            <w:vAlign w:val="bottom"/>
            <w:hideMark/>
          </w:tcPr>
          <w:p w14:paraId="4175BA07"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590" w:type="dxa"/>
            <w:tcBorders>
              <w:top w:val="single" w:sz="8" w:space="0" w:color="auto"/>
              <w:left w:val="nil"/>
              <w:bottom w:val="single" w:sz="8" w:space="0" w:color="auto"/>
              <w:right w:val="nil"/>
            </w:tcBorders>
            <w:shd w:val="clear" w:color="auto" w:fill="auto"/>
            <w:noWrap/>
            <w:vAlign w:val="bottom"/>
            <w:hideMark/>
          </w:tcPr>
          <w:p w14:paraId="5C6E77EE"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602" w:type="dxa"/>
            <w:tcBorders>
              <w:top w:val="single" w:sz="8" w:space="0" w:color="auto"/>
              <w:left w:val="nil"/>
              <w:bottom w:val="single" w:sz="8" w:space="0" w:color="auto"/>
              <w:right w:val="single" w:sz="8" w:space="0" w:color="auto"/>
            </w:tcBorders>
            <w:shd w:val="clear" w:color="auto" w:fill="auto"/>
            <w:noWrap/>
            <w:vAlign w:val="bottom"/>
            <w:hideMark/>
          </w:tcPr>
          <w:p w14:paraId="14FBDA0D"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r>
      <w:tr w:rsidR="003B0B90" w:rsidRPr="003B0B90" w14:paraId="26C83DE8" w14:textId="77777777" w:rsidTr="00871130">
        <w:trPr>
          <w:trHeight w:val="290"/>
        </w:trPr>
        <w:tc>
          <w:tcPr>
            <w:tcW w:w="435" w:type="dxa"/>
            <w:tcBorders>
              <w:top w:val="nil"/>
              <w:left w:val="single" w:sz="8" w:space="0" w:color="auto"/>
              <w:bottom w:val="nil"/>
              <w:right w:val="nil"/>
            </w:tcBorders>
            <w:shd w:val="clear" w:color="auto" w:fill="auto"/>
            <w:noWrap/>
            <w:vAlign w:val="bottom"/>
            <w:hideMark/>
          </w:tcPr>
          <w:p w14:paraId="2F5E444D"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177" w:type="dxa"/>
            <w:tcBorders>
              <w:top w:val="nil"/>
              <w:left w:val="nil"/>
              <w:bottom w:val="nil"/>
              <w:right w:val="nil"/>
            </w:tcBorders>
            <w:shd w:val="clear" w:color="auto" w:fill="auto"/>
            <w:noWrap/>
            <w:vAlign w:val="bottom"/>
            <w:hideMark/>
          </w:tcPr>
          <w:p w14:paraId="4E6EF87E" w14:textId="77777777" w:rsidR="003B0B90" w:rsidRPr="003B0B90" w:rsidRDefault="003B0B90" w:rsidP="003B0B90">
            <w:pPr>
              <w:rPr>
                <w:rFonts w:ascii="Arial Narrow" w:eastAsia="Times New Roman" w:hAnsi="Arial Narrow" w:cs="Calibri"/>
                <w:color w:val="000000"/>
                <w:sz w:val="18"/>
                <w:szCs w:val="18"/>
                <w:lang w:eastAsia="en-NZ"/>
              </w:rPr>
            </w:pPr>
          </w:p>
        </w:tc>
        <w:tc>
          <w:tcPr>
            <w:tcW w:w="893" w:type="dxa"/>
            <w:tcBorders>
              <w:top w:val="nil"/>
              <w:left w:val="nil"/>
              <w:bottom w:val="nil"/>
              <w:right w:val="nil"/>
            </w:tcBorders>
            <w:shd w:val="clear" w:color="auto" w:fill="auto"/>
            <w:noWrap/>
            <w:vAlign w:val="bottom"/>
            <w:hideMark/>
          </w:tcPr>
          <w:p w14:paraId="123FCE4C" w14:textId="77777777" w:rsidR="003B0B90" w:rsidRPr="003B0B90" w:rsidRDefault="003B0B90" w:rsidP="003B0B90">
            <w:pPr>
              <w:rPr>
                <w:rFonts w:eastAsia="Times New Roman"/>
                <w:sz w:val="20"/>
                <w:szCs w:val="20"/>
                <w:lang w:eastAsia="en-NZ"/>
              </w:rPr>
            </w:pPr>
          </w:p>
        </w:tc>
        <w:tc>
          <w:tcPr>
            <w:tcW w:w="637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4D9E8E4" w14:textId="77777777" w:rsidR="003B0B90" w:rsidRPr="003B0B90" w:rsidRDefault="003B0B90" w:rsidP="003B0B90">
            <w:pPr>
              <w:jc w:val="cente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DEVELOPMENT STATUS</w:t>
            </w:r>
          </w:p>
        </w:tc>
      </w:tr>
      <w:tr w:rsidR="003B0B90" w:rsidRPr="003B0B90" w14:paraId="6FA96DCB" w14:textId="77777777" w:rsidTr="00871130">
        <w:trPr>
          <w:trHeight w:val="290"/>
        </w:trPr>
        <w:tc>
          <w:tcPr>
            <w:tcW w:w="435" w:type="dxa"/>
            <w:tcBorders>
              <w:top w:val="nil"/>
              <w:left w:val="single" w:sz="8" w:space="0" w:color="auto"/>
              <w:bottom w:val="nil"/>
              <w:right w:val="nil"/>
            </w:tcBorders>
            <w:shd w:val="clear" w:color="auto" w:fill="auto"/>
            <w:noWrap/>
            <w:vAlign w:val="bottom"/>
            <w:hideMark/>
          </w:tcPr>
          <w:p w14:paraId="6AFBC745"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177" w:type="dxa"/>
            <w:tcBorders>
              <w:top w:val="nil"/>
              <w:left w:val="nil"/>
              <w:bottom w:val="nil"/>
              <w:right w:val="nil"/>
            </w:tcBorders>
            <w:shd w:val="clear" w:color="auto" w:fill="auto"/>
            <w:noWrap/>
            <w:vAlign w:val="bottom"/>
            <w:hideMark/>
          </w:tcPr>
          <w:p w14:paraId="581881AC" w14:textId="77777777" w:rsidR="003B0B90" w:rsidRPr="003B0B90" w:rsidRDefault="003B0B90" w:rsidP="003B0B90">
            <w:pPr>
              <w:rPr>
                <w:rFonts w:ascii="Arial Narrow" w:eastAsia="Times New Roman" w:hAnsi="Arial Narrow" w:cs="Calibri"/>
                <w:color w:val="000000"/>
                <w:sz w:val="18"/>
                <w:szCs w:val="18"/>
                <w:lang w:eastAsia="en-NZ"/>
              </w:rPr>
            </w:pPr>
          </w:p>
        </w:tc>
        <w:tc>
          <w:tcPr>
            <w:tcW w:w="893" w:type="dxa"/>
            <w:tcBorders>
              <w:top w:val="nil"/>
              <w:left w:val="nil"/>
              <w:bottom w:val="nil"/>
              <w:right w:val="nil"/>
            </w:tcBorders>
            <w:shd w:val="clear" w:color="auto" w:fill="auto"/>
            <w:noWrap/>
            <w:vAlign w:val="bottom"/>
            <w:hideMark/>
          </w:tcPr>
          <w:p w14:paraId="3F339AFF" w14:textId="77777777" w:rsidR="003B0B90" w:rsidRPr="003B0B90" w:rsidRDefault="003B0B90" w:rsidP="003B0B90">
            <w:pPr>
              <w:rPr>
                <w:rFonts w:eastAsia="Times New Roman"/>
                <w:sz w:val="20"/>
                <w:szCs w:val="20"/>
                <w:lang w:eastAsia="en-NZ"/>
              </w:rPr>
            </w:pPr>
          </w:p>
        </w:tc>
        <w:tc>
          <w:tcPr>
            <w:tcW w:w="1596" w:type="dxa"/>
            <w:tcBorders>
              <w:top w:val="nil"/>
              <w:left w:val="single" w:sz="8" w:space="0" w:color="auto"/>
              <w:bottom w:val="nil"/>
              <w:right w:val="nil"/>
            </w:tcBorders>
            <w:shd w:val="clear" w:color="auto" w:fill="auto"/>
            <w:noWrap/>
            <w:vAlign w:val="bottom"/>
            <w:hideMark/>
          </w:tcPr>
          <w:p w14:paraId="39CDF79D" w14:textId="77777777" w:rsidR="003B0B90" w:rsidRPr="003B0B90" w:rsidRDefault="003B0B90" w:rsidP="003B0B90">
            <w:pPr>
              <w:jc w:val="cente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LOW</w:t>
            </w:r>
          </w:p>
        </w:tc>
        <w:tc>
          <w:tcPr>
            <w:tcW w:w="1590" w:type="dxa"/>
            <w:tcBorders>
              <w:top w:val="nil"/>
              <w:left w:val="nil"/>
              <w:bottom w:val="nil"/>
              <w:right w:val="nil"/>
            </w:tcBorders>
            <w:shd w:val="clear" w:color="auto" w:fill="auto"/>
            <w:noWrap/>
            <w:vAlign w:val="bottom"/>
            <w:hideMark/>
          </w:tcPr>
          <w:p w14:paraId="2DA106BF" w14:textId="77777777" w:rsidR="003B0B90" w:rsidRPr="003B0B90" w:rsidRDefault="003B0B90" w:rsidP="003B0B90">
            <w:pPr>
              <w:jc w:val="cente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LOWER-MID</w:t>
            </w:r>
          </w:p>
        </w:tc>
        <w:tc>
          <w:tcPr>
            <w:tcW w:w="1590" w:type="dxa"/>
            <w:tcBorders>
              <w:top w:val="nil"/>
              <w:left w:val="nil"/>
              <w:bottom w:val="nil"/>
              <w:right w:val="nil"/>
            </w:tcBorders>
            <w:shd w:val="clear" w:color="auto" w:fill="auto"/>
            <w:noWrap/>
            <w:vAlign w:val="bottom"/>
            <w:hideMark/>
          </w:tcPr>
          <w:p w14:paraId="158C9685" w14:textId="77777777" w:rsidR="003B0B90" w:rsidRPr="003B0B90" w:rsidRDefault="003B0B90" w:rsidP="003B0B90">
            <w:pPr>
              <w:jc w:val="cente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UPPER-MID</w:t>
            </w:r>
          </w:p>
        </w:tc>
        <w:tc>
          <w:tcPr>
            <w:tcW w:w="1602" w:type="dxa"/>
            <w:tcBorders>
              <w:top w:val="nil"/>
              <w:left w:val="nil"/>
              <w:bottom w:val="nil"/>
              <w:right w:val="single" w:sz="8" w:space="0" w:color="auto"/>
            </w:tcBorders>
            <w:shd w:val="clear" w:color="auto" w:fill="auto"/>
            <w:noWrap/>
            <w:vAlign w:val="bottom"/>
            <w:hideMark/>
          </w:tcPr>
          <w:p w14:paraId="4D772A95" w14:textId="77777777" w:rsidR="003B0B90" w:rsidRPr="003B0B90" w:rsidRDefault="003B0B90" w:rsidP="003B0B90">
            <w:pPr>
              <w:jc w:val="cente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HIGH</w:t>
            </w:r>
          </w:p>
        </w:tc>
      </w:tr>
      <w:tr w:rsidR="003B0B90" w:rsidRPr="003B0B90" w14:paraId="4F26779D" w14:textId="77777777" w:rsidTr="00871130">
        <w:trPr>
          <w:trHeight w:val="300"/>
        </w:trPr>
        <w:tc>
          <w:tcPr>
            <w:tcW w:w="435" w:type="dxa"/>
            <w:tcBorders>
              <w:top w:val="nil"/>
              <w:left w:val="single" w:sz="8" w:space="0" w:color="auto"/>
              <w:bottom w:val="single" w:sz="8" w:space="0" w:color="auto"/>
              <w:right w:val="nil"/>
            </w:tcBorders>
            <w:shd w:val="clear" w:color="auto" w:fill="auto"/>
            <w:noWrap/>
            <w:vAlign w:val="bottom"/>
            <w:hideMark/>
          </w:tcPr>
          <w:p w14:paraId="51E5F284"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177" w:type="dxa"/>
            <w:tcBorders>
              <w:top w:val="nil"/>
              <w:left w:val="nil"/>
              <w:bottom w:val="single" w:sz="8" w:space="0" w:color="auto"/>
              <w:right w:val="nil"/>
            </w:tcBorders>
            <w:shd w:val="clear" w:color="auto" w:fill="auto"/>
            <w:noWrap/>
            <w:vAlign w:val="bottom"/>
            <w:hideMark/>
          </w:tcPr>
          <w:p w14:paraId="7D958FD6"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893" w:type="dxa"/>
            <w:tcBorders>
              <w:top w:val="nil"/>
              <w:left w:val="nil"/>
              <w:bottom w:val="single" w:sz="8" w:space="0" w:color="auto"/>
              <w:right w:val="nil"/>
            </w:tcBorders>
            <w:shd w:val="clear" w:color="auto" w:fill="auto"/>
            <w:noWrap/>
            <w:vAlign w:val="bottom"/>
            <w:hideMark/>
          </w:tcPr>
          <w:p w14:paraId="6DBBF56F"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1596" w:type="dxa"/>
            <w:tcBorders>
              <w:top w:val="nil"/>
              <w:left w:val="single" w:sz="8" w:space="0" w:color="auto"/>
              <w:bottom w:val="single" w:sz="8" w:space="0" w:color="auto"/>
              <w:right w:val="nil"/>
            </w:tcBorders>
            <w:shd w:val="clear" w:color="auto" w:fill="auto"/>
            <w:noWrap/>
            <w:vAlign w:val="bottom"/>
            <w:hideMark/>
          </w:tcPr>
          <w:p w14:paraId="5EC3845B"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2 countries</w:t>
            </w:r>
          </w:p>
        </w:tc>
        <w:tc>
          <w:tcPr>
            <w:tcW w:w="1590" w:type="dxa"/>
            <w:tcBorders>
              <w:top w:val="nil"/>
              <w:left w:val="nil"/>
              <w:bottom w:val="single" w:sz="8" w:space="0" w:color="auto"/>
              <w:right w:val="nil"/>
            </w:tcBorders>
            <w:shd w:val="clear" w:color="auto" w:fill="auto"/>
            <w:noWrap/>
            <w:vAlign w:val="bottom"/>
            <w:hideMark/>
          </w:tcPr>
          <w:p w14:paraId="0DB97998"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17 countries</w:t>
            </w:r>
          </w:p>
        </w:tc>
        <w:tc>
          <w:tcPr>
            <w:tcW w:w="1590" w:type="dxa"/>
            <w:tcBorders>
              <w:top w:val="nil"/>
              <w:left w:val="nil"/>
              <w:bottom w:val="single" w:sz="8" w:space="0" w:color="auto"/>
              <w:right w:val="nil"/>
            </w:tcBorders>
            <w:shd w:val="clear" w:color="auto" w:fill="auto"/>
            <w:noWrap/>
            <w:vAlign w:val="bottom"/>
            <w:hideMark/>
          </w:tcPr>
          <w:p w14:paraId="1F7A6A3A"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19 countries</w:t>
            </w:r>
          </w:p>
        </w:tc>
        <w:tc>
          <w:tcPr>
            <w:tcW w:w="1602" w:type="dxa"/>
            <w:tcBorders>
              <w:top w:val="nil"/>
              <w:left w:val="nil"/>
              <w:bottom w:val="single" w:sz="8" w:space="0" w:color="auto"/>
              <w:right w:val="single" w:sz="8" w:space="0" w:color="auto"/>
            </w:tcBorders>
            <w:shd w:val="clear" w:color="auto" w:fill="auto"/>
            <w:noWrap/>
            <w:vAlign w:val="bottom"/>
            <w:hideMark/>
          </w:tcPr>
          <w:p w14:paraId="3649FAC7"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39 countries</w:t>
            </w:r>
          </w:p>
        </w:tc>
      </w:tr>
      <w:tr w:rsidR="003B0B90" w:rsidRPr="003B0B90" w14:paraId="61F7D7EF" w14:textId="77777777" w:rsidTr="00871130">
        <w:trPr>
          <w:trHeight w:val="290"/>
        </w:trPr>
        <w:tc>
          <w:tcPr>
            <w:tcW w:w="43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1C79B47" w14:textId="77777777" w:rsidR="003B0B90" w:rsidRPr="003B0B90" w:rsidRDefault="003B0B90" w:rsidP="003B0B90">
            <w:pPr>
              <w:jc w:val="cente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USAGE</w:t>
            </w:r>
          </w:p>
        </w:tc>
        <w:tc>
          <w:tcPr>
            <w:tcW w:w="1177" w:type="dxa"/>
            <w:tcBorders>
              <w:top w:val="nil"/>
              <w:left w:val="nil"/>
              <w:bottom w:val="nil"/>
              <w:right w:val="single" w:sz="8" w:space="0" w:color="auto"/>
            </w:tcBorders>
            <w:shd w:val="clear" w:color="auto" w:fill="auto"/>
            <w:noWrap/>
            <w:vAlign w:val="bottom"/>
            <w:hideMark/>
          </w:tcPr>
          <w:p w14:paraId="319CB315"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LOW</w:t>
            </w:r>
          </w:p>
        </w:tc>
        <w:tc>
          <w:tcPr>
            <w:tcW w:w="893" w:type="dxa"/>
            <w:tcBorders>
              <w:top w:val="nil"/>
              <w:left w:val="nil"/>
              <w:bottom w:val="nil"/>
              <w:right w:val="single" w:sz="4" w:space="0" w:color="auto"/>
            </w:tcBorders>
            <w:shd w:val="clear" w:color="auto" w:fill="auto"/>
            <w:noWrap/>
            <w:vAlign w:val="bottom"/>
            <w:hideMark/>
          </w:tcPr>
          <w:p w14:paraId="638F009F"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Base Fee</w:t>
            </w:r>
          </w:p>
        </w:tc>
        <w:tc>
          <w:tcPr>
            <w:tcW w:w="1596" w:type="dxa"/>
            <w:tcBorders>
              <w:top w:val="nil"/>
              <w:left w:val="nil"/>
              <w:bottom w:val="nil"/>
              <w:right w:val="nil"/>
            </w:tcBorders>
            <w:shd w:val="clear" w:color="auto" w:fill="auto"/>
            <w:noWrap/>
            <w:vAlign w:val="bottom"/>
            <w:hideMark/>
          </w:tcPr>
          <w:p w14:paraId="0017C55B"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   </w:t>
            </w:r>
          </w:p>
        </w:tc>
        <w:tc>
          <w:tcPr>
            <w:tcW w:w="1590" w:type="dxa"/>
            <w:tcBorders>
              <w:top w:val="nil"/>
              <w:left w:val="nil"/>
              <w:bottom w:val="nil"/>
              <w:right w:val="nil"/>
            </w:tcBorders>
            <w:shd w:val="clear" w:color="auto" w:fill="auto"/>
            <w:noWrap/>
            <w:vAlign w:val="bottom"/>
            <w:hideMark/>
          </w:tcPr>
          <w:p w14:paraId="2AFAF59F"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4,000 </w:t>
            </w:r>
          </w:p>
        </w:tc>
        <w:tc>
          <w:tcPr>
            <w:tcW w:w="1590" w:type="dxa"/>
            <w:tcBorders>
              <w:top w:val="nil"/>
              <w:left w:val="nil"/>
              <w:bottom w:val="nil"/>
              <w:right w:val="nil"/>
            </w:tcBorders>
            <w:shd w:val="clear" w:color="auto" w:fill="auto"/>
            <w:noWrap/>
            <w:vAlign w:val="bottom"/>
            <w:hideMark/>
          </w:tcPr>
          <w:p w14:paraId="78ADAC20"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8,000 </w:t>
            </w:r>
          </w:p>
        </w:tc>
        <w:tc>
          <w:tcPr>
            <w:tcW w:w="1602" w:type="dxa"/>
            <w:tcBorders>
              <w:top w:val="nil"/>
              <w:left w:val="nil"/>
              <w:bottom w:val="nil"/>
              <w:right w:val="single" w:sz="8" w:space="0" w:color="auto"/>
            </w:tcBorders>
            <w:shd w:val="clear" w:color="auto" w:fill="auto"/>
            <w:noWrap/>
            <w:vAlign w:val="bottom"/>
            <w:hideMark/>
          </w:tcPr>
          <w:p w14:paraId="39B14D86"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16,000 </w:t>
            </w:r>
          </w:p>
        </w:tc>
      </w:tr>
      <w:tr w:rsidR="003B0B90" w:rsidRPr="003B0B90" w14:paraId="4B74241A" w14:textId="77777777" w:rsidTr="00871130">
        <w:trPr>
          <w:trHeight w:val="290"/>
        </w:trPr>
        <w:tc>
          <w:tcPr>
            <w:tcW w:w="435" w:type="dxa"/>
            <w:vMerge/>
            <w:tcBorders>
              <w:top w:val="nil"/>
              <w:left w:val="single" w:sz="8" w:space="0" w:color="auto"/>
              <w:bottom w:val="single" w:sz="8" w:space="0" w:color="000000"/>
              <w:right w:val="single" w:sz="8" w:space="0" w:color="auto"/>
            </w:tcBorders>
            <w:vAlign w:val="center"/>
            <w:hideMark/>
          </w:tcPr>
          <w:p w14:paraId="7C23C5E2"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036B7C0C"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&lt; 5,000</w:t>
            </w:r>
          </w:p>
        </w:tc>
        <w:tc>
          <w:tcPr>
            <w:tcW w:w="893" w:type="dxa"/>
            <w:tcBorders>
              <w:top w:val="nil"/>
              <w:left w:val="nil"/>
              <w:bottom w:val="nil"/>
              <w:right w:val="single" w:sz="4" w:space="0" w:color="auto"/>
            </w:tcBorders>
            <w:shd w:val="clear" w:color="auto" w:fill="auto"/>
            <w:noWrap/>
            <w:vAlign w:val="bottom"/>
            <w:hideMark/>
          </w:tcPr>
          <w:p w14:paraId="4D827F19"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Usage Fee</w:t>
            </w:r>
          </w:p>
        </w:tc>
        <w:tc>
          <w:tcPr>
            <w:tcW w:w="1596" w:type="dxa"/>
            <w:tcBorders>
              <w:top w:val="nil"/>
              <w:left w:val="nil"/>
              <w:bottom w:val="nil"/>
              <w:right w:val="nil"/>
            </w:tcBorders>
            <w:shd w:val="clear" w:color="auto" w:fill="auto"/>
            <w:noWrap/>
            <w:vAlign w:val="bottom"/>
            <w:hideMark/>
          </w:tcPr>
          <w:p w14:paraId="2252B867"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   </w:t>
            </w:r>
          </w:p>
        </w:tc>
        <w:tc>
          <w:tcPr>
            <w:tcW w:w="1590" w:type="dxa"/>
            <w:tcBorders>
              <w:top w:val="nil"/>
              <w:left w:val="nil"/>
              <w:bottom w:val="nil"/>
              <w:right w:val="nil"/>
            </w:tcBorders>
            <w:shd w:val="clear" w:color="auto" w:fill="auto"/>
            <w:noWrap/>
            <w:vAlign w:val="bottom"/>
            <w:hideMark/>
          </w:tcPr>
          <w:p w14:paraId="5A79047C"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   </w:t>
            </w:r>
          </w:p>
        </w:tc>
        <w:tc>
          <w:tcPr>
            <w:tcW w:w="1590" w:type="dxa"/>
            <w:tcBorders>
              <w:top w:val="nil"/>
              <w:left w:val="nil"/>
              <w:bottom w:val="nil"/>
              <w:right w:val="nil"/>
            </w:tcBorders>
            <w:shd w:val="clear" w:color="auto" w:fill="auto"/>
            <w:noWrap/>
            <w:vAlign w:val="bottom"/>
            <w:hideMark/>
          </w:tcPr>
          <w:p w14:paraId="6FADE44F"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   </w:t>
            </w:r>
          </w:p>
        </w:tc>
        <w:tc>
          <w:tcPr>
            <w:tcW w:w="1602" w:type="dxa"/>
            <w:tcBorders>
              <w:top w:val="nil"/>
              <w:left w:val="nil"/>
              <w:bottom w:val="nil"/>
              <w:right w:val="single" w:sz="8" w:space="0" w:color="auto"/>
            </w:tcBorders>
            <w:shd w:val="clear" w:color="auto" w:fill="auto"/>
            <w:noWrap/>
            <w:vAlign w:val="bottom"/>
            <w:hideMark/>
          </w:tcPr>
          <w:p w14:paraId="7D1C8DAD"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   </w:t>
            </w:r>
          </w:p>
        </w:tc>
      </w:tr>
      <w:tr w:rsidR="003B0B90" w:rsidRPr="003B0B90" w14:paraId="015700C9" w14:textId="77777777" w:rsidTr="00871130">
        <w:trPr>
          <w:trHeight w:val="300"/>
        </w:trPr>
        <w:tc>
          <w:tcPr>
            <w:tcW w:w="435" w:type="dxa"/>
            <w:vMerge/>
            <w:tcBorders>
              <w:top w:val="nil"/>
              <w:left w:val="single" w:sz="8" w:space="0" w:color="auto"/>
              <w:bottom w:val="single" w:sz="8" w:space="0" w:color="000000"/>
              <w:right w:val="single" w:sz="8" w:space="0" w:color="auto"/>
            </w:tcBorders>
            <w:vAlign w:val="center"/>
            <w:hideMark/>
          </w:tcPr>
          <w:p w14:paraId="4199D5D5"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nil"/>
              <w:left w:val="nil"/>
              <w:bottom w:val="single" w:sz="8" w:space="0" w:color="auto"/>
              <w:right w:val="single" w:sz="8" w:space="0" w:color="auto"/>
            </w:tcBorders>
            <w:shd w:val="clear" w:color="auto" w:fill="auto"/>
            <w:noWrap/>
            <w:vAlign w:val="bottom"/>
            <w:hideMark/>
          </w:tcPr>
          <w:p w14:paraId="45AD24CB"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37 countries</w:t>
            </w:r>
          </w:p>
        </w:tc>
        <w:tc>
          <w:tcPr>
            <w:tcW w:w="893" w:type="dxa"/>
            <w:tcBorders>
              <w:top w:val="nil"/>
              <w:left w:val="nil"/>
              <w:bottom w:val="single" w:sz="8" w:space="0" w:color="auto"/>
              <w:right w:val="single" w:sz="4" w:space="0" w:color="auto"/>
            </w:tcBorders>
            <w:shd w:val="clear" w:color="auto" w:fill="auto"/>
            <w:noWrap/>
            <w:vAlign w:val="bottom"/>
            <w:hideMark/>
          </w:tcPr>
          <w:p w14:paraId="1E69667A"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Total</w:t>
            </w:r>
          </w:p>
        </w:tc>
        <w:tc>
          <w:tcPr>
            <w:tcW w:w="1596" w:type="dxa"/>
            <w:tcBorders>
              <w:top w:val="nil"/>
              <w:left w:val="nil"/>
              <w:bottom w:val="single" w:sz="8" w:space="0" w:color="auto"/>
              <w:right w:val="nil"/>
            </w:tcBorders>
            <w:shd w:val="clear" w:color="auto" w:fill="auto"/>
            <w:noWrap/>
            <w:vAlign w:val="bottom"/>
            <w:hideMark/>
          </w:tcPr>
          <w:p w14:paraId="4C8D0AEB"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   </w:t>
            </w:r>
          </w:p>
        </w:tc>
        <w:tc>
          <w:tcPr>
            <w:tcW w:w="1590" w:type="dxa"/>
            <w:tcBorders>
              <w:top w:val="nil"/>
              <w:left w:val="nil"/>
              <w:bottom w:val="single" w:sz="8" w:space="0" w:color="auto"/>
              <w:right w:val="nil"/>
            </w:tcBorders>
            <w:shd w:val="clear" w:color="auto" w:fill="auto"/>
            <w:noWrap/>
            <w:vAlign w:val="bottom"/>
            <w:hideMark/>
          </w:tcPr>
          <w:p w14:paraId="59E8C6D7"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4,000 </w:t>
            </w:r>
          </w:p>
        </w:tc>
        <w:tc>
          <w:tcPr>
            <w:tcW w:w="1590" w:type="dxa"/>
            <w:tcBorders>
              <w:top w:val="nil"/>
              <w:left w:val="nil"/>
              <w:bottom w:val="single" w:sz="8" w:space="0" w:color="auto"/>
              <w:right w:val="nil"/>
            </w:tcBorders>
            <w:shd w:val="clear" w:color="auto" w:fill="auto"/>
            <w:noWrap/>
            <w:vAlign w:val="bottom"/>
            <w:hideMark/>
          </w:tcPr>
          <w:p w14:paraId="52210E68"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8,000 </w:t>
            </w:r>
          </w:p>
        </w:tc>
        <w:tc>
          <w:tcPr>
            <w:tcW w:w="1602" w:type="dxa"/>
            <w:tcBorders>
              <w:top w:val="nil"/>
              <w:left w:val="nil"/>
              <w:bottom w:val="single" w:sz="8" w:space="0" w:color="auto"/>
              <w:right w:val="single" w:sz="8" w:space="0" w:color="auto"/>
            </w:tcBorders>
            <w:shd w:val="clear" w:color="auto" w:fill="auto"/>
            <w:noWrap/>
            <w:vAlign w:val="bottom"/>
            <w:hideMark/>
          </w:tcPr>
          <w:p w14:paraId="59327FA0"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16,000 </w:t>
            </w:r>
          </w:p>
        </w:tc>
      </w:tr>
      <w:tr w:rsidR="003B0B90" w:rsidRPr="003B0B90" w14:paraId="58F3ED23" w14:textId="77777777" w:rsidTr="00871130">
        <w:trPr>
          <w:trHeight w:val="70"/>
        </w:trPr>
        <w:tc>
          <w:tcPr>
            <w:tcW w:w="435" w:type="dxa"/>
            <w:vMerge/>
            <w:tcBorders>
              <w:top w:val="nil"/>
              <w:left w:val="single" w:sz="8" w:space="0" w:color="auto"/>
              <w:bottom w:val="single" w:sz="8" w:space="0" w:color="000000"/>
              <w:right w:val="single" w:sz="8" w:space="0" w:color="auto"/>
            </w:tcBorders>
            <w:vAlign w:val="center"/>
            <w:hideMark/>
          </w:tcPr>
          <w:p w14:paraId="01C5C277"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1AC1FF7D"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893" w:type="dxa"/>
            <w:tcBorders>
              <w:top w:val="nil"/>
              <w:left w:val="nil"/>
              <w:bottom w:val="nil"/>
              <w:right w:val="nil"/>
            </w:tcBorders>
            <w:shd w:val="clear" w:color="auto" w:fill="auto"/>
            <w:noWrap/>
            <w:vAlign w:val="bottom"/>
            <w:hideMark/>
          </w:tcPr>
          <w:p w14:paraId="1F731C7D" w14:textId="77777777" w:rsidR="003B0B90" w:rsidRPr="003B0B90" w:rsidRDefault="003B0B90" w:rsidP="003B0B90">
            <w:pPr>
              <w:jc w:val="center"/>
              <w:rPr>
                <w:rFonts w:ascii="Arial Narrow" w:eastAsia="Times New Roman" w:hAnsi="Arial Narrow" w:cs="Calibri"/>
                <w:color w:val="000000"/>
                <w:sz w:val="18"/>
                <w:szCs w:val="18"/>
                <w:lang w:eastAsia="en-NZ"/>
              </w:rPr>
            </w:pPr>
          </w:p>
        </w:tc>
        <w:tc>
          <w:tcPr>
            <w:tcW w:w="1596" w:type="dxa"/>
            <w:tcBorders>
              <w:top w:val="nil"/>
              <w:left w:val="nil"/>
              <w:bottom w:val="nil"/>
              <w:right w:val="nil"/>
            </w:tcBorders>
            <w:shd w:val="clear" w:color="auto" w:fill="auto"/>
            <w:noWrap/>
            <w:vAlign w:val="bottom"/>
            <w:hideMark/>
          </w:tcPr>
          <w:p w14:paraId="1E18A9D6" w14:textId="77777777" w:rsidR="003B0B90" w:rsidRPr="003B0B90" w:rsidRDefault="003B0B90" w:rsidP="003B0B90">
            <w:pPr>
              <w:rPr>
                <w:rFonts w:eastAsia="Times New Roman"/>
                <w:sz w:val="20"/>
                <w:szCs w:val="20"/>
                <w:lang w:eastAsia="en-NZ"/>
              </w:rPr>
            </w:pPr>
          </w:p>
        </w:tc>
        <w:tc>
          <w:tcPr>
            <w:tcW w:w="1590" w:type="dxa"/>
            <w:tcBorders>
              <w:top w:val="nil"/>
              <w:left w:val="nil"/>
              <w:bottom w:val="nil"/>
              <w:right w:val="nil"/>
            </w:tcBorders>
            <w:shd w:val="clear" w:color="auto" w:fill="auto"/>
            <w:noWrap/>
            <w:vAlign w:val="bottom"/>
            <w:hideMark/>
          </w:tcPr>
          <w:p w14:paraId="33383E56" w14:textId="77777777" w:rsidR="003B0B90" w:rsidRPr="003B0B90" w:rsidRDefault="003B0B90" w:rsidP="003B0B90">
            <w:pPr>
              <w:rPr>
                <w:rFonts w:eastAsia="Times New Roman"/>
                <w:sz w:val="20"/>
                <w:szCs w:val="20"/>
                <w:lang w:eastAsia="en-NZ"/>
              </w:rPr>
            </w:pPr>
          </w:p>
        </w:tc>
        <w:tc>
          <w:tcPr>
            <w:tcW w:w="1590" w:type="dxa"/>
            <w:tcBorders>
              <w:top w:val="nil"/>
              <w:left w:val="nil"/>
              <w:bottom w:val="nil"/>
              <w:right w:val="nil"/>
            </w:tcBorders>
            <w:shd w:val="clear" w:color="auto" w:fill="auto"/>
            <w:noWrap/>
            <w:vAlign w:val="bottom"/>
            <w:hideMark/>
          </w:tcPr>
          <w:p w14:paraId="0FBC454B" w14:textId="77777777" w:rsidR="003B0B90" w:rsidRPr="003B0B90" w:rsidRDefault="003B0B90" w:rsidP="003B0B90">
            <w:pPr>
              <w:rPr>
                <w:rFonts w:eastAsia="Times New Roman"/>
                <w:sz w:val="20"/>
                <w:szCs w:val="20"/>
                <w:lang w:eastAsia="en-NZ"/>
              </w:rPr>
            </w:pPr>
          </w:p>
        </w:tc>
        <w:tc>
          <w:tcPr>
            <w:tcW w:w="1602" w:type="dxa"/>
            <w:tcBorders>
              <w:top w:val="nil"/>
              <w:left w:val="nil"/>
              <w:bottom w:val="nil"/>
              <w:right w:val="single" w:sz="8" w:space="0" w:color="auto"/>
            </w:tcBorders>
            <w:shd w:val="clear" w:color="auto" w:fill="auto"/>
            <w:noWrap/>
            <w:vAlign w:val="bottom"/>
            <w:hideMark/>
          </w:tcPr>
          <w:p w14:paraId="44BB1A7C"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r>
      <w:tr w:rsidR="003B0B90" w:rsidRPr="003B0B90" w14:paraId="45F255BE" w14:textId="77777777" w:rsidTr="00871130">
        <w:trPr>
          <w:trHeight w:val="290"/>
        </w:trPr>
        <w:tc>
          <w:tcPr>
            <w:tcW w:w="435" w:type="dxa"/>
            <w:vMerge/>
            <w:tcBorders>
              <w:top w:val="nil"/>
              <w:left w:val="single" w:sz="8" w:space="0" w:color="auto"/>
              <w:bottom w:val="single" w:sz="8" w:space="0" w:color="000000"/>
              <w:right w:val="single" w:sz="8" w:space="0" w:color="auto"/>
            </w:tcBorders>
            <w:vAlign w:val="center"/>
            <w:hideMark/>
          </w:tcPr>
          <w:p w14:paraId="20DD3108"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single" w:sz="8" w:space="0" w:color="auto"/>
              <w:left w:val="nil"/>
              <w:bottom w:val="nil"/>
              <w:right w:val="single" w:sz="8" w:space="0" w:color="auto"/>
            </w:tcBorders>
            <w:shd w:val="clear" w:color="auto" w:fill="auto"/>
            <w:noWrap/>
            <w:vAlign w:val="bottom"/>
            <w:hideMark/>
          </w:tcPr>
          <w:p w14:paraId="60AEC729"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MEDIUM</w:t>
            </w:r>
          </w:p>
        </w:tc>
        <w:tc>
          <w:tcPr>
            <w:tcW w:w="893" w:type="dxa"/>
            <w:tcBorders>
              <w:top w:val="single" w:sz="8" w:space="0" w:color="auto"/>
              <w:left w:val="nil"/>
              <w:bottom w:val="nil"/>
              <w:right w:val="nil"/>
            </w:tcBorders>
            <w:shd w:val="clear" w:color="auto" w:fill="auto"/>
            <w:noWrap/>
            <w:vAlign w:val="bottom"/>
            <w:hideMark/>
          </w:tcPr>
          <w:p w14:paraId="2C1B6622"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Base Fee</w:t>
            </w:r>
          </w:p>
        </w:tc>
        <w:tc>
          <w:tcPr>
            <w:tcW w:w="1596" w:type="dxa"/>
            <w:tcBorders>
              <w:top w:val="single" w:sz="8" w:space="0" w:color="auto"/>
              <w:left w:val="single" w:sz="4" w:space="0" w:color="auto"/>
              <w:bottom w:val="nil"/>
              <w:right w:val="nil"/>
            </w:tcBorders>
            <w:shd w:val="clear" w:color="auto" w:fill="auto"/>
            <w:noWrap/>
            <w:vAlign w:val="bottom"/>
            <w:hideMark/>
          </w:tcPr>
          <w:p w14:paraId="3229F1F5"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   </w:t>
            </w:r>
          </w:p>
        </w:tc>
        <w:tc>
          <w:tcPr>
            <w:tcW w:w="1590" w:type="dxa"/>
            <w:tcBorders>
              <w:top w:val="single" w:sz="8" w:space="0" w:color="auto"/>
              <w:left w:val="nil"/>
              <w:bottom w:val="nil"/>
              <w:right w:val="nil"/>
            </w:tcBorders>
            <w:shd w:val="clear" w:color="auto" w:fill="auto"/>
            <w:noWrap/>
            <w:vAlign w:val="bottom"/>
            <w:hideMark/>
          </w:tcPr>
          <w:p w14:paraId="0E34020C"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4,000 </w:t>
            </w:r>
          </w:p>
        </w:tc>
        <w:tc>
          <w:tcPr>
            <w:tcW w:w="1590" w:type="dxa"/>
            <w:tcBorders>
              <w:top w:val="single" w:sz="8" w:space="0" w:color="auto"/>
              <w:left w:val="nil"/>
              <w:bottom w:val="nil"/>
              <w:right w:val="nil"/>
            </w:tcBorders>
            <w:shd w:val="clear" w:color="auto" w:fill="auto"/>
            <w:noWrap/>
            <w:vAlign w:val="bottom"/>
            <w:hideMark/>
          </w:tcPr>
          <w:p w14:paraId="7C3F491E"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8,000 </w:t>
            </w:r>
          </w:p>
        </w:tc>
        <w:tc>
          <w:tcPr>
            <w:tcW w:w="1602" w:type="dxa"/>
            <w:tcBorders>
              <w:top w:val="single" w:sz="8" w:space="0" w:color="auto"/>
              <w:left w:val="nil"/>
              <w:bottom w:val="nil"/>
              <w:right w:val="single" w:sz="8" w:space="0" w:color="auto"/>
            </w:tcBorders>
            <w:shd w:val="clear" w:color="auto" w:fill="auto"/>
            <w:noWrap/>
            <w:vAlign w:val="bottom"/>
            <w:hideMark/>
          </w:tcPr>
          <w:p w14:paraId="22E4FE09"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16,000 </w:t>
            </w:r>
          </w:p>
        </w:tc>
      </w:tr>
      <w:tr w:rsidR="003B0B90" w:rsidRPr="003B0B90" w14:paraId="5D93215D" w14:textId="77777777" w:rsidTr="00871130">
        <w:trPr>
          <w:trHeight w:val="290"/>
        </w:trPr>
        <w:tc>
          <w:tcPr>
            <w:tcW w:w="435" w:type="dxa"/>
            <w:vMerge/>
            <w:tcBorders>
              <w:top w:val="nil"/>
              <w:left w:val="single" w:sz="8" w:space="0" w:color="auto"/>
              <w:bottom w:val="single" w:sz="8" w:space="0" w:color="000000"/>
              <w:right w:val="single" w:sz="8" w:space="0" w:color="auto"/>
            </w:tcBorders>
            <w:vAlign w:val="center"/>
            <w:hideMark/>
          </w:tcPr>
          <w:p w14:paraId="7CD035E2"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5AB01377"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5,000 - 49,999</w:t>
            </w:r>
          </w:p>
        </w:tc>
        <w:tc>
          <w:tcPr>
            <w:tcW w:w="893" w:type="dxa"/>
            <w:tcBorders>
              <w:top w:val="nil"/>
              <w:left w:val="nil"/>
              <w:bottom w:val="nil"/>
              <w:right w:val="single" w:sz="4" w:space="0" w:color="auto"/>
            </w:tcBorders>
            <w:shd w:val="clear" w:color="auto" w:fill="auto"/>
            <w:noWrap/>
            <w:vAlign w:val="bottom"/>
            <w:hideMark/>
          </w:tcPr>
          <w:p w14:paraId="2FE79984"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Usage Fee</w:t>
            </w:r>
          </w:p>
        </w:tc>
        <w:tc>
          <w:tcPr>
            <w:tcW w:w="1596" w:type="dxa"/>
            <w:tcBorders>
              <w:top w:val="nil"/>
              <w:left w:val="nil"/>
              <w:bottom w:val="nil"/>
              <w:right w:val="nil"/>
            </w:tcBorders>
            <w:shd w:val="clear" w:color="auto" w:fill="auto"/>
            <w:noWrap/>
            <w:vAlign w:val="bottom"/>
            <w:hideMark/>
          </w:tcPr>
          <w:p w14:paraId="62F93C43"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5,800 </w:t>
            </w:r>
          </w:p>
        </w:tc>
        <w:tc>
          <w:tcPr>
            <w:tcW w:w="1590" w:type="dxa"/>
            <w:tcBorders>
              <w:top w:val="nil"/>
              <w:left w:val="nil"/>
              <w:bottom w:val="nil"/>
              <w:right w:val="nil"/>
            </w:tcBorders>
            <w:shd w:val="clear" w:color="auto" w:fill="auto"/>
            <w:noWrap/>
            <w:vAlign w:val="bottom"/>
            <w:hideMark/>
          </w:tcPr>
          <w:p w14:paraId="0E89B1FB"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5,800 </w:t>
            </w:r>
          </w:p>
        </w:tc>
        <w:tc>
          <w:tcPr>
            <w:tcW w:w="1590" w:type="dxa"/>
            <w:tcBorders>
              <w:top w:val="nil"/>
              <w:left w:val="nil"/>
              <w:bottom w:val="nil"/>
              <w:right w:val="nil"/>
            </w:tcBorders>
            <w:shd w:val="clear" w:color="auto" w:fill="auto"/>
            <w:noWrap/>
            <w:vAlign w:val="bottom"/>
            <w:hideMark/>
          </w:tcPr>
          <w:p w14:paraId="537DA347"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5,800 </w:t>
            </w:r>
          </w:p>
        </w:tc>
        <w:tc>
          <w:tcPr>
            <w:tcW w:w="1602" w:type="dxa"/>
            <w:tcBorders>
              <w:top w:val="nil"/>
              <w:left w:val="nil"/>
              <w:bottom w:val="nil"/>
              <w:right w:val="single" w:sz="8" w:space="0" w:color="auto"/>
            </w:tcBorders>
            <w:shd w:val="clear" w:color="auto" w:fill="auto"/>
            <w:noWrap/>
            <w:vAlign w:val="bottom"/>
            <w:hideMark/>
          </w:tcPr>
          <w:p w14:paraId="15EDC45F"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5,800 </w:t>
            </w:r>
          </w:p>
        </w:tc>
      </w:tr>
      <w:tr w:rsidR="003B0B90" w:rsidRPr="003B0B90" w14:paraId="4FFFF96D" w14:textId="77777777" w:rsidTr="00871130">
        <w:trPr>
          <w:trHeight w:val="300"/>
        </w:trPr>
        <w:tc>
          <w:tcPr>
            <w:tcW w:w="435" w:type="dxa"/>
            <w:vMerge/>
            <w:tcBorders>
              <w:top w:val="nil"/>
              <w:left w:val="single" w:sz="8" w:space="0" w:color="auto"/>
              <w:bottom w:val="single" w:sz="8" w:space="0" w:color="000000"/>
              <w:right w:val="single" w:sz="8" w:space="0" w:color="auto"/>
            </w:tcBorders>
            <w:vAlign w:val="center"/>
            <w:hideMark/>
          </w:tcPr>
          <w:p w14:paraId="7073D71B"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nil"/>
              <w:left w:val="nil"/>
              <w:bottom w:val="single" w:sz="8" w:space="0" w:color="auto"/>
              <w:right w:val="single" w:sz="8" w:space="0" w:color="auto"/>
            </w:tcBorders>
            <w:shd w:val="clear" w:color="auto" w:fill="auto"/>
            <w:noWrap/>
            <w:vAlign w:val="bottom"/>
            <w:hideMark/>
          </w:tcPr>
          <w:p w14:paraId="27101D59"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24 countries</w:t>
            </w:r>
          </w:p>
        </w:tc>
        <w:tc>
          <w:tcPr>
            <w:tcW w:w="893" w:type="dxa"/>
            <w:tcBorders>
              <w:top w:val="nil"/>
              <w:left w:val="nil"/>
              <w:bottom w:val="single" w:sz="8" w:space="0" w:color="auto"/>
              <w:right w:val="single" w:sz="4" w:space="0" w:color="auto"/>
            </w:tcBorders>
            <w:shd w:val="clear" w:color="auto" w:fill="auto"/>
            <w:noWrap/>
            <w:vAlign w:val="bottom"/>
            <w:hideMark/>
          </w:tcPr>
          <w:p w14:paraId="3042A099"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Total</w:t>
            </w:r>
          </w:p>
        </w:tc>
        <w:tc>
          <w:tcPr>
            <w:tcW w:w="1596" w:type="dxa"/>
            <w:tcBorders>
              <w:top w:val="nil"/>
              <w:left w:val="nil"/>
              <w:bottom w:val="single" w:sz="8" w:space="0" w:color="auto"/>
              <w:right w:val="nil"/>
            </w:tcBorders>
            <w:shd w:val="clear" w:color="auto" w:fill="auto"/>
            <w:noWrap/>
            <w:vAlign w:val="bottom"/>
            <w:hideMark/>
          </w:tcPr>
          <w:p w14:paraId="0717C914"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5,800 </w:t>
            </w:r>
          </w:p>
        </w:tc>
        <w:tc>
          <w:tcPr>
            <w:tcW w:w="1590" w:type="dxa"/>
            <w:tcBorders>
              <w:top w:val="nil"/>
              <w:left w:val="nil"/>
              <w:bottom w:val="single" w:sz="8" w:space="0" w:color="auto"/>
              <w:right w:val="nil"/>
            </w:tcBorders>
            <w:shd w:val="clear" w:color="auto" w:fill="auto"/>
            <w:noWrap/>
            <w:vAlign w:val="bottom"/>
            <w:hideMark/>
          </w:tcPr>
          <w:p w14:paraId="3689C049"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9,800 </w:t>
            </w:r>
          </w:p>
        </w:tc>
        <w:tc>
          <w:tcPr>
            <w:tcW w:w="1590" w:type="dxa"/>
            <w:tcBorders>
              <w:top w:val="nil"/>
              <w:left w:val="nil"/>
              <w:bottom w:val="single" w:sz="8" w:space="0" w:color="auto"/>
              <w:right w:val="nil"/>
            </w:tcBorders>
            <w:shd w:val="clear" w:color="auto" w:fill="auto"/>
            <w:noWrap/>
            <w:vAlign w:val="bottom"/>
            <w:hideMark/>
          </w:tcPr>
          <w:p w14:paraId="5DA276F3"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13,800 </w:t>
            </w:r>
          </w:p>
        </w:tc>
        <w:tc>
          <w:tcPr>
            <w:tcW w:w="1602" w:type="dxa"/>
            <w:tcBorders>
              <w:top w:val="nil"/>
              <w:left w:val="nil"/>
              <w:bottom w:val="single" w:sz="8" w:space="0" w:color="auto"/>
              <w:right w:val="single" w:sz="8" w:space="0" w:color="auto"/>
            </w:tcBorders>
            <w:shd w:val="clear" w:color="auto" w:fill="auto"/>
            <w:noWrap/>
            <w:vAlign w:val="bottom"/>
            <w:hideMark/>
          </w:tcPr>
          <w:p w14:paraId="3CBA3E97"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21,800 </w:t>
            </w:r>
          </w:p>
        </w:tc>
      </w:tr>
      <w:tr w:rsidR="003B0B90" w:rsidRPr="003B0B90" w14:paraId="4F5051FB" w14:textId="77777777" w:rsidTr="00871130">
        <w:trPr>
          <w:trHeight w:val="70"/>
        </w:trPr>
        <w:tc>
          <w:tcPr>
            <w:tcW w:w="435" w:type="dxa"/>
            <w:vMerge/>
            <w:tcBorders>
              <w:top w:val="nil"/>
              <w:left w:val="single" w:sz="8" w:space="0" w:color="auto"/>
              <w:bottom w:val="single" w:sz="8" w:space="0" w:color="000000"/>
              <w:right w:val="single" w:sz="8" w:space="0" w:color="auto"/>
            </w:tcBorders>
            <w:vAlign w:val="center"/>
            <w:hideMark/>
          </w:tcPr>
          <w:p w14:paraId="2A10AAE2"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5C78633C"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c>
          <w:tcPr>
            <w:tcW w:w="893" w:type="dxa"/>
            <w:tcBorders>
              <w:top w:val="nil"/>
              <w:left w:val="nil"/>
              <w:bottom w:val="nil"/>
              <w:right w:val="nil"/>
            </w:tcBorders>
            <w:shd w:val="clear" w:color="auto" w:fill="auto"/>
            <w:noWrap/>
            <w:vAlign w:val="bottom"/>
            <w:hideMark/>
          </w:tcPr>
          <w:p w14:paraId="1183EB69" w14:textId="77777777" w:rsidR="003B0B90" w:rsidRPr="003B0B90" w:rsidRDefault="003B0B90" w:rsidP="003B0B90">
            <w:pPr>
              <w:jc w:val="center"/>
              <w:rPr>
                <w:rFonts w:ascii="Arial Narrow" w:eastAsia="Times New Roman" w:hAnsi="Arial Narrow" w:cs="Calibri"/>
                <w:color w:val="000000"/>
                <w:sz w:val="18"/>
                <w:szCs w:val="18"/>
                <w:lang w:eastAsia="en-NZ"/>
              </w:rPr>
            </w:pPr>
          </w:p>
        </w:tc>
        <w:tc>
          <w:tcPr>
            <w:tcW w:w="1596" w:type="dxa"/>
            <w:tcBorders>
              <w:top w:val="nil"/>
              <w:left w:val="nil"/>
              <w:bottom w:val="nil"/>
              <w:right w:val="nil"/>
            </w:tcBorders>
            <w:shd w:val="clear" w:color="auto" w:fill="auto"/>
            <w:noWrap/>
            <w:vAlign w:val="bottom"/>
            <w:hideMark/>
          </w:tcPr>
          <w:p w14:paraId="0CEAE33B" w14:textId="77777777" w:rsidR="003B0B90" w:rsidRPr="003B0B90" w:rsidRDefault="003B0B90" w:rsidP="003B0B90">
            <w:pPr>
              <w:rPr>
                <w:rFonts w:eastAsia="Times New Roman"/>
                <w:sz w:val="20"/>
                <w:szCs w:val="20"/>
                <w:lang w:eastAsia="en-NZ"/>
              </w:rPr>
            </w:pPr>
          </w:p>
        </w:tc>
        <w:tc>
          <w:tcPr>
            <w:tcW w:w="1590" w:type="dxa"/>
            <w:tcBorders>
              <w:top w:val="nil"/>
              <w:left w:val="nil"/>
              <w:bottom w:val="nil"/>
              <w:right w:val="nil"/>
            </w:tcBorders>
            <w:shd w:val="clear" w:color="auto" w:fill="auto"/>
            <w:noWrap/>
            <w:vAlign w:val="bottom"/>
            <w:hideMark/>
          </w:tcPr>
          <w:p w14:paraId="2A1BF7DF" w14:textId="77777777" w:rsidR="003B0B90" w:rsidRPr="003B0B90" w:rsidRDefault="003B0B90" w:rsidP="003B0B90">
            <w:pPr>
              <w:rPr>
                <w:rFonts w:eastAsia="Times New Roman"/>
                <w:sz w:val="20"/>
                <w:szCs w:val="20"/>
                <w:lang w:eastAsia="en-NZ"/>
              </w:rPr>
            </w:pPr>
          </w:p>
        </w:tc>
        <w:tc>
          <w:tcPr>
            <w:tcW w:w="1590" w:type="dxa"/>
            <w:tcBorders>
              <w:top w:val="nil"/>
              <w:left w:val="nil"/>
              <w:bottom w:val="nil"/>
              <w:right w:val="nil"/>
            </w:tcBorders>
            <w:shd w:val="clear" w:color="auto" w:fill="auto"/>
            <w:noWrap/>
            <w:vAlign w:val="bottom"/>
            <w:hideMark/>
          </w:tcPr>
          <w:p w14:paraId="0E00EAA6" w14:textId="77777777" w:rsidR="003B0B90" w:rsidRPr="003B0B90" w:rsidRDefault="003B0B90" w:rsidP="003B0B90">
            <w:pPr>
              <w:rPr>
                <w:rFonts w:eastAsia="Times New Roman"/>
                <w:sz w:val="20"/>
                <w:szCs w:val="20"/>
                <w:lang w:eastAsia="en-NZ"/>
              </w:rPr>
            </w:pPr>
          </w:p>
        </w:tc>
        <w:tc>
          <w:tcPr>
            <w:tcW w:w="1602" w:type="dxa"/>
            <w:tcBorders>
              <w:top w:val="nil"/>
              <w:left w:val="nil"/>
              <w:bottom w:val="nil"/>
              <w:right w:val="single" w:sz="8" w:space="0" w:color="auto"/>
            </w:tcBorders>
            <w:shd w:val="clear" w:color="auto" w:fill="auto"/>
            <w:noWrap/>
            <w:vAlign w:val="bottom"/>
            <w:hideMark/>
          </w:tcPr>
          <w:p w14:paraId="5436A477"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w:t>
            </w:r>
          </w:p>
        </w:tc>
      </w:tr>
      <w:tr w:rsidR="003B0B90" w:rsidRPr="003B0B90" w14:paraId="5AC26FD0" w14:textId="77777777" w:rsidTr="00871130">
        <w:trPr>
          <w:trHeight w:val="290"/>
        </w:trPr>
        <w:tc>
          <w:tcPr>
            <w:tcW w:w="435" w:type="dxa"/>
            <w:vMerge/>
            <w:tcBorders>
              <w:top w:val="nil"/>
              <w:left w:val="single" w:sz="8" w:space="0" w:color="auto"/>
              <w:bottom w:val="single" w:sz="8" w:space="0" w:color="000000"/>
              <w:right w:val="single" w:sz="8" w:space="0" w:color="auto"/>
            </w:tcBorders>
            <w:vAlign w:val="center"/>
            <w:hideMark/>
          </w:tcPr>
          <w:p w14:paraId="5765E179"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single" w:sz="8" w:space="0" w:color="auto"/>
              <w:left w:val="nil"/>
              <w:bottom w:val="nil"/>
              <w:right w:val="single" w:sz="8" w:space="0" w:color="auto"/>
            </w:tcBorders>
            <w:shd w:val="clear" w:color="auto" w:fill="auto"/>
            <w:noWrap/>
            <w:vAlign w:val="bottom"/>
            <w:hideMark/>
          </w:tcPr>
          <w:p w14:paraId="7A87D03F"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HIGH</w:t>
            </w:r>
          </w:p>
        </w:tc>
        <w:tc>
          <w:tcPr>
            <w:tcW w:w="893" w:type="dxa"/>
            <w:tcBorders>
              <w:top w:val="single" w:sz="8" w:space="0" w:color="auto"/>
              <w:left w:val="nil"/>
              <w:bottom w:val="nil"/>
              <w:right w:val="nil"/>
            </w:tcBorders>
            <w:shd w:val="clear" w:color="auto" w:fill="auto"/>
            <w:noWrap/>
            <w:vAlign w:val="bottom"/>
            <w:hideMark/>
          </w:tcPr>
          <w:p w14:paraId="474CF34D"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Base Fee</w:t>
            </w:r>
          </w:p>
        </w:tc>
        <w:tc>
          <w:tcPr>
            <w:tcW w:w="1596" w:type="dxa"/>
            <w:tcBorders>
              <w:top w:val="single" w:sz="8" w:space="0" w:color="auto"/>
              <w:left w:val="single" w:sz="4" w:space="0" w:color="auto"/>
              <w:bottom w:val="nil"/>
              <w:right w:val="nil"/>
            </w:tcBorders>
            <w:shd w:val="clear" w:color="auto" w:fill="auto"/>
            <w:noWrap/>
            <w:vAlign w:val="bottom"/>
            <w:hideMark/>
          </w:tcPr>
          <w:p w14:paraId="6E1EB8E5"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   </w:t>
            </w:r>
          </w:p>
        </w:tc>
        <w:tc>
          <w:tcPr>
            <w:tcW w:w="1590" w:type="dxa"/>
            <w:tcBorders>
              <w:top w:val="single" w:sz="8" w:space="0" w:color="auto"/>
              <w:left w:val="nil"/>
              <w:bottom w:val="nil"/>
              <w:right w:val="nil"/>
            </w:tcBorders>
            <w:shd w:val="clear" w:color="auto" w:fill="auto"/>
            <w:noWrap/>
            <w:vAlign w:val="bottom"/>
            <w:hideMark/>
          </w:tcPr>
          <w:p w14:paraId="2BA826EC"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4,000 </w:t>
            </w:r>
          </w:p>
        </w:tc>
        <w:tc>
          <w:tcPr>
            <w:tcW w:w="1590" w:type="dxa"/>
            <w:tcBorders>
              <w:top w:val="single" w:sz="8" w:space="0" w:color="auto"/>
              <w:left w:val="nil"/>
              <w:bottom w:val="nil"/>
              <w:right w:val="nil"/>
            </w:tcBorders>
            <w:shd w:val="clear" w:color="auto" w:fill="auto"/>
            <w:noWrap/>
            <w:vAlign w:val="bottom"/>
            <w:hideMark/>
          </w:tcPr>
          <w:p w14:paraId="6CE9FDC7"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8,000 </w:t>
            </w:r>
          </w:p>
        </w:tc>
        <w:tc>
          <w:tcPr>
            <w:tcW w:w="1602" w:type="dxa"/>
            <w:tcBorders>
              <w:top w:val="single" w:sz="8" w:space="0" w:color="auto"/>
              <w:left w:val="nil"/>
              <w:bottom w:val="nil"/>
              <w:right w:val="single" w:sz="8" w:space="0" w:color="auto"/>
            </w:tcBorders>
            <w:shd w:val="clear" w:color="auto" w:fill="auto"/>
            <w:noWrap/>
            <w:vAlign w:val="bottom"/>
            <w:hideMark/>
          </w:tcPr>
          <w:p w14:paraId="67B9B786"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16,000 </w:t>
            </w:r>
          </w:p>
        </w:tc>
      </w:tr>
      <w:tr w:rsidR="003B0B90" w:rsidRPr="003B0B90" w14:paraId="1C7602FF" w14:textId="77777777" w:rsidTr="00871130">
        <w:trPr>
          <w:trHeight w:val="290"/>
        </w:trPr>
        <w:tc>
          <w:tcPr>
            <w:tcW w:w="435" w:type="dxa"/>
            <w:vMerge/>
            <w:tcBorders>
              <w:top w:val="nil"/>
              <w:left w:val="single" w:sz="8" w:space="0" w:color="auto"/>
              <w:bottom w:val="single" w:sz="8" w:space="0" w:color="000000"/>
              <w:right w:val="single" w:sz="8" w:space="0" w:color="auto"/>
            </w:tcBorders>
            <w:vAlign w:val="center"/>
            <w:hideMark/>
          </w:tcPr>
          <w:p w14:paraId="70485A1F"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nil"/>
              <w:left w:val="nil"/>
              <w:bottom w:val="nil"/>
              <w:right w:val="single" w:sz="8" w:space="0" w:color="auto"/>
            </w:tcBorders>
            <w:shd w:val="clear" w:color="auto" w:fill="auto"/>
            <w:noWrap/>
            <w:vAlign w:val="bottom"/>
            <w:hideMark/>
          </w:tcPr>
          <w:p w14:paraId="22B6561E"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50,000+</w:t>
            </w:r>
          </w:p>
        </w:tc>
        <w:tc>
          <w:tcPr>
            <w:tcW w:w="893" w:type="dxa"/>
            <w:tcBorders>
              <w:top w:val="nil"/>
              <w:left w:val="nil"/>
              <w:bottom w:val="nil"/>
              <w:right w:val="single" w:sz="4" w:space="0" w:color="auto"/>
            </w:tcBorders>
            <w:shd w:val="clear" w:color="auto" w:fill="auto"/>
            <w:noWrap/>
            <w:vAlign w:val="bottom"/>
            <w:hideMark/>
          </w:tcPr>
          <w:p w14:paraId="4812844E"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Usage Fee</w:t>
            </w:r>
          </w:p>
        </w:tc>
        <w:tc>
          <w:tcPr>
            <w:tcW w:w="1596" w:type="dxa"/>
            <w:tcBorders>
              <w:top w:val="nil"/>
              <w:left w:val="nil"/>
              <w:bottom w:val="nil"/>
              <w:right w:val="nil"/>
            </w:tcBorders>
            <w:shd w:val="clear" w:color="auto" w:fill="auto"/>
            <w:noWrap/>
            <w:vAlign w:val="bottom"/>
            <w:hideMark/>
          </w:tcPr>
          <w:p w14:paraId="096A8226"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17,400 </w:t>
            </w:r>
          </w:p>
        </w:tc>
        <w:tc>
          <w:tcPr>
            <w:tcW w:w="1590" w:type="dxa"/>
            <w:tcBorders>
              <w:top w:val="nil"/>
              <w:left w:val="nil"/>
              <w:bottom w:val="nil"/>
              <w:right w:val="nil"/>
            </w:tcBorders>
            <w:shd w:val="clear" w:color="auto" w:fill="auto"/>
            <w:noWrap/>
            <w:vAlign w:val="bottom"/>
            <w:hideMark/>
          </w:tcPr>
          <w:p w14:paraId="560FAF2A"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17,400 </w:t>
            </w:r>
          </w:p>
        </w:tc>
        <w:tc>
          <w:tcPr>
            <w:tcW w:w="1590" w:type="dxa"/>
            <w:tcBorders>
              <w:top w:val="nil"/>
              <w:left w:val="nil"/>
              <w:bottom w:val="nil"/>
              <w:right w:val="nil"/>
            </w:tcBorders>
            <w:shd w:val="clear" w:color="auto" w:fill="auto"/>
            <w:noWrap/>
            <w:vAlign w:val="bottom"/>
            <w:hideMark/>
          </w:tcPr>
          <w:p w14:paraId="32BFC36A"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17,400 </w:t>
            </w:r>
          </w:p>
        </w:tc>
        <w:tc>
          <w:tcPr>
            <w:tcW w:w="1602" w:type="dxa"/>
            <w:tcBorders>
              <w:top w:val="nil"/>
              <w:left w:val="nil"/>
              <w:bottom w:val="nil"/>
              <w:right w:val="single" w:sz="8" w:space="0" w:color="auto"/>
            </w:tcBorders>
            <w:shd w:val="clear" w:color="auto" w:fill="auto"/>
            <w:noWrap/>
            <w:vAlign w:val="bottom"/>
            <w:hideMark/>
          </w:tcPr>
          <w:p w14:paraId="01B8753B" w14:textId="77777777" w:rsidR="003B0B90" w:rsidRPr="003B0B90" w:rsidRDefault="003B0B90" w:rsidP="003B0B90">
            <w:pP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 xml:space="preserve"> $                  17,400 </w:t>
            </w:r>
          </w:p>
        </w:tc>
      </w:tr>
      <w:tr w:rsidR="003B0B90" w:rsidRPr="003B0B90" w14:paraId="4CF3E897" w14:textId="77777777" w:rsidTr="00871130">
        <w:trPr>
          <w:trHeight w:val="300"/>
        </w:trPr>
        <w:tc>
          <w:tcPr>
            <w:tcW w:w="435" w:type="dxa"/>
            <w:vMerge/>
            <w:tcBorders>
              <w:top w:val="nil"/>
              <w:left w:val="single" w:sz="8" w:space="0" w:color="auto"/>
              <w:bottom w:val="single" w:sz="8" w:space="0" w:color="000000"/>
              <w:right w:val="single" w:sz="8" w:space="0" w:color="auto"/>
            </w:tcBorders>
            <w:vAlign w:val="center"/>
            <w:hideMark/>
          </w:tcPr>
          <w:p w14:paraId="765DAAB5" w14:textId="77777777" w:rsidR="003B0B90" w:rsidRPr="003B0B90" w:rsidRDefault="003B0B90" w:rsidP="003B0B90">
            <w:pPr>
              <w:rPr>
                <w:rFonts w:ascii="Arial Narrow" w:eastAsia="Times New Roman" w:hAnsi="Arial Narrow" w:cs="Calibri"/>
                <w:b/>
                <w:bCs/>
                <w:color w:val="000000"/>
                <w:sz w:val="18"/>
                <w:szCs w:val="18"/>
                <w:lang w:eastAsia="en-NZ"/>
              </w:rPr>
            </w:pPr>
          </w:p>
        </w:tc>
        <w:tc>
          <w:tcPr>
            <w:tcW w:w="1177" w:type="dxa"/>
            <w:tcBorders>
              <w:top w:val="nil"/>
              <w:left w:val="nil"/>
              <w:bottom w:val="single" w:sz="8" w:space="0" w:color="auto"/>
              <w:right w:val="single" w:sz="8" w:space="0" w:color="auto"/>
            </w:tcBorders>
            <w:shd w:val="clear" w:color="auto" w:fill="auto"/>
            <w:noWrap/>
            <w:vAlign w:val="bottom"/>
            <w:hideMark/>
          </w:tcPr>
          <w:p w14:paraId="026AC9D5" w14:textId="77777777" w:rsidR="003B0B90" w:rsidRPr="003B0B90" w:rsidRDefault="003B0B90" w:rsidP="003B0B90">
            <w:pPr>
              <w:jc w:val="center"/>
              <w:rPr>
                <w:rFonts w:ascii="Arial Narrow" w:eastAsia="Times New Roman" w:hAnsi="Arial Narrow" w:cs="Calibri"/>
                <w:color w:val="000000"/>
                <w:sz w:val="18"/>
                <w:szCs w:val="18"/>
                <w:lang w:eastAsia="en-NZ"/>
              </w:rPr>
            </w:pPr>
            <w:r w:rsidRPr="003B0B90">
              <w:rPr>
                <w:rFonts w:ascii="Arial Narrow" w:eastAsia="Times New Roman" w:hAnsi="Arial Narrow" w:cs="Calibri"/>
                <w:color w:val="000000"/>
                <w:sz w:val="18"/>
                <w:szCs w:val="18"/>
                <w:lang w:eastAsia="en-NZ"/>
              </w:rPr>
              <w:t>16 countries</w:t>
            </w:r>
          </w:p>
        </w:tc>
        <w:tc>
          <w:tcPr>
            <w:tcW w:w="893" w:type="dxa"/>
            <w:tcBorders>
              <w:top w:val="nil"/>
              <w:left w:val="nil"/>
              <w:bottom w:val="single" w:sz="8" w:space="0" w:color="auto"/>
              <w:right w:val="single" w:sz="4" w:space="0" w:color="auto"/>
            </w:tcBorders>
            <w:shd w:val="clear" w:color="auto" w:fill="auto"/>
            <w:noWrap/>
            <w:vAlign w:val="bottom"/>
            <w:hideMark/>
          </w:tcPr>
          <w:p w14:paraId="55CDAF65"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Total</w:t>
            </w:r>
          </w:p>
        </w:tc>
        <w:tc>
          <w:tcPr>
            <w:tcW w:w="1596" w:type="dxa"/>
            <w:tcBorders>
              <w:top w:val="nil"/>
              <w:left w:val="nil"/>
              <w:bottom w:val="single" w:sz="8" w:space="0" w:color="auto"/>
              <w:right w:val="nil"/>
            </w:tcBorders>
            <w:shd w:val="clear" w:color="auto" w:fill="auto"/>
            <w:noWrap/>
            <w:vAlign w:val="bottom"/>
            <w:hideMark/>
          </w:tcPr>
          <w:p w14:paraId="4ECE8651"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17,400 </w:t>
            </w:r>
          </w:p>
        </w:tc>
        <w:tc>
          <w:tcPr>
            <w:tcW w:w="1590" w:type="dxa"/>
            <w:tcBorders>
              <w:top w:val="nil"/>
              <w:left w:val="nil"/>
              <w:bottom w:val="single" w:sz="8" w:space="0" w:color="auto"/>
              <w:right w:val="nil"/>
            </w:tcBorders>
            <w:shd w:val="clear" w:color="auto" w:fill="auto"/>
            <w:noWrap/>
            <w:vAlign w:val="bottom"/>
            <w:hideMark/>
          </w:tcPr>
          <w:p w14:paraId="6403ACFC"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21,400 </w:t>
            </w:r>
          </w:p>
        </w:tc>
        <w:tc>
          <w:tcPr>
            <w:tcW w:w="1590" w:type="dxa"/>
            <w:tcBorders>
              <w:top w:val="nil"/>
              <w:left w:val="nil"/>
              <w:bottom w:val="single" w:sz="8" w:space="0" w:color="auto"/>
              <w:right w:val="nil"/>
            </w:tcBorders>
            <w:shd w:val="clear" w:color="auto" w:fill="auto"/>
            <w:noWrap/>
            <w:vAlign w:val="bottom"/>
            <w:hideMark/>
          </w:tcPr>
          <w:p w14:paraId="7C103E66"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25,400 </w:t>
            </w:r>
          </w:p>
        </w:tc>
        <w:tc>
          <w:tcPr>
            <w:tcW w:w="1602" w:type="dxa"/>
            <w:tcBorders>
              <w:top w:val="nil"/>
              <w:left w:val="nil"/>
              <w:bottom w:val="single" w:sz="8" w:space="0" w:color="auto"/>
              <w:right w:val="single" w:sz="8" w:space="0" w:color="auto"/>
            </w:tcBorders>
            <w:shd w:val="clear" w:color="auto" w:fill="auto"/>
            <w:noWrap/>
            <w:vAlign w:val="bottom"/>
            <w:hideMark/>
          </w:tcPr>
          <w:p w14:paraId="1636BCC1" w14:textId="77777777" w:rsidR="003B0B90" w:rsidRPr="003B0B90" w:rsidRDefault="003B0B90" w:rsidP="003B0B90">
            <w:pPr>
              <w:rPr>
                <w:rFonts w:ascii="Arial Narrow" w:eastAsia="Times New Roman" w:hAnsi="Arial Narrow" w:cs="Calibri"/>
                <w:b/>
                <w:bCs/>
                <w:color w:val="000000"/>
                <w:sz w:val="18"/>
                <w:szCs w:val="18"/>
                <w:lang w:eastAsia="en-NZ"/>
              </w:rPr>
            </w:pPr>
            <w:r w:rsidRPr="003B0B90">
              <w:rPr>
                <w:rFonts w:ascii="Arial Narrow" w:eastAsia="Times New Roman" w:hAnsi="Arial Narrow" w:cs="Calibri"/>
                <w:b/>
                <w:bCs/>
                <w:color w:val="000000"/>
                <w:sz w:val="18"/>
                <w:szCs w:val="18"/>
                <w:lang w:eastAsia="en-NZ"/>
              </w:rPr>
              <w:t xml:space="preserve"> $                  33,400 </w:t>
            </w:r>
          </w:p>
        </w:tc>
      </w:tr>
    </w:tbl>
    <w:p w14:paraId="2969EFD3" w14:textId="15219EBC" w:rsidR="003029F3" w:rsidRDefault="003029F3" w:rsidP="000B7165">
      <w:pPr>
        <w:rPr>
          <w:b/>
          <w:bCs/>
        </w:rPr>
        <w:sectPr w:rsidR="003029F3" w:rsidSect="00E855F2">
          <w:pgSz w:w="11906" w:h="16838"/>
          <w:pgMar w:top="1440" w:right="1440" w:bottom="1440" w:left="1440" w:header="708" w:footer="708" w:gutter="0"/>
          <w:cols w:space="708"/>
          <w:docGrid w:linePitch="360"/>
        </w:sectPr>
      </w:pPr>
    </w:p>
    <w:p w14:paraId="3463B5D2" w14:textId="4571047D" w:rsidR="006A687F" w:rsidRDefault="006A687F" w:rsidP="000B7165">
      <w:pPr>
        <w:rPr>
          <w:b/>
          <w:bCs/>
        </w:rPr>
      </w:pPr>
      <w:r>
        <w:rPr>
          <w:b/>
          <w:bCs/>
        </w:rPr>
        <w:lastRenderedPageBreak/>
        <w:t xml:space="preserve">Appendix 11: </w:t>
      </w:r>
      <w:r w:rsidRPr="006A687F">
        <w:rPr>
          <w:b/>
          <w:bCs/>
        </w:rPr>
        <w:t>Scenario 10</w:t>
      </w:r>
      <w:r>
        <w:rPr>
          <w:b/>
          <w:bCs/>
        </w:rPr>
        <w:t>4</w:t>
      </w:r>
      <w:r w:rsidRPr="006A687F">
        <w:rPr>
          <w:b/>
          <w:bCs/>
        </w:rPr>
        <w:t xml:space="preserve"> – </w:t>
      </w:r>
      <w:r w:rsidR="005011B8">
        <w:rPr>
          <w:b/>
          <w:bCs/>
        </w:rPr>
        <w:t>Model Calculations</w:t>
      </w:r>
    </w:p>
    <w:p w14:paraId="59303FED" w14:textId="618E6347" w:rsidR="006A687F" w:rsidRDefault="005011B8" w:rsidP="000B7165">
      <w:pPr>
        <w:rPr>
          <w:b/>
          <w:bCs/>
        </w:rPr>
      </w:pPr>
      <w:r w:rsidRPr="005011B8">
        <w:rPr>
          <w:noProof/>
        </w:rPr>
        <w:drawing>
          <wp:inline distT="0" distB="0" distL="0" distR="0" wp14:anchorId="5E048DAB" wp14:editId="1AF19F4E">
            <wp:extent cx="9777730" cy="4459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7730" cy="4459605"/>
                    </a:xfrm>
                    <a:prstGeom prst="rect">
                      <a:avLst/>
                    </a:prstGeom>
                    <a:noFill/>
                    <a:ln>
                      <a:noFill/>
                    </a:ln>
                  </pic:spPr>
                </pic:pic>
              </a:graphicData>
            </a:graphic>
          </wp:inline>
        </w:drawing>
      </w:r>
    </w:p>
    <w:p w14:paraId="506243F2" w14:textId="77777777" w:rsidR="006A687F" w:rsidRDefault="006A687F" w:rsidP="000B7165">
      <w:pPr>
        <w:rPr>
          <w:b/>
          <w:bCs/>
        </w:rPr>
      </w:pPr>
    </w:p>
    <w:p w14:paraId="64D57128" w14:textId="77777777" w:rsidR="006A687F" w:rsidRDefault="006A687F" w:rsidP="000B7165">
      <w:pPr>
        <w:rPr>
          <w:b/>
          <w:bCs/>
        </w:rPr>
        <w:sectPr w:rsidR="006A687F" w:rsidSect="006A687F">
          <w:pgSz w:w="16838" w:h="11906" w:orient="landscape"/>
          <w:pgMar w:top="720" w:right="720" w:bottom="720" w:left="720" w:header="708" w:footer="708" w:gutter="0"/>
          <w:cols w:space="708"/>
          <w:docGrid w:linePitch="360"/>
        </w:sectPr>
      </w:pPr>
    </w:p>
    <w:p w14:paraId="13E93049" w14:textId="53FE6D08" w:rsidR="005011B8" w:rsidRDefault="006A687F" w:rsidP="000B7165">
      <w:pPr>
        <w:rPr>
          <w:b/>
          <w:bCs/>
        </w:rPr>
      </w:pPr>
      <w:r w:rsidRPr="0064455C">
        <w:rPr>
          <w:b/>
          <w:bCs/>
        </w:rPr>
        <w:lastRenderedPageBreak/>
        <w:t xml:space="preserve">Appendix </w:t>
      </w:r>
      <w:r>
        <w:rPr>
          <w:b/>
          <w:bCs/>
        </w:rPr>
        <w:t>12</w:t>
      </w:r>
      <w:r w:rsidRPr="0064455C">
        <w:rPr>
          <w:b/>
          <w:bCs/>
        </w:rPr>
        <w:t>: Scenario 10</w:t>
      </w:r>
      <w:r>
        <w:rPr>
          <w:b/>
          <w:bCs/>
        </w:rPr>
        <w:t>4</w:t>
      </w:r>
      <w:r w:rsidRPr="0064455C">
        <w:rPr>
          <w:b/>
          <w:bCs/>
        </w:rPr>
        <w:t xml:space="preserve"> – Country Specific Calculations</w:t>
      </w:r>
    </w:p>
    <w:p w14:paraId="1AC8C748" w14:textId="47FFD28C" w:rsidR="005011B8" w:rsidRDefault="005011B8" w:rsidP="000B7165">
      <w:pPr>
        <w:rPr>
          <w:b/>
          <w:bCs/>
        </w:rPr>
        <w:sectPr w:rsidR="005011B8" w:rsidSect="006A687F">
          <w:pgSz w:w="11906" w:h="16838"/>
          <w:pgMar w:top="720" w:right="720" w:bottom="720" w:left="720" w:header="708" w:footer="708" w:gutter="0"/>
          <w:cols w:space="708"/>
          <w:docGrid w:linePitch="360"/>
        </w:sectPr>
      </w:pPr>
      <w:r w:rsidRPr="005011B8">
        <w:rPr>
          <w:noProof/>
        </w:rPr>
        <w:drawing>
          <wp:inline distT="0" distB="0" distL="0" distR="0" wp14:anchorId="41A497AF" wp14:editId="43B5C547">
            <wp:extent cx="4382658" cy="90781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233"/>
                    <a:stretch/>
                  </pic:blipFill>
                  <pic:spPr bwMode="auto">
                    <a:xfrm>
                      <a:off x="0" y="0"/>
                      <a:ext cx="4393191" cy="9099925"/>
                    </a:xfrm>
                    <a:prstGeom prst="rect">
                      <a:avLst/>
                    </a:prstGeom>
                    <a:noFill/>
                    <a:ln>
                      <a:noFill/>
                    </a:ln>
                    <a:extLst>
                      <a:ext uri="{53640926-AAD7-44D8-BBD7-CCE9431645EC}">
                        <a14:shadowObscured xmlns:a14="http://schemas.microsoft.com/office/drawing/2010/main"/>
                      </a:ext>
                    </a:extLst>
                  </pic:spPr>
                </pic:pic>
              </a:graphicData>
            </a:graphic>
          </wp:inline>
        </w:drawing>
      </w:r>
    </w:p>
    <w:p w14:paraId="2D0437D7" w14:textId="2143E8FA" w:rsidR="00775F39" w:rsidRPr="0064455C" w:rsidRDefault="00775F39" w:rsidP="000B7165">
      <w:pPr>
        <w:rPr>
          <w:b/>
          <w:bCs/>
        </w:rPr>
      </w:pPr>
      <w:r w:rsidRPr="0064455C">
        <w:rPr>
          <w:b/>
          <w:bCs/>
        </w:rPr>
        <w:lastRenderedPageBreak/>
        <w:t>Appendi</w:t>
      </w:r>
      <w:r w:rsidR="00E855F2" w:rsidRPr="0064455C">
        <w:rPr>
          <w:b/>
          <w:bCs/>
        </w:rPr>
        <w:t xml:space="preserve">x </w:t>
      </w:r>
      <w:r w:rsidR="0064455C" w:rsidRPr="0064455C">
        <w:rPr>
          <w:b/>
          <w:bCs/>
        </w:rPr>
        <w:t>1</w:t>
      </w:r>
      <w:r w:rsidR="00E877EC">
        <w:rPr>
          <w:b/>
          <w:bCs/>
        </w:rPr>
        <w:t>0</w:t>
      </w:r>
      <w:r w:rsidR="00E855F2" w:rsidRPr="0064455C">
        <w:rPr>
          <w:b/>
          <w:bCs/>
        </w:rPr>
        <w:t>: DRAFT Procedures for the IPPC ePhyto Funding Model</w:t>
      </w:r>
    </w:p>
    <w:p w14:paraId="2AB6D0DB" w14:textId="77777777" w:rsidR="00025A07" w:rsidRPr="00025A07" w:rsidRDefault="00025A07" w:rsidP="00025A07">
      <w:pPr>
        <w:jc w:val="center"/>
        <w:rPr>
          <w:rFonts w:ascii="Calibri" w:eastAsia="Calibri" w:hAnsi="Calibri"/>
          <w:sz w:val="28"/>
          <w:szCs w:val="28"/>
        </w:rPr>
      </w:pPr>
      <w:r w:rsidRPr="00025A07">
        <w:rPr>
          <w:rFonts w:ascii="Calibri" w:eastAsia="Calibri" w:hAnsi="Calibri"/>
          <w:sz w:val="28"/>
          <w:szCs w:val="28"/>
        </w:rPr>
        <w:t>DRAFT Procedures for the IPPC ePhyto Funding Mechanism</w:t>
      </w:r>
    </w:p>
    <w:p w14:paraId="427729CA" w14:textId="77777777" w:rsidR="00025A07" w:rsidRPr="00025A07" w:rsidRDefault="00025A07" w:rsidP="00025A07">
      <w:pPr>
        <w:jc w:val="center"/>
        <w:rPr>
          <w:rFonts w:ascii="Calibri" w:eastAsia="Calibri" w:hAnsi="Calibri"/>
          <w:sz w:val="28"/>
          <w:szCs w:val="28"/>
        </w:rPr>
      </w:pPr>
    </w:p>
    <w:p w14:paraId="708B081E"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Purpose</w:t>
      </w:r>
    </w:p>
    <w:p w14:paraId="20C349A8"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These procedures establish the mechanism to fund the ongoing operation and development of the IPPC ePhyto Solution.  The ePhyto Solution comprises the ePhyto Hub, the Generic National System (</w:t>
      </w:r>
      <w:proofErr w:type="spellStart"/>
      <w:r w:rsidRPr="00025A07">
        <w:rPr>
          <w:rFonts w:ascii="Calibri" w:eastAsia="Calibri" w:hAnsi="Calibri"/>
        </w:rPr>
        <w:t>GeNs</w:t>
      </w:r>
      <w:proofErr w:type="spellEnd"/>
      <w:r w:rsidRPr="00025A07">
        <w:rPr>
          <w:rFonts w:ascii="Calibri" w:eastAsia="Calibri" w:hAnsi="Calibri"/>
        </w:rPr>
        <w:t>), hosting and operation by the United Nations International Computing Centre (UNICC), and the approved IPPC Secretariat programme of work.</w:t>
      </w:r>
    </w:p>
    <w:p w14:paraId="7EED7517" w14:textId="77777777" w:rsidR="00025A07" w:rsidRPr="00025A07" w:rsidRDefault="00025A07" w:rsidP="00025A07">
      <w:pPr>
        <w:rPr>
          <w:rFonts w:ascii="Calibri" w:eastAsia="Calibri" w:hAnsi="Calibri"/>
        </w:rPr>
      </w:pPr>
    </w:p>
    <w:p w14:paraId="76B1E2FF"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 xml:space="preserve">Application </w:t>
      </w:r>
    </w:p>
    <w:p w14:paraId="215E435B"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 procedures apply to:</w:t>
      </w:r>
    </w:p>
    <w:p w14:paraId="384AB122"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 xml:space="preserve">Contracting parties that use or will use the ePhyto </w:t>
      </w:r>
      <w:proofErr w:type="gramStart"/>
      <w:r w:rsidRPr="00025A07">
        <w:rPr>
          <w:rFonts w:ascii="Calibri" w:eastAsia="Calibri" w:hAnsi="Calibri"/>
        </w:rPr>
        <w:t>Solution</w:t>
      </w:r>
      <w:proofErr w:type="gramEnd"/>
    </w:p>
    <w:p w14:paraId="247A2C3C"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The CPM</w:t>
      </w:r>
    </w:p>
    <w:p w14:paraId="7DFFCD30"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The Bureau</w:t>
      </w:r>
    </w:p>
    <w:p w14:paraId="596FB102"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The IPPC Secretariat</w:t>
      </w:r>
    </w:p>
    <w:p w14:paraId="2CE67C42"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 IPPC ePhyto Solution is funded by the contracting parties that use it.  The costs may be partially or fully subsidised from the FAO or donations.</w:t>
      </w:r>
    </w:p>
    <w:p w14:paraId="2139C459" w14:textId="77777777" w:rsidR="00025A07" w:rsidRPr="00025A07" w:rsidRDefault="00025A07" w:rsidP="00025A07">
      <w:pPr>
        <w:ind w:left="360"/>
        <w:contextualSpacing/>
        <w:rPr>
          <w:rFonts w:ascii="Calibri" w:eastAsia="Calibri" w:hAnsi="Calibri"/>
        </w:rPr>
      </w:pPr>
    </w:p>
    <w:p w14:paraId="402E520A"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Governance</w:t>
      </w:r>
    </w:p>
    <w:p w14:paraId="4C0E1CF4"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 supervision of the funding mechanism will be subject to normal CPM Bureau oversight, supported by the IPPC Secretariat, or any alternative governance mechanism agreed by CPM.</w:t>
      </w:r>
    </w:p>
    <w:p w14:paraId="547995E1" w14:textId="77777777" w:rsidR="00025A07" w:rsidRPr="00025A07" w:rsidRDefault="00025A07" w:rsidP="00025A07">
      <w:pPr>
        <w:rPr>
          <w:rFonts w:ascii="Calibri" w:eastAsia="Calibri" w:hAnsi="Calibri"/>
        </w:rPr>
      </w:pPr>
    </w:p>
    <w:p w14:paraId="5777BF64"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Scope of Costs</w:t>
      </w:r>
    </w:p>
    <w:p w14:paraId="27F63353"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 costs included in the funding mechanism are those costs directly associated with operation and development of the IPPC ePhyto Solution and include:</w:t>
      </w:r>
    </w:p>
    <w:p w14:paraId="2B1BC262"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 xml:space="preserve"> application management and support,</w:t>
      </w:r>
    </w:p>
    <w:p w14:paraId="62FCEB29"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Operations,</w:t>
      </w:r>
    </w:p>
    <w:p w14:paraId="1BD681A0"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Hosting,</w:t>
      </w:r>
    </w:p>
    <w:p w14:paraId="0F37A906"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on-going development and enhancement,</w:t>
      </w:r>
    </w:p>
    <w:p w14:paraId="655C131C"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IPPC Secretariat programme management and support including support for the ePhyto Steering Group,</w:t>
      </w:r>
    </w:p>
    <w:p w14:paraId="18560166"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 xml:space="preserve"> webinars, seminars, and other activities to promote use and train users,</w:t>
      </w:r>
    </w:p>
    <w:p w14:paraId="368072EF"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 xml:space="preserve"> limited on-boarding costs to set up the </w:t>
      </w:r>
      <w:proofErr w:type="spellStart"/>
      <w:r w:rsidRPr="00025A07">
        <w:rPr>
          <w:rFonts w:ascii="Calibri" w:eastAsia="Calibri" w:hAnsi="Calibri"/>
        </w:rPr>
        <w:t>GeNS</w:t>
      </w:r>
      <w:proofErr w:type="spellEnd"/>
      <w:r w:rsidRPr="00025A07">
        <w:rPr>
          <w:rFonts w:ascii="Calibri" w:eastAsia="Calibri" w:hAnsi="Calibri"/>
        </w:rPr>
        <w:t xml:space="preserve"> system in developing countries.</w:t>
      </w:r>
    </w:p>
    <w:p w14:paraId="78C5FC3C"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 costs excluded from the funding mechanism include:</w:t>
      </w:r>
    </w:p>
    <w:p w14:paraId="5E6A7997"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capacity building projects at regional or contracting party level,</w:t>
      </w:r>
    </w:p>
    <w:p w14:paraId="35C76FFF"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 xml:space="preserve">establishing the in-country infrastructure needed to use the IPPC ePhyto Solution. </w:t>
      </w:r>
    </w:p>
    <w:p w14:paraId="3F2050D2" w14:textId="77777777" w:rsidR="00025A07" w:rsidRPr="00025A07" w:rsidRDefault="00025A07" w:rsidP="00025A07">
      <w:pPr>
        <w:ind w:left="1080"/>
        <w:contextualSpacing/>
        <w:rPr>
          <w:rFonts w:ascii="Calibri" w:eastAsia="Calibri" w:hAnsi="Calibri"/>
        </w:rPr>
      </w:pPr>
    </w:p>
    <w:p w14:paraId="55C95131"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Initial Total Annual Funding Level</w:t>
      </w:r>
    </w:p>
    <w:p w14:paraId="273CBAE4"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 xml:space="preserve">The initial Total Annual Funding Level to be covered using the funding mechanism is initially set at USD 1,263,000.  </w:t>
      </w:r>
    </w:p>
    <w:p w14:paraId="5FDA7A7E"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 xml:space="preserve">Funds in the IPPC Multi-Donor Trust Fund (MDTF) account at the end of any financial year that are surplus to operating and developing the ePhyto Solution in that year may be held in reserve or used to reduce the Total Annual Funding Level in a future year. Funds held in the MDTF account as reserves should not be more than the Total Annual Funding Level for the next year. </w:t>
      </w:r>
    </w:p>
    <w:p w14:paraId="5B9A206B" w14:textId="77777777" w:rsidR="00025A07" w:rsidRPr="00025A07" w:rsidRDefault="00025A07" w:rsidP="00025A07">
      <w:pPr>
        <w:ind w:left="360"/>
        <w:contextualSpacing/>
        <w:rPr>
          <w:rFonts w:ascii="Calibri" w:eastAsia="Calibri" w:hAnsi="Calibri"/>
        </w:rPr>
      </w:pPr>
    </w:p>
    <w:p w14:paraId="42DA913F"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Changing the Total Annual Funding Level</w:t>
      </w:r>
    </w:p>
    <w:p w14:paraId="5602F8B3"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 xml:space="preserve">The Total Annual Funding Level should be altered infrequently so that contracting parties have some certainty about their expected funding contributions. </w:t>
      </w:r>
    </w:p>
    <w:p w14:paraId="4B0BCA90"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lastRenderedPageBreak/>
        <w:t xml:space="preserve">The Total Annual Funding Level may need to change from time-to-time to reflect changed costs, to fund application development work that cannot be covered by reserves, or other matters that require increased or reduced funds.  </w:t>
      </w:r>
    </w:p>
    <w:p w14:paraId="1E66C07E"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When it is necessary to alter the Total Annual Funding Level, the IPPC Secretariat, working with ePhyto Steering Group, will recommend a new Total Annual Funding Level to the CPM Bureau.  If endorsed by the CPM Bureau, the new Total Annual Funding Level is proposed by the CPM Bureau to CPM for approval at the next CPM meeting.</w:t>
      </w:r>
    </w:p>
    <w:p w14:paraId="66F374DE"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 xml:space="preserve">The new Total Annual Funding Level will come into effect in the financial year following CPM approval, i.e., not in the same year as approval. This is to give contracting parties time to adjust any domestic budget processes.  </w:t>
      </w:r>
    </w:p>
    <w:p w14:paraId="24D75359"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 xml:space="preserve">If a new </w:t>
      </w:r>
      <w:bookmarkStart w:id="9" w:name="_Hlk145366567"/>
      <w:r w:rsidRPr="00025A07">
        <w:rPr>
          <w:rFonts w:ascii="Calibri" w:eastAsia="Calibri" w:hAnsi="Calibri"/>
        </w:rPr>
        <w:t xml:space="preserve">Total Annual Funding Level </w:t>
      </w:r>
      <w:bookmarkEnd w:id="9"/>
      <w:r w:rsidRPr="00025A07">
        <w:rPr>
          <w:rFonts w:ascii="Calibri" w:eastAsia="Calibri" w:hAnsi="Calibri"/>
        </w:rPr>
        <w:t xml:space="preserve">is not agreed to by consensus, and if best endeavours to reach consensus have been made, the CPM Chair, may call for a majority vote. </w:t>
      </w:r>
    </w:p>
    <w:p w14:paraId="73A549FB"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 Total Annual Funding Level may only be altered once in any biennium.</w:t>
      </w:r>
    </w:p>
    <w:p w14:paraId="27141B6B" w14:textId="77777777" w:rsidR="00025A07" w:rsidRPr="00025A07" w:rsidRDefault="00025A07" w:rsidP="00025A07">
      <w:pPr>
        <w:ind w:left="360"/>
        <w:contextualSpacing/>
        <w:rPr>
          <w:rFonts w:ascii="Calibri" w:eastAsia="Calibri" w:hAnsi="Calibri"/>
        </w:rPr>
      </w:pPr>
    </w:p>
    <w:p w14:paraId="496CADD0" w14:textId="726F78EB"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 xml:space="preserve">Determining the Contracting Party </w:t>
      </w:r>
      <w:r w:rsidR="003C74B4">
        <w:rPr>
          <w:rFonts w:ascii="Calibri Light" w:eastAsia="Times New Roman" w:hAnsi="Calibri Light"/>
          <w:color w:val="1F3763"/>
          <w:sz w:val="24"/>
        </w:rPr>
        <w:t>Expected Contribution</w:t>
      </w:r>
    </w:p>
    <w:p w14:paraId="6954EB83" w14:textId="53440215" w:rsidR="00025A07" w:rsidRPr="00025A07" w:rsidRDefault="003B73A9" w:rsidP="00025A07">
      <w:pPr>
        <w:numPr>
          <w:ilvl w:val="0"/>
          <w:numId w:val="6"/>
        </w:numPr>
        <w:contextualSpacing/>
        <w:rPr>
          <w:rFonts w:ascii="Calibri" w:eastAsia="Calibri" w:hAnsi="Calibri"/>
        </w:rPr>
      </w:pPr>
      <w:r>
        <w:rPr>
          <w:rFonts w:ascii="Calibri" w:eastAsia="Calibri" w:hAnsi="Calibri"/>
        </w:rPr>
        <w:t>When</w:t>
      </w:r>
      <w:r w:rsidR="00025A07" w:rsidRPr="00025A07">
        <w:rPr>
          <w:rFonts w:ascii="Calibri" w:eastAsia="Calibri" w:hAnsi="Calibri"/>
        </w:rPr>
        <w:t xml:space="preserve"> the FAO provides any direct contribution to fund the IPPC ePhyto Solution, this will, unless otherwise specified by the FAO, be applied to the Total Annual Funding </w:t>
      </w:r>
      <w:proofErr w:type="gramStart"/>
      <w:r w:rsidR="00025A07" w:rsidRPr="00025A07">
        <w:rPr>
          <w:rFonts w:ascii="Calibri" w:eastAsia="Calibri" w:hAnsi="Calibri"/>
        </w:rPr>
        <w:t>Level</w:t>
      </w:r>
      <w:proofErr w:type="gramEnd"/>
      <w:r w:rsidR="00025A07" w:rsidRPr="00025A07">
        <w:rPr>
          <w:rFonts w:ascii="Calibri" w:eastAsia="Calibri" w:hAnsi="Calibri"/>
        </w:rPr>
        <w:t xml:space="preserve"> and will reduce future contracting parties’ expected contribution.</w:t>
      </w:r>
    </w:p>
    <w:p w14:paraId="79DBF074" w14:textId="77777777" w:rsidR="00025A07" w:rsidRPr="00452B22" w:rsidRDefault="00025A07" w:rsidP="00025A07">
      <w:pPr>
        <w:numPr>
          <w:ilvl w:val="0"/>
          <w:numId w:val="6"/>
        </w:numPr>
        <w:contextualSpacing/>
        <w:rPr>
          <w:rFonts w:ascii="Calibri" w:eastAsia="Calibri" w:hAnsi="Calibri"/>
          <w:i/>
          <w:iCs/>
        </w:rPr>
      </w:pPr>
      <w:r w:rsidRPr="00452B22">
        <w:rPr>
          <w:rFonts w:ascii="Calibri" w:eastAsia="Calibri" w:hAnsi="Calibri"/>
          <w:i/>
          <w:iCs/>
          <w:color w:val="FF0000"/>
        </w:rPr>
        <w:t xml:space="preserve">Contracting parties’ expected contributions will be allocated using this model [Still to come]. Description of the core of the model with the formula for how the funds are </w:t>
      </w:r>
      <w:proofErr w:type="gramStart"/>
      <w:r w:rsidRPr="00452B22">
        <w:rPr>
          <w:rFonts w:ascii="Calibri" w:eastAsia="Calibri" w:hAnsi="Calibri"/>
          <w:i/>
          <w:iCs/>
          <w:color w:val="FF0000"/>
        </w:rPr>
        <w:t>allocated</w:t>
      </w:r>
      <w:proofErr w:type="gramEnd"/>
    </w:p>
    <w:p w14:paraId="05A4999D" w14:textId="616C9528"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An exchange is defined as any message sent to or received from a contracting party through the ePhyto Hub. Messages may contain certification information, acknowledgements, or other phytosanitary certification related messaging.</w:t>
      </w:r>
      <w:r w:rsidR="003B73A9">
        <w:rPr>
          <w:rFonts w:ascii="Calibri" w:eastAsia="Calibri" w:hAnsi="Calibri"/>
        </w:rPr>
        <w:t xml:space="preserve"> Messages sent or receives while a contracting party is in test mode prior to going to production are excluded.</w:t>
      </w:r>
    </w:p>
    <w:p w14:paraId="16A5DF19" w14:textId="32A1912D"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Once per biennium</w:t>
      </w:r>
      <w:r w:rsidR="00B32F96">
        <w:rPr>
          <w:rFonts w:ascii="Calibri" w:eastAsia="Calibri" w:hAnsi="Calibri"/>
        </w:rPr>
        <w:t>,</w:t>
      </w:r>
      <w:r w:rsidRPr="00025A07">
        <w:rPr>
          <w:rFonts w:ascii="Calibri" w:eastAsia="Calibri" w:hAnsi="Calibri"/>
        </w:rPr>
        <w:t xml:space="preserve"> expected contributions from contracting parties will be updated using the approved </w:t>
      </w:r>
      <w:r w:rsidR="00B32F96">
        <w:rPr>
          <w:rFonts w:ascii="Calibri" w:eastAsia="Calibri" w:hAnsi="Calibri"/>
        </w:rPr>
        <w:t>funding</w:t>
      </w:r>
      <w:r w:rsidRPr="00025A07">
        <w:rPr>
          <w:rFonts w:ascii="Calibri" w:eastAsia="Calibri" w:hAnsi="Calibri"/>
        </w:rPr>
        <w:t xml:space="preserve"> model.  The functioning of the model will not be changed but expected contributions will be recalculated using:</w:t>
      </w:r>
    </w:p>
    <w:p w14:paraId="746C8B5C"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the amount of FAO funding provided for the purpose of supporting the IPPC ePhyto Solution,</w:t>
      </w:r>
    </w:p>
    <w:p w14:paraId="032B3AFE"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the amount of donor funding,</w:t>
      </w:r>
    </w:p>
    <w:p w14:paraId="2C82CB69"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the amount of funds held in reserve,</w:t>
      </w:r>
    </w:p>
    <w:p w14:paraId="30C24A46" w14:textId="74645DBA"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the number of “in production” exchanges (i.e.</w:t>
      </w:r>
      <w:r w:rsidR="00452B22">
        <w:rPr>
          <w:rFonts w:ascii="Calibri" w:eastAsia="Calibri" w:hAnsi="Calibri"/>
        </w:rPr>
        <w:t>,</w:t>
      </w:r>
      <w:r w:rsidRPr="00025A07">
        <w:rPr>
          <w:rFonts w:ascii="Calibri" w:eastAsia="Calibri" w:hAnsi="Calibri"/>
        </w:rPr>
        <w:t xml:space="preserve"> not testing exchanges) in the prior year for each contracting party using the IPPC ePhyto Solution.</w:t>
      </w:r>
    </w:p>
    <w:p w14:paraId="28A822B8" w14:textId="67FB2C9B"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the development status of the contracting parties using the IPPC e</w:t>
      </w:r>
      <w:r w:rsidR="00452B22">
        <w:rPr>
          <w:rFonts w:ascii="Calibri" w:eastAsia="Calibri" w:hAnsi="Calibri"/>
        </w:rPr>
        <w:t>P</w:t>
      </w:r>
      <w:r w:rsidRPr="00025A07">
        <w:rPr>
          <w:rFonts w:ascii="Calibri" w:eastAsia="Calibri" w:hAnsi="Calibri"/>
        </w:rPr>
        <w:t xml:space="preserve">hyto Solution. </w:t>
      </w:r>
    </w:p>
    <w:p w14:paraId="5548A4AA"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 Secretariat will check the outcome with the Bureau and following Bureau agreement, notify each contracting party official contact point by 30 June in the year prior to the new contribution being expected.</w:t>
      </w:r>
    </w:p>
    <w:p w14:paraId="5EE1F3F5"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In the event the amount of funds [collected / provided] in any financial year is less than the Total Annual Funding Level, any reserves in the Trust account will be used to make up the shortfall.  If the shortfall is not covered by the reserves, the IPPC Secretariat, working with ePhyto Steering Group, will either:</w:t>
      </w:r>
    </w:p>
    <w:p w14:paraId="1D58F4EB"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Provide the Bureau with a recommendation to directing existing regular programme budget or MDTF budget to supporting the IPPC ePhyto Solution, or</w:t>
      </w:r>
    </w:p>
    <w:p w14:paraId="78B898F6" w14:textId="77777777" w:rsidR="00025A07" w:rsidRPr="00025A07" w:rsidRDefault="00025A07" w:rsidP="00025A07">
      <w:pPr>
        <w:numPr>
          <w:ilvl w:val="1"/>
          <w:numId w:val="6"/>
        </w:numPr>
        <w:contextualSpacing/>
        <w:rPr>
          <w:rFonts w:ascii="Calibri" w:eastAsia="Calibri" w:hAnsi="Calibri"/>
        </w:rPr>
      </w:pPr>
      <w:r w:rsidRPr="00025A07">
        <w:rPr>
          <w:rFonts w:ascii="Calibri" w:eastAsia="Calibri" w:hAnsi="Calibri"/>
        </w:rPr>
        <w:t xml:space="preserve">recommend a new Total Annual Funding Level to the CPM Bureau and follow the process described in section V: Changing the Total Annual Funding Level. </w:t>
      </w:r>
    </w:p>
    <w:p w14:paraId="5CD0FB0B" w14:textId="77777777" w:rsidR="00025A07" w:rsidRPr="00025A07" w:rsidRDefault="00025A07" w:rsidP="00025A07">
      <w:pPr>
        <w:ind w:left="360"/>
        <w:contextualSpacing/>
        <w:rPr>
          <w:rFonts w:ascii="Calibri" w:eastAsia="Calibri" w:hAnsi="Calibri"/>
        </w:rPr>
      </w:pPr>
    </w:p>
    <w:p w14:paraId="0AD7287A" w14:textId="623E4C25"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Changes to the Funding Model</w:t>
      </w:r>
    </w:p>
    <w:p w14:paraId="7B3877CE" w14:textId="13A4C038"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If it is necessary to change the Funding Model, the IPPC Secretariat, working with ePhyto Steering Group, will recommend a change to the CPM Bureau.  If endorsed by the CPM Bureau, the alteration is tested with the Strategic Planning Group, then proposed by the CPM Bureau to CPM for approval at the next CPM meeting.</w:t>
      </w:r>
    </w:p>
    <w:p w14:paraId="40590F79" w14:textId="6511DA2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lastRenderedPageBreak/>
        <w:t xml:space="preserve">If a new Funding Model is not agreed to by consensus, and if best endeavours to reach consensus have been made, the CPM Chair may call for a vote. </w:t>
      </w:r>
    </w:p>
    <w:p w14:paraId="33B375B1" w14:textId="77777777" w:rsidR="00025A07" w:rsidRPr="00025A07" w:rsidRDefault="00025A07" w:rsidP="00025A07">
      <w:pPr>
        <w:ind w:left="360"/>
        <w:contextualSpacing/>
        <w:rPr>
          <w:rFonts w:ascii="Calibri" w:eastAsia="Calibri" w:hAnsi="Calibri"/>
        </w:rPr>
      </w:pPr>
    </w:p>
    <w:p w14:paraId="06B6CDE3"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Payment Method</w:t>
      </w:r>
    </w:p>
    <w:p w14:paraId="2E0534FD"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Contracting parties using the IPPC ePhyto Solution will be notified by June each year, the level of contribution expected for the next year.</w:t>
      </w:r>
    </w:p>
    <w:p w14:paraId="18CE983E"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A letter specifying the expected contribution will be sent to the official contact point for the NPPO.</w:t>
      </w:r>
    </w:p>
    <w:p w14:paraId="48B33D31"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If a contracting party needs an invoice to make a payment, they may request an invoice from the IPPC Secretariat.</w:t>
      </w:r>
    </w:p>
    <w:p w14:paraId="1F3F6342"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Payments are made into the MDTF.  Payment and MDTF account details will be included in the letter and/or invoice.</w:t>
      </w:r>
    </w:p>
    <w:p w14:paraId="5DCFA860" w14:textId="77777777" w:rsidR="00025A07" w:rsidRPr="00025A07" w:rsidRDefault="00025A07" w:rsidP="00025A07">
      <w:pPr>
        <w:ind w:left="360"/>
        <w:contextualSpacing/>
        <w:rPr>
          <w:rFonts w:ascii="Calibri" w:eastAsia="Calibri" w:hAnsi="Calibri"/>
        </w:rPr>
      </w:pPr>
    </w:p>
    <w:p w14:paraId="027B5D12"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Reporting and Transparency</w:t>
      </w:r>
    </w:p>
    <w:p w14:paraId="51AE281F"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 xml:space="preserve">Annually at CPM, the IPPC Secretariat will present a financial report on the IPPC ePhyto Solution Trust Fund detailing in broad categories the in-comings and out-goings and the financial position of the Trust Fund. </w:t>
      </w:r>
    </w:p>
    <w:p w14:paraId="21460A07"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An Annex to the report will provide a detailed list of contracting party’s expected and actual contributions for the past current and next year.</w:t>
      </w:r>
    </w:p>
    <w:p w14:paraId="16FB7414" w14:textId="77777777" w:rsidR="00025A07" w:rsidRPr="00025A07" w:rsidRDefault="00025A07" w:rsidP="00025A07">
      <w:pPr>
        <w:ind w:left="360"/>
        <w:contextualSpacing/>
        <w:rPr>
          <w:rFonts w:ascii="Calibri" w:eastAsia="Calibri" w:hAnsi="Calibri"/>
        </w:rPr>
      </w:pPr>
    </w:p>
    <w:p w14:paraId="47A0EC52"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Voluntary Contributions to the Multi-Donor Trust Fund</w:t>
      </w:r>
    </w:p>
    <w:p w14:paraId="0396E374" w14:textId="2770B954"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 xml:space="preserve">Contracting parties and other organisations may make voluntary contributions outside this funding mechanisms.  Such contributions are for the purpose specified by the donor, may go into reserves, or may be used to reduce contracting party </w:t>
      </w:r>
      <w:r w:rsidR="00B32F96">
        <w:rPr>
          <w:rFonts w:ascii="Calibri" w:eastAsia="Calibri" w:hAnsi="Calibri"/>
        </w:rPr>
        <w:t>contributions</w:t>
      </w:r>
      <w:r w:rsidRPr="00025A07">
        <w:rPr>
          <w:rFonts w:ascii="Calibri" w:eastAsia="Calibri" w:hAnsi="Calibri"/>
        </w:rPr>
        <w:t xml:space="preserve"> in future years.</w:t>
      </w:r>
    </w:p>
    <w:p w14:paraId="4EA08E90" w14:textId="77777777" w:rsidR="00025A07" w:rsidRPr="00025A07" w:rsidRDefault="00025A07" w:rsidP="00025A07">
      <w:pPr>
        <w:ind w:left="360"/>
        <w:contextualSpacing/>
        <w:rPr>
          <w:rFonts w:ascii="Calibri" w:eastAsia="Calibri" w:hAnsi="Calibri"/>
        </w:rPr>
      </w:pPr>
    </w:p>
    <w:p w14:paraId="008A17B6" w14:textId="77777777" w:rsidR="00025A07" w:rsidRPr="00025A07" w:rsidRDefault="00025A07" w:rsidP="00025A07">
      <w:pPr>
        <w:keepNext/>
        <w:keepLines/>
        <w:numPr>
          <w:ilvl w:val="0"/>
          <w:numId w:val="5"/>
        </w:numPr>
        <w:spacing w:before="40"/>
        <w:jc w:val="center"/>
        <w:outlineLvl w:val="2"/>
        <w:rPr>
          <w:rFonts w:ascii="Calibri Light" w:eastAsia="Times New Roman" w:hAnsi="Calibri Light"/>
          <w:color w:val="1F3763"/>
          <w:sz w:val="24"/>
        </w:rPr>
      </w:pPr>
      <w:r w:rsidRPr="00025A07">
        <w:rPr>
          <w:rFonts w:ascii="Calibri Light" w:eastAsia="Times New Roman" w:hAnsi="Calibri Light"/>
          <w:color w:val="1F3763"/>
          <w:sz w:val="24"/>
        </w:rPr>
        <w:t>Review</w:t>
      </w:r>
    </w:p>
    <w:p w14:paraId="4CBC5C16" w14:textId="03216235"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 xml:space="preserve">These procedures, including the </w:t>
      </w:r>
      <w:r w:rsidR="00A5095C">
        <w:rPr>
          <w:rFonts w:ascii="Calibri" w:eastAsia="Calibri" w:hAnsi="Calibri"/>
        </w:rPr>
        <w:t>Funding</w:t>
      </w:r>
      <w:r w:rsidRPr="00025A07">
        <w:rPr>
          <w:rFonts w:ascii="Calibri" w:eastAsia="Calibri" w:hAnsi="Calibri"/>
        </w:rPr>
        <w:t xml:space="preserve"> Model, are to be reviewed </w:t>
      </w:r>
      <w:r w:rsidR="00452B22">
        <w:rPr>
          <w:rFonts w:ascii="Calibri" w:eastAsia="Calibri" w:hAnsi="Calibri"/>
        </w:rPr>
        <w:t>in 2027 (prior to setting the expected contributions for 2029 and 2030</w:t>
      </w:r>
      <w:r w:rsidRPr="00025A07">
        <w:rPr>
          <w:rFonts w:ascii="Calibri" w:eastAsia="Calibri" w:hAnsi="Calibri"/>
        </w:rPr>
        <w:t xml:space="preserve"> </w:t>
      </w:r>
      <w:proofErr w:type="gramStart"/>
      <w:r w:rsidR="003C74B4">
        <w:rPr>
          <w:rFonts w:ascii="Calibri" w:eastAsia="Calibri" w:hAnsi="Calibri"/>
        </w:rPr>
        <w:t>( if</w:t>
      </w:r>
      <w:proofErr w:type="gramEnd"/>
      <w:r w:rsidR="003C74B4">
        <w:rPr>
          <w:rFonts w:ascii="Calibri" w:eastAsia="Calibri" w:hAnsi="Calibri"/>
        </w:rPr>
        <w:t xml:space="preserve"> adopted in 2024, first two years of </w:t>
      </w:r>
      <w:r w:rsidR="00452B22">
        <w:rPr>
          <w:rFonts w:ascii="Calibri" w:eastAsia="Calibri" w:hAnsi="Calibri"/>
        </w:rPr>
        <w:t>contribution</w:t>
      </w:r>
      <w:r w:rsidR="003C74B4">
        <w:rPr>
          <w:rFonts w:ascii="Calibri" w:eastAsia="Calibri" w:hAnsi="Calibri"/>
        </w:rPr>
        <w:t xml:space="preserve"> 2025 and 2026, second two years </w:t>
      </w:r>
      <w:r w:rsidR="00452B22">
        <w:rPr>
          <w:rFonts w:ascii="Calibri" w:eastAsia="Calibri" w:hAnsi="Calibri"/>
        </w:rPr>
        <w:t xml:space="preserve">of contribution </w:t>
      </w:r>
      <w:r w:rsidR="003C74B4">
        <w:rPr>
          <w:rFonts w:ascii="Calibri" w:eastAsia="Calibri" w:hAnsi="Calibri"/>
        </w:rPr>
        <w:t>are 2027 and 2028</w:t>
      </w:r>
      <w:r w:rsidR="00452B22">
        <w:rPr>
          <w:rFonts w:ascii="Calibri" w:eastAsia="Calibri" w:hAnsi="Calibri"/>
        </w:rPr>
        <w:t>.  Need to review in 2027 so in 2028 contribution for 2029 and 2030 can be set)</w:t>
      </w:r>
      <w:r w:rsidR="00A5095C">
        <w:rPr>
          <w:rFonts w:ascii="Calibri" w:eastAsia="Calibri" w:hAnsi="Calibri"/>
        </w:rPr>
        <w:t>,</w:t>
      </w:r>
      <w:r w:rsidR="003C74B4">
        <w:rPr>
          <w:rFonts w:ascii="Calibri" w:eastAsia="Calibri" w:hAnsi="Calibri"/>
        </w:rPr>
        <w:t xml:space="preserve"> </w:t>
      </w:r>
      <w:r w:rsidRPr="00025A07">
        <w:rPr>
          <w:rFonts w:ascii="Calibri" w:eastAsia="Calibri" w:hAnsi="Calibri"/>
        </w:rPr>
        <w:t xml:space="preserve">and then at least every </w:t>
      </w:r>
      <w:r w:rsidR="00452B22">
        <w:rPr>
          <w:rFonts w:ascii="Calibri" w:eastAsia="Calibri" w:hAnsi="Calibri"/>
        </w:rPr>
        <w:t>six</w:t>
      </w:r>
      <w:r w:rsidRPr="00025A07">
        <w:rPr>
          <w:rFonts w:ascii="Calibri" w:eastAsia="Calibri" w:hAnsi="Calibri"/>
        </w:rPr>
        <w:t xml:space="preserve"> years thereafter.</w:t>
      </w:r>
    </w:p>
    <w:p w14:paraId="71258FF5" w14:textId="77777777" w:rsidR="00025A07" w:rsidRPr="00025A07" w:rsidRDefault="00025A07" w:rsidP="00025A07">
      <w:pPr>
        <w:numPr>
          <w:ilvl w:val="0"/>
          <w:numId w:val="6"/>
        </w:numPr>
        <w:contextualSpacing/>
        <w:rPr>
          <w:rFonts w:ascii="Calibri" w:eastAsia="Calibri" w:hAnsi="Calibri"/>
        </w:rPr>
      </w:pPr>
      <w:r w:rsidRPr="00025A07">
        <w:rPr>
          <w:rFonts w:ascii="Calibri" w:eastAsia="Calibri" w:hAnsi="Calibri"/>
        </w:rPr>
        <w:t>The Bureau, supported by the Secretariat will determine if the review should be conducted by the FAO internal review unit, by an external consultant, or by a small group appointed by the Bureau.</w:t>
      </w:r>
    </w:p>
    <w:p w14:paraId="1A936DE4" w14:textId="77777777" w:rsidR="00E855F2" w:rsidRDefault="00E855F2" w:rsidP="00025A07">
      <w:pPr>
        <w:jc w:val="center"/>
      </w:pPr>
    </w:p>
    <w:sectPr w:rsidR="00E855F2" w:rsidSect="00E855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2F7D" w14:textId="77777777" w:rsidR="00C9175F" w:rsidRDefault="00C9175F" w:rsidP="004C6BA0">
      <w:r>
        <w:separator/>
      </w:r>
    </w:p>
  </w:endnote>
  <w:endnote w:type="continuationSeparator" w:id="0">
    <w:p w14:paraId="2620EB2D" w14:textId="77777777" w:rsidR="00C9175F" w:rsidRDefault="00C9175F" w:rsidP="004C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CE8D" w14:textId="04F34D03" w:rsidR="00D4275A" w:rsidRPr="003D2216" w:rsidRDefault="003D2216" w:rsidP="003D2216">
    <w:pPr>
      <w:pStyle w:val="IPPFooter"/>
      <w:jc w:val="left"/>
      <w:rPr>
        <w:b w:val="0"/>
        <w:bCs/>
      </w:rPr>
    </w:pPr>
    <w:r w:rsidRPr="00497CC5">
      <w:rPr>
        <w:rStyle w:val="PageNumber"/>
        <w:b/>
      </w:rPr>
      <w:t xml:space="preserve">Page </w:t>
    </w:r>
    <w:r w:rsidRPr="00497CC5">
      <w:rPr>
        <w:rStyle w:val="PageNumber"/>
        <w:b/>
      </w:rPr>
      <w:fldChar w:fldCharType="begin"/>
    </w:r>
    <w:r w:rsidRPr="00497CC5">
      <w:rPr>
        <w:rStyle w:val="PageNumber"/>
        <w:b/>
      </w:rPr>
      <w:instrText xml:space="preserve"> PAGE </w:instrText>
    </w:r>
    <w:r w:rsidRPr="00497CC5">
      <w:rPr>
        <w:rStyle w:val="PageNumber"/>
        <w:b/>
      </w:rPr>
      <w:fldChar w:fldCharType="separate"/>
    </w:r>
    <w:r>
      <w:rPr>
        <w:rStyle w:val="PageNumber"/>
        <w:b/>
      </w:rPr>
      <w:t>2</w:t>
    </w:r>
    <w:r w:rsidRPr="00497CC5">
      <w:rPr>
        <w:rStyle w:val="PageNumber"/>
        <w:b/>
      </w:rPr>
      <w:fldChar w:fldCharType="end"/>
    </w:r>
    <w:r w:rsidRPr="00497CC5">
      <w:rPr>
        <w:rStyle w:val="PageNumber"/>
        <w:b/>
      </w:rPr>
      <w:t xml:space="preserve"> of </w:t>
    </w:r>
    <w:r w:rsidRPr="00497CC5">
      <w:rPr>
        <w:rStyle w:val="PageNumber"/>
        <w:b/>
      </w:rPr>
      <w:fldChar w:fldCharType="begin"/>
    </w:r>
    <w:r w:rsidRPr="00497CC5">
      <w:rPr>
        <w:rStyle w:val="PageNumber"/>
        <w:b/>
      </w:rPr>
      <w:instrText xml:space="preserve"> NUMPAGES </w:instrText>
    </w:r>
    <w:r w:rsidRPr="00497CC5">
      <w:rPr>
        <w:rStyle w:val="PageNumber"/>
        <w:b/>
      </w:rPr>
      <w:fldChar w:fldCharType="separate"/>
    </w:r>
    <w:r>
      <w:rPr>
        <w:rStyle w:val="PageNumber"/>
        <w:b/>
      </w:rPr>
      <w:t>25</w:t>
    </w:r>
    <w:r w:rsidRPr="00497CC5">
      <w:rPr>
        <w:rStyle w:val="PageNumber"/>
        <w:b/>
      </w:rPr>
      <w:fldChar w:fldCharType="end"/>
    </w:r>
    <w:r>
      <w:rPr>
        <w:rStyle w:val="PageNumber"/>
        <w:b/>
      </w:rPr>
      <w:ptab w:relativeTo="margin" w:alignment="right" w:leader="none"/>
    </w:r>
    <w:r w:rsidRPr="00A62A0E">
      <w:t xml:space="preserve">International Plant Protection </w:t>
    </w:r>
    <w:r w:rsidRPr="008E43C9">
      <w:t>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236B" w14:textId="5C0620B4" w:rsidR="00F24CDD" w:rsidRPr="00112692" w:rsidRDefault="00112692" w:rsidP="00112692">
    <w:pPr>
      <w:pStyle w:val="IPPFooter"/>
      <w:jc w:val="left"/>
      <w:rPr>
        <w:b w:val="0"/>
        <w:bCs/>
      </w:rPr>
    </w:pPr>
    <w:r w:rsidRPr="00A62A0E">
      <w:t xml:space="preserve">International Plant Protection </w:t>
    </w:r>
    <w:r w:rsidRPr="008E43C9">
      <w:t>Convention</w:t>
    </w:r>
    <w:r w:rsidRPr="008E43C9">
      <w:ptab w:relativeTo="margin" w:alignment="right" w:leader="none"/>
    </w:r>
    <w:r w:rsidRPr="00497CC5">
      <w:rPr>
        <w:rStyle w:val="PageNumber"/>
        <w:b/>
      </w:rPr>
      <w:t xml:space="preserve">Page </w:t>
    </w:r>
    <w:r w:rsidRPr="00497CC5">
      <w:rPr>
        <w:rStyle w:val="PageNumber"/>
        <w:b/>
      </w:rPr>
      <w:fldChar w:fldCharType="begin"/>
    </w:r>
    <w:r w:rsidRPr="00497CC5">
      <w:rPr>
        <w:rStyle w:val="PageNumber"/>
        <w:b/>
      </w:rPr>
      <w:instrText xml:space="preserve"> PAGE </w:instrText>
    </w:r>
    <w:r w:rsidRPr="00497CC5">
      <w:rPr>
        <w:rStyle w:val="PageNumber"/>
        <w:b/>
      </w:rPr>
      <w:fldChar w:fldCharType="separate"/>
    </w:r>
    <w:r>
      <w:rPr>
        <w:rStyle w:val="PageNumber"/>
        <w:b/>
      </w:rPr>
      <w:t>1</w:t>
    </w:r>
    <w:r w:rsidRPr="00497CC5">
      <w:rPr>
        <w:rStyle w:val="PageNumber"/>
        <w:b/>
      </w:rPr>
      <w:fldChar w:fldCharType="end"/>
    </w:r>
    <w:r w:rsidRPr="00497CC5">
      <w:rPr>
        <w:rStyle w:val="PageNumber"/>
        <w:b/>
      </w:rPr>
      <w:t xml:space="preserve"> of </w:t>
    </w:r>
    <w:r w:rsidRPr="00497CC5">
      <w:rPr>
        <w:rStyle w:val="PageNumber"/>
        <w:b/>
      </w:rPr>
      <w:fldChar w:fldCharType="begin"/>
    </w:r>
    <w:r w:rsidRPr="00497CC5">
      <w:rPr>
        <w:rStyle w:val="PageNumber"/>
        <w:b/>
      </w:rPr>
      <w:instrText xml:space="preserve"> NUMPAGES </w:instrText>
    </w:r>
    <w:r w:rsidRPr="00497CC5">
      <w:rPr>
        <w:rStyle w:val="PageNumber"/>
        <w:b/>
      </w:rPr>
      <w:fldChar w:fldCharType="separate"/>
    </w:r>
    <w:r>
      <w:rPr>
        <w:rStyle w:val="PageNumber"/>
        <w:b/>
      </w:rPr>
      <w:t>25</w:t>
    </w:r>
    <w:r w:rsidRPr="00497CC5">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DAEA" w14:textId="6E8AF6DC" w:rsidR="00D4275A" w:rsidRPr="003D2216" w:rsidRDefault="003D2216" w:rsidP="003D2216">
    <w:pPr>
      <w:pStyle w:val="IPPFooter"/>
      <w:jc w:val="left"/>
      <w:rPr>
        <w:b w:val="0"/>
        <w:bCs/>
      </w:rPr>
    </w:pPr>
    <w:r w:rsidRPr="00A62A0E">
      <w:t xml:space="preserve">International Plant Protection </w:t>
    </w:r>
    <w:r w:rsidRPr="008E43C9">
      <w:t>Convention</w:t>
    </w:r>
    <w:r w:rsidRPr="008E43C9">
      <w:ptab w:relativeTo="margin" w:alignment="right" w:leader="none"/>
    </w:r>
    <w:r w:rsidRPr="00497CC5">
      <w:rPr>
        <w:rStyle w:val="PageNumber"/>
        <w:b/>
      </w:rPr>
      <w:t xml:space="preserve">Page </w:t>
    </w:r>
    <w:r w:rsidRPr="00497CC5">
      <w:rPr>
        <w:rStyle w:val="PageNumber"/>
        <w:b/>
      </w:rPr>
      <w:fldChar w:fldCharType="begin"/>
    </w:r>
    <w:r w:rsidRPr="00497CC5">
      <w:rPr>
        <w:rStyle w:val="PageNumber"/>
        <w:b/>
      </w:rPr>
      <w:instrText xml:space="preserve"> PAGE </w:instrText>
    </w:r>
    <w:r w:rsidRPr="00497CC5">
      <w:rPr>
        <w:rStyle w:val="PageNumber"/>
        <w:b/>
      </w:rPr>
      <w:fldChar w:fldCharType="separate"/>
    </w:r>
    <w:r>
      <w:rPr>
        <w:rStyle w:val="PageNumber"/>
        <w:b/>
      </w:rPr>
      <w:t>1</w:t>
    </w:r>
    <w:r w:rsidRPr="00497CC5">
      <w:rPr>
        <w:rStyle w:val="PageNumber"/>
        <w:b/>
      </w:rPr>
      <w:fldChar w:fldCharType="end"/>
    </w:r>
    <w:r w:rsidRPr="00497CC5">
      <w:rPr>
        <w:rStyle w:val="PageNumber"/>
        <w:b/>
      </w:rPr>
      <w:t xml:space="preserve"> of </w:t>
    </w:r>
    <w:r w:rsidRPr="00497CC5">
      <w:rPr>
        <w:rStyle w:val="PageNumber"/>
        <w:b/>
      </w:rPr>
      <w:fldChar w:fldCharType="begin"/>
    </w:r>
    <w:r w:rsidRPr="00497CC5">
      <w:rPr>
        <w:rStyle w:val="PageNumber"/>
        <w:b/>
      </w:rPr>
      <w:instrText xml:space="preserve"> NUMPAGES </w:instrText>
    </w:r>
    <w:r w:rsidRPr="00497CC5">
      <w:rPr>
        <w:rStyle w:val="PageNumber"/>
        <w:b/>
      </w:rPr>
      <w:fldChar w:fldCharType="separate"/>
    </w:r>
    <w:r>
      <w:rPr>
        <w:rStyle w:val="PageNumber"/>
        <w:b/>
      </w:rPr>
      <w:t>1</w:t>
    </w:r>
    <w:r w:rsidRPr="00497CC5">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B1ED" w14:textId="77777777" w:rsidR="00C9175F" w:rsidRDefault="00C9175F" w:rsidP="004C6BA0">
      <w:r>
        <w:separator/>
      </w:r>
    </w:p>
  </w:footnote>
  <w:footnote w:type="continuationSeparator" w:id="0">
    <w:p w14:paraId="6E19211A" w14:textId="77777777" w:rsidR="00C9175F" w:rsidRDefault="00C9175F" w:rsidP="004C6BA0">
      <w:r>
        <w:continuationSeparator/>
      </w:r>
    </w:p>
  </w:footnote>
  <w:footnote w:id="1">
    <w:p w14:paraId="1E3CD89E" w14:textId="143EA630" w:rsidR="004C6BA0" w:rsidRDefault="004C6BA0" w:rsidP="00BD74B4">
      <w:pPr>
        <w:pStyle w:val="IPPFootnote"/>
      </w:pPr>
      <w:r>
        <w:rPr>
          <w:rStyle w:val="FootnoteReference"/>
        </w:rPr>
        <w:footnoteRef/>
      </w:r>
      <w:r>
        <w:t xml:space="preserve"> </w:t>
      </w:r>
      <w:r w:rsidR="00943431">
        <w:t>Report of the Seventeenth Session of the Commission on Phytosanitary Measures, Rome Italy 27-31 March 2023; p.16.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1EA3" w14:textId="2D8541EA" w:rsidR="00D4275A" w:rsidRDefault="005A1CDC" w:rsidP="00D4275A">
    <w:pPr>
      <w:pStyle w:val="IPPHeader"/>
    </w:pPr>
    <w:r>
      <w:t>12</w:t>
    </w:r>
    <w:r w:rsidR="0094582F">
      <w:rPr>
        <w:rFonts w:eastAsia="Times" w:cs="Arial"/>
        <w:szCs w:val="18"/>
      </w:rPr>
      <w:t>_SPG_2023_Oct</w:t>
    </w:r>
    <w:r w:rsidR="0094582F" w:rsidRPr="0094582F">
      <w:t xml:space="preserve"> </w:t>
    </w:r>
    <w:r w:rsidR="0094582F">
      <w:ptab w:relativeTo="margin" w:alignment="right" w:leader="none"/>
    </w:r>
    <w:r w:rsidR="0094582F" w:rsidRPr="0094582F">
      <w:t>Sustainable funding for ePhyto Solution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8413" w14:textId="392E2915" w:rsidR="00D4275A" w:rsidRDefault="0094582F" w:rsidP="0094582F">
    <w:pPr>
      <w:pStyle w:val="IPPHeader"/>
    </w:pPr>
    <w:r w:rsidRPr="0094582F">
      <w:t>Sustainable funding for ePhyto Solution</w:t>
    </w:r>
    <w:r>
      <w:ptab w:relativeTo="margin" w:alignment="right" w:leader="none"/>
    </w:r>
    <w:r w:rsidR="005A1CDC">
      <w:t>12</w:t>
    </w:r>
    <w:r>
      <w:rPr>
        <w:rFonts w:eastAsia="Times" w:cs="Arial"/>
        <w:szCs w:val="18"/>
      </w:rPr>
      <w:t>_SPG_2023_Oct</w:t>
    </w:r>
    <w:r w:rsidRPr="0094582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0BE8" w14:textId="57441D5A" w:rsidR="003D24CB" w:rsidRDefault="003D24CB" w:rsidP="003D24CB">
    <w:pPr>
      <w:pStyle w:val="IPPHeader"/>
    </w:pPr>
    <w:r>
      <w:rPr>
        <w:noProof/>
      </w:rPr>
      <w:drawing>
        <wp:anchor distT="0" distB="0" distL="114300" distR="114300" simplePos="0" relativeHeight="251659264" behindDoc="0" locked="0" layoutInCell="1" allowOverlap="0" wp14:anchorId="2AD2B44C" wp14:editId="6B26E441">
          <wp:simplePos x="0" y="0"/>
          <wp:positionH relativeFrom="margin">
            <wp:align>center</wp:align>
          </wp:positionH>
          <wp:positionV relativeFrom="paragraph">
            <wp:posOffset>-452120</wp:posOffset>
          </wp:positionV>
          <wp:extent cx="7629525" cy="46355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anchor>
      </w:drawing>
    </w:r>
  </w:p>
  <w:p w14:paraId="604B4588" w14:textId="37F2E5AC" w:rsidR="003D24CB" w:rsidRDefault="003D24CB" w:rsidP="003D24CB">
    <w:pPr>
      <w:pStyle w:val="IPPHeader"/>
    </w:pPr>
    <w:r>
      <w:rPr>
        <w:noProof/>
        <w:color w:val="2B579A"/>
        <w:shd w:val="clear" w:color="auto" w:fill="E6E6E6"/>
      </w:rPr>
      <w:drawing>
        <wp:anchor distT="0" distB="0" distL="114300" distR="114300" simplePos="0" relativeHeight="251660288" behindDoc="0" locked="0" layoutInCell="1" allowOverlap="1" wp14:anchorId="42B753D0" wp14:editId="753249BC">
          <wp:simplePos x="0" y="0"/>
          <wp:positionH relativeFrom="column">
            <wp:posOffset>-76347</wp:posOffset>
          </wp:positionH>
          <wp:positionV relativeFrom="paragraph">
            <wp:posOffset>6985</wp:posOffset>
          </wp:positionV>
          <wp:extent cx="632460" cy="32448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International Plant Protection Convention</w:t>
    </w:r>
    <w:r>
      <w:ptab w:relativeTo="margin" w:alignment="right" w:leader="none"/>
    </w:r>
    <w:r w:rsidR="005A1CDC">
      <w:t>12</w:t>
    </w:r>
    <w:r>
      <w:rPr>
        <w:rFonts w:eastAsia="Times" w:cs="Arial"/>
        <w:szCs w:val="18"/>
      </w:rPr>
      <w:t>_SPG_2023_Oct</w:t>
    </w:r>
    <w:r>
      <w:br/>
    </w:r>
    <w:r w:rsidRPr="00D4275A">
      <w:rPr>
        <w:i/>
        <w:iCs/>
      </w:rPr>
      <w:t>Sustainable funding for ePhyto Solution</w:t>
    </w:r>
    <w:r>
      <w:rPr>
        <w:i/>
        <w:iCs/>
      </w:rPr>
      <w:ptab w:relativeTo="margin" w:alignment="right" w:leader="none"/>
    </w:r>
    <w:r>
      <w:rPr>
        <w:i/>
        <w:iCs/>
      </w:rPr>
      <w:t xml:space="preserve">Agenda item </w:t>
    </w:r>
    <w:r w:rsidR="00C36937">
      <w:rPr>
        <w:i/>
        <w:iC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02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00A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2AE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E3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2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7AF9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343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442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0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24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DFA"/>
    <w:multiLevelType w:val="hybridMultilevel"/>
    <w:tmpl w:val="DC786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9B347B1"/>
    <w:multiLevelType w:val="hybridMultilevel"/>
    <w:tmpl w:val="104458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0827212"/>
    <w:multiLevelType w:val="hybridMultilevel"/>
    <w:tmpl w:val="013487A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4971A93"/>
    <w:multiLevelType w:val="hybridMultilevel"/>
    <w:tmpl w:val="6B10A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88D1759"/>
    <w:multiLevelType w:val="hybridMultilevel"/>
    <w:tmpl w:val="1AFA2F1C"/>
    <w:lvl w:ilvl="0" w:tplc="F770473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1D091BE3"/>
    <w:multiLevelType w:val="hybridMultilevel"/>
    <w:tmpl w:val="7466CB54"/>
    <w:lvl w:ilvl="0" w:tplc="14090013">
      <w:start w:val="1"/>
      <w:numFmt w:val="upperRoman"/>
      <w:lvlText w:val="%1."/>
      <w:lvlJc w:val="righ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7663D51"/>
    <w:multiLevelType w:val="hybridMultilevel"/>
    <w:tmpl w:val="2F482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C9245D"/>
    <w:multiLevelType w:val="hybridMultilevel"/>
    <w:tmpl w:val="E78EE7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392E575E"/>
    <w:multiLevelType w:val="hybridMultilevel"/>
    <w:tmpl w:val="350458AC"/>
    <w:lvl w:ilvl="0" w:tplc="1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15150A"/>
    <w:multiLevelType w:val="hybridMultilevel"/>
    <w:tmpl w:val="B7384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6206B"/>
    <w:multiLevelType w:val="hybridMultilevel"/>
    <w:tmpl w:val="22B4D5F0"/>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32053FE"/>
    <w:multiLevelType w:val="hybridMultilevel"/>
    <w:tmpl w:val="FE98CD8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10673735">
    <w:abstractNumId w:val="17"/>
  </w:num>
  <w:num w:numId="2" w16cid:durableId="885991736">
    <w:abstractNumId w:val="13"/>
  </w:num>
  <w:num w:numId="3" w16cid:durableId="156193528">
    <w:abstractNumId w:val="30"/>
  </w:num>
  <w:num w:numId="4" w16cid:durableId="1560090841">
    <w:abstractNumId w:val="31"/>
  </w:num>
  <w:num w:numId="5" w16cid:durableId="1592356090">
    <w:abstractNumId w:val="19"/>
  </w:num>
  <w:num w:numId="6" w16cid:durableId="208956151">
    <w:abstractNumId w:val="15"/>
  </w:num>
  <w:num w:numId="7" w16cid:durableId="1297489318">
    <w:abstractNumId w:val="21"/>
  </w:num>
  <w:num w:numId="8" w16cid:durableId="1936281973">
    <w:abstractNumId w:val="25"/>
  </w:num>
  <w:num w:numId="9" w16cid:durableId="928006785">
    <w:abstractNumId w:val="10"/>
  </w:num>
  <w:num w:numId="10" w16cid:durableId="442042148">
    <w:abstractNumId w:val="20"/>
  </w:num>
  <w:num w:numId="11" w16cid:durableId="113909511">
    <w:abstractNumId w:val="16"/>
  </w:num>
  <w:num w:numId="12" w16cid:durableId="2024358079">
    <w:abstractNumId w:val="23"/>
  </w:num>
  <w:num w:numId="13" w16cid:durableId="1165710755">
    <w:abstractNumId w:val="28"/>
  </w:num>
  <w:num w:numId="14" w16cid:durableId="662584357">
    <w:abstractNumId w:val="14"/>
  </w:num>
  <w:num w:numId="15" w16cid:durableId="557323436">
    <w:abstractNumId w:val="12"/>
  </w:num>
  <w:num w:numId="16" w16cid:durableId="976957306">
    <w:abstractNumId w:val="22"/>
  </w:num>
  <w:num w:numId="17" w16cid:durableId="147599651">
    <w:abstractNumId w:val="32"/>
  </w:num>
  <w:num w:numId="18" w16cid:durableId="1106772283">
    <w:abstractNumId w:val="27"/>
  </w:num>
  <w:num w:numId="19" w16cid:durableId="1982073434">
    <w:abstractNumId w:val="24"/>
  </w:num>
  <w:num w:numId="20" w16cid:durableId="1321811664">
    <w:abstractNumId w:val="33"/>
  </w:num>
  <w:num w:numId="21" w16cid:durableId="1960447344">
    <w:abstractNumId w:val="18"/>
  </w:num>
  <w:num w:numId="22" w16cid:durableId="678849787">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16cid:durableId="875580671">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16cid:durableId="86679182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976033951">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23007041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1977955482">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2119133946">
    <w:abstractNumId w:val="11"/>
  </w:num>
  <w:num w:numId="29" w16cid:durableId="1174733700">
    <w:abstractNumId w:val="26"/>
  </w:num>
  <w:num w:numId="30" w16cid:durableId="315500169">
    <w:abstractNumId w:val="29"/>
  </w:num>
  <w:num w:numId="31" w16cid:durableId="282467626">
    <w:abstractNumId w:val="9"/>
  </w:num>
  <w:num w:numId="32" w16cid:durableId="217908625">
    <w:abstractNumId w:val="7"/>
  </w:num>
  <w:num w:numId="33" w16cid:durableId="957644464">
    <w:abstractNumId w:val="6"/>
  </w:num>
  <w:num w:numId="34" w16cid:durableId="1817868989">
    <w:abstractNumId w:val="5"/>
  </w:num>
  <w:num w:numId="35" w16cid:durableId="21906990">
    <w:abstractNumId w:val="4"/>
  </w:num>
  <w:num w:numId="36" w16cid:durableId="247009080">
    <w:abstractNumId w:val="8"/>
  </w:num>
  <w:num w:numId="37" w16cid:durableId="203716462">
    <w:abstractNumId w:val="3"/>
  </w:num>
  <w:num w:numId="38" w16cid:durableId="2083403344">
    <w:abstractNumId w:val="2"/>
  </w:num>
  <w:num w:numId="39" w16cid:durableId="1602376240">
    <w:abstractNumId w:val="1"/>
  </w:num>
  <w:num w:numId="40" w16cid:durableId="1136677303">
    <w:abstractNumId w:val="0"/>
  </w:num>
  <w:num w:numId="41" w16cid:durableId="460535313">
    <w:abstractNumId w:val="28"/>
    <w:lvlOverride w:ilvl="0">
      <w:startOverride w:val="1"/>
    </w:lvlOverride>
  </w:num>
  <w:num w:numId="42" w16cid:durableId="17738167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A5"/>
    <w:rsid w:val="00004887"/>
    <w:rsid w:val="00012286"/>
    <w:rsid w:val="000201F8"/>
    <w:rsid w:val="000224F0"/>
    <w:rsid w:val="00025A07"/>
    <w:rsid w:val="00034F2E"/>
    <w:rsid w:val="00043BEB"/>
    <w:rsid w:val="000440CE"/>
    <w:rsid w:val="00046422"/>
    <w:rsid w:val="00075150"/>
    <w:rsid w:val="00096780"/>
    <w:rsid w:val="000A0A4C"/>
    <w:rsid w:val="000A2989"/>
    <w:rsid w:val="000B7165"/>
    <w:rsid w:val="000C1FCE"/>
    <w:rsid w:val="000E2275"/>
    <w:rsid w:val="000E2959"/>
    <w:rsid w:val="00105143"/>
    <w:rsid w:val="001071C8"/>
    <w:rsid w:val="00112692"/>
    <w:rsid w:val="001127CF"/>
    <w:rsid w:val="00112DA6"/>
    <w:rsid w:val="001205B6"/>
    <w:rsid w:val="00126792"/>
    <w:rsid w:val="00127404"/>
    <w:rsid w:val="00130B72"/>
    <w:rsid w:val="00143364"/>
    <w:rsid w:val="0014631B"/>
    <w:rsid w:val="00151383"/>
    <w:rsid w:val="001526AC"/>
    <w:rsid w:val="00161EE0"/>
    <w:rsid w:val="00193F89"/>
    <w:rsid w:val="001C1A85"/>
    <w:rsid w:val="001F4808"/>
    <w:rsid w:val="00207344"/>
    <w:rsid w:val="00247199"/>
    <w:rsid w:val="00251FF4"/>
    <w:rsid w:val="0025645A"/>
    <w:rsid w:val="0026754C"/>
    <w:rsid w:val="0027482F"/>
    <w:rsid w:val="00282B30"/>
    <w:rsid w:val="00284827"/>
    <w:rsid w:val="00287A62"/>
    <w:rsid w:val="00291332"/>
    <w:rsid w:val="002A0273"/>
    <w:rsid w:val="002A2E12"/>
    <w:rsid w:val="002A5D7A"/>
    <w:rsid w:val="002D08EE"/>
    <w:rsid w:val="002D5F9C"/>
    <w:rsid w:val="002E5B1D"/>
    <w:rsid w:val="003029F3"/>
    <w:rsid w:val="00304062"/>
    <w:rsid w:val="00304B4D"/>
    <w:rsid w:val="00305326"/>
    <w:rsid w:val="00321FC3"/>
    <w:rsid w:val="00341B15"/>
    <w:rsid w:val="00346B6E"/>
    <w:rsid w:val="00351D76"/>
    <w:rsid w:val="00354E35"/>
    <w:rsid w:val="003618B2"/>
    <w:rsid w:val="00366923"/>
    <w:rsid w:val="00377D61"/>
    <w:rsid w:val="003A6F9F"/>
    <w:rsid w:val="003B0B90"/>
    <w:rsid w:val="003B4222"/>
    <w:rsid w:val="003B73A9"/>
    <w:rsid w:val="003C74B4"/>
    <w:rsid w:val="003D2216"/>
    <w:rsid w:val="003D24CB"/>
    <w:rsid w:val="003E4475"/>
    <w:rsid w:val="003F6C12"/>
    <w:rsid w:val="0040114F"/>
    <w:rsid w:val="00440A22"/>
    <w:rsid w:val="00443BDE"/>
    <w:rsid w:val="00452B22"/>
    <w:rsid w:val="0048626E"/>
    <w:rsid w:val="004959D5"/>
    <w:rsid w:val="0049658F"/>
    <w:rsid w:val="00496F44"/>
    <w:rsid w:val="004A1F4D"/>
    <w:rsid w:val="004A715E"/>
    <w:rsid w:val="004C4833"/>
    <w:rsid w:val="004C6BA0"/>
    <w:rsid w:val="004E3C3C"/>
    <w:rsid w:val="005011B8"/>
    <w:rsid w:val="0050521D"/>
    <w:rsid w:val="00520CB8"/>
    <w:rsid w:val="00525A0C"/>
    <w:rsid w:val="00542045"/>
    <w:rsid w:val="0056574B"/>
    <w:rsid w:val="00575CAD"/>
    <w:rsid w:val="005A1CDC"/>
    <w:rsid w:val="005A4BC9"/>
    <w:rsid w:val="005B182C"/>
    <w:rsid w:val="005B60EA"/>
    <w:rsid w:val="005C1F9A"/>
    <w:rsid w:val="005F0E85"/>
    <w:rsid w:val="005F1984"/>
    <w:rsid w:val="005F7351"/>
    <w:rsid w:val="006030C2"/>
    <w:rsid w:val="0060447C"/>
    <w:rsid w:val="006049A7"/>
    <w:rsid w:val="0061062D"/>
    <w:rsid w:val="00621DA0"/>
    <w:rsid w:val="0063554D"/>
    <w:rsid w:val="0064455C"/>
    <w:rsid w:val="0065128D"/>
    <w:rsid w:val="0065446F"/>
    <w:rsid w:val="00663780"/>
    <w:rsid w:val="006919EA"/>
    <w:rsid w:val="006A0AF2"/>
    <w:rsid w:val="006A687F"/>
    <w:rsid w:val="006B3D38"/>
    <w:rsid w:val="006B487E"/>
    <w:rsid w:val="006C2165"/>
    <w:rsid w:val="006C4FB5"/>
    <w:rsid w:val="006E56D5"/>
    <w:rsid w:val="007029BF"/>
    <w:rsid w:val="0071361F"/>
    <w:rsid w:val="00726555"/>
    <w:rsid w:val="00730133"/>
    <w:rsid w:val="00732A1D"/>
    <w:rsid w:val="00737278"/>
    <w:rsid w:val="007444ED"/>
    <w:rsid w:val="00771EF8"/>
    <w:rsid w:val="00775F39"/>
    <w:rsid w:val="00781E25"/>
    <w:rsid w:val="00793A88"/>
    <w:rsid w:val="007A3E30"/>
    <w:rsid w:val="007C0F51"/>
    <w:rsid w:val="007D45E1"/>
    <w:rsid w:val="0080235A"/>
    <w:rsid w:val="00802C8B"/>
    <w:rsid w:val="00804686"/>
    <w:rsid w:val="00815485"/>
    <w:rsid w:val="008302FA"/>
    <w:rsid w:val="0083325A"/>
    <w:rsid w:val="00835FD1"/>
    <w:rsid w:val="00841A74"/>
    <w:rsid w:val="00862A19"/>
    <w:rsid w:val="00871130"/>
    <w:rsid w:val="00875BD0"/>
    <w:rsid w:val="008A40EF"/>
    <w:rsid w:val="008C3769"/>
    <w:rsid w:val="008C57A9"/>
    <w:rsid w:val="008D17B9"/>
    <w:rsid w:val="009003B4"/>
    <w:rsid w:val="00943431"/>
    <w:rsid w:val="0094582F"/>
    <w:rsid w:val="00953F8D"/>
    <w:rsid w:val="009546AE"/>
    <w:rsid w:val="009637AF"/>
    <w:rsid w:val="00972A13"/>
    <w:rsid w:val="00987CC4"/>
    <w:rsid w:val="0099239C"/>
    <w:rsid w:val="00992B65"/>
    <w:rsid w:val="00995AF1"/>
    <w:rsid w:val="00997EF9"/>
    <w:rsid w:val="009D21A5"/>
    <w:rsid w:val="009D316B"/>
    <w:rsid w:val="009D6C54"/>
    <w:rsid w:val="00A0763D"/>
    <w:rsid w:val="00A31415"/>
    <w:rsid w:val="00A40982"/>
    <w:rsid w:val="00A420EE"/>
    <w:rsid w:val="00A4303F"/>
    <w:rsid w:val="00A430EB"/>
    <w:rsid w:val="00A50502"/>
    <w:rsid w:val="00A5095C"/>
    <w:rsid w:val="00A56E98"/>
    <w:rsid w:val="00A923AA"/>
    <w:rsid w:val="00AB51C9"/>
    <w:rsid w:val="00AF3B21"/>
    <w:rsid w:val="00B25B5B"/>
    <w:rsid w:val="00B32F96"/>
    <w:rsid w:val="00B4687B"/>
    <w:rsid w:val="00B556C6"/>
    <w:rsid w:val="00B60496"/>
    <w:rsid w:val="00B67EED"/>
    <w:rsid w:val="00B74D76"/>
    <w:rsid w:val="00B842A2"/>
    <w:rsid w:val="00B87026"/>
    <w:rsid w:val="00B954A3"/>
    <w:rsid w:val="00BA1C22"/>
    <w:rsid w:val="00BC42BB"/>
    <w:rsid w:val="00BD3B72"/>
    <w:rsid w:val="00BD4C38"/>
    <w:rsid w:val="00BD74B4"/>
    <w:rsid w:val="00C01046"/>
    <w:rsid w:val="00C117C5"/>
    <w:rsid w:val="00C144C3"/>
    <w:rsid w:val="00C2246B"/>
    <w:rsid w:val="00C229CA"/>
    <w:rsid w:val="00C36937"/>
    <w:rsid w:val="00C42712"/>
    <w:rsid w:val="00C5573B"/>
    <w:rsid w:val="00C56F4A"/>
    <w:rsid w:val="00C57F27"/>
    <w:rsid w:val="00C80BD7"/>
    <w:rsid w:val="00C84775"/>
    <w:rsid w:val="00C90FA9"/>
    <w:rsid w:val="00C9175F"/>
    <w:rsid w:val="00C93F9C"/>
    <w:rsid w:val="00CB2D82"/>
    <w:rsid w:val="00CB49F1"/>
    <w:rsid w:val="00CC1519"/>
    <w:rsid w:val="00CC7DC2"/>
    <w:rsid w:val="00D029CA"/>
    <w:rsid w:val="00D060C6"/>
    <w:rsid w:val="00D21E30"/>
    <w:rsid w:val="00D22151"/>
    <w:rsid w:val="00D40835"/>
    <w:rsid w:val="00D4275A"/>
    <w:rsid w:val="00D513AF"/>
    <w:rsid w:val="00D57273"/>
    <w:rsid w:val="00D849A2"/>
    <w:rsid w:val="00D9208A"/>
    <w:rsid w:val="00DA099A"/>
    <w:rsid w:val="00DB53A6"/>
    <w:rsid w:val="00DD2F72"/>
    <w:rsid w:val="00DD4EE8"/>
    <w:rsid w:val="00DE247C"/>
    <w:rsid w:val="00DE2616"/>
    <w:rsid w:val="00DE5A5F"/>
    <w:rsid w:val="00E118E8"/>
    <w:rsid w:val="00E2032E"/>
    <w:rsid w:val="00E669AD"/>
    <w:rsid w:val="00E76DFC"/>
    <w:rsid w:val="00E855F2"/>
    <w:rsid w:val="00E877EC"/>
    <w:rsid w:val="00E93081"/>
    <w:rsid w:val="00EC5E4F"/>
    <w:rsid w:val="00EE49DE"/>
    <w:rsid w:val="00F00704"/>
    <w:rsid w:val="00F1276C"/>
    <w:rsid w:val="00F23B79"/>
    <w:rsid w:val="00F24CDD"/>
    <w:rsid w:val="00F24FB1"/>
    <w:rsid w:val="00F308BB"/>
    <w:rsid w:val="00F31269"/>
    <w:rsid w:val="00F34163"/>
    <w:rsid w:val="00F46A59"/>
    <w:rsid w:val="00F54511"/>
    <w:rsid w:val="00F6033C"/>
    <w:rsid w:val="00F95ED2"/>
    <w:rsid w:val="00FA6280"/>
    <w:rsid w:val="00FB166C"/>
    <w:rsid w:val="00FB39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CB32A"/>
  <w15:chartTrackingRefBased/>
  <w15:docId w15:val="{1F1B59BC-C2EE-48A0-BCF2-BEAB1E41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DC"/>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5A1CD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A1CD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A1CD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A1C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1CDC"/>
  </w:style>
  <w:style w:type="paragraph" w:styleId="FootnoteText">
    <w:name w:val="footnote text"/>
    <w:basedOn w:val="Normal"/>
    <w:link w:val="FootnoteTextChar"/>
    <w:semiHidden/>
    <w:rsid w:val="005A1CDC"/>
    <w:pPr>
      <w:spacing w:before="60"/>
    </w:pPr>
    <w:rPr>
      <w:sz w:val="20"/>
    </w:rPr>
  </w:style>
  <w:style w:type="character" w:customStyle="1" w:styleId="FootnoteTextChar">
    <w:name w:val="Footnote Text Char"/>
    <w:basedOn w:val="DefaultParagraphFont"/>
    <w:link w:val="FootnoteText"/>
    <w:semiHidden/>
    <w:rsid w:val="005A1CDC"/>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5A1CDC"/>
    <w:rPr>
      <w:vertAlign w:val="superscript"/>
    </w:rPr>
  </w:style>
  <w:style w:type="paragraph" w:styleId="ListParagraph">
    <w:name w:val="List Paragraph"/>
    <w:basedOn w:val="Normal"/>
    <w:uiPriority w:val="34"/>
    <w:qFormat/>
    <w:rsid w:val="005A1CDC"/>
    <w:pPr>
      <w:spacing w:line="240" w:lineRule="atLeast"/>
      <w:ind w:leftChars="400" w:left="800"/>
    </w:pPr>
    <w:rPr>
      <w:rFonts w:ascii="Verdana" w:eastAsia="Times New Roman" w:hAnsi="Verdana"/>
      <w:sz w:val="20"/>
      <w:lang w:val="nl-NL" w:eastAsia="nl-NL"/>
    </w:rPr>
  </w:style>
  <w:style w:type="paragraph" w:styleId="Revision">
    <w:name w:val="Revision"/>
    <w:hidden/>
    <w:uiPriority w:val="99"/>
    <w:semiHidden/>
    <w:rsid w:val="007C0F51"/>
    <w:pPr>
      <w:spacing w:after="0" w:line="240" w:lineRule="auto"/>
    </w:pPr>
  </w:style>
  <w:style w:type="character" w:styleId="CommentReference">
    <w:name w:val="annotation reference"/>
    <w:basedOn w:val="DefaultParagraphFont"/>
    <w:uiPriority w:val="99"/>
    <w:semiHidden/>
    <w:unhideWhenUsed/>
    <w:rsid w:val="007C0F51"/>
    <w:rPr>
      <w:sz w:val="16"/>
      <w:szCs w:val="16"/>
    </w:rPr>
  </w:style>
  <w:style w:type="paragraph" w:styleId="CommentText">
    <w:name w:val="annotation text"/>
    <w:basedOn w:val="Normal"/>
    <w:link w:val="CommentTextChar"/>
    <w:uiPriority w:val="99"/>
    <w:semiHidden/>
    <w:unhideWhenUsed/>
    <w:rsid w:val="007C0F51"/>
    <w:rPr>
      <w:sz w:val="20"/>
      <w:szCs w:val="20"/>
    </w:rPr>
  </w:style>
  <w:style w:type="character" w:customStyle="1" w:styleId="CommentTextChar">
    <w:name w:val="Comment Text Char"/>
    <w:basedOn w:val="DefaultParagraphFont"/>
    <w:link w:val="CommentText"/>
    <w:uiPriority w:val="99"/>
    <w:semiHidden/>
    <w:rsid w:val="007C0F51"/>
    <w:rPr>
      <w:sz w:val="20"/>
      <w:szCs w:val="20"/>
    </w:rPr>
  </w:style>
  <w:style w:type="paragraph" w:styleId="CommentSubject">
    <w:name w:val="annotation subject"/>
    <w:basedOn w:val="CommentText"/>
    <w:next w:val="CommentText"/>
    <w:link w:val="CommentSubjectChar"/>
    <w:uiPriority w:val="99"/>
    <w:semiHidden/>
    <w:unhideWhenUsed/>
    <w:rsid w:val="007C0F51"/>
    <w:rPr>
      <w:b/>
      <w:bCs/>
    </w:rPr>
  </w:style>
  <w:style w:type="character" w:customStyle="1" w:styleId="CommentSubjectChar">
    <w:name w:val="Comment Subject Char"/>
    <w:basedOn w:val="CommentTextChar"/>
    <w:link w:val="CommentSubject"/>
    <w:uiPriority w:val="99"/>
    <w:semiHidden/>
    <w:rsid w:val="007C0F51"/>
    <w:rPr>
      <w:b/>
      <w:bCs/>
      <w:sz w:val="20"/>
      <w:szCs w:val="20"/>
    </w:rPr>
  </w:style>
  <w:style w:type="table" w:styleId="TableGrid">
    <w:name w:val="Table Grid"/>
    <w:basedOn w:val="TableNormal"/>
    <w:rsid w:val="005A1CDC"/>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1CDC"/>
    <w:pPr>
      <w:tabs>
        <w:tab w:val="center" w:pos="4680"/>
        <w:tab w:val="right" w:pos="9360"/>
      </w:tabs>
    </w:pPr>
  </w:style>
  <w:style w:type="character" w:customStyle="1" w:styleId="HeaderChar">
    <w:name w:val="Header Char"/>
    <w:basedOn w:val="DefaultParagraphFont"/>
    <w:link w:val="Header"/>
    <w:rsid w:val="005A1CDC"/>
    <w:rPr>
      <w:rFonts w:ascii="Times New Roman" w:eastAsia="MS Mincho" w:hAnsi="Times New Roman" w:cs="Times New Roman"/>
      <w:szCs w:val="24"/>
      <w:lang w:val="en-GB"/>
    </w:rPr>
  </w:style>
  <w:style w:type="paragraph" w:styleId="Footer">
    <w:name w:val="footer"/>
    <w:basedOn w:val="Normal"/>
    <w:link w:val="FooterChar"/>
    <w:rsid w:val="005A1CDC"/>
    <w:pPr>
      <w:tabs>
        <w:tab w:val="center" w:pos="4680"/>
        <w:tab w:val="right" w:pos="9360"/>
      </w:tabs>
    </w:pPr>
  </w:style>
  <w:style w:type="character" w:customStyle="1" w:styleId="FooterChar">
    <w:name w:val="Footer Char"/>
    <w:basedOn w:val="DefaultParagraphFont"/>
    <w:link w:val="Footer"/>
    <w:rsid w:val="005A1CDC"/>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5A1CDC"/>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5A1CDC"/>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5A1CDC"/>
    <w:rPr>
      <w:rFonts w:ascii="Calibri" w:eastAsia="MS Mincho" w:hAnsi="Calibri" w:cs="Times New Roman"/>
      <w:b/>
      <w:bCs/>
      <w:sz w:val="26"/>
      <w:szCs w:val="26"/>
      <w:lang w:val="en-GB"/>
    </w:rPr>
  </w:style>
  <w:style w:type="paragraph" w:customStyle="1" w:styleId="Style">
    <w:name w:val="Style"/>
    <w:basedOn w:val="Footer"/>
    <w:autoRedefine/>
    <w:qFormat/>
    <w:rsid w:val="005A1CD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A1CDC"/>
    <w:rPr>
      <w:rFonts w:ascii="Arial" w:hAnsi="Arial"/>
      <w:b/>
      <w:sz w:val="18"/>
    </w:rPr>
  </w:style>
  <w:style w:type="paragraph" w:customStyle="1" w:styleId="IPPArialFootnote">
    <w:name w:val="IPP Arial Footnote"/>
    <w:basedOn w:val="IPPArialTable"/>
    <w:qFormat/>
    <w:rsid w:val="005A1CDC"/>
    <w:pPr>
      <w:tabs>
        <w:tab w:val="left" w:pos="28"/>
      </w:tabs>
      <w:ind w:left="284" w:hanging="284"/>
    </w:pPr>
    <w:rPr>
      <w:sz w:val="16"/>
    </w:rPr>
  </w:style>
  <w:style w:type="paragraph" w:customStyle="1" w:styleId="IPPContentsHead">
    <w:name w:val="IPP ContentsHead"/>
    <w:basedOn w:val="IPPSubhead"/>
    <w:next w:val="IPPNormal"/>
    <w:qFormat/>
    <w:rsid w:val="005A1CDC"/>
    <w:pPr>
      <w:spacing w:after="240"/>
    </w:pPr>
    <w:rPr>
      <w:sz w:val="24"/>
    </w:rPr>
  </w:style>
  <w:style w:type="paragraph" w:styleId="BalloonText">
    <w:name w:val="Balloon Text"/>
    <w:basedOn w:val="Normal"/>
    <w:link w:val="BalloonTextChar"/>
    <w:rsid w:val="005A1CDC"/>
    <w:rPr>
      <w:rFonts w:ascii="Tahoma" w:hAnsi="Tahoma" w:cs="Tahoma"/>
      <w:sz w:val="16"/>
      <w:szCs w:val="16"/>
    </w:rPr>
  </w:style>
  <w:style w:type="character" w:customStyle="1" w:styleId="BalloonTextChar">
    <w:name w:val="Balloon Text Char"/>
    <w:basedOn w:val="DefaultParagraphFont"/>
    <w:link w:val="BalloonText"/>
    <w:rsid w:val="005A1CDC"/>
    <w:rPr>
      <w:rFonts w:ascii="Tahoma" w:eastAsia="MS Mincho" w:hAnsi="Tahoma" w:cs="Tahoma"/>
      <w:sz w:val="16"/>
      <w:szCs w:val="16"/>
      <w:lang w:val="en-GB"/>
    </w:rPr>
  </w:style>
  <w:style w:type="paragraph" w:customStyle="1" w:styleId="IPPBullet2">
    <w:name w:val="IPP Bullet2"/>
    <w:basedOn w:val="IPPNormal"/>
    <w:next w:val="IPPBullet1"/>
    <w:qFormat/>
    <w:rsid w:val="005A1CDC"/>
    <w:pPr>
      <w:numPr>
        <w:numId w:val="17"/>
      </w:numPr>
      <w:tabs>
        <w:tab w:val="left" w:pos="1134"/>
      </w:tabs>
      <w:spacing w:after="60"/>
      <w:ind w:left="1134" w:hanging="567"/>
    </w:pPr>
  </w:style>
  <w:style w:type="paragraph" w:customStyle="1" w:styleId="IPPQuote">
    <w:name w:val="IPP Quote"/>
    <w:basedOn w:val="IPPNormal"/>
    <w:qFormat/>
    <w:rsid w:val="005A1CDC"/>
    <w:pPr>
      <w:ind w:left="851" w:right="851"/>
    </w:pPr>
    <w:rPr>
      <w:sz w:val="18"/>
    </w:rPr>
  </w:style>
  <w:style w:type="paragraph" w:customStyle="1" w:styleId="IPPNormal">
    <w:name w:val="IPP Normal"/>
    <w:basedOn w:val="Normal"/>
    <w:qFormat/>
    <w:rsid w:val="005A1CDC"/>
    <w:pPr>
      <w:spacing w:after="180"/>
    </w:pPr>
    <w:rPr>
      <w:rFonts w:eastAsia="Times"/>
    </w:rPr>
  </w:style>
  <w:style w:type="paragraph" w:customStyle="1" w:styleId="IPPIndentClose">
    <w:name w:val="IPP Indent Close"/>
    <w:basedOn w:val="IPPNormal"/>
    <w:qFormat/>
    <w:rsid w:val="005A1CDC"/>
    <w:pPr>
      <w:tabs>
        <w:tab w:val="left" w:pos="2835"/>
      </w:tabs>
      <w:spacing w:after="60"/>
      <w:ind w:left="567"/>
    </w:pPr>
  </w:style>
  <w:style w:type="paragraph" w:customStyle="1" w:styleId="IPPIndent">
    <w:name w:val="IPP Indent"/>
    <w:basedOn w:val="IPPIndentClose"/>
    <w:qFormat/>
    <w:rsid w:val="005A1CDC"/>
    <w:pPr>
      <w:spacing w:after="180"/>
    </w:pPr>
  </w:style>
  <w:style w:type="paragraph" w:customStyle="1" w:styleId="IPPFootnote">
    <w:name w:val="IPP Footnote"/>
    <w:basedOn w:val="IPPArialFootnote"/>
    <w:qFormat/>
    <w:rsid w:val="005A1CD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A1CDC"/>
    <w:pPr>
      <w:keepNext/>
      <w:tabs>
        <w:tab w:val="left" w:pos="567"/>
      </w:tabs>
      <w:spacing w:before="120" w:after="120"/>
      <w:ind w:left="567" w:hanging="567"/>
    </w:pPr>
    <w:rPr>
      <w:b/>
      <w:i/>
    </w:rPr>
  </w:style>
  <w:style w:type="character" w:customStyle="1" w:styleId="IPPnormalitalics">
    <w:name w:val="IPP normal italics"/>
    <w:basedOn w:val="DefaultParagraphFont"/>
    <w:rsid w:val="005A1CDC"/>
    <w:rPr>
      <w:rFonts w:ascii="Times New Roman" w:hAnsi="Times New Roman"/>
      <w:i/>
      <w:sz w:val="22"/>
      <w:lang w:val="en-US"/>
    </w:rPr>
  </w:style>
  <w:style w:type="character" w:customStyle="1" w:styleId="IPPNormalbold">
    <w:name w:val="IPP Normal bold"/>
    <w:basedOn w:val="PlainTextChar"/>
    <w:rsid w:val="005A1CDC"/>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5A1CD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A1CD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A1CDC"/>
    <w:pPr>
      <w:keepNext/>
      <w:ind w:left="567" w:hanging="567"/>
      <w:jc w:val="left"/>
    </w:pPr>
    <w:rPr>
      <w:b/>
      <w:bCs/>
      <w:iCs/>
      <w:szCs w:val="22"/>
    </w:rPr>
  </w:style>
  <w:style w:type="character" w:customStyle="1" w:styleId="IPPNormalunderlined">
    <w:name w:val="IPP Normal underlined"/>
    <w:basedOn w:val="DefaultParagraphFont"/>
    <w:rsid w:val="005A1CDC"/>
    <w:rPr>
      <w:rFonts w:ascii="Times New Roman" w:hAnsi="Times New Roman"/>
      <w:sz w:val="22"/>
      <w:u w:val="single"/>
      <w:lang w:val="en-US"/>
    </w:rPr>
  </w:style>
  <w:style w:type="paragraph" w:customStyle="1" w:styleId="IPPBullet1">
    <w:name w:val="IPP Bullet1"/>
    <w:basedOn w:val="IPPBullet1Last"/>
    <w:qFormat/>
    <w:rsid w:val="005A1CDC"/>
    <w:pPr>
      <w:numPr>
        <w:numId w:val="30"/>
      </w:numPr>
      <w:spacing w:after="60"/>
      <w:ind w:left="567" w:hanging="567"/>
    </w:pPr>
    <w:rPr>
      <w:lang w:val="en-US"/>
    </w:rPr>
  </w:style>
  <w:style w:type="paragraph" w:customStyle="1" w:styleId="IPPBullet1Last">
    <w:name w:val="IPP Bullet1Last"/>
    <w:basedOn w:val="IPPNormal"/>
    <w:next w:val="IPPNormal"/>
    <w:autoRedefine/>
    <w:qFormat/>
    <w:rsid w:val="005A1CDC"/>
    <w:pPr>
      <w:numPr>
        <w:numId w:val="18"/>
      </w:numPr>
    </w:pPr>
  </w:style>
  <w:style w:type="character" w:customStyle="1" w:styleId="IPPNormalstrikethrough">
    <w:name w:val="IPP Normal strikethrough"/>
    <w:rsid w:val="005A1CDC"/>
    <w:rPr>
      <w:rFonts w:ascii="Times New Roman" w:hAnsi="Times New Roman"/>
      <w:strike/>
      <w:dstrike w:val="0"/>
      <w:sz w:val="22"/>
    </w:rPr>
  </w:style>
  <w:style w:type="paragraph" w:customStyle="1" w:styleId="IPPTitle16pt">
    <w:name w:val="IPP Title16pt"/>
    <w:basedOn w:val="Normal"/>
    <w:qFormat/>
    <w:rsid w:val="005A1CD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A1CDC"/>
    <w:pPr>
      <w:spacing w:after="360"/>
      <w:jc w:val="center"/>
    </w:pPr>
    <w:rPr>
      <w:rFonts w:ascii="Arial" w:hAnsi="Arial" w:cs="Arial"/>
      <w:b/>
      <w:bCs/>
      <w:sz w:val="36"/>
      <w:szCs w:val="36"/>
    </w:rPr>
  </w:style>
  <w:style w:type="paragraph" w:customStyle="1" w:styleId="IPPHeader">
    <w:name w:val="IPP Header"/>
    <w:basedOn w:val="Normal"/>
    <w:qFormat/>
    <w:rsid w:val="005A1CD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A1CDC"/>
    <w:pPr>
      <w:keepNext/>
      <w:tabs>
        <w:tab w:val="left" w:pos="567"/>
      </w:tabs>
      <w:spacing w:before="120"/>
      <w:jc w:val="left"/>
      <w:outlineLvl w:val="1"/>
    </w:pPr>
    <w:rPr>
      <w:b/>
      <w:sz w:val="24"/>
    </w:rPr>
  </w:style>
  <w:style w:type="numbering" w:customStyle="1" w:styleId="IPPParagraphnumberedlist">
    <w:name w:val="IPP Paragraph numbered list"/>
    <w:rsid w:val="005A1CDC"/>
    <w:pPr>
      <w:numPr>
        <w:numId w:val="16"/>
      </w:numPr>
    </w:pPr>
  </w:style>
  <w:style w:type="paragraph" w:customStyle="1" w:styleId="IPPNormalCloseSpace">
    <w:name w:val="IPP NormalCloseSpace"/>
    <w:basedOn w:val="Normal"/>
    <w:qFormat/>
    <w:rsid w:val="005A1CDC"/>
    <w:pPr>
      <w:keepNext/>
      <w:spacing w:after="60"/>
    </w:pPr>
  </w:style>
  <w:style w:type="paragraph" w:customStyle="1" w:styleId="IPPHeading2">
    <w:name w:val="IPP Heading2"/>
    <w:basedOn w:val="IPPNormal"/>
    <w:next w:val="IPPNormal"/>
    <w:qFormat/>
    <w:rsid w:val="005A1CD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5A1CD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A1CDC"/>
    <w:pPr>
      <w:tabs>
        <w:tab w:val="right" w:leader="dot" w:pos="9072"/>
      </w:tabs>
      <w:spacing w:before="240"/>
      <w:ind w:left="567" w:hanging="567"/>
    </w:pPr>
  </w:style>
  <w:style w:type="paragraph" w:styleId="TOC2">
    <w:name w:val="toc 2"/>
    <w:basedOn w:val="TOC1"/>
    <w:next w:val="Normal"/>
    <w:autoRedefine/>
    <w:uiPriority w:val="39"/>
    <w:rsid w:val="005A1CDC"/>
    <w:pPr>
      <w:keepNext w:val="0"/>
      <w:tabs>
        <w:tab w:val="left" w:pos="425"/>
      </w:tabs>
      <w:spacing w:before="120" w:after="0"/>
      <w:ind w:left="425" w:right="284" w:hanging="425"/>
    </w:pPr>
  </w:style>
  <w:style w:type="paragraph" w:styleId="TOC3">
    <w:name w:val="toc 3"/>
    <w:basedOn w:val="TOC2"/>
    <w:next w:val="Normal"/>
    <w:autoRedefine/>
    <w:uiPriority w:val="39"/>
    <w:rsid w:val="005A1CDC"/>
    <w:pPr>
      <w:tabs>
        <w:tab w:val="left" w:pos="1276"/>
      </w:tabs>
      <w:spacing w:before="60"/>
      <w:ind w:left="1276" w:hanging="851"/>
    </w:pPr>
    <w:rPr>
      <w:rFonts w:eastAsia="Times"/>
    </w:rPr>
  </w:style>
  <w:style w:type="paragraph" w:styleId="TOC4">
    <w:name w:val="toc 4"/>
    <w:basedOn w:val="Normal"/>
    <w:next w:val="Normal"/>
    <w:autoRedefine/>
    <w:uiPriority w:val="39"/>
    <w:rsid w:val="005A1CDC"/>
    <w:pPr>
      <w:spacing w:after="120"/>
      <w:ind w:left="660"/>
    </w:pPr>
    <w:rPr>
      <w:rFonts w:eastAsia="Times"/>
      <w:lang w:val="en-AU"/>
    </w:rPr>
  </w:style>
  <w:style w:type="paragraph" w:styleId="TOC5">
    <w:name w:val="toc 5"/>
    <w:basedOn w:val="Normal"/>
    <w:next w:val="Normal"/>
    <w:autoRedefine/>
    <w:uiPriority w:val="39"/>
    <w:rsid w:val="005A1CDC"/>
    <w:pPr>
      <w:spacing w:after="120"/>
      <w:ind w:left="880"/>
    </w:pPr>
    <w:rPr>
      <w:rFonts w:eastAsia="Times"/>
      <w:lang w:val="en-AU"/>
    </w:rPr>
  </w:style>
  <w:style w:type="paragraph" w:styleId="TOC6">
    <w:name w:val="toc 6"/>
    <w:basedOn w:val="Normal"/>
    <w:next w:val="Normal"/>
    <w:autoRedefine/>
    <w:uiPriority w:val="39"/>
    <w:rsid w:val="005A1CDC"/>
    <w:pPr>
      <w:spacing w:after="120"/>
      <w:ind w:left="1100"/>
    </w:pPr>
    <w:rPr>
      <w:rFonts w:eastAsia="Times"/>
      <w:lang w:val="en-AU"/>
    </w:rPr>
  </w:style>
  <w:style w:type="paragraph" w:styleId="TOC7">
    <w:name w:val="toc 7"/>
    <w:basedOn w:val="Normal"/>
    <w:next w:val="Normal"/>
    <w:autoRedefine/>
    <w:uiPriority w:val="39"/>
    <w:rsid w:val="005A1CDC"/>
    <w:pPr>
      <w:spacing w:after="120"/>
      <w:ind w:left="1320"/>
    </w:pPr>
    <w:rPr>
      <w:rFonts w:eastAsia="Times"/>
      <w:lang w:val="en-AU"/>
    </w:rPr>
  </w:style>
  <w:style w:type="paragraph" w:styleId="TOC8">
    <w:name w:val="toc 8"/>
    <w:basedOn w:val="Normal"/>
    <w:next w:val="Normal"/>
    <w:autoRedefine/>
    <w:uiPriority w:val="39"/>
    <w:rsid w:val="005A1CDC"/>
    <w:pPr>
      <w:spacing w:after="120"/>
      <w:ind w:left="1540"/>
    </w:pPr>
    <w:rPr>
      <w:rFonts w:eastAsia="Times"/>
      <w:lang w:val="en-AU"/>
    </w:rPr>
  </w:style>
  <w:style w:type="paragraph" w:styleId="TOC9">
    <w:name w:val="toc 9"/>
    <w:basedOn w:val="Normal"/>
    <w:next w:val="Normal"/>
    <w:autoRedefine/>
    <w:uiPriority w:val="39"/>
    <w:rsid w:val="005A1CDC"/>
    <w:pPr>
      <w:spacing w:after="120"/>
      <w:ind w:left="1760"/>
    </w:pPr>
    <w:rPr>
      <w:rFonts w:eastAsia="Times"/>
      <w:lang w:val="en-AU"/>
    </w:rPr>
  </w:style>
  <w:style w:type="paragraph" w:customStyle="1" w:styleId="IPPReferences">
    <w:name w:val="IPP References"/>
    <w:basedOn w:val="IPPNormal"/>
    <w:qFormat/>
    <w:rsid w:val="005A1CDC"/>
    <w:pPr>
      <w:spacing w:after="60"/>
      <w:ind w:left="567" w:hanging="567"/>
    </w:pPr>
  </w:style>
  <w:style w:type="paragraph" w:customStyle="1" w:styleId="IPPArial">
    <w:name w:val="IPP Arial"/>
    <w:basedOn w:val="IPPNormal"/>
    <w:qFormat/>
    <w:rsid w:val="005A1CDC"/>
    <w:pPr>
      <w:spacing w:after="0"/>
    </w:pPr>
    <w:rPr>
      <w:rFonts w:ascii="Arial" w:hAnsi="Arial"/>
      <w:sz w:val="18"/>
    </w:rPr>
  </w:style>
  <w:style w:type="paragraph" w:customStyle="1" w:styleId="IPPArialTable">
    <w:name w:val="IPP Arial Table"/>
    <w:basedOn w:val="IPPArial"/>
    <w:qFormat/>
    <w:rsid w:val="005A1CDC"/>
    <w:pPr>
      <w:spacing w:before="60" w:after="60"/>
      <w:jc w:val="left"/>
    </w:pPr>
  </w:style>
  <w:style w:type="paragraph" w:customStyle="1" w:styleId="IPPHeaderlandscape">
    <w:name w:val="IPP Header landscape"/>
    <w:basedOn w:val="IPPHeader"/>
    <w:qFormat/>
    <w:rsid w:val="005A1CD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A1CD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A1CDC"/>
    <w:rPr>
      <w:rFonts w:ascii="Courier" w:eastAsia="Times" w:hAnsi="Courier" w:cs="Times New Roman"/>
      <w:sz w:val="21"/>
      <w:szCs w:val="21"/>
      <w:lang w:val="en-AU"/>
    </w:rPr>
  </w:style>
  <w:style w:type="paragraph" w:customStyle="1" w:styleId="IPPLetterList">
    <w:name w:val="IPP LetterList"/>
    <w:basedOn w:val="IPPBullet2"/>
    <w:qFormat/>
    <w:rsid w:val="005A1CDC"/>
    <w:pPr>
      <w:numPr>
        <w:numId w:val="13"/>
      </w:numPr>
      <w:jc w:val="left"/>
    </w:pPr>
  </w:style>
  <w:style w:type="paragraph" w:customStyle="1" w:styleId="IPPLetterListIndent">
    <w:name w:val="IPP LetterList Indent"/>
    <w:basedOn w:val="IPPLetterList"/>
    <w:qFormat/>
    <w:rsid w:val="005A1CDC"/>
    <w:pPr>
      <w:numPr>
        <w:numId w:val="14"/>
      </w:numPr>
    </w:pPr>
  </w:style>
  <w:style w:type="paragraph" w:customStyle="1" w:styleId="IPPFooterLandscape">
    <w:name w:val="IPP Footer Landscape"/>
    <w:basedOn w:val="IPPHeaderlandscape"/>
    <w:qFormat/>
    <w:rsid w:val="005A1CDC"/>
    <w:pPr>
      <w:pBdr>
        <w:top w:val="single" w:sz="4" w:space="1" w:color="auto"/>
        <w:bottom w:val="none" w:sz="0" w:space="0" w:color="auto"/>
      </w:pBdr>
      <w:jc w:val="right"/>
    </w:pPr>
    <w:rPr>
      <w:b/>
    </w:rPr>
  </w:style>
  <w:style w:type="paragraph" w:customStyle="1" w:styleId="IPPSubheadSpace">
    <w:name w:val="IPP Subhead Space"/>
    <w:basedOn w:val="IPPSubhead"/>
    <w:qFormat/>
    <w:rsid w:val="005A1CDC"/>
    <w:pPr>
      <w:tabs>
        <w:tab w:val="left" w:pos="567"/>
      </w:tabs>
      <w:spacing w:before="60" w:after="60"/>
    </w:pPr>
  </w:style>
  <w:style w:type="paragraph" w:customStyle="1" w:styleId="IPPSubheadSpaceAfter">
    <w:name w:val="IPP Subhead SpaceAfter"/>
    <w:basedOn w:val="IPPSubhead"/>
    <w:qFormat/>
    <w:rsid w:val="005A1CDC"/>
    <w:pPr>
      <w:spacing w:after="60"/>
    </w:pPr>
  </w:style>
  <w:style w:type="paragraph" w:customStyle="1" w:styleId="IPPHdg1Num">
    <w:name w:val="IPP Hdg1Num"/>
    <w:basedOn w:val="IPPHeading1"/>
    <w:next w:val="IPPNormal"/>
    <w:qFormat/>
    <w:rsid w:val="005A1CDC"/>
    <w:pPr>
      <w:numPr>
        <w:numId w:val="19"/>
      </w:numPr>
    </w:pPr>
  </w:style>
  <w:style w:type="paragraph" w:customStyle="1" w:styleId="IPPHdg2Num">
    <w:name w:val="IPP Hdg2Num"/>
    <w:basedOn w:val="IPPHeading2"/>
    <w:next w:val="IPPNormal"/>
    <w:qFormat/>
    <w:rsid w:val="005A1CDC"/>
    <w:pPr>
      <w:numPr>
        <w:ilvl w:val="1"/>
        <w:numId w:val="20"/>
      </w:numPr>
    </w:pPr>
  </w:style>
  <w:style w:type="paragraph" w:customStyle="1" w:styleId="IPPNumberedList">
    <w:name w:val="IPP NumberedList"/>
    <w:basedOn w:val="IPPBullet1"/>
    <w:qFormat/>
    <w:rsid w:val="005A1CDC"/>
    <w:pPr>
      <w:numPr>
        <w:numId w:val="28"/>
      </w:numPr>
    </w:pPr>
  </w:style>
  <w:style w:type="character" w:styleId="Strong">
    <w:name w:val="Strong"/>
    <w:basedOn w:val="DefaultParagraphFont"/>
    <w:qFormat/>
    <w:rsid w:val="005A1CDC"/>
    <w:rPr>
      <w:b/>
      <w:bCs/>
    </w:rPr>
  </w:style>
  <w:style w:type="paragraph" w:customStyle="1" w:styleId="IPPParagraphnumbering">
    <w:name w:val="IPP Paragraph numbering"/>
    <w:basedOn w:val="IPPNormal"/>
    <w:qFormat/>
    <w:rsid w:val="005A1CDC"/>
    <w:pPr>
      <w:numPr>
        <w:numId w:val="27"/>
      </w:numPr>
    </w:pPr>
    <w:rPr>
      <w:lang w:val="en-US"/>
    </w:rPr>
  </w:style>
  <w:style w:type="paragraph" w:customStyle="1" w:styleId="IPPParagraphnumberingclose">
    <w:name w:val="IPP Paragraph numbering close"/>
    <w:basedOn w:val="IPPParagraphnumbering"/>
    <w:qFormat/>
    <w:rsid w:val="005A1CDC"/>
    <w:pPr>
      <w:keepNext/>
      <w:spacing w:after="60"/>
    </w:pPr>
  </w:style>
  <w:style w:type="paragraph" w:customStyle="1" w:styleId="IPPNumberedListLast">
    <w:name w:val="IPP NumberedListLast"/>
    <w:basedOn w:val="IPPNumberedList"/>
    <w:qFormat/>
    <w:rsid w:val="005A1CDC"/>
    <w:pPr>
      <w:spacing w:after="180"/>
    </w:pPr>
  </w:style>
  <w:style w:type="character" w:styleId="Hyperlink">
    <w:name w:val="Hyperlink"/>
    <w:basedOn w:val="DefaultParagraphFont"/>
    <w:unhideWhenUsed/>
    <w:rsid w:val="005A1CDC"/>
    <w:rPr>
      <w:color w:val="0000FF"/>
      <w:u w:val="none"/>
    </w:rPr>
  </w:style>
  <w:style w:type="character" w:styleId="FollowedHyperlink">
    <w:name w:val="FollowedHyperlink"/>
    <w:basedOn w:val="DefaultParagraphFont"/>
    <w:semiHidden/>
    <w:unhideWhenUsed/>
    <w:rsid w:val="005A1CDC"/>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896">
      <w:bodyDiv w:val="1"/>
      <w:marLeft w:val="0"/>
      <w:marRight w:val="0"/>
      <w:marTop w:val="0"/>
      <w:marBottom w:val="0"/>
      <w:divBdr>
        <w:top w:val="none" w:sz="0" w:space="0" w:color="auto"/>
        <w:left w:val="none" w:sz="0" w:space="0" w:color="auto"/>
        <w:bottom w:val="none" w:sz="0" w:space="0" w:color="auto"/>
        <w:right w:val="none" w:sz="0" w:space="0" w:color="auto"/>
      </w:divBdr>
    </w:div>
    <w:div w:id="93716504">
      <w:bodyDiv w:val="1"/>
      <w:marLeft w:val="0"/>
      <w:marRight w:val="0"/>
      <w:marTop w:val="0"/>
      <w:marBottom w:val="0"/>
      <w:divBdr>
        <w:top w:val="none" w:sz="0" w:space="0" w:color="auto"/>
        <w:left w:val="none" w:sz="0" w:space="0" w:color="auto"/>
        <w:bottom w:val="none" w:sz="0" w:space="0" w:color="auto"/>
        <w:right w:val="none" w:sz="0" w:space="0" w:color="auto"/>
      </w:divBdr>
    </w:div>
    <w:div w:id="154146446">
      <w:bodyDiv w:val="1"/>
      <w:marLeft w:val="0"/>
      <w:marRight w:val="0"/>
      <w:marTop w:val="0"/>
      <w:marBottom w:val="0"/>
      <w:divBdr>
        <w:top w:val="none" w:sz="0" w:space="0" w:color="auto"/>
        <w:left w:val="none" w:sz="0" w:space="0" w:color="auto"/>
        <w:bottom w:val="none" w:sz="0" w:space="0" w:color="auto"/>
        <w:right w:val="none" w:sz="0" w:space="0" w:color="auto"/>
      </w:divBdr>
    </w:div>
    <w:div w:id="367722742">
      <w:bodyDiv w:val="1"/>
      <w:marLeft w:val="0"/>
      <w:marRight w:val="0"/>
      <w:marTop w:val="0"/>
      <w:marBottom w:val="0"/>
      <w:divBdr>
        <w:top w:val="none" w:sz="0" w:space="0" w:color="auto"/>
        <w:left w:val="none" w:sz="0" w:space="0" w:color="auto"/>
        <w:bottom w:val="none" w:sz="0" w:space="0" w:color="auto"/>
        <w:right w:val="none" w:sz="0" w:space="0" w:color="auto"/>
      </w:divBdr>
    </w:div>
    <w:div w:id="403644179">
      <w:bodyDiv w:val="1"/>
      <w:marLeft w:val="0"/>
      <w:marRight w:val="0"/>
      <w:marTop w:val="0"/>
      <w:marBottom w:val="0"/>
      <w:divBdr>
        <w:top w:val="none" w:sz="0" w:space="0" w:color="auto"/>
        <w:left w:val="none" w:sz="0" w:space="0" w:color="auto"/>
        <w:bottom w:val="none" w:sz="0" w:space="0" w:color="auto"/>
        <w:right w:val="none" w:sz="0" w:space="0" w:color="auto"/>
      </w:divBdr>
    </w:div>
    <w:div w:id="650446150">
      <w:bodyDiv w:val="1"/>
      <w:marLeft w:val="0"/>
      <w:marRight w:val="0"/>
      <w:marTop w:val="0"/>
      <w:marBottom w:val="0"/>
      <w:divBdr>
        <w:top w:val="none" w:sz="0" w:space="0" w:color="auto"/>
        <w:left w:val="none" w:sz="0" w:space="0" w:color="auto"/>
        <w:bottom w:val="none" w:sz="0" w:space="0" w:color="auto"/>
        <w:right w:val="none" w:sz="0" w:space="0" w:color="auto"/>
      </w:divBdr>
    </w:div>
    <w:div w:id="665673382">
      <w:bodyDiv w:val="1"/>
      <w:marLeft w:val="0"/>
      <w:marRight w:val="0"/>
      <w:marTop w:val="0"/>
      <w:marBottom w:val="0"/>
      <w:divBdr>
        <w:top w:val="none" w:sz="0" w:space="0" w:color="auto"/>
        <w:left w:val="none" w:sz="0" w:space="0" w:color="auto"/>
        <w:bottom w:val="none" w:sz="0" w:space="0" w:color="auto"/>
        <w:right w:val="none" w:sz="0" w:space="0" w:color="auto"/>
      </w:divBdr>
    </w:div>
    <w:div w:id="698579883">
      <w:bodyDiv w:val="1"/>
      <w:marLeft w:val="0"/>
      <w:marRight w:val="0"/>
      <w:marTop w:val="0"/>
      <w:marBottom w:val="0"/>
      <w:divBdr>
        <w:top w:val="none" w:sz="0" w:space="0" w:color="auto"/>
        <w:left w:val="none" w:sz="0" w:space="0" w:color="auto"/>
        <w:bottom w:val="none" w:sz="0" w:space="0" w:color="auto"/>
        <w:right w:val="none" w:sz="0" w:space="0" w:color="auto"/>
      </w:divBdr>
    </w:div>
    <w:div w:id="722142795">
      <w:bodyDiv w:val="1"/>
      <w:marLeft w:val="0"/>
      <w:marRight w:val="0"/>
      <w:marTop w:val="0"/>
      <w:marBottom w:val="0"/>
      <w:divBdr>
        <w:top w:val="none" w:sz="0" w:space="0" w:color="auto"/>
        <w:left w:val="none" w:sz="0" w:space="0" w:color="auto"/>
        <w:bottom w:val="none" w:sz="0" w:space="0" w:color="auto"/>
        <w:right w:val="none" w:sz="0" w:space="0" w:color="auto"/>
      </w:divBdr>
    </w:div>
    <w:div w:id="733240476">
      <w:bodyDiv w:val="1"/>
      <w:marLeft w:val="0"/>
      <w:marRight w:val="0"/>
      <w:marTop w:val="0"/>
      <w:marBottom w:val="0"/>
      <w:divBdr>
        <w:top w:val="none" w:sz="0" w:space="0" w:color="auto"/>
        <w:left w:val="none" w:sz="0" w:space="0" w:color="auto"/>
        <w:bottom w:val="none" w:sz="0" w:space="0" w:color="auto"/>
        <w:right w:val="none" w:sz="0" w:space="0" w:color="auto"/>
      </w:divBdr>
    </w:div>
    <w:div w:id="735206938">
      <w:bodyDiv w:val="1"/>
      <w:marLeft w:val="0"/>
      <w:marRight w:val="0"/>
      <w:marTop w:val="0"/>
      <w:marBottom w:val="0"/>
      <w:divBdr>
        <w:top w:val="none" w:sz="0" w:space="0" w:color="auto"/>
        <w:left w:val="none" w:sz="0" w:space="0" w:color="auto"/>
        <w:bottom w:val="none" w:sz="0" w:space="0" w:color="auto"/>
        <w:right w:val="none" w:sz="0" w:space="0" w:color="auto"/>
      </w:divBdr>
    </w:div>
    <w:div w:id="856846025">
      <w:bodyDiv w:val="1"/>
      <w:marLeft w:val="0"/>
      <w:marRight w:val="0"/>
      <w:marTop w:val="0"/>
      <w:marBottom w:val="0"/>
      <w:divBdr>
        <w:top w:val="none" w:sz="0" w:space="0" w:color="auto"/>
        <w:left w:val="none" w:sz="0" w:space="0" w:color="auto"/>
        <w:bottom w:val="none" w:sz="0" w:space="0" w:color="auto"/>
        <w:right w:val="none" w:sz="0" w:space="0" w:color="auto"/>
      </w:divBdr>
    </w:div>
    <w:div w:id="1121462677">
      <w:bodyDiv w:val="1"/>
      <w:marLeft w:val="0"/>
      <w:marRight w:val="0"/>
      <w:marTop w:val="0"/>
      <w:marBottom w:val="0"/>
      <w:divBdr>
        <w:top w:val="none" w:sz="0" w:space="0" w:color="auto"/>
        <w:left w:val="none" w:sz="0" w:space="0" w:color="auto"/>
        <w:bottom w:val="none" w:sz="0" w:space="0" w:color="auto"/>
        <w:right w:val="none" w:sz="0" w:space="0" w:color="auto"/>
      </w:divBdr>
    </w:div>
    <w:div w:id="1129399886">
      <w:bodyDiv w:val="1"/>
      <w:marLeft w:val="0"/>
      <w:marRight w:val="0"/>
      <w:marTop w:val="0"/>
      <w:marBottom w:val="0"/>
      <w:divBdr>
        <w:top w:val="none" w:sz="0" w:space="0" w:color="auto"/>
        <w:left w:val="none" w:sz="0" w:space="0" w:color="auto"/>
        <w:bottom w:val="none" w:sz="0" w:space="0" w:color="auto"/>
        <w:right w:val="none" w:sz="0" w:space="0" w:color="auto"/>
      </w:divBdr>
    </w:div>
    <w:div w:id="1176336726">
      <w:bodyDiv w:val="1"/>
      <w:marLeft w:val="0"/>
      <w:marRight w:val="0"/>
      <w:marTop w:val="0"/>
      <w:marBottom w:val="0"/>
      <w:divBdr>
        <w:top w:val="none" w:sz="0" w:space="0" w:color="auto"/>
        <w:left w:val="none" w:sz="0" w:space="0" w:color="auto"/>
        <w:bottom w:val="none" w:sz="0" w:space="0" w:color="auto"/>
        <w:right w:val="none" w:sz="0" w:space="0" w:color="auto"/>
      </w:divBdr>
    </w:div>
    <w:div w:id="1240169335">
      <w:bodyDiv w:val="1"/>
      <w:marLeft w:val="0"/>
      <w:marRight w:val="0"/>
      <w:marTop w:val="0"/>
      <w:marBottom w:val="0"/>
      <w:divBdr>
        <w:top w:val="none" w:sz="0" w:space="0" w:color="auto"/>
        <w:left w:val="none" w:sz="0" w:space="0" w:color="auto"/>
        <w:bottom w:val="none" w:sz="0" w:space="0" w:color="auto"/>
        <w:right w:val="none" w:sz="0" w:space="0" w:color="auto"/>
      </w:divBdr>
    </w:div>
    <w:div w:id="1366950784">
      <w:bodyDiv w:val="1"/>
      <w:marLeft w:val="0"/>
      <w:marRight w:val="0"/>
      <w:marTop w:val="0"/>
      <w:marBottom w:val="0"/>
      <w:divBdr>
        <w:top w:val="none" w:sz="0" w:space="0" w:color="auto"/>
        <w:left w:val="none" w:sz="0" w:space="0" w:color="auto"/>
        <w:bottom w:val="none" w:sz="0" w:space="0" w:color="auto"/>
        <w:right w:val="none" w:sz="0" w:space="0" w:color="auto"/>
      </w:divBdr>
    </w:div>
    <w:div w:id="1402102139">
      <w:bodyDiv w:val="1"/>
      <w:marLeft w:val="0"/>
      <w:marRight w:val="0"/>
      <w:marTop w:val="0"/>
      <w:marBottom w:val="0"/>
      <w:divBdr>
        <w:top w:val="none" w:sz="0" w:space="0" w:color="auto"/>
        <w:left w:val="none" w:sz="0" w:space="0" w:color="auto"/>
        <w:bottom w:val="none" w:sz="0" w:space="0" w:color="auto"/>
        <w:right w:val="none" w:sz="0" w:space="0" w:color="auto"/>
      </w:divBdr>
    </w:div>
    <w:div w:id="1415594281">
      <w:bodyDiv w:val="1"/>
      <w:marLeft w:val="0"/>
      <w:marRight w:val="0"/>
      <w:marTop w:val="0"/>
      <w:marBottom w:val="0"/>
      <w:divBdr>
        <w:top w:val="none" w:sz="0" w:space="0" w:color="auto"/>
        <w:left w:val="none" w:sz="0" w:space="0" w:color="auto"/>
        <w:bottom w:val="none" w:sz="0" w:space="0" w:color="auto"/>
        <w:right w:val="none" w:sz="0" w:space="0" w:color="auto"/>
      </w:divBdr>
    </w:div>
    <w:div w:id="1474249646">
      <w:bodyDiv w:val="1"/>
      <w:marLeft w:val="0"/>
      <w:marRight w:val="0"/>
      <w:marTop w:val="0"/>
      <w:marBottom w:val="0"/>
      <w:divBdr>
        <w:top w:val="none" w:sz="0" w:space="0" w:color="auto"/>
        <w:left w:val="none" w:sz="0" w:space="0" w:color="auto"/>
        <w:bottom w:val="none" w:sz="0" w:space="0" w:color="auto"/>
        <w:right w:val="none" w:sz="0" w:space="0" w:color="auto"/>
      </w:divBdr>
    </w:div>
    <w:div w:id="1533767284">
      <w:bodyDiv w:val="1"/>
      <w:marLeft w:val="0"/>
      <w:marRight w:val="0"/>
      <w:marTop w:val="0"/>
      <w:marBottom w:val="0"/>
      <w:divBdr>
        <w:top w:val="none" w:sz="0" w:space="0" w:color="auto"/>
        <w:left w:val="none" w:sz="0" w:space="0" w:color="auto"/>
        <w:bottom w:val="none" w:sz="0" w:space="0" w:color="auto"/>
        <w:right w:val="none" w:sz="0" w:space="0" w:color="auto"/>
      </w:divBdr>
    </w:div>
    <w:div w:id="1645741560">
      <w:bodyDiv w:val="1"/>
      <w:marLeft w:val="0"/>
      <w:marRight w:val="0"/>
      <w:marTop w:val="0"/>
      <w:marBottom w:val="0"/>
      <w:divBdr>
        <w:top w:val="none" w:sz="0" w:space="0" w:color="auto"/>
        <w:left w:val="none" w:sz="0" w:space="0" w:color="auto"/>
        <w:bottom w:val="none" w:sz="0" w:space="0" w:color="auto"/>
        <w:right w:val="none" w:sz="0" w:space="0" w:color="auto"/>
      </w:divBdr>
    </w:div>
    <w:div w:id="1793014177">
      <w:bodyDiv w:val="1"/>
      <w:marLeft w:val="0"/>
      <w:marRight w:val="0"/>
      <w:marTop w:val="0"/>
      <w:marBottom w:val="0"/>
      <w:divBdr>
        <w:top w:val="none" w:sz="0" w:space="0" w:color="auto"/>
        <w:left w:val="none" w:sz="0" w:space="0" w:color="auto"/>
        <w:bottom w:val="none" w:sz="0" w:space="0" w:color="auto"/>
        <w:right w:val="none" w:sz="0" w:space="0" w:color="auto"/>
      </w:divBdr>
    </w:div>
    <w:div w:id="1938517515">
      <w:bodyDiv w:val="1"/>
      <w:marLeft w:val="0"/>
      <w:marRight w:val="0"/>
      <w:marTop w:val="0"/>
      <w:marBottom w:val="0"/>
      <w:divBdr>
        <w:top w:val="none" w:sz="0" w:space="0" w:color="auto"/>
        <w:left w:val="none" w:sz="0" w:space="0" w:color="auto"/>
        <w:bottom w:val="none" w:sz="0" w:space="0" w:color="auto"/>
        <w:right w:val="none" w:sz="0" w:space="0" w:color="auto"/>
      </w:divBdr>
    </w:div>
    <w:div w:id="2031255473">
      <w:bodyDiv w:val="1"/>
      <w:marLeft w:val="0"/>
      <w:marRight w:val="0"/>
      <w:marTop w:val="0"/>
      <w:marBottom w:val="0"/>
      <w:divBdr>
        <w:top w:val="none" w:sz="0" w:space="0" w:color="auto"/>
        <w:left w:val="none" w:sz="0" w:space="0" w:color="auto"/>
        <w:bottom w:val="none" w:sz="0" w:space="0" w:color="auto"/>
        <w:right w:val="none" w:sz="0" w:space="0" w:color="auto"/>
      </w:divBdr>
    </w:div>
    <w:div w:id="2039041276">
      <w:bodyDiv w:val="1"/>
      <w:marLeft w:val="0"/>
      <w:marRight w:val="0"/>
      <w:marTop w:val="0"/>
      <w:marBottom w:val="0"/>
      <w:divBdr>
        <w:top w:val="none" w:sz="0" w:space="0" w:color="auto"/>
        <w:left w:val="none" w:sz="0" w:space="0" w:color="auto"/>
        <w:bottom w:val="none" w:sz="0" w:space="0" w:color="auto"/>
        <w:right w:val="none" w:sz="0" w:space="0" w:color="auto"/>
      </w:divBdr>
    </w:div>
    <w:div w:id="2092654148">
      <w:bodyDiv w:val="1"/>
      <w:marLeft w:val="0"/>
      <w:marRight w:val="0"/>
      <w:marTop w:val="0"/>
      <w:marBottom w:val="0"/>
      <w:divBdr>
        <w:top w:val="none" w:sz="0" w:space="0" w:color="auto"/>
        <w:left w:val="none" w:sz="0" w:space="0" w:color="auto"/>
        <w:bottom w:val="none" w:sz="0" w:space="0" w:color="auto"/>
        <w:right w:val="none" w:sz="0" w:space="0" w:color="auto"/>
      </w:divBdr>
    </w:div>
    <w:div w:id="2098866060">
      <w:bodyDiv w:val="1"/>
      <w:marLeft w:val="0"/>
      <w:marRight w:val="0"/>
      <w:marTop w:val="0"/>
      <w:marBottom w:val="0"/>
      <w:divBdr>
        <w:top w:val="none" w:sz="0" w:space="0" w:color="auto"/>
        <w:left w:val="none" w:sz="0" w:space="0" w:color="auto"/>
        <w:bottom w:val="none" w:sz="0" w:space="0" w:color="auto"/>
        <w:right w:val="none" w:sz="0" w:space="0" w:color="auto"/>
      </w:divBdr>
    </w:div>
    <w:div w:id="21364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Downloads\IPPC_2022-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75E48-E907-4734-B349-B03488CA70D1}">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a05d7f75-f42e-4288-8809-604fd4d9691f"/>
    <ds:schemaRef ds:uri="http://schemas.microsoft.com/office/infopath/2007/PartnerControls"/>
    <ds:schemaRef ds:uri="http://schemas.openxmlformats.org/package/2006/metadata/core-properties"/>
    <ds:schemaRef ds:uri="ea6feb38-a85a-45e8-92e9-814486bbe375"/>
    <ds:schemaRef ds:uri="http://www.w3.org/XML/1998/namespace"/>
  </ds:schemaRefs>
</ds:datastoreItem>
</file>

<file path=customXml/itemProps2.xml><?xml version="1.0" encoding="utf-8"?>
<ds:datastoreItem xmlns:ds="http://schemas.openxmlformats.org/officeDocument/2006/customXml" ds:itemID="{07E4FEC0-E965-4470-9B8D-76514120E9C0}">
  <ds:schemaRefs>
    <ds:schemaRef ds:uri="http://schemas.microsoft.com/sharepoint/v3/contenttype/forms"/>
  </ds:schemaRefs>
</ds:datastoreItem>
</file>

<file path=customXml/itemProps3.xml><?xml version="1.0" encoding="utf-8"?>
<ds:datastoreItem xmlns:ds="http://schemas.openxmlformats.org/officeDocument/2006/customXml" ds:itemID="{F8FDFB3E-5CF9-4F92-8794-0D726ECD5631}">
  <ds:schemaRefs>
    <ds:schemaRef ds:uri="http://schemas.openxmlformats.org/officeDocument/2006/bibliography"/>
  </ds:schemaRefs>
</ds:datastoreItem>
</file>

<file path=customXml/itemProps4.xml><?xml version="1.0" encoding="utf-8"?>
<ds:datastoreItem xmlns:ds="http://schemas.openxmlformats.org/officeDocument/2006/customXml" ds:itemID="{BDD29D20-3B2A-4C3B-94D9-FA351FD3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IPPC_2022-12-15.dotx</Template>
  <TotalTime>50</TotalTime>
  <Pages>24</Pages>
  <Words>5780</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Ministry fo Primary Industries</Company>
  <LinksUpToDate>false</LinksUpToDate>
  <CharactersWithSpaces>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Thomson (Pete)</dc:creator>
  <cp:keywords/>
  <dc:description/>
  <cp:lastModifiedBy>Cassin, Aoife (NSP)</cp:lastModifiedBy>
  <cp:revision>31</cp:revision>
  <dcterms:created xsi:type="dcterms:W3CDTF">2023-09-19T09:37:00Z</dcterms:created>
  <dcterms:modified xsi:type="dcterms:W3CDTF">2023-09-21T11:39:00Z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