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D0A2" w14:textId="6C937379" w:rsidR="00885996" w:rsidRPr="00A16F8E" w:rsidRDefault="00A911B8" w:rsidP="00A911B8">
      <w:pPr>
        <w:pStyle w:val="IPPHeading1"/>
      </w:pPr>
      <w:r>
        <w:t>1.</w:t>
      </w:r>
      <w:r>
        <w:tab/>
        <w:t>Opening of the session</w:t>
      </w:r>
    </w:p>
    <w:p w14:paraId="4AF0BADD" w14:textId="5F14CABC" w:rsidR="007A2669" w:rsidRPr="00F128BE" w:rsidRDefault="007A2669" w:rsidP="00393849">
      <w:pPr>
        <w:pStyle w:val="IPPParagraphnumbering"/>
        <w:rPr>
          <w:lang w:val="en-GB"/>
        </w:rPr>
      </w:pPr>
      <w:r w:rsidRPr="00F128BE">
        <w:rPr>
          <w:lang w:val="en-GB"/>
        </w:rPr>
        <w:t xml:space="preserve">The </w:t>
      </w:r>
      <w:r w:rsidR="00E65680" w:rsidRPr="00A16F8E">
        <w:rPr>
          <w:lang w:val="en-GB"/>
        </w:rPr>
        <w:t xml:space="preserve">Commission on Phytosanitary Measures </w:t>
      </w:r>
      <w:r w:rsidR="00E65680">
        <w:rPr>
          <w:lang w:val="en-GB"/>
        </w:rPr>
        <w:t>(</w:t>
      </w:r>
      <w:r w:rsidRPr="00F128BE">
        <w:rPr>
          <w:lang w:val="en-GB"/>
        </w:rPr>
        <w:t>CPM</w:t>
      </w:r>
      <w:r w:rsidR="00E65680">
        <w:rPr>
          <w:lang w:val="en-GB"/>
        </w:rPr>
        <w:t>)</w:t>
      </w:r>
      <w:r w:rsidRPr="00F128BE">
        <w:rPr>
          <w:lang w:val="en-GB"/>
        </w:rPr>
        <w:t xml:space="preserve"> observed a one-minute silence in remembrance of Ahmed Kamal EL-ATTAR (Head of the national plant protection organization (NPPO) of Egypt) and Margaret M</w:t>
      </w:r>
      <w:r w:rsidR="00250136" w:rsidRPr="00F128BE">
        <w:rPr>
          <w:lang w:val="en-GB"/>
        </w:rPr>
        <w:t>ILINGA</w:t>
      </w:r>
      <w:r w:rsidRPr="00F128BE">
        <w:rPr>
          <w:lang w:val="en-GB"/>
        </w:rPr>
        <w:t xml:space="preserve"> MATENGU (Head of the NPPO of Namibia).</w:t>
      </w:r>
    </w:p>
    <w:p w14:paraId="4361313A" w14:textId="048DC016" w:rsidR="004F382D" w:rsidRPr="00A16F8E" w:rsidRDefault="70B43A80" w:rsidP="00393849">
      <w:pPr>
        <w:pStyle w:val="IPPParagraphnumbering"/>
        <w:rPr>
          <w:lang w:val="en-GB"/>
        </w:rPr>
      </w:pPr>
      <w:r w:rsidRPr="00A16F8E">
        <w:rPr>
          <w:lang w:val="en-GB"/>
        </w:rPr>
        <w:t xml:space="preserve">The FAO </w:t>
      </w:r>
      <w:r w:rsidR="256A200D" w:rsidRPr="00A16F8E">
        <w:rPr>
          <w:lang w:val="en-GB"/>
        </w:rPr>
        <w:t>D</w:t>
      </w:r>
      <w:r w:rsidRPr="00A16F8E">
        <w:rPr>
          <w:lang w:val="en-GB"/>
        </w:rPr>
        <w:t xml:space="preserve">irector-General, QU Dongyu, welcomed participants to the Eighteenth Session of the CPM. </w:t>
      </w:r>
      <w:r w:rsidR="1C82E2F7" w:rsidRPr="00A16F8E">
        <w:rPr>
          <w:lang w:val="en-GB"/>
        </w:rPr>
        <w:t xml:space="preserve">He </w:t>
      </w:r>
      <w:r w:rsidR="00A822BD" w:rsidRPr="00A16F8E">
        <w:rPr>
          <w:lang w:val="en-GB"/>
        </w:rPr>
        <w:t>emphasized</w:t>
      </w:r>
      <w:r w:rsidR="6B010734" w:rsidRPr="00A16F8E">
        <w:rPr>
          <w:lang w:val="en-GB"/>
        </w:rPr>
        <w:t xml:space="preserve"> </w:t>
      </w:r>
      <w:r w:rsidR="1C82E2F7" w:rsidRPr="00A16F8E">
        <w:rPr>
          <w:lang w:val="en-GB"/>
        </w:rPr>
        <w:t>the role of the CPM in ensuring the integrity and safety of agricultural produce</w:t>
      </w:r>
      <w:r w:rsidR="008344AF" w:rsidRPr="00A16F8E">
        <w:rPr>
          <w:lang w:val="en-GB"/>
        </w:rPr>
        <w:t xml:space="preserve"> </w:t>
      </w:r>
      <w:r w:rsidR="6B010734" w:rsidRPr="00A16F8E">
        <w:rPr>
          <w:lang w:val="en-GB"/>
        </w:rPr>
        <w:t xml:space="preserve">and </w:t>
      </w:r>
      <w:r w:rsidR="00A822BD" w:rsidRPr="00A16F8E">
        <w:rPr>
          <w:lang w:val="en-GB"/>
        </w:rPr>
        <w:t xml:space="preserve">agrifood systems and hence in safeguarding </w:t>
      </w:r>
      <w:r w:rsidR="00B13F2B">
        <w:rPr>
          <w:lang w:val="en-GB"/>
        </w:rPr>
        <w:t xml:space="preserve">plants and contributing to </w:t>
      </w:r>
      <w:r w:rsidR="00A822BD" w:rsidRPr="00A16F8E">
        <w:rPr>
          <w:lang w:val="en-GB"/>
        </w:rPr>
        <w:t>global food security. He highlighted</w:t>
      </w:r>
      <w:r w:rsidR="6B010734" w:rsidRPr="00A16F8E">
        <w:rPr>
          <w:lang w:val="en-GB"/>
        </w:rPr>
        <w:t xml:space="preserve"> the </w:t>
      </w:r>
      <w:r w:rsidR="00A822BD" w:rsidRPr="00A16F8E">
        <w:rPr>
          <w:lang w:val="en-GB"/>
        </w:rPr>
        <w:t xml:space="preserve">complex and multifaceted challenges facing agriculture and referred to the joint work </w:t>
      </w:r>
      <w:r w:rsidR="6B010734" w:rsidRPr="00A16F8E">
        <w:rPr>
          <w:lang w:val="en-GB"/>
        </w:rPr>
        <w:t xml:space="preserve">of FAO </w:t>
      </w:r>
      <w:r w:rsidR="00A822BD" w:rsidRPr="00A16F8E">
        <w:rPr>
          <w:lang w:val="en-GB"/>
        </w:rPr>
        <w:t xml:space="preserve">and the IPPC Secretariat (hereafter referred to as “the secretariat”) </w:t>
      </w:r>
      <w:r w:rsidR="6B010734" w:rsidRPr="00A16F8E">
        <w:rPr>
          <w:lang w:val="en-GB"/>
        </w:rPr>
        <w:t xml:space="preserve">on protecting bananas from </w:t>
      </w:r>
      <w:r w:rsidR="6B010734" w:rsidRPr="00A16F8E">
        <w:rPr>
          <w:i/>
          <w:iCs/>
          <w:lang w:val="en-GB"/>
        </w:rPr>
        <w:t xml:space="preserve">Fusarium </w:t>
      </w:r>
      <w:proofErr w:type="spellStart"/>
      <w:r w:rsidR="6B010734" w:rsidRPr="00A16F8E">
        <w:rPr>
          <w:i/>
          <w:iCs/>
          <w:lang w:val="en-GB"/>
        </w:rPr>
        <w:t>oxysporum</w:t>
      </w:r>
      <w:proofErr w:type="spellEnd"/>
      <w:r w:rsidR="6B010734" w:rsidRPr="00A16F8E">
        <w:rPr>
          <w:lang w:val="en-GB"/>
        </w:rPr>
        <w:t xml:space="preserve"> </w:t>
      </w:r>
      <w:proofErr w:type="spellStart"/>
      <w:r w:rsidR="6B010734" w:rsidRPr="00A16F8E">
        <w:rPr>
          <w:lang w:val="en-GB"/>
        </w:rPr>
        <w:t>f.sp</w:t>
      </w:r>
      <w:proofErr w:type="spellEnd"/>
      <w:r w:rsidR="6B010734" w:rsidRPr="00A16F8E">
        <w:rPr>
          <w:lang w:val="en-GB"/>
        </w:rPr>
        <w:t xml:space="preserve">. </w:t>
      </w:r>
      <w:proofErr w:type="spellStart"/>
      <w:r w:rsidR="6B010734" w:rsidRPr="00A16F8E">
        <w:rPr>
          <w:i/>
          <w:iCs/>
          <w:lang w:val="en-GB"/>
        </w:rPr>
        <w:t>cubense</w:t>
      </w:r>
      <w:proofErr w:type="spellEnd"/>
      <w:r w:rsidR="6B010734" w:rsidRPr="00A16F8E">
        <w:rPr>
          <w:i/>
          <w:iCs/>
          <w:lang w:val="en-GB"/>
        </w:rPr>
        <w:t xml:space="preserve"> </w:t>
      </w:r>
      <w:r w:rsidR="6B010734" w:rsidRPr="00A16F8E">
        <w:rPr>
          <w:lang w:val="en-GB"/>
        </w:rPr>
        <w:t>Tropical Race 4</w:t>
      </w:r>
      <w:r w:rsidR="4DA4FEF1" w:rsidRPr="00A16F8E">
        <w:rPr>
          <w:lang w:val="en-GB"/>
        </w:rPr>
        <w:t xml:space="preserve"> (</w:t>
      </w:r>
      <w:r w:rsidR="44CD1760" w:rsidRPr="00A16F8E">
        <w:rPr>
          <w:lang w:val="en-GB"/>
        </w:rPr>
        <w:t xml:space="preserve">Fusarium </w:t>
      </w:r>
      <w:r w:rsidR="4DA4FEF1" w:rsidRPr="00A16F8E">
        <w:rPr>
          <w:lang w:val="en-GB"/>
        </w:rPr>
        <w:t>TR4)</w:t>
      </w:r>
      <w:r w:rsidR="6B010734" w:rsidRPr="00A16F8E">
        <w:rPr>
          <w:lang w:val="en-GB"/>
        </w:rPr>
        <w:t>.</w:t>
      </w:r>
      <w:r w:rsidR="256A200D" w:rsidRPr="00A16F8E">
        <w:rPr>
          <w:lang w:val="en-GB"/>
        </w:rPr>
        <w:t xml:space="preserve"> The director-general </w:t>
      </w:r>
      <w:r w:rsidR="4705F3CA" w:rsidRPr="00A16F8E">
        <w:rPr>
          <w:lang w:val="en-GB"/>
        </w:rPr>
        <w:t xml:space="preserve">commented on </w:t>
      </w:r>
      <w:r w:rsidR="256A200D" w:rsidRPr="00A16F8E">
        <w:rPr>
          <w:lang w:val="en-GB"/>
        </w:rPr>
        <w:t xml:space="preserve">the importance of the standards, </w:t>
      </w:r>
      <w:proofErr w:type="gramStart"/>
      <w:r w:rsidR="256A200D" w:rsidRPr="00A16F8E">
        <w:rPr>
          <w:lang w:val="en-GB"/>
        </w:rPr>
        <w:t>amendments</w:t>
      </w:r>
      <w:proofErr w:type="gramEnd"/>
      <w:r w:rsidR="256A200D" w:rsidRPr="00A16F8E">
        <w:rPr>
          <w:lang w:val="en-GB"/>
        </w:rPr>
        <w:t xml:space="preserve"> and recommendations to be adopted at this CPM session</w:t>
      </w:r>
      <w:r w:rsidR="7758E7F5" w:rsidRPr="00A16F8E">
        <w:rPr>
          <w:lang w:val="en-GB"/>
        </w:rPr>
        <w:t>. He also noted</w:t>
      </w:r>
      <w:r w:rsidR="256A200D" w:rsidRPr="00A16F8E">
        <w:rPr>
          <w:lang w:val="en-GB"/>
        </w:rPr>
        <w:t xml:space="preserve"> the contribution of the </w:t>
      </w:r>
      <w:r w:rsidR="006C5847" w:rsidRPr="00A16F8E">
        <w:rPr>
          <w:lang w:val="en-GB"/>
        </w:rPr>
        <w:t xml:space="preserve">IPPC ePhyto Solution in facilitating safe trade and </w:t>
      </w:r>
      <w:r w:rsidR="00365859">
        <w:rPr>
          <w:lang w:val="en-GB"/>
        </w:rPr>
        <w:t xml:space="preserve">the </w:t>
      </w:r>
      <w:r w:rsidR="256A200D" w:rsidRPr="00A16F8E">
        <w:rPr>
          <w:lang w:val="en-GB"/>
        </w:rPr>
        <w:t xml:space="preserve">CPM’s work on managing the impact of climate change </w:t>
      </w:r>
      <w:r w:rsidR="7758E7F5" w:rsidRPr="00A16F8E">
        <w:rPr>
          <w:lang w:val="en-GB"/>
        </w:rPr>
        <w:t>on plant</w:t>
      </w:r>
      <w:r w:rsidR="006C5847" w:rsidRPr="00A16F8E">
        <w:rPr>
          <w:lang w:val="en-GB"/>
        </w:rPr>
        <w:t>s</w:t>
      </w:r>
      <w:r w:rsidR="256A200D" w:rsidRPr="00A16F8E">
        <w:rPr>
          <w:lang w:val="en-GB"/>
        </w:rPr>
        <w:t>.</w:t>
      </w:r>
      <w:r w:rsidR="4705F3CA" w:rsidRPr="00A16F8E">
        <w:rPr>
          <w:lang w:val="en-GB"/>
        </w:rPr>
        <w:t xml:space="preserve"> </w:t>
      </w:r>
    </w:p>
    <w:p w14:paraId="02AA6015" w14:textId="2C332FF4" w:rsidR="004F382D" w:rsidRDefault="004F382D" w:rsidP="004F382D">
      <w:pPr>
        <w:pStyle w:val="IPPParagraphnumbering"/>
        <w:rPr>
          <w:lang w:val="en-GB"/>
        </w:rPr>
      </w:pPr>
      <w:r w:rsidRPr="00712597">
        <w:rPr>
          <w:lang w:val="en-GB"/>
        </w:rPr>
        <w:t xml:space="preserve">The </w:t>
      </w:r>
      <w:r w:rsidR="00260166">
        <w:rPr>
          <w:lang w:val="en-GB"/>
        </w:rPr>
        <w:t xml:space="preserve">IPPC </w:t>
      </w:r>
      <w:r w:rsidRPr="00712597">
        <w:rPr>
          <w:lang w:val="en-GB"/>
        </w:rPr>
        <w:t xml:space="preserve">Secretary, Osama EL-LISSY, thanked the FAO </w:t>
      </w:r>
      <w:r w:rsidR="00260166">
        <w:rPr>
          <w:lang w:val="en-GB"/>
        </w:rPr>
        <w:t>d</w:t>
      </w:r>
      <w:r w:rsidRPr="00712597">
        <w:rPr>
          <w:lang w:val="en-GB"/>
        </w:rPr>
        <w:t>irector-</w:t>
      </w:r>
      <w:r w:rsidR="00260166">
        <w:rPr>
          <w:lang w:val="en-GB"/>
        </w:rPr>
        <w:t>g</w:t>
      </w:r>
      <w:r w:rsidRPr="00712597">
        <w:rPr>
          <w:lang w:val="en-GB"/>
        </w:rPr>
        <w:t xml:space="preserve">eneral and </w:t>
      </w:r>
      <w:r w:rsidR="008B6C57">
        <w:rPr>
          <w:lang w:val="en-GB"/>
        </w:rPr>
        <w:t>offered</w:t>
      </w:r>
      <w:r w:rsidRPr="00712597">
        <w:rPr>
          <w:lang w:val="en-GB"/>
        </w:rPr>
        <w:t xml:space="preserve"> some further opening remarks.</w:t>
      </w:r>
      <w:r w:rsidR="006C264C">
        <w:rPr>
          <w:lang w:val="en-GB"/>
        </w:rPr>
        <w:t xml:space="preserve"> He thanked contracting parties</w:t>
      </w:r>
      <w:r w:rsidR="001F2E22">
        <w:rPr>
          <w:lang w:val="en-GB"/>
        </w:rPr>
        <w:t xml:space="preserve"> (CPs)</w:t>
      </w:r>
      <w:r w:rsidR="007879A3">
        <w:rPr>
          <w:lang w:val="en-GB"/>
        </w:rPr>
        <w:t xml:space="preserve">, </w:t>
      </w:r>
      <w:r w:rsidR="006C264C">
        <w:rPr>
          <w:lang w:val="en-GB"/>
        </w:rPr>
        <w:t xml:space="preserve">regional plant protection organizations (RPPOs) </w:t>
      </w:r>
      <w:r w:rsidR="007879A3">
        <w:rPr>
          <w:lang w:val="en-GB"/>
        </w:rPr>
        <w:t xml:space="preserve">and partner organizations </w:t>
      </w:r>
      <w:r w:rsidR="006C264C">
        <w:rPr>
          <w:lang w:val="en-GB"/>
        </w:rPr>
        <w:t xml:space="preserve">for their commitment, recognized the leadership of the CPM Bureau, thanked the </w:t>
      </w:r>
      <w:r w:rsidR="002D59E9">
        <w:rPr>
          <w:lang w:val="en-GB"/>
        </w:rPr>
        <w:t xml:space="preserve">immediate past </w:t>
      </w:r>
      <w:r w:rsidR="006C264C">
        <w:rPr>
          <w:lang w:val="en-GB"/>
        </w:rPr>
        <w:t xml:space="preserve">CPM chairperson, </w:t>
      </w:r>
      <w:r w:rsidR="006C264C" w:rsidRPr="006C264C">
        <w:rPr>
          <w:lang w:val="en-GB"/>
        </w:rPr>
        <w:t>Lucien KOUAMÉ KONAN</w:t>
      </w:r>
      <w:r w:rsidR="008B6C57">
        <w:rPr>
          <w:lang w:val="en-GB"/>
        </w:rPr>
        <w:t>,</w:t>
      </w:r>
      <w:r w:rsidR="006C264C">
        <w:rPr>
          <w:lang w:val="en-GB"/>
        </w:rPr>
        <w:t xml:space="preserve"> and welcomed the new CPM chairperson, Greg WOLFF. The IPPC secretary expressed his gratitude to </w:t>
      </w:r>
      <w:r w:rsidR="00D31814">
        <w:rPr>
          <w:lang w:val="en-GB"/>
        </w:rPr>
        <w:t xml:space="preserve">resource partners for their financial contributions </w:t>
      </w:r>
      <w:r w:rsidR="006C264C">
        <w:rPr>
          <w:lang w:val="en-GB"/>
        </w:rPr>
        <w:t xml:space="preserve">and recognized the work of </w:t>
      </w:r>
      <w:r w:rsidR="0090211A">
        <w:rPr>
          <w:lang w:val="en-GB"/>
        </w:rPr>
        <w:t xml:space="preserve">the </w:t>
      </w:r>
      <w:r w:rsidR="006C264C">
        <w:rPr>
          <w:lang w:val="en-GB"/>
        </w:rPr>
        <w:t xml:space="preserve">CPM subsidiary bodies and the secretariat. </w:t>
      </w:r>
      <w:r w:rsidR="00D77C6A">
        <w:rPr>
          <w:lang w:val="en-GB"/>
        </w:rPr>
        <w:t>He also looked forward to working with the newest contracting party, Somalia.</w:t>
      </w:r>
      <w:r w:rsidR="0013316F">
        <w:rPr>
          <w:lang w:val="en-GB"/>
        </w:rPr>
        <w:t xml:space="preserve"> </w:t>
      </w:r>
      <w:r w:rsidR="00D31814">
        <w:rPr>
          <w:lang w:val="en-GB"/>
        </w:rPr>
        <w:t xml:space="preserve">Looking to the week </w:t>
      </w:r>
      <w:r w:rsidR="00344406">
        <w:rPr>
          <w:lang w:val="en-GB"/>
        </w:rPr>
        <w:t>ahead</w:t>
      </w:r>
      <w:r w:rsidR="00D31814">
        <w:rPr>
          <w:lang w:val="en-GB"/>
        </w:rPr>
        <w:t xml:space="preserve">, he </w:t>
      </w:r>
      <w:r w:rsidR="00344406">
        <w:rPr>
          <w:lang w:val="en-GB"/>
        </w:rPr>
        <w:t xml:space="preserve">highlighted some </w:t>
      </w:r>
      <w:r w:rsidR="00A16F8E">
        <w:rPr>
          <w:lang w:val="en-GB"/>
        </w:rPr>
        <w:t xml:space="preserve">of </w:t>
      </w:r>
      <w:r w:rsidR="00344406">
        <w:rPr>
          <w:lang w:val="en-GB"/>
        </w:rPr>
        <w:t xml:space="preserve">the </w:t>
      </w:r>
      <w:r w:rsidR="00A16F8E">
        <w:rPr>
          <w:lang w:val="en-GB"/>
        </w:rPr>
        <w:t xml:space="preserve">critical </w:t>
      </w:r>
      <w:r w:rsidR="00D31814">
        <w:rPr>
          <w:lang w:val="en-GB"/>
        </w:rPr>
        <w:t xml:space="preserve">tools </w:t>
      </w:r>
      <w:r w:rsidR="0090211A">
        <w:rPr>
          <w:lang w:val="en-GB"/>
        </w:rPr>
        <w:t xml:space="preserve">being </w:t>
      </w:r>
      <w:r w:rsidR="00344406">
        <w:rPr>
          <w:lang w:val="en-GB"/>
        </w:rPr>
        <w:t xml:space="preserve">developed </w:t>
      </w:r>
      <w:r w:rsidR="0090211A">
        <w:rPr>
          <w:lang w:val="en-GB"/>
        </w:rPr>
        <w:t xml:space="preserve">and the challenges faced in </w:t>
      </w:r>
      <w:r w:rsidR="00243518">
        <w:rPr>
          <w:lang w:val="en-GB"/>
        </w:rPr>
        <w:t xml:space="preserve">advancing </w:t>
      </w:r>
      <w:r w:rsidR="00D31814" w:rsidRPr="00D31814">
        <w:rPr>
          <w:rStyle w:val="normaltextrun"/>
        </w:rPr>
        <w:t>the IPPC mission</w:t>
      </w:r>
      <w:r w:rsidR="00344406">
        <w:rPr>
          <w:rStyle w:val="normaltextrun"/>
        </w:rPr>
        <w:t>.</w:t>
      </w:r>
    </w:p>
    <w:p w14:paraId="05C73706" w14:textId="23CF7A68" w:rsidR="00A911B8" w:rsidRDefault="00A911B8" w:rsidP="00A911B8">
      <w:pPr>
        <w:pStyle w:val="IPPHeading1"/>
      </w:pPr>
      <w:r w:rsidRPr="00712597">
        <w:t>2.</w:t>
      </w:r>
      <w:r w:rsidRPr="00712597">
        <w:tab/>
        <w:t>Keynote address</w:t>
      </w:r>
      <w:r w:rsidR="00CB0CA9">
        <w:t>es</w:t>
      </w:r>
    </w:p>
    <w:p w14:paraId="0562D701" w14:textId="2B94180A" w:rsidR="00CB0CA9" w:rsidRPr="00CB0CA9" w:rsidRDefault="00CB0CA9" w:rsidP="00E707FA">
      <w:pPr>
        <w:pStyle w:val="IPPHeading2"/>
      </w:pPr>
      <w:r>
        <w:t>2.1</w:t>
      </w:r>
      <w:r>
        <w:tab/>
        <w:t xml:space="preserve">Keynote address by </w:t>
      </w:r>
      <w:r w:rsidR="00BB1144" w:rsidRPr="00BB1144">
        <w:t>Canada</w:t>
      </w:r>
      <w:r w:rsidR="00BB1144">
        <w:t>’</w:t>
      </w:r>
      <w:r w:rsidR="00BB1144" w:rsidRPr="00BB1144">
        <w:t>s Minister of Agriculture and Agri-Food</w:t>
      </w:r>
    </w:p>
    <w:p w14:paraId="5BE17C9F" w14:textId="5E9D60E1" w:rsidR="003D6447" w:rsidRPr="007B02F4" w:rsidRDefault="00BB1144" w:rsidP="000C6607">
      <w:pPr>
        <w:pStyle w:val="IPPParagraphnumbering"/>
        <w:rPr>
          <w:lang w:val="en-GB"/>
        </w:rPr>
      </w:pPr>
      <w:proofErr w:type="gramStart"/>
      <w:r w:rsidRPr="007B02F4">
        <w:t xml:space="preserve">The </w:t>
      </w:r>
      <w:proofErr w:type="spellStart"/>
      <w:r w:rsidRPr="007B02F4">
        <w:t>Honourable</w:t>
      </w:r>
      <w:proofErr w:type="spellEnd"/>
      <w:r w:rsidRPr="007B02F4">
        <w:t xml:space="preserve"> Lawrence </w:t>
      </w:r>
      <w:proofErr w:type="spellStart"/>
      <w:r w:rsidRPr="007B02F4">
        <w:t>MacA</w:t>
      </w:r>
      <w:r w:rsidR="00AE3A48" w:rsidRPr="007B02F4">
        <w:t>ULAY</w:t>
      </w:r>
      <w:proofErr w:type="spellEnd"/>
      <w:r w:rsidRPr="007B02F4">
        <w:t>, Canada’s Minister of Agriculture and Agri-Food,</w:t>
      </w:r>
      <w:proofErr w:type="gramEnd"/>
      <w:r w:rsidRPr="007B02F4">
        <w:t xml:space="preserve"> </w:t>
      </w:r>
      <w:r w:rsidR="007B02F4" w:rsidRPr="007B02F4">
        <w:t xml:space="preserve">recalled Canada’s long history of support for the IPPC, </w:t>
      </w:r>
      <w:r w:rsidR="007826AB">
        <w:t xml:space="preserve">Canada </w:t>
      </w:r>
      <w:r w:rsidR="007B02F4" w:rsidRPr="007B02F4">
        <w:t xml:space="preserve">being one of the first </w:t>
      </w:r>
      <w:r w:rsidR="007B02F4">
        <w:t xml:space="preserve">countries to sign the convention. He </w:t>
      </w:r>
      <w:r w:rsidR="00E94C66">
        <w:t>highlighted</w:t>
      </w:r>
      <w:r w:rsidR="007B02F4">
        <w:t xml:space="preserve"> the role of the IPPC community as champions of </w:t>
      </w:r>
      <w:r w:rsidR="007B02F4" w:rsidRPr="007B02F4">
        <w:rPr>
          <w:lang w:val="en-GB"/>
        </w:rPr>
        <w:t>science and rural</w:t>
      </w:r>
      <w:r w:rsidR="007B02F4">
        <w:rPr>
          <w:lang w:val="en-GB"/>
        </w:rPr>
        <w:t>-</w:t>
      </w:r>
      <w:r w:rsidR="007B02F4" w:rsidRPr="007B02F4">
        <w:rPr>
          <w:lang w:val="en-GB"/>
        </w:rPr>
        <w:t xml:space="preserve">based trade with </w:t>
      </w:r>
      <w:r w:rsidR="007B02F4">
        <w:rPr>
          <w:lang w:val="en-GB"/>
        </w:rPr>
        <w:t xml:space="preserve">the highest safety standards, </w:t>
      </w:r>
      <w:r w:rsidR="007C37DB">
        <w:rPr>
          <w:lang w:val="en-GB"/>
        </w:rPr>
        <w:t xml:space="preserve">and he </w:t>
      </w:r>
      <w:r w:rsidR="007B02F4">
        <w:rPr>
          <w:lang w:val="en-GB"/>
        </w:rPr>
        <w:t>recogniz</w:t>
      </w:r>
      <w:r w:rsidR="007C37DB">
        <w:rPr>
          <w:lang w:val="en-GB"/>
        </w:rPr>
        <w:t>ed</w:t>
      </w:r>
      <w:r w:rsidR="007B02F4">
        <w:rPr>
          <w:lang w:val="en-GB"/>
        </w:rPr>
        <w:t xml:space="preserve"> </w:t>
      </w:r>
      <w:r w:rsidR="00B1466C">
        <w:rPr>
          <w:lang w:val="en-GB"/>
        </w:rPr>
        <w:t xml:space="preserve">the role of </w:t>
      </w:r>
      <w:r w:rsidR="007B02F4">
        <w:rPr>
          <w:lang w:val="en-GB"/>
        </w:rPr>
        <w:t xml:space="preserve">trade </w:t>
      </w:r>
      <w:r w:rsidR="00B1466C">
        <w:rPr>
          <w:lang w:val="en-GB"/>
        </w:rPr>
        <w:t xml:space="preserve">in </w:t>
      </w:r>
      <w:r w:rsidR="007B02F4">
        <w:rPr>
          <w:lang w:val="en-GB"/>
        </w:rPr>
        <w:t>strengthen</w:t>
      </w:r>
      <w:r w:rsidR="00B1466C">
        <w:rPr>
          <w:lang w:val="en-GB"/>
        </w:rPr>
        <w:t>ing</w:t>
      </w:r>
      <w:r w:rsidR="007B02F4">
        <w:rPr>
          <w:lang w:val="en-GB"/>
        </w:rPr>
        <w:t xml:space="preserve"> global </w:t>
      </w:r>
      <w:r w:rsidR="007B02F4" w:rsidRPr="007B02F4">
        <w:rPr>
          <w:lang w:val="en-GB"/>
        </w:rPr>
        <w:t xml:space="preserve">food security and </w:t>
      </w:r>
      <w:r w:rsidR="007B02F4">
        <w:rPr>
          <w:lang w:val="en-GB"/>
        </w:rPr>
        <w:t>prosperity</w:t>
      </w:r>
      <w:r w:rsidR="00E94C66">
        <w:rPr>
          <w:lang w:val="en-GB"/>
        </w:rPr>
        <w:t xml:space="preserve">. He expressed his country’s honour at chairing this session of the CPM and pledged the continued support of Canada for </w:t>
      </w:r>
      <w:r w:rsidR="007B02F4" w:rsidRPr="007B02F4">
        <w:rPr>
          <w:lang w:val="en-GB"/>
        </w:rPr>
        <w:t xml:space="preserve">IPPC </w:t>
      </w:r>
      <w:r w:rsidR="00E94C66">
        <w:rPr>
          <w:lang w:val="en-GB"/>
        </w:rPr>
        <w:t xml:space="preserve">work </w:t>
      </w:r>
      <w:r w:rsidR="007B02F4" w:rsidRPr="007B02F4">
        <w:rPr>
          <w:lang w:val="en-GB"/>
        </w:rPr>
        <w:t xml:space="preserve">in the </w:t>
      </w:r>
      <w:r w:rsidR="00E94C66">
        <w:rPr>
          <w:lang w:val="en-GB"/>
        </w:rPr>
        <w:t>future.</w:t>
      </w:r>
    </w:p>
    <w:p w14:paraId="41CE98EB" w14:textId="6CF48BE6" w:rsidR="00CB0CA9" w:rsidRPr="00712597" w:rsidRDefault="00CB0CA9" w:rsidP="00CB0CA9">
      <w:pPr>
        <w:pStyle w:val="IPPHeading1"/>
      </w:pPr>
      <w:r w:rsidRPr="00712597">
        <w:t>2.</w:t>
      </w:r>
      <w:r w:rsidR="00655FF0">
        <w:t>2</w:t>
      </w:r>
      <w:r w:rsidRPr="00712597">
        <w:tab/>
        <w:t>Keynote address</w:t>
      </w:r>
      <w:r>
        <w:t xml:space="preserve"> by </w:t>
      </w:r>
      <w:r w:rsidR="005A5A37">
        <w:t xml:space="preserve">Somalia’s </w:t>
      </w:r>
      <w:r w:rsidR="004132D4">
        <w:t xml:space="preserve">State </w:t>
      </w:r>
      <w:r w:rsidR="005A5A37">
        <w:t>Mini</w:t>
      </w:r>
      <w:r w:rsidR="00027A88">
        <w:t>s</w:t>
      </w:r>
      <w:r w:rsidR="005A5A37">
        <w:t xml:space="preserve">ter of </w:t>
      </w:r>
      <w:r w:rsidR="004132D4" w:rsidRPr="004132D4">
        <w:t>Agriculture and Irriga</w:t>
      </w:r>
      <w:r w:rsidR="004132D4">
        <w:t>tion</w:t>
      </w:r>
    </w:p>
    <w:p w14:paraId="5B776EF1" w14:textId="7A7C5B76" w:rsidR="00E87FBD" w:rsidRPr="00A957F0" w:rsidRDefault="004132D4" w:rsidP="00F552D4">
      <w:pPr>
        <w:pStyle w:val="IPPParagraphnumbering"/>
        <w:rPr>
          <w:lang w:val="en-GB"/>
        </w:rPr>
      </w:pPr>
      <w:r w:rsidRPr="004132D4">
        <w:t>H</w:t>
      </w:r>
      <w:r>
        <w:t>is Excellency</w:t>
      </w:r>
      <w:r w:rsidRPr="004132D4">
        <w:t xml:space="preserve"> Asad Abdirisak </w:t>
      </w:r>
      <w:r>
        <w:t>MOHAMED</w:t>
      </w:r>
      <w:r w:rsidRPr="004132D4">
        <w:t>, Somalia’s State Minister of Agriculture and Irriga</w:t>
      </w:r>
      <w:r>
        <w:t>tion</w:t>
      </w:r>
      <w:r w:rsidR="006D77C2">
        <w:t xml:space="preserve">, </w:t>
      </w:r>
      <w:r w:rsidR="00E2073A">
        <w:t xml:space="preserve">emphasized </w:t>
      </w:r>
      <w:r w:rsidR="006D77C2">
        <w:t xml:space="preserve">the importance of agriculture to Somalia and outlined the reasons why Somalia became a contracting party to the IPPC in 2023. </w:t>
      </w:r>
      <w:r w:rsidR="00E2073A">
        <w:t xml:space="preserve">He explained that Somalia’s decision had been driven by an unwavering commitment to a </w:t>
      </w:r>
      <w:r w:rsidR="00E2073A" w:rsidRPr="00A957F0">
        <w:rPr>
          <w:lang w:val="en-GB"/>
        </w:rPr>
        <w:t>well-developed agricultural sector</w:t>
      </w:r>
      <w:r w:rsidR="00E87FBD" w:rsidRPr="00A957F0">
        <w:rPr>
          <w:lang w:val="en-GB"/>
        </w:rPr>
        <w:t xml:space="preserve">. Joining </w:t>
      </w:r>
      <w:r w:rsidR="00E2073A" w:rsidRPr="00A957F0">
        <w:rPr>
          <w:lang w:val="en-GB"/>
        </w:rPr>
        <w:t>the IPPC community</w:t>
      </w:r>
      <w:r w:rsidR="00E87FBD" w:rsidRPr="00A957F0">
        <w:rPr>
          <w:lang w:val="en-GB"/>
        </w:rPr>
        <w:t xml:space="preserve"> would help Somalia safeguard crops from plant pests and diseases</w:t>
      </w:r>
      <w:r w:rsidR="00C42F15">
        <w:rPr>
          <w:lang w:val="en-GB"/>
        </w:rPr>
        <w:t xml:space="preserve"> and </w:t>
      </w:r>
      <w:r w:rsidR="00C42F15" w:rsidRPr="00A957F0">
        <w:rPr>
          <w:lang w:val="en-GB"/>
        </w:rPr>
        <w:t>streamline trade procedures</w:t>
      </w:r>
      <w:r w:rsidR="00E87FBD" w:rsidRPr="00A957F0">
        <w:rPr>
          <w:lang w:val="en-GB"/>
        </w:rPr>
        <w:t xml:space="preserve">, thereby contributing to </w:t>
      </w:r>
      <w:r w:rsidR="00E2073A" w:rsidRPr="00A957F0">
        <w:rPr>
          <w:lang w:val="en-GB"/>
        </w:rPr>
        <w:t>Somalia</w:t>
      </w:r>
      <w:r w:rsidR="00C262A1">
        <w:rPr>
          <w:lang w:val="en-GB"/>
        </w:rPr>
        <w:t>’</w:t>
      </w:r>
      <w:r w:rsidR="00E2073A" w:rsidRPr="00A957F0">
        <w:rPr>
          <w:lang w:val="en-GB"/>
        </w:rPr>
        <w:t xml:space="preserve">s </w:t>
      </w:r>
      <w:r w:rsidR="00A957F0" w:rsidRPr="00A957F0">
        <w:rPr>
          <w:lang w:val="en-GB"/>
        </w:rPr>
        <w:t xml:space="preserve">food security and </w:t>
      </w:r>
      <w:r w:rsidR="00E2073A" w:rsidRPr="00A957F0">
        <w:rPr>
          <w:lang w:val="en-GB"/>
        </w:rPr>
        <w:t>economic prosperity</w:t>
      </w:r>
      <w:r w:rsidR="00E87FBD" w:rsidRPr="00A957F0">
        <w:rPr>
          <w:lang w:val="en-GB"/>
        </w:rPr>
        <w:t xml:space="preserve">. </w:t>
      </w:r>
      <w:r w:rsidR="00A957F0" w:rsidRPr="00A957F0">
        <w:rPr>
          <w:lang w:val="en-GB"/>
        </w:rPr>
        <w:t xml:space="preserve">Somalia would also greatly benefit from the </w:t>
      </w:r>
      <w:r w:rsidR="009A3187">
        <w:rPr>
          <w:lang w:val="en-GB"/>
        </w:rPr>
        <w:t xml:space="preserve">roll-out of the </w:t>
      </w:r>
      <w:r w:rsidR="00A957F0" w:rsidRPr="00A957F0">
        <w:rPr>
          <w:lang w:val="en-GB"/>
        </w:rPr>
        <w:t>Africa Phytosanitary Programme (APP) within the region. In addition, the minister explained that j</w:t>
      </w:r>
      <w:r w:rsidR="00E87FBD" w:rsidRPr="00A957F0">
        <w:rPr>
          <w:lang w:val="en-GB"/>
        </w:rPr>
        <w:t xml:space="preserve">oining </w:t>
      </w:r>
      <w:r w:rsidR="00A957F0" w:rsidRPr="00A957F0">
        <w:rPr>
          <w:lang w:val="en-GB"/>
        </w:rPr>
        <w:t xml:space="preserve">the IPPC community would provide a platform for Somalia to work alongside other member states to safeguard plant health and that </w:t>
      </w:r>
      <w:r w:rsidR="00E87FBD" w:rsidRPr="00A957F0">
        <w:rPr>
          <w:lang w:val="en-GB"/>
        </w:rPr>
        <w:t xml:space="preserve">Somalia </w:t>
      </w:r>
      <w:r w:rsidR="00A957F0">
        <w:rPr>
          <w:lang w:val="en-GB"/>
        </w:rPr>
        <w:t>wa</w:t>
      </w:r>
      <w:r w:rsidR="00E87FBD" w:rsidRPr="00A957F0">
        <w:rPr>
          <w:lang w:val="en-GB"/>
        </w:rPr>
        <w:t xml:space="preserve">s eager to learn, contribute and collaborate with fellow </w:t>
      </w:r>
      <w:r w:rsidR="001F2E22">
        <w:rPr>
          <w:lang w:val="en-GB"/>
        </w:rPr>
        <w:t>CPs</w:t>
      </w:r>
      <w:r w:rsidR="00C42F15">
        <w:rPr>
          <w:lang w:val="en-GB"/>
        </w:rPr>
        <w:t>.</w:t>
      </w:r>
    </w:p>
    <w:p w14:paraId="0ABA8CC8" w14:textId="059D4265" w:rsidR="00A911B8" w:rsidRPr="00712597" w:rsidRDefault="00A911B8" w:rsidP="00A911B8">
      <w:pPr>
        <w:pStyle w:val="IPPHeading2"/>
      </w:pPr>
      <w:r w:rsidRPr="00712597">
        <w:t>3.</w:t>
      </w:r>
      <w:r w:rsidRPr="00712597">
        <w:tab/>
        <w:t xml:space="preserve">Adoption of the </w:t>
      </w:r>
      <w:r w:rsidR="00F00523" w:rsidRPr="00712597">
        <w:t>a</w:t>
      </w:r>
      <w:r w:rsidRPr="00712597">
        <w:t>genda</w:t>
      </w:r>
    </w:p>
    <w:p w14:paraId="1335FA24" w14:textId="2E531708" w:rsidR="007E7AE8" w:rsidRDefault="007E7AE8" w:rsidP="00F00523">
      <w:pPr>
        <w:pStyle w:val="IPPParagraphnumbering"/>
        <w:rPr>
          <w:lang w:val="en-GB"/>
        </w:rPr>
      </w:pPr>
      <w:r w:rsidRPr="002F3539">
        <w:rPr>
          <w:lang w:val="en-GB"/>
        </w:rPr>
        <w:t>The CPM chairperson gave some opening remarks, reflecting on the history of the IPPC, the importance of engaging with other organizations to safeguard plant health, and the growing recognition of the importance of plant health in the One Health concept.</w:t>
      </w:r>
    </w:p>
    <w:p w14:paraId="1A75E473" w14:textId="62184DA8" w:rsidR="00F00523" w:rsidRDefault="00F00523" w:rsidP="00F00523">
      <w:pPr>
        <w:pStyle w:val="IPPParagraphnumbering"/>
        <w:rPr>
          <w:lang w:val="en-GB"/>
        </w:rPr>
      </w:pPr>
      <w:r w:rsidRPr="00712597">
        <w:rPr>
          <w:lang w:val="en-GB"/>
        </w:rPr>
        <w:lastRenderedPageBreak/>
        <w:t xml:space="preserve">The CPM agreed to consider </w:t>
      </w:r>
      <w:r w:rsidR="0024336D" w:rsidRPr="00712597">
        <w:rPr>
          <w:lang w:val="en-GB"/>
        </w:rPr>
        <w:t>agenda item 11 (CPM recommendations) after agenda item 13.2 (Sea containers)</w:t>
      </w:r>
      <w:r w:rsidR="000B693E">
        <w:rPr>
          <w:lang w:val="en-GB"/>
        </w:rPr>
        <w:t xml:space="preserve">, </w:t>
      </w:r>
      <w:r w:rsidR="00311C6F">
        <w:rPr>
          <w:lang w:val="en-GB"/>
        </w:rPr>
        <w:t xml:space="preserve">move one </w:t>
      </w:r>
      <w:r w:rsidR="000B693E">
        <w:rPr>
          <w:lang w:val="en-GB"/>
        </w:rPr>
        <w:t xml:space="preserve">decision from </w:t>
      </w:r>
      <w:r w:rsidR="00257F44">
        <w:rPr>
          <w:lang w:val="en-GB"/>
        </w:rPr>
        <w:t>agenda item </w:t>
      </w:r>
      <w:r w:rsidR="000B693E">
        <w:rPr>
          <w:lang w:val="en-GB"/>
        </w:rPr>
        <w:t xml:space="preserve">9.1.1 </w:t>
      </w:r>
      <w:r w:rsidR="00311C6F">
        <w:rPr>
          <w:lang w:val="en-GB"/>
        </w:rPr>
        <w:t xml:space="preserve">to </w:t>
      </w:r>
      <w:r w:rsidR="00257F44">
        <w:rPr>
          <w:lang w:val="en-GB"/>
        </w:rPr>
        <w:t>agenda</w:t>
      </w:r>
      <w:r w:rsidR="000B693E">
        <w:rPr>
          <w:lang w:val="en-GB"/>
        </w:rPr>
        <w:t xml:space="preserve"> item</w:t>
      </w:r>
      <w:r w:rsidR="00257F44">
        <w:rPr>
          <w:lang w:val="en-GB"/>
        </w:rPr>
        <w:t> </w:t>
      </w:r>
      <w:r w:rsidR="000B693E">
        <w:rPr>
          <w:lang w:val="en-GB"/>
        </w:rPr>
        <w:t xml:space="preserve">16.5, </w:t>
      </w:r>
      <w:r w:rsidR="005D5F2D" w:rsidRPr="00CA5EB2">
        <w:rPr>
          <w:lang w:val="en-GB"/>
        </w:rPr>
        <w:t xml:space="preserve">and </w:t>
      </w:r>
      <w:r w:rsidR="00311C6F">
        <w:rPr>
          <w:lang w:val="en-GB"/>
        </w:rPr>
        <w:t xml:space="preserve">consider </w:t>
      </w:r>
      <w:r w:rsidR="005D5F2D" w:rsidRPr="00CA5EB2">
        <w:rPr>
          <w:lang w:val="en-GB"/>
        </w:rPr>
        <w:t>agenda item 24 (Date and venue of next session) after agenda item 25 (Adoption of the report)</w:t>
      </w:r>
      <w:r w:rsidR="00CA5EB2">
        <w:rPr>
          <w:lang w:val="en-GB"/>
        </w:rPr>
        <w:t xml:space="preserve">. The CPM </w:t>
      </w:r>
      <w:r w:rsidR="0024336D" w:rsidRPr="00712597">
        <w:rPr>
          <w:lang w:val="en-GB"/>
        </w:rPr>
        <w:t xml:space="preserve">noted that </w:t>
      </w:r>
      <w:r w:rsidRPr="00712597">
        <w:rPr>
          <w:lang w:val="en-GB"/>
        </w:rPr>
        <w:t>agenda item 23 (Any other business)</w:t>
      </w:r>
      <w:r w:rsidR="00257F44">
        <w:rPr>
          <w:lang w:val="en-GB"/>
        </w:rPr>
        <w:t xml:space="preserve"> may be </w:t>
      </w:r>
      <w:r w:rsidR="00311C6F">
        <w:rPr>
          <w:lang w:val="en-GB"/>
        </w:rPr>
        <w:t xml:space="preserve">brought forward and </w:t>
      </w:r>
      <w:r w:rsidR="00257F44">
        <w:rPr>
          <w:lang w:val="en-GB"/>
        </w:rPr>
        <w:t>considered on the Thursday morning.</w:t>
      </w:r>
    </w:p>
    <w:p w14:paraId="25F9BED5" w14:textId="77777777" w:rsidR="00F00523" w:rsidRPr="00712597" w:rsidRDefault="00F00523" w:rsidP="00F00523">
      <w:pPr>
        <w:pStyle w:val="IPPParagraphnumberingclose"/>
        <w:rPr>
          <w:lang w:val="en-GB"/>
        </w:rPr>
      </w:pPr>
      <w:r w:rsidRPr="00712597">
        <w:rPr>
          <w:lang w:val="en-GB"/>
        </w:rPr>
        <w:t>The CPM:</w:t>
      </w:r>
    </w:p>
    <w:p w14:paraId="791AA779" w14:textId="5A19C26E" w:rsidR="00F00523" w:rsidRPr="00712597" w:rsidRDefault="00F00523" w:rsidP="00F00523">
      <w:pPr>
        <w:pStyle w:val="IPPNumberedListLast"/>
        <w:rPr>
          <w:lang w:val="en-GB"/>
        </w:rPr>
      </w:pPr>
      <w:r w:rsidRPr="00712597">
        <w:rPr>
          <w:i/>
          <w:iCs/>
          <w:lang w:val="en-GB"/>
        </w:rPr>
        <w:t>adopted</w:t>
      </w:r>
      <w:r w:rsidRPr="00712597">
        <w:rPr>
          <w:lang w:val="en-GB"/>
        </w:rPr>
        <w:t xml:space="preserve"> the agenda as modified (Appendix 1) and </w:t>
      </w:r>
      <w:r w:rsidRPr="00712597">
        <w:rPr>
          <w:i/>
          <w:iCs/>
          <w:lang w:val="en-GB"/>
        </w:rPr>
        <w:t>noted</w:t>
      </w:r>
      <w:r w:rsidRPr="00712597">
        <w:rPr>
          <w:lang w:val="en-GB"/>
        </w:rPr>
        <w:t xml:space="preserve"> the list of documents (Appendix 2).</w:t>
      </w:r>
    </w:p>
    <w:p w14:paraId="4E254766" w14:textId="0181BE8B" w:rsidR="00EC3ED2" w:rsidRPr="00712597" w:rsidRDefault="00EC3ED2" w:rsidP="00EC3ED2">
      <w:pPr>
        <w:pStyle w:val="IPPHeading2"/>
      </w:pPr>
      <w:r w:rsidRPr="00712597">
        <w:t>3.1</w:t>
      </w:r>
      <w:r w:rsidRPr="00712597">
        <w:tab/>
        <w:t>European Union statement of competence</w:t>
      </w:r>
    </w:p>
    <w:p w14:paraId="4F5DC8CA" w14:textId="77777777" w:rsidR="00F00523" w:rsidRPr="00712597" w:rsidRDefault="00F00523" w:rsidP="00F00523">
      <w:pPr>
        <w:pStyle w:val="IPPParagraphnumberingclose"/>
        <w:rPr>
          <w:lang w:val="en-GB"/>
        </w:rPr>
      </w:pPr>
      <w:r w:rsidRPr="00712597">
        <w:rPr>
          <w:lang w:val="en-GB"/>
        </w:rPr>
        <w:t>The CPM:</w:t>
      </w:r>
    </w:p>
    <w:p w14:paraId="10BA458B" w14:textId="3A4CD4D3" w:rsidR="00EC3ED2" w:rsidRPr="002B2B11" w:rsidRDefault="00F00523" w:rsidP="002B2B11">
      <w:pPr>
        <w:pStyle w:val="IPPNumberedList"/>
        <w:numPr>
          <w:ilvl w:val="0"/>
          <w:numId w:val="60"/>
        </w:numPr>
        <w:spacing w:after="180"/>
        <w:rPr>
          <w:lang w:val="en-GB"/>
        </w:rPr>
      </w:pPr>
      <w:r w:rsidRPr="002110DC">
        <w:rPr>
          <w:i/>
          <w:iCs/>
          <w:lang w:val="en-GB"/>
        </w:rPr>
        <w:t>noted</w:t>
      </w:r>
      <w:r w:rsidRPr="002B2B11">
        <w:rPr>
          <w:lang w:val="en-GB"/>
        </w:rPr>
        <w:t xml:space="preserve"> the Declaration of Competences and Voting Rights submitted by the European Union and its 27 member states.</w:t>
      </w:r>
      <w:r w:rsidR="00735FEC" w:rsidRPr="00712597">
        <w:rPr>
          <w:rStyle w:val="FootnoteReference"/>
          <w:lang w:val="en-GB"/>
        </w:rPr>
        <w:footnoteReference w:id="2"/>
      </w:r>
    </w:p>
    <w:p w14:paraId="7C3E2AA1" w14:textId="5D23EB03" w:rsidR="00A911B8" w:rsidRPr="00712597" w:rsidRDefault="00A911B8" w:rsidP="000D00A7">
      <w:pPr>
        <w:pStyle w:val="IPPHeading1"/>
      </w:pPr>
      <w:r w:rsidRPr="00712597">
        <w:t>4.</w:t>
      </w:r>
      <w:r w:rsidRPr="00712597">
        <w:tab/>
        <w:t>Election of the rapporteur</w:t>
      </w:r>
    </w:p>
    <w:p w14:paraId="5FBD91F9" w14:textId="299C9F69" w:rsidR="00E85377" w:rsidRPr="00712597" w:rsidRDefault="00E85377" w:rsidP="00E85377">
      <w:pPr>
        <w:pStyle w:val="IPPParagraphnumberingclose"/>
        <w:rPr>
          <w:lang w:val="en-GB"/>
        </w:rPr>
      </w:pPr>
      <w:r w:rsidRPr="00712597">
        <w:rPr>
          <w:lang w:val="en-GB"/>
        </w:rPr>
        <w:t xml:space="preserve">The CPM: </w:t>
      </w:r>
    </w:p>
    <w:p w14:paraId="67499792" w14:textId="6F3E9C1B" w:rsidR="00597BC0" w:rsidRPr="002B2B11" w:rsidRDefault="00E85377" w:rsidP="002B2B11">
      <w:pPr>
        <w:pStyle w:val="IPPNumberedList"/>
        <w:numPr>
          <w:ilvl w:val="0"/>
          <w:numId w:val="61"/>
        </w:numPr>
        <w:spacing w:after="180"/>
        <w:rPr>
          <w:lang w:val="en-GB"/>
        </w:rPr>
      </w:pPr>
      <w:r w:rsidRPr="002110DC">
        <w:rPr>
          <w:i/>
          <w:iCs/>
          <w:lang w:val="en-GB"/>
        </w:rPr>
        <w:t>elected</w:t>
      </w:r>
      <w:r w:rsidRPr="002B2B11">
        <w:rPr>
          <w:lang w:val="en-GB"/>
        </w:rPr>
        <w:t xml:space="preserve"> </w:t>
      </w:r>
      <w:r w:rsidR="0098349F" w:rsidRPr="00AC2F7E">
        <w:rPr>
          <w:lang w:val="en-GB"/>
        </w:rPr>
        <w:t xml:space="preserve">John </w:t>
      </w:r>
      <w:r w:rsidR="00AC2F7E" w:rsidRPr="00AC2F7E">
        <w:rPr>
          <w:lang w:val="en-GB"/>
        </w:rPr>
        <w:t>E</w:t>
      </w:r>
      <w:r w:rsidR="0098349F" w:rsidRPr="00AC2F7E">
        <w:rPr>
          <w:lang w:val="en-GB"/>
        </w:rPr>
        <w:t>IVERS</w:t>
      </w:r>
      <w:r w:rsidR="0098349F">
        <w:rPr>
          <w:lang w:val="en-GB"/>
        </w:rPr>
        <w:t xml:space="preserve"> (Ireland) </w:t>
      </w:r>
      <w:r w:rsidRPr="002B2B11">
        <w:rPr>
          <w:lang w:val="en-GB"/>
        </w:rPr>
        <w:t>as rapporteur.</w:t>
      </w:r>
    </w:p>
    <w:p w14:paraId="41B6DAAA" w14:textId="73205FE3" w:rsidR="00A911B8" w:rsidRPr="00712597" w:rsidRDefault="00A911B8" w:rsidP="001616D1">
      <w:pPr>
        <w:pStyle w:val="IPPHeading1"/>
      </w:pPr>
      <w:r w:rsidRPr="00712597">
        <w:t>6.</w:t>
      </w:r>
      <w:r w:rsidRPr="00712597">
        <w:tab/>
        <w:t>Report from the CPM chairperson</w:t>
      </w:r>
    </w:p>
    <w:p w14:paraId="65496906" w14:textId="525262DA" w:rsidR="00A248D9" w:rsidRPr="00AC2F7E" w:rsidRDefault="00A248D9" w:rsidP="004B117A">
      <w:pPr>
        <w:pStyle w:val="IPPParagraphnumbering"/>
        <w:rPr>
          <w:lang w:val="en-GB"/>
        </w:rPr>
      </w:pPr>
      <w:r w:rsidRPr="00712597">
        <w:rPr>
          <w:lang w:val="en-GB"/>
        </w:rPr>
        <w:t>The CPM chairperson presented his report.</w:t>
      </w:r>
      <w:r w:rsidR="009E4F94" w:rsidRPr="00712597">
        <w:rPr>
          <w:rStyle w:val="FootnoteReference"/>
          <w:lang w:val="en-GB"/>
        </w:rPr>
        <w:footnoteReference w:id="3"/>
      </w:r>
      <w:r w:rsidRPr="00712597">
        <w:rPr>
          <w:lang w:val="en-GB"/>
        </w:rPr>
        <w:t xml:space="preserve"> </w:t>
      </w:r>
      <w:r w:rsidR="00F05073">
        <w:rPr>
          <w:lang w:val="en-GB"/>
        </w:rPr>
        <w:t xml:space="preserve">He outlined key decisions made by the CPM Bureau, including suspending the </w:t>
      </w:r>
      <w:r w:rsidR="00F05073" w:rsidRPr="00F05073">
        <w:rPr>
          <w:lang w:val="en-GB"/>
        </w:rPr>
        <w:t xml:space="preserve">arrangement for intersessional decisions to be taken by the </w:t>
      </w:r>
      <w:r w:rsidR="00F05073">
        <w:rPr>
          <w:lang w:val="en-GB"/>
        </w:rPr>
        <w:t>b</w:t>
      </w:r>
      <w:r w:rsidR="00F05073" w:rsidRPr="00F05073">
        <w:rPr>
          <w:lang w:val="en-GB"/>
        </w:rPr>
        <w:t>ureau on behalf of the CPM</w:t>
      </w:r>
      <w:r w:rsidR="00F05073">
        <w:rPr>
          <w:lang w:val="en-GB"/>
        </w:rPr>
        <w:t xml:space="preserve">, agreeing that there was no need to limit the number of focus groups, and agreeing to invite FAO permanent representatives to meet the bureau twice a year. </w:t>
      </w:r>
      <w:r w:rsidR="00E87897" w:rsidRPr="00AC2F7E">
        <w:rPr>
          <w:lang w:val="en-GB"/>
        </w:rPr>
        <w:t xml:space="preserve">He </w:t>
      </w:r>
      <w:r w:rsidR="00E87897" w:rsidRPr="00AC2F7E">
        <w:t>highlighted</w:t>
      </w:r>
      <w:r w:rsidR="00E87897" w:rsidRPr="00AC2F7E">
        <w:rPr>
          <w:lang w:val="en-GB"/>
        </w:rPr>
        <w:t xml:space="preserve"> the need for </w:t>
      </w:r>
      <w:r w:rsidR="00AC2F7E" w:rsidRPr="00AC2F7E">
        <w:rPr>
          <w:lang w:val="en-GB"/>
        </w:rPr>
        <w:t>more</w:t>
      </w:r>
      <w:r w:rsidR="001E6222" w:rsidRPr="00AC2F7E">
        <w:rPr>
          <w:lang w:val="en-GB"/>
        </w:rPr>
        <w:t xml:space="preserve"> </w:t>
      </w:r>
      <w:r w:rsidR="00E87897" w:rsidRPr="00AC2F7E">
        <w:rPr>
          <w:lang w:val="en-GB"/>
        </w:rPr>
        <w:t>funding of IPPC activities</w:t>
      </w:r>
      <w:r w:rsidR="00F05073" w:rsidRPr="00AC2F7E">
        <w:rPr>
          <w:lang w:val="en-GB"/>
        </w:rPr>
        <w:t>,</w:t>
      </w:r>
      <w:r w:rsidR="00875974" w:rsidRPr="00AC2F7E">
        <w:rPr>
          <w:lang w:val="en-GB"/>
        </w:rPr>
        <w:t xml:space="preserve"> </w:t>
      </w:r>
      <w:r w:rsidR="008A438D" w:rsidRPr="00AC2F7E">
        <w:rPr>
          <w:lang w:val="en-GB"/>
        </w:rPr>
        <w:t xml:space="preserve">the </w:t>
      </w:r>
      <w:r w:rsidR="007A2C0D" w:rsidRPr="00AC2F7E">
        <w:rPr>
          <w:lang w:val="en-GB"/>
        </w:rPr>
        <w:t xml:space="preserve">potential benefits of greater </w:t>
      </w:r>
      <w:r w:rsidR="008A438D" w:rsidRPr="00AC2F7E">
        <w:rPr>
          <w:lang w:val="en-GB"/>
        </w:rPr>
        <w:t>engagement in the One Health approach</w:t>
      </w:r>
      <w:r w:rsidR="007A2C0D" w:rsidRPr="00AC2F7E">
        <w:rPr>
          <w:lang w:val="en-GB"/>
        </w:rPr>
        <w:t>,</w:t>
      </w:r>
      <w:r w:rsidR="00F05073" w:rsidRPr="00AC2F7E">
        <w:rPr>
          <w:lang w:val="en-GB"/>
        </w:rPr>
        <w:t xml:space="preserve"> and the progress made on sea containers and the </w:t>
      </w:r>
      <w:r w:rsidR="00A66915">
        <w:rPr>
          <w:lang w:val="en-GB"/>
        </w:rPr>
        <w:t>APP</w:t>
      </w:r>
      <w:r w:rsidR="00F05073" w:rsidRPr="00AC2F7E">
        <w:rPr>
          <w:lang w:val="en-GB"/>
        </w:rPr>
        <w:t xml:space="preserve">. Finally, he </w:t>
      </w:r>
      <w:r w:rsidR="0026790F" w:rsidRPr="00AC2F7E">
        <w:rPr>
          <w:lang w:val="en-GB"/>
        </w:rPr>
        <w:t xml:space="preserve">congratulated the Federal Republic of Somalia on </w:t>
      </w:r>
      <w:r w:rsidR="00F05073" w:rsidRPr="00AC2F7E">
        <w:rPr>
          <w:lang w:val="en-GB"/>
        </w:rPr>
        <w:t xml:space="preserve">their adherence </w:t>
      </w:r>
      <w:r w:rsidR="0026790F" w:rsidRPr="00AC2F7E">
        <w:rPr>
          <w:lang w:val="en-GB"/>
        </w:rPr>
        <w:t xml:space="preserve">to the IPPC and </w:t>
      </w:r>
      <w:r w:rsidR="00183E5F" w:rsidRPr="00AC2F7E">
        <w:rPr>
          <w:lang w:val="en-GB"/>
        </w:rPr>
        <w:t xml:space="preserve">thanked the </w:t>
      </w:r>
      <w:r w:rsidR="00F05073" w:rsidRPr="00AC2F7E">
        <w:rPr>
          <w:lang w:val="en-GB"/>
        </w:rPr>
        <w:t xml:space="preserve">CPM Bureau and the </w:t>
      </w:r>
      <w:r w:rsidR="00655F53" w:rsidRPr="00AC2F7E">
        <w:rPr>
          <w:lang w:val="en-GB"/>
        </w:rPr>
        <w:t>secretariat</w:t>
      </w:r>
      <w:r w:rsidR="00F05073" w:rsidRPr="00AC2F7E">
        <w:rPr>
          <w:lang w:val="en-GB"/>
        </w:rPr>
        <w:t xml:space="preserve"> </w:t>
      </w:r>
      <w:r w:rsidR="00183E5F" w:rsidRPr="00AC2F7E">
        <w:rPr>
          <w:lang w:val="en-GB"/>
        </w:rPr>
        <w:t>for their work</w:t>
      </w:r>
      <w:r w:rsidR="0026790F" w:rsidRPr="00AC2F7E">
        <w:rPr>
          <w:lang w:val="en-GB"/>
        </w:rPr>
        <w:t>.</w:t>
      </w:r>
    </w:p>
    <w:p w14:paraId="0B7AEE0F" w14:textId="77777777" w:rsidR="00A248D9" w:rsidRPr="00712597" w:rsidRDefault="00A248D9" w:rsidP="00A248D9">
      <w:pPr>
        <w:pStyle w:val="IPPParagraphnumberingclose"/>
        <w:rPr>
          <w:lang w:val="en-GB"/>
        </w:rPr>
      </w:pPr>
      <w:r w:rsidRPr="00712597">
        <w:rPr>
          <w:lang w:val="en-GB"/>
        </w:rPr>
        <w:t>The CPM:</w:t>
      </w:r>
    </w:p>
    <w:p w14:paraId="27C026D1" w14:textId="251C7CDE" w:rsidR="00A248D9" w:rsidRPr="002B2B11" w:rsidRDefault="00A248D9" w:rsidP="002B2B11">
      <w:pPr>
        <w:pStyle w:val="IPPNumberedList"/>
        <w:numPr>
          <w:ilvl w:val="0"/>
          <w:numId w:val="63"/>
        </w:numPr>
        <w:spacing w:after="180"/>
        <w:rPr>
          <w:lang w:val="en-GB"/>
        </w:rPr>
      </w:pPr>
      <w:r w:rsidRPr="002B2B11">
        <w:rPr>
          <w:i/>
          <w:iCs/>
          <w:lang w:val="en-GB"/>
        </w:rPr>
        <w:t>noted</w:t>
      </w:r>
      <w:r w:rsidRPr="002B2B11">
        <w:rPr>
          <w:lang w:val="en-GB"/>
        </w:rPr>
        <w:t xml:space="preserve"> the report presented by the CPM chairperson.</w:t>
      </w:r>
    </w:p>
    <w:p w14:paraId="36EDD3AE" w14:textId="387BF421" w:rsidR="00A911B8" w:rsidRPr="00712597" w:rsidRDefault="00A911B8" w:rsidP="000D00A7">
      <w:pPr>
        <w:pStyle w:val="IPPHeading1"/>
      </w:pPr>
      <w:r w:rsidRPr="00712597">
        <w:t>7.</w:t>
      </w:r>
      <w:r w:rsidRPr="00712597">
        <w:tab/>
        <w:t>Report from the IPPC Secretariat</w:t>
      </w:r>
    </w:p>
    <w:p w14:paraId="37771DF5" w14:textId="60A3889D" w:rsidR="00655F53" w:rsidRPr="00CC12FC" w:rsidRDefault="00655F53" w:rsidP="00247B69">
      <w:pPr>
        <w:pStyle w:val="IPPParagraphnumbering"/>
        <w:rPr>
          <w:lang w:val="en-GB"/>
        </w:rPr>
      </w:pPr>
      <w:r w:rsidRPr="00351C10">
        <w:rPr>
          <w:lang w:val="en-GB"/>
        </w:rPr>
        <w:t xml:space="preserve">The IPPC secretary presented the 2023 annual report of the </w:t>
      </w:r>
      <w:r w:rsidR="00382278" w:rsidRPr="00351C10">
        <w:rPr>
          <w:lang w:val="en-GB"/>
        </w:rPr>
        <w:t>s</w:t>
      </w:r>
      <w:r w:rsidRPr="00351C10">
        <w:rPr>
          <w:lang w:val="en-GB"/>
        </w:rPr>
        <w:t>ecretariat</w:t>
      </w:r>
      <w:r w:rsidR="00225D1A">
        <w:rPr>
          <w:lang w:val="en-GB"/>
        </w:rPr>
        <w:t>.</w:t>
      </w:r>
      <w:r w:rsidR="00225D1A" w:rsidRPr="00712597">
        <w:rPr>
          <w:rStyle w:val="FootnoteReference"/>
          <w:lang w:val="en-GB"/>
        </w:rPr>
        <w:footnoteReference w:id="4"/>
      </w:r>
      <w:r w:rsidRPr="00C612E0">
        <w:rPr>
          <w:lang w:val="en-GB"/>
        </w:rPr>
        <w:t xml:space="preserve"> </w:t>
      </w:r>
      <w:r w:rsidR="00225D1A">
        <w:rPr>
          <w:lang w:val="en-GB"/>
        </w:rPr>
        <w:t xml:space="preserve">He </w:t>
      </w:r>
      <w:r w:rsidRPr="00C612E0">
        <w:rPr>
          <w:lang w:val="en-GB"/>
        </w:rPr>
        <w:t>highlight</w:t>
      </w:r>
      <w:r w:rsidR="00225D1A">
        <w:rPr>
          <w:lang w:val="en-GB"/>
        </w:rPr>
        <w:t>ed</w:t>
      </w:r>
      <w:r w:rsidRPr="00C612E0">
        <w:rPr>
          <w:lang w:val="en-GB"/>
        </w:rPr>
        <w:t xml:space="preserve"> </w:t>
      </w:r>
      <w:r w:rsidR="00382278" w:rsidRPr="00C612E0">
        <w:rPr>
          <w:lang w:val="en-GB"/>
        </w:rPr>
        <w:t xml:space="preserve">activities </w:t>
      </w:r>
      <w:r w:rsidR="00A66915">
        <w:rPr>
          <w:lang w:val="en-GB"/>
        </w:rPr>
        <w:t xml:space="preserve">undertaken in the three main areas of secretariat work: </w:t>
      </w:r>
      <w:r w:rsidR="00B828FB" w:rsidRPr="00C612E0">
        <w:rPr>
          <w:lang w:val="en-GB"/>
        </w:rPr>
        <w:t>standard setting, implementation and facil</w:t>
      </w:r>
      <w:r w:rsidR="006B4698" w:rsidRPr="00C612E0">
        <w:rPr>
          <w:lang w:val="en-GB"/>
        </w:rPr>
        <w:t>i</w:t>
      </w:r>
      <w:r w:rsidR="00B828FB" w:rsidRPr="00C612E0">
        <w:rPr>
          <w:lang w:val="en-GB"/>
        </w:rPr>
        <w:t>tation</w:t>
      </w:r>
      <w:r w:rsidR="00A66915">
        <w:rPr>
          <w:lang w:val="en-GB"/>
        </w:rPr>
        <w:t>,</w:t>
      </w:r>
      <w:r w:rsidR="00C612E0" w:rsidRPr="00C612E0">
        <w:rPr>
          <w:lang w:val="en-GB"/>
        </w:rPr>
        <w:t xml:space="preserve"> and</w:t>
      </w:r>
      <w:r w:rsidR="00D00C2A" w:rsidRPr="00C612E0">
        <w:rPr>
          <w:lang w:val="en-GB"/>
        </w:rPr>
        <w:t xml:space="preserve"> </w:t>
      </w:r>
      <w:r w:rsidR="00191F79" w:rsidRPr="00C612E0">
        <w:rPr>
          <w:lang w:val="en-GB"/>
        </w:rPr>
        <w:t>integration and suppor</w:t>
      </w:r>
      <w:r w:rsidR="00191F79" w:rsidRPr="00A66915">
        <w:rPr>
          <w:lang w:val="en-GB"/>
        </w:rPr>
        <w:t>t</w:t>
      </w:r>
      <w:r w:rsidR="00A66915" w:rsidRPr="00A66915">
        <w:rPr>
          <w:lang w:val="en-GB"/>
        </w:rPr>
        <w:t>.</w:t>
      </w:r>
      <w:r w:rsidR="00A66915">
        <w:rPr>
          <w:lang w:val="en-GB"/>
        </w:rPr>
        <w:t xml:space="preserve"> He </w:t>
      </w:r>
      <w:r w:rsidR="004E08FF" w:rsidRPr="004E08FF">
        <w:rPr>
          <w:lang w:val="en-GB"/>
        </w:rPr>
        <w:t>updated the CPM on changes that had been made to bring greater workforce stability</w:t>
      </w:r>
      <w:r w:rsidR="00225D1A">
        <w:rPr>
          <w:lang w:val="en-GB"/>
        </w:rPr>
        <w:t xml:space="preserve"> and highlighted the ten core values of the secretariat, which now included gender equality</w:t>
      </w:r>
      <w:r w:rsidR="004E08FF" w:rsidRPr="004E08FF">
        <w:rPr>
          <w:lang w:val="en-GB"/>
        </w:rPr>
        <w:t xml:space="preserve">. </w:t>
      </w:r>
      <w:r w:rsidR="00A66915">
        <w:rPr>
          <w:lang w:val="en-GB"/>
        </w:rPr>
        <w:t xml:space="preserve">The IPPC secretary </w:t>
      </w:r>
      <w:r w:rsidR="00225D1A">
        <w:rPr>
          <w:lang w:val="en-GB"/>
        </w:rPr>
        <w:t>outlin</w:t>
      </w:r>
      <w:r w:rsidR="008E398B">
        <w:rPr>
          <w:lang w:val="en-GB"/>
        </w:rPr>
        <w:t>ed</w:t>
      </w:r>
      <w:r w:rsidR="00225D1A">
        <w:rPr>
          <w:lang w:val="en-GB"/>
        </w:rPr>
        <w:t xml:space="preserve"> progress with the Global Phytosanitary Programme (starting </w:t>
      </w:r>
      <w:r w:rsidR="00A66915">
        <w:rPr>
          <w:lang w:val="en-GB"/>
        </w:rPr>
        <w:t>with the APP</w:t>
      </w:r>
      <w:r w:rsidR="00225D1A">
        <w:rPr>
          <w:lang w:val="en-GB"/>
        </w:rPr>
        <w:t>), the IPPC Centre of Excellence and the establishment of a trade support team within the secretariat, the latter still being in the vision stage</w:t>
      </w:r>
      <w:r w:rsidR="008E398B">
        <w:rPr>
          <w:lang w:val="en-GB"/>
        </w:rPr>
        <w:t xml:space="preserve">. He </w:t>
      </w:r>
      <w:r w:rsidR="00A66915">
        <w:rPr>
          <w:lang w:val="en-GB"/>
        </w:rPr>
        <w:t xml:space="preserve">then </w:t>
      </w:r>
      <w:r w:rsidR="008E398B">
        <w:rPr>
          <w:lang w:val="en-GB"/>
        </w:rPr>
        <w:t>report</w:t>
      </w:r>
      <w:r w:rsidR="00101086">
        <w:rPr>
          <w:lang w:val="en-GB"/>
        </w:rPr>
        <w:t>ed</w:t>
      </w:r>
      <w:r w:rsidR="008E398B">
        <w:rPr>
          <w:lang w:val="en-GB"/>
        </w:rPr>
        <w:t xml:space="preserve"> on resource mobilization</w:t>
      </w:r>
      <w:r w:rsidR="00101086">
        <w:rPr>
          <w:lang w:val="en-GB"/>
        </w:rPr>
        <w:t xml:space="preserve">, including </w:t>
      </w:r>
      <w:r w:rsidR="00101086" w:rsidRPr="00CC12FC">
        <w:rPr>
          <w:lang w:val="en-GB"/>
        </w:rPr>
        <w:t>funding from FAO and partners</w:t>
      </w:r>
      <w:r w:rsidR="00225D1A" w:rsidRPr="00CC12FC">
        <w:rPr>
          <w:lang w:val="en-GB"/>
        </w:rPr>
        <w:t>.</w:t>
      </w:r>
      <w:r w:rsidR="00101086" w:rsidRPr="00CC12FC">
        <w:rPr>
          <w:lang w:val="en-GB"/>
        </w:rPr>
        <w:t xml:space="preserve"> He finished by thanking the secretariat.</w:t>
      </w:r>
    </w:p>
    <w:p w14:paraId="7BE164B7" w14:textId="5B30B5E8" w:rsidR="007E2536" w:rsidRPr="00CC12FC" w:rsidRDefault="007E2536" w:rsidP="00B12014">
      <w:pPr>
        <w:pStyle w:val="IPPParagraphnumbering"/>
        <w:rPr>
          <w:lang w:val="en-GB"/>
        </w:rPr>
      </w:pPr>
      <w:r w:rsidRPr="31EB4E02">
        <w:rPr>
          <w:lang w:val="en-GB"/>
        </w:rPr>
        <w:t xml:space="preserve">The CPM </w:t>
      </w:r>
      <w:r w:rsidR="00B12014">
        <w:rPr>
          <w:lang w:val="en-GB"/>
        </w:rPr>
        <w:t xml:space="preserve">expressed appreciation for the benefits that the APP was already bringing to the pilot countries but </w:t>
      </w:r>
      <w:r w:rsidR="00A66915" w:rsidRPr="31EB4E02">
        <w:rPr>
          <w:lang w:val="en-GB"/>
        </w:rPr>
        <w:t>acknowledged</w:t>
      </w:r>
      <w:r w:rsidRPr="31EB4E02">
        <w:rPr>
          <w:lang w:val="en-GB"/>
        </w:rPr>
        <w:t xml:space="preserve"> the continued need </w:t>
      </w:r>
      <w:r w:rsidR="00AC2F7E" w:rsidRPr="31EB4E02">
        <w:rPr>
          <w:lang w:val="en-GB"/>
        </w:rPr>
        <w:t xml:space="preserve">to </w:t>
      </w:r>
      <w:r w:rsidR="00A66915" w:rsidRPr="31EB4E02">
        <w:rPr>
          <w:lang w:val="en-GB"/>
        </w:rPr>
        <w:t xml:space="preserve">increase </w:t>
      </w:r>
      <w:r w:rsidR="00A66915" w:rsidRPr="00B12014">
        <w:t>the</w:t>
      </w:r>
      <w:r w:rsidR="00A66915" w:rsidRPr="31EB4E02">
        <w:rPr>
          <w:lang w:val="en-GB"/>
        </w:rPr>
        <w:t xml:space="preserve"> visibility of the APP and for funding </w:t>
      </w:r>
      <w:r w:rsidR="00B12014">
        <w:rPr>
          <w:lang w:val="en-GB"/>
        </w:rPr>
        <w:t xml:space="preserve">partners </w:t>
      </w:r>
      <w:r w:rsidR="00A66915" w:rsidRPr="31EB4E02">
        <w:rPr>
          <w:lang w:val="en-GB"/>
        </w:rPr>
        <w:t xml:space="preserve">to </w:t>
      </w:r>
      <w:r w:rsidR="00B12014">
        <w:rPr>
          <w:lang w:val="en-GB"/>
        </w:rPr>
        <w:t>contribute resources to it</w:t>
      </w:r>
      <w:r w:rsidR="00A66915" w:rsidRPr="31EB4E02">
        <w:rPr>
          <w:lang w:val="en-GB"/>
        </w:rPr>
        <w:t>.</w:t>
      </w:r>
    </w:p>
    <w:p w14:paraId="7785E4C0" w14:textId="77777777" w:rsidR="00655F53" w:rsidRPr="00712597" w:rsidRDefault="00655F53" w:rsidP="00655F53">
      <w:pPr>
        <w:pStyle w:val="IPPParagraphnumberingclose"/>
        <w:rPr>
          <w:lang w:val="en-GB"/>
        </w:rPr>
      </w:pPr>
      <w:r w:rsidRPr="00712597">
        <w:rPr>
          <w:lang w:val="en-GB"/>
        </w:rPr>
        <w:t>The CPM:</w:t>
      </w:r>
    </w:p>
    <w:p w14:paraId="2707E088" w14:textId="3D5A0878" w:rsidR="00597BC0" w:rsidRPr="002B2B11" w:rsidRDefault="00655F53" w:rsidP="002B2B11">
      <w:pPr>
        <w:pStyle w:val="IPPNumberedList"/>
        <w:numPr>
          <w:ilvl w:val="0"/>
          <w:numId w:val="64"/>
        </w:numPr>
        <w:spacing w:after="180"/>
        <w:rPr>
          <w:lang w:val="en-GB"/>
        </w:rPr>
      </w:pPr>
      <w:r w:rsidRPr="31EB4E02">
        <w:rPr>
          <w:i/>
          <w:iCs/>
          <w:lang w:val="en-GB"/>
        </w:rPr>
        <w:t>noted</w:t>
      </w:r>
      <w:r w:rsidRPr="31EB4E02">
        <w:rPr>
          <w:lang w:val="en-GB"/>
        </w:rPr>
        <w:t xml:space="preserve"> the 2023 annual report presented by the IPPC Secretariat.</w:t>
      </w:r>
    </w:p>
    <w:p w14:paraId="7AC38623" w14:textId="4D39892F" w:rsidR="00A911B8" w:rsidRPr="00365859" w:rsidRDefault="00A911B8" w:rsidP="000D00A7">
      <w:pPr>
        <w:pStyle w:val="IPPHeading1"/>
      </w:pPr>
      <w:r w:rsidRPr="00365859">
        <w:lastRenderedPageBreak/>
        <w:t>8.</w:t>
      </w:r>
      <w:r w:rsidRPr="00365859">
        <w:tab/>
        <w:t>Report from the Strategic Planning Group</w:t>
      </w:r>
    </w:p>
    <w:p w14:paraId="02DC8315" w14:textId="1C893F4F" w:rsidR="0050222C" w:rsidRPr="00365859" w:rsidRDefault="0050222C" w:rsidP="001242ED">
      <w:pPr>
        <w:pStyle w:val="IPPParagraphnumbering"/>
        <w:rPr>
          <w:lang w:val="en-GB"/>
        </w:rPr>
      </w:pPr>
      <w:r w:rsidRPr="00365859">
        <w:rPr>
          <w:lang w:val="en-GB"/>
        </w:rPr>
        <w:t>The chairperson of the Strategic Planning Group (SPG) presented the SPG’s 2023 summary report</w:t>
      </w:r>
      <w:r w:rsidR="00496310" w:rsidRPr="00365859">
        <w:rPr>
          <w:lang w:val="en-GB"/>
        </w:rPr>
        <w:t>,</w:t>
      </w:r>
      <w:r w:rsidRPr="00365859">
        <w:rPr>
          <w:lang w:val="en-GB"/>
        </w:rPr>
        <w:t xml:space="preserve"> </w:t>
      </w:r>
      <w:r w:rsidR="00496310" w:rsidRPr="00365859">
        <w:rPr>
          <w:lang w:val="en-GB"/>
        </w:rPr>
        <w:t xml:space="preserve">which </w:t>
      </w:r>
      <w:r w:rsidRPr="00365859">
        <w:rPr>
          <w:lang w:val="en-GB"/>
        </w:rPr>
        <w:t>highlighted the most significant issues discussed by the SPG at its meeting in October 2023</w:t>
      </w:r>
      <w:r w:rsidR="00496310" w:rsidRPr="00365859">
        <w:rPr>
          <w:lang w:val="en-GB"/>
        </w:rPr>
        <w:t>.</w:t>
      </w:r>
      <w:r w:rsidR="00496310" w:rsidRPr="00365859">
        <w:rPr>
          <w:rStyle w:val="FootnoteReference"/>
          <w:lang w:val="en-GB"/>
        </w:rPr>
        <w:footnoteReference w:id="5"/>
      </w:r>
      <w:r w:rsidR="001242ED" w:rsidRPr="00365859">
        <w:rPr>
          <w:lang w:val="en-GB"/>
        </w:rPr>
        <w:t xml:space="preserve"> </w:t>
      </w:r>
      <w:r w:rsidR="00496310" w:rsidRPr="00365859">
        <w:rPr>
          <w:lang w:val="en-GB"/>
        </w:rPr>
        <w:t xml:space="preserve">These issues included </w:t>
      </w:r>
      <w:r w:rsidR="001242ED" w:rsidRPr="00365859">
        <w:rPr>
          <w:lang w:val="en-GB"/>
        </w:rPr>
        <w:t xml:space="preserve">a strategic review of the </w:t>
      </w:r>
      <w:r w:rsidR="00664BDC" w:rsidRPr="00365859">
        <w:rPr>
          <w:lang w:val="en-GB"/>
        </w:rPr>
        <w:t>threats and opportunities for the IPPC community</w:t>
      </w:r>
      <w:r w:rsidR="001C1A33" w:rsidRPr="00365859">
        <w:rPr>
          <w:lang w:val="en-GB"/>
        </w:rPr>
        <w:t xml:space="preserve">, </w:t>
      </w:r>
      <w:r w:rsidR="00365859" w:rsidRPr="00365859">
        <w:rPr>
          <w:lang w:val="en-GB"/>
        </w:rPr>
        <w:t xml:space="preserve">terms of reference for two new focus groups, </w:t>
      </w:r>
      <w:r w:rsidR="00CA3CC3" w:rsidRPr="00365859">
        <w:rPr>
          <w:lang w:val="en-GB"/>
        </w:rPr>
        <w:t xml:space="preserve">plans for </w:t>
      </w:r>
      <w:r w:rsidR="001242ED" w:rsidRPr="00365859">
        <w:rPr>
          <w:lang w:val="en-GB"/>
        </w:rPr>
        <w:t xml:space="preserve">the </w:t>
      </w:r>
      <w:r w:rsidR="00CA3CC3" w:rsidRPr="00365859">
        <w:rPr>
          <w:lang w:val="en-GB"/>
        </w:rPr>
        <w:t xml:space="preserve">2024 </w:t>
      </w:r>
      <w:r w:rsidR="001242ED" w:rsidRPr="00365859">
        <w:rPr>
          <w:lang w:val="en-GB"/>
        </w:rPr>
        <w:t>Technical Consultation among Regional Plant Protection Organizations (TC-RPPOs)</w:t>
      </w:r>
      <w:r w:rsidR="00CA3CC3" w:rsidRPr="00365859">
        <w:rPr>
          <w:lang w:val="en-GB"/>
        </w:rPr>
        <w:t xml:space="preserve"> and the need for financial support to help some RPPOs to attend</w:t>
      </w:r>
      <w:r w:rsidR="001242ED" w:rsidRPr="00365859">
        <w:rPr>
          <w:lang w:val="en-GB"/>
        </w:rPr>
        <w:t xml:space="preserve">; </w:t>
      </w:r>
      <w:r w:rsidR="00365859" w:rsidRPr="00365859">
        <w:rPr>
          <w:lang w:val="en-GB"/>
        </w:rPr>
        <w:t xml:space="preserve">the APP; </w:t>
      </w:r>
      <w:r w:rsidR="001242ED" w:rsidRPr="00365859">
        <w:rPr>
          <w:lang w:val="en-GB"/>
        </w:rPr>
        <w:t xml:space="preserve">and the planned activities for global coordination of </w:t>
      </w:r>
      <w:r w:rsidR="00763F3F" w:rsidRPr="00365859">
        <w:rPr>
          <w:lang w:val="en-GB"/>
        </w:rPr>
        <w:t xml:space="preserve">Fusarium </w:t>
      </w:r>
      <w:r w:rsidR="0093497B" w:rsidRPr="00365859">
        <w:rPr>
          <w:lang w:val="en-GB"/>
        </w:rPr>
        <w:t xml:space="preserve">TR4 </w:t>
      </w:r>
      <w:r w:rsidR="001242ED" w:rsidRPr="00365859">
        <w:rPr>
          <w:lang w:val="en-GB"/>
        </w:rPr>
        <w:t>action.</w:t>
      </w:r>
    </w:p>
    <w:p w14:paraId="4D797456" w14:textId="64F68CE6" w:rsidR="00365859" w:rsidRPr="00365859" w:rsidRDefault="00365859" w:rsidP="00365859">
      <w:pPr>
        <w:pStyle w:val="IPPParagraphnumbering"/>
        <w:rPr>
          <w:lang w:val="en-GB"/>
        </w:rPr>
      </w:pPr>
      <w:r w:rsidRPr="00365859">
        <w:rPr>
          <w:lang w:val="en-GB"/>
        </w:rPr>
        <w:t>The CPM noted a call for the timing of the SPG meeting to be moved from October to January, to increase the level of participation as there are fewer meetings in January, and for the criteria for financial assistance to be communicated more effectively. The CPM chairperson explained that the timing of meetings was determined by the timing of the CPM meeting and associated deadlines</w:t>
      </w:r>
      <w:r w:rsidR="00DB471C">
        <w:rPr>
          <w:lang w:val="en-GB"/>
        </w:rPr>
        <w:t>,</w:t>
      </w:r>
      <w:r w:rsidRPr="00365859">
        <w:rPr>
          <w:lang w:val="en-GB"/>
        </w:rPr>
        <w:t xml:space="preserve"> and it </w:t>
      </w:r>
      <w:r w:rsidR="006C1798">
        <w:rPr>
          <w:lang w:val="en-GB"/>
        </w:rPr>
        <w:t>would</w:t>
      </w:r>
      <w:r w:rsidRPr="00365859">
        <w:rPr>
          <w:lang w:val="en-GB"/>
        </w:rPr>
        <w:t xml:space="preserve"> be difficult to change that cycle of meetings, but he noted the call for the matter to be considered. Regarding financial assistance, he explained that the CPM Bureau were in the process of drafting criteria for financial assistance to support attendance at SPG meetings.</w:t>
      </w:r>
    </w:p>
    <w:p w14:paraId="31488ACC" w14:textId="77777777" w:rsidR="0050222C" w:rsidRPr="00365859" w:rsidRDefault="0050222C" w:rsidP="004B117A">
      <w:pPr>
        <w:pStyle w:val="IPPParagraphnumberingclose"/>
      </w:pPr>
      <w:r w:rsidRPr="00365859">
        <w:t>The CPM:</w:t>
      </w:r>
    </w:p>
    <w:p w14:paraId="69E70E72" w14:textId="7EB1C424" w:rsidR="0050222C" w:rsidRDefault="0050222C" w:rsidP="002B2B11">
      <w:pPr>
        <w:pStyle w:val="IPPNumberedList"/>
        <w:numPr>
          <w:ilvl w:val="0"/>
          <w:numId w:val="65"/>
        </w:numPr>
        <w:spacing w:after="180"/>
        <w:rPr>
          <w:lang w:val="en-GB"/>
        </w:rPr>
      </w:pPr>
      <w:r w:rsidRPr="00365859">
        <w:rPr>
          <w:i/>
          <w:iCs/>
          <w:lang w:val="en-GB"/>
        </w:rPr>
        <w:t>noted</w:t>
      </w:r>
      <w:r w:rsidRPr="00365859">
        <w:rPr>
          <w:lang w:val="en-GB"/>
        </w:rPr>
        <w:t xml:space="preserve"> the summary of the 2023 meeting of the SPG.</w:t>
      </w:r>
    </w:p>
    <w:p w14:paraId="65D41434" w14:textId="77777777" w:rsidR="005D0471" w:rsidRPr="00712597" w:rsidRDefault="005D0471" w:rsidP="005D0471">
      <w:pPr>
        <w:pStyle w:val="IPPHeading1"/>
      </w:pPr>
      <w:r w:rsidRPr="00712597">
        <w:t>9.</w:t>
      </w:r>
      <w:r w:rsidRPr="00712597">
        <w:tab/>
        <w:t>Report from CPM subsidiary bodies</w:t>
      </w:r>
    </w:p>
    <w:p w14:paraId="141807C1" w14:textId="77777777" w:rsidR="005D0471" w:rsidRPr="00712597" w:rsidRDefault="005D0471" w:rsidP="005D0471">
      <w:pPr>
        <w:pStyle w:val="IPPHeading2"/>
      </w:pPr>
      <w:r w:rsidRPr="00712597">
        <w:t>9.1</w:t>
      </w:r>
      <w:r w:rsidRPr="00712597">
        <w:tab/>
        <w:t>Report from the Standards Committee</w:t>
      </w:r>
    </w:p>
    <w:p w14:paraId="78EE2A10" w14:textId="77777777" w:rsidR="005D0471" w:rsidRPr="0062768F" w:rsidRDefault="005D0471" w:rsidP="005D0471">
      <w:pPr>
        <w:pStyle w:val="IPPParagraphnumbering"/>
        <w:rPr>
          <w:lang w:val="en-GB"/>
        </w:rPr>
      </w:pPr>
      <w:r w:rsidRPr="00907DD1">
        <w:rPr>
          <w:lang w:val="en-GB"/>
        </w:rPr>
        <w:t>The Standards Committee (SC) chairperson presented the report of the SC’s activities during 2023.</w:t>
      </w:r>
      <w:r w:rsidRPr="00712597">
        <w:rPr>
          <w:rStyle w:val="FootnoteReference"/>
          <w:lang w:val="en-GB"/>
        </w:rPr>
        <w:footnoteReference w:id="6"/>
      </w:r>
      <w:r w:rsidRPr="00907DD1">
        <w:rPr>
          <w:lang w:val="en-GB"/>
        </w:rPr>
        <w:t xml:space="preserve"> Among the achievements during the past year, </w:t>
      </w:r>
      <w:r w:rsidRPr="0062768F">
        <w:rPr>
          <w:lang w:val="en-GB"/>
        </w:rPr>
        <w:t xml:space="preserve">one revised standard and one new annex to a standard had been drafted, ten draft standards had been submitted for consultation, two diagnostic protocols (DPs) had been adopted by the SC on behalf of the CPM, and four draft standards were being recommended to CPM-18 (2024) for adoption. The SC chairperson also </w:t>
      </w:r>
      <w:r>
        <w:rPr>
          <w:lang w:val="en-GB"/>
        </w:rPr>
        <w:t xml:space="preserve">commented on </w:t>
      </w:r>
      <w:r w:rsidRPr="0062768F">
        <w:rPr>
          <w:lang w:val="en-GB"/>
        </w:rPr>
        <w:t>some of the challenges</w:t>
      </w:r>
      <w:r>
        <w:rPr>
          <w:lang w:val="en-GB"/>
        </w:rPr>
        <w:t xml:space="preserve">, including </w:t>
      </w:r>
      <w:r w:rsidRPr="00907DD1">
        <w:rPr>
          <w:lang w:val="en-GB"/>
        </w:rPr>
        <w:t xml:space="preserve">budgetary constraints </w:t>
      </w:r>
      <w:r>
        <w:rPr>
          <w:lang w:val="en-GB"/>
        </w:rPr>
        <w:t xml:space="preserve">affecting </w:t>
      </w:r>
      <w:r w:rsidRPr="00907DD1">
        <w:rPr>
          <w:lang w:val="en-GB"/>
        </w:rPr>
        <w:t xml:space="preserve">the participation of some SC members, </w:t>
      </w:r>
      <w:r>
        <w:rPr>
          <w:lang w:val="en-GB"/>
        </w:rPr>
        <w:t xml:space="preserve">changes in stewards </w:t>
      </w:r>
      <w:r w:rsidRPr="00907DD1">
        <w:rPr>
          <w:lang w:val="en-GB"/>
        </w:rPr>
        <w:t xml:space="preserve">over the long course of a standard’s development, and the time it can take to reach consensus on some issues. </w:t>
      </w:r>
      <w:r w:rsidRPr="0062768F">
        <w:rPr>
          <w:lang w:val="en-GB"/>
        </w:rPr>
        <w:t xml:space="preserve">She finished by thanking the CPs and RPPOs that had supported </w:t>
      </w:r>
      <w:r>
        <w:rPr>
          <w:lang w:val="en-GB"/>
        </w:rPr>
        <w:t xml:space="preserve">the </w:t>
      </w:r>
      <w:r w:rsidRPr="0062768F">
        <w:rPr>
          <w:lang w:val="en-GB"/>
        </w:rPr>
        <w:t>SC</w:t>
      </w:r>
      <w:r>
        <w:rPr>
          <w:lang w:val="en-GB"/>
        </w:rPr>
        <w:t>’s</w:t>
      </w:r>
      <w:r w:rsidRPr="0062768F">
        <w:rPr>
          <w:lang w:val="en-GB"/>
        </w:rPr>
        <w:t xml:space="preserve"> </w:t>
      </w:r>
      <w:r>
        <w:rPr>
          <w:lang w:val="en-GB"/>
        </w:rPr>
        <w:t>work</w:t>
      </w:r>
      <w:r w:rsidRPr="0062768F">
        <w:rPr>
          <w:lang w:val="en-GB"/>
        </w:rPr>
        <w:t>, the secretariat, the technical panels, the CPs who had provided in-kind contributions or hosted meetings, and the members of the SC itself.</w:t>
      </w:r>
    </w:p>
    <w:p w14:paraId="63D0956E" w14:textId="77777777" w:rsidR="005D0471" w:rsidRDefault="005D0471" w:rsidP="005D0471">
      <w:pPr>
        <w:pStyle w:val="IPPParagraphnumbering"/>
        <w:rPr>
          <w:lang w:val="en-GB"/>
        </w:rPr>
      </w:pPr>
      <w:r>
        <w:rPr>
          <w:lang w:val="en-GB"/>
        </w:rPr>
        <w:t>Japan pledged its continued support of IPPC standard setting activities and offered to host the Technical Panel on Diagnostic Protocols in 2024.</w:t>
      </w:r>
    </w:p>
    <w:p w14:paraId="54019346" w14:textId="77777777" w:rsidR="005D0471" w:rsidRDefault="005D0471" w:rsidP="005D0471">
      <w:pPr>
        <w:pStyle w:val="IPPParagraphnumbering"/>
        <w:rPr>
          <w:lang w:val="en-GB"/>
        </w:rPr>
      </w:pPr>
      <w:r>
        <w:rPr>
          <w:lang w:val="en-GB"/>
        </w:rPr>
        <w:t>The CPM noted a call for the SPG and SC to consider ways of expediting the development of standards, and the CPM chairperson suggested that the CPM Bureau should also consider this.</w:t>
      </w:r>
    </w:p>
    <w:p w14:paraId="5B7BB700" w14:textId="77777777" w:rsidR="005D0471" w:rsidRPr="00712597" w:rsidRDefault="005D0471" w:rsidP="005D0471">
      <w:pPr>
        <w:pStyle w:val="IPPParagraphnumberingclose"/>
      </w:pPr>
      <w:r w:rsidRPr="00712597">
        <w:t xml:space="preserve">The CPM: </w:t>
      </w:r>
    </w:p>
    <w:p w14:paraId="34285B49" w14:textId="77777777" w:rsidR="005D0471" w:rsidRPr="002B2B11" w:rsidRDefault="005D0471" w:rsidP="005D0471">
      <w:pPr>
        <w:pStyle w:val="IPPNumberedList"/>
        <w:numPr>
          <w:ilvl w:val="0"/>
          <w:numId w:val="66"/>
        </w:numPr>
        <w:spacing w:after="180"/>
        <w:rPr>
          <w:lang w:val="en-GB"/>
        </w:rPr>
      </w:pPr>
      <w:r w:rsidRPr="002B2B11">
        <w:rPr>
          <w:i/>
          <w:iCs/>
          <w:lang w:val="en-GB"/>
        </w:rPr>
        <w:t>noted</w:t>
      </w:r>
      <w:r w:rsidRPr="002B2B11">
        <w:rPr>
          <w:lang w:val="en-GB"/>
        </w:rPr>
        <w:t xml:space="preserve"> the report on the activities of the SC in 2023.</w:t>
      </w:r>
    </w:p>
    <w:p w14:paraId="0B42C2A9" w14:textId="77777777" w:rsidR="005D0471" w:rsidRPr="000202B0" w:rsidRDefault="005D0471" w:rsidP="005D0471">
      <w:pPr>
        <w:pStyle w:val="IPPHeading2"/>
      </w:pPr>
      <w:r w:rsidRPr="000202B0">
        <w:t>9.1.1</w:t>
      </w:r>
      <w:r w:rsidRPr="000202B0">
        <w:tab/>
        <w:t>List of topics for IPPC standards</w:t>
      </w:r>
    </w:p>
    <w:p w14:paraId="1B327748" w14:textId="77777777" w:rsidR="005D0471" w:rsidRPr="00520186" w:rsidRDefault="005D0471" w:rsidP="005D0471">
      <w:pPr>
        <w:pStyle w:val="IPPParagraphnumbering"/>
        <w:rPr>
          <w:lang w:val="en-GB"/>
        </w:rPr>
      </w:pPr>
      <w:r w:rsidRPr="000202B0">
        <w:rPr>
          <w:lang w:val="en-GB"/>
        </w:rPr>
        <w:t xml:space="preserve">The SC chairperson presented a paper on changes to the </w:t>
      </w:r>
      <w:r w:rsidRPr="000202B0">
        <w:rPr>
          <w:i/>
          <w:iCs/>
          <w:lang w:val="en-GB"/>
        </w:rPr>
        <w:t>List of topics for IPPC standards</w:t>
      </w:r>
      <w:r w:rsidRPr="000202B0">
        <w:rPr>
          <w:lang w:val="en-GB"/>
        </w:rPr>
        <w:t>.</w:t>
      </w:r>
      <w:r w:rsidRPr="000202B0">
        <w:rPr>
          <w:rStyle w:val="FootnoteReference"/>
          <w:lang w:val="en-GB"/>
        </w:rPr>
        <w:footnoteReference w:id="7"/>
      </w:r>
      <w:r w:rsidRPr="000202B0">
        <w:rPr>
          <w:lang w:val="en-GB"/>
        </w:rPr>
        <w:t xml:space="preserve"> This listed the </w:t>
      </w:r>
      <w:r w:rsidRPr="00520186">
        <w:rPr>
          <w:lang w:val="en-GB"/>
        </w:rPr>
        <w:t xml:space="preserve">modifications to subjects (glossary terms, </w:t>
      </w:r>
      <w:proofErr w:type="gramStart"/>
      <w:r w:rsidRPr="00520186">
        <w:rPr>
          <w:lang w:val="en-GB"/>
        </w:rPr>
        <w:t>DPs</w:t>
      </w:r>
      <w:proofErr w:type="gramEnd"/>
      <w:r w:rsidRPr="00520186">
        <w:rPr>
          <w:lang w:val="en-GB"/>
        </w:rPr>
        <w:t xml:space="preserve"> and phytosanitary treatments) that had been made by the SC. It also summarized the recommendations of the SC on which of the topics proposed during the 2023 call for topics should be added to the </w:t>
      </w:r>
      <w:r w:rsidRPr="00520186">
        <w:rPr>
          <w:i/>
          <w:iCs/>
          <w:lang w:val="en-GB"/>
        </w:rPr>
        <w:t xml:space="preserve">List of topics for IPPC standards </w:t>
      </w:r>
      <w:r w:rsidRPr="00520186">
        <w:rPr>
          <w:lang w:val="en-GB"/>
        </w:rPr>
        <w:t>(to be considered under agenda item 16.5).</w:t>
      </w:r>
    </w:p>
    <w:p w14:paraId="7A16CD3C" w14:textId="77777777" w:rsidR="005D0471" w:rsidRPr="000202B0" w:rsidRDefault="005D0471" w:rsidP="005D0471">
      <w:pPr>
        <w:pStyle w:val="IPPParagraphnumberingclose"/>
        <w:rPr>
          <w:lang w:val="en-GB"/>
        </w:rPr>
      </w:pPr>
      <w:r w:rsidRPr="000202B0">
        <w:rPr>
          <w:lang w:val="en-GB"/>
        </w:rPr>
        <w:lastRenderedPageBreak/>
        <w:t>The CPM:</w:t>
      </w:r>
    </w:p>
    <w:p w14:paraId="57CC6CF5" w14:textId="77777777" w:rsidR="005D0471" w:rsidRPr="000202B0" w:rsidRDefault="005D0471" w:rsidP="005D0471">
      <w:pPr>
        <w:pStyle w:val="IPPNumberedList"/>
        <w:numPr>
          <w:ilvl w:val="0"/>
          <w:numId w:val="67"/>
        </w:numPr>
        <w:rPr>
          <w:lang w:val="en-GB"/>
        </w:rPr>
      </w:pPr>
      <w:r w:rsidRPr="000202B0">
        <w:rPr>
          <w:i/>
          <w:iCs/>
          <w:lang w:val="en-GB"/>
        </w:rPr>
        <w:t>noted</w:t>
      </w:r>
      <w:r w:rsidRPr="000202B0">
        <w:rPr>
          <w:lang w:val="en-GB"/>
        </w:rPr>
        <w:t xml:space="preserve"> the adjustments to subjects made by the SC to the list of subjects in the </w:t>
      </w:r>
      <w:r w:rsidRPr="000202B0">
        <w:rPr>
          <w:i/>
          <w:iCs/>
          <w:lang w:val="en-GB"/>
        </w:rPr>
        <w:t>List of topics for IPPC standards</w:t>
      </w:r>
      <w:r w:rsidRPr="000202B0">
        <w:rPr>
          <w:lang w:val="en-GB"/>
        </w:rPr>
        <w:t xml:space="preserve"> (as presented in Part II of CPM 2023/09);</w:t>
      </w:r>
      <w:r>
        <w:rPr>
          <w:lang w:val="en-GB"/>
        </w:rPr>
        <w:t xml:space="preserve"> and</w:t>
      </w:r>
    </w:p>
    <w:p w14:paraId="587CDE13" w14:textId="77777777" w:rsidR="005D0471" w:rsidRPr="000202B0" w:rsidRDefault="005D0471" w:rsidP="005D0471">
      <w:pPr>
        <w:pStyle w:val="IPPNumberedListLast"/>
        <w:rPr>
          <w:lang w:val="en-GB"/>
        </w:rPr>
      </w:pPr>
      <w:r w:rsidRPr="000202B0">
        <w:rPr>
          <w:i/>
          <w:iCs/>
          <w:lang w:val="en-GB"/>
        </w:rPr>
        <w:t xml:space="preserve">asked </w:t>
      </w:r>
      <w:r w:rsidRPr="000202B0">
        <w:rPr>
          <w:lang w:val="en-GB"/>
        </w:rPr>
        <w:t>the IPPC secretariat to update the list of topics database on the International Phytosanitary Portal (IPP) accordingly.</w:t>
      </w:r>
    </w:p>
    <w:p w14:paraId="49606E65" w14:textId="77777777" w:rsidR="005D0471" w:rsidRPr="000202B0" w:rsidRDefault="005D0471" w:rsidP="005D0471">
      <w:pPr>
        <w:pStyle w:val="IPPHeading2"/>
      </w:pPr>
      <w:r w:rsidRPr="000202B0">
        <w:t>9.1.2</w:t>
      </w:r>
      <w:r w:rsidRPr="000202B0">
        <w:tab/>
        <w:t>Adjustments to the standard setting process and SC rules of procedure</w:t>
      </w:r>
    </w:p>
    <w:p w14:paraId="1377FD53" w14:textId="77777777" w:rsidR="005D0471" w:rsidRDefault="005D0471" w:rsidP="005D0471">
      <w:pPr>
        <w:pStyle w:val="IPPParagraphnumbering"/>
      </w:pPr>
      <w:r w:rsidRPr="000202B0">
        <w:t xml:space="preserve">The SC chairperson presented adjustments that had been proposed by the SC to the Standard Setting Procedure, the SC rules of procedure, and other aspects of the standard setting process detailed in the </w:t>
      </w:r>
      <w:r w:rsidRPr="000202B0">
        <w:rPr>
          <w:i/>
          <w:iCs/>
        </w:rPr>
        <w:t>IPPC procedure manual for standard setting</w:t>
      </w:r>
      <w:r w:rsidRPr="000202B0">
        <w:t>.</w:t>
      </w:r>
      <w:r w:rsidRPr="000202B0">
        <w:rPr>
          <w:rStyle w:val="FootnoteReference"/>
        </w:rPr>
        <w:footnoteReference w:id="8"/>
      </w:r>
    </w:p>
    <w:p w14:paraId="7D3E0A74" w14:textId="77777777" w:rsidR="005D0471" w:rsidRDefault="005D0471" w:rsidP="005D0471">
      <w:pPr>
        <w:pStyle w:val="IPPParagraphnumbering"/>
        <w:rPr>
          <w:lang w:val="en-GB"/>
        </w:rPr>
      </w:pPr>
      <w:r w:rsidRPr="00CD5E3D">
        <w:rPr>
          <w:lang w:val="en-GB"/>
        </w:rPr>
        <w:t>The CPM considered</w:t>
      </w:r>
      <w:r>
        <w:rPr>
          <w:lang w:val="en-GB"/>
        </w:rPr>
        <w:t xml:space="preserve"> proposals </w:t>
      </w:r>
      <w:r w:rsidRPr="00CD5E3D">
        <w:rPr>
          <w:lang w:val="en-GB"/>
        </w:rPr>
        <w:t>that</w:t>
      </w:r>
      <w:r>
        <w:rPr>
          <w:lang w:val="en-GB"/>
        </w:rPr>
        <w:t xml:space="preserve"> commodity standards proposed for development under International Standard for Phytosanitary </w:t>
      </w:r>
      <w:r w:rsidRPr="00E016BD">
        <w:t>Measures</w:t>
      </w:r>
      <w:r>
        <w:rPr>
          <w:lang w:val="en-GB"/>
        </w:rPr>
        <w:t xml:space="preserve"> (ISPM) 46 (</w:t>
      </w:r>
      <w:r w:rsidRPr="04E60FA2">
        <w:rPr>
          <w:i/>
          <w:iCs/>
          <w:lang w:val="en-GB"/>
        </w:rPr>
        <w:t>Commodity-specific standards for phytosanitary measures</w:t>
      </w:r>
      <w:r>
        <w:rPr>
          <w:lang w:val="en-GB"/>
        </w:rPr>
        <w:t>), along with their priorities, should be approved by the CPM rather than the SC;</w:t>
      </w:r>
      <w:r>
        <w:rPr>
          <w:rStyle w:val="FootnoteReference"/>
          <w:lang w:val="en-GB"/>
        </w:rPr>
        <w:footnoteReference w:id="9"/>
      </w:r>
      <w:r>
        <w:rPr>
          <w:lang w:val="en-GB"/>
        </w:rPr>
        <w:t xml:space="preserve"> that observers in expert working groups should be restricted to participants from the host country;</w:t>
      </w:r>
      <w:r>
        <w:rPr>
          <w:rStyle w:val="FootnoteReference"/>
          <w:lang w:val="en-GB"/>
        </w:rPr>
        <w:footnoteReference w:id="10"/>
      </w:r>
      <w:r>
        <w:rPr>
          <w:lang w:val="en-GB"/>
        </w:rPr>
        <w:t xml:space="preserve"> and that the decision on the attendance of observers at SC meetings should be made by the SC chairperson and the secretariat, with priority given to SC replacement members if there are more requests for attendance than can be accommodated.</w:t>
      </w:r>
      <w:r>
        <w:rPr>
          <w:rStyle w:val="FootnoteReference"/>
          <w:lang w:val="en-GB"/>
        </w:rPr>
        <w:footnoteReference w:id="11"/>
      </w:r>
      <w:r>
        <w:rPr>
          <w:lang w:val="en-GB"/>
        </w:rPr>
        <w:t xml:space="preserve"> The CPM agreed to these proposals.</w:t>
      </w:r>
    </w:p>
    <w:p w14:paraId="5023F1E9" w14:textId="77777777" w:rsidR="005D0471" w:rsidRPr="000202B0" w:rsidRDefault="005D0471" w:rsidP="005D0471">
      <w:pPr>
        <w:pStyle w:val="IPPParagraphnumberingclose"/>
        <w:rPr>
          <w:lang w:val="en-GB"/>
        </w:rPr>
      </w:pPr>
      <w:r w:rsidRPr="000202B0">
        <w:rPr>
          <w:lang w:val="en-GB"/>
        </w:rPr>
        <w:t>The CPM:</w:t>
      </w:r>
    </w:p>
    <w:p w14:paraId="0E045588" w14:textId="77777777" w:rsidR="005D0471" w:rsidRPr="005D0471" w:rsidRDefault="005D0471" w:rsidP="005D0471">
      <w:pPr>
        <w:pStyle w:val="IPPNumberedList"/>
        <w:numPr>
          <w:ilvl w:val="0"/>
          <w:numId w:val="124"/>
        </w:numPr>
        <w:rPr>
          <w:lang w:val="en-GB"/>
        </w:rPr>
      </w:pPr>
      <w:r w:rsidRPr="005D0471">
        <w:rPr>
          <w:i/>
          <w:iCs/>
        </w:rPr>
        <w:t>adopted</w:t>
      </w:r>
      <w:r w:rsidRPr="000202B0">
        <w:t xml:space="preserve"> the proposed revisions to the Standard Setting Procedure and the Rules of Procedure for the Standards Committee</w:t>
      </w:r>
      <w:r>
        <w:t xml:space="preserve">, together with the other associated revisions to </w:t>
      </w:r>
      <w:r w:rsidRPr="000202B0">
        <w:t xml:space="preserve">the </w:t>
      </w:r>
      <w:r w:rsidRPr="005D0471">
        <w:rPr>
          <w:i/>
          <w:iCs/>
        </w:rPr>
        <w:t>IPPC procedure manual for standard setting</w:t>
      </w:r>
      <w:r>
        <w:t>, as modified at this meeting (Appendix </w:t>
      </w:r>
      <w:r w:rsidRPr="005D0471">
        <w:rPr>
          <w:highlight w:val="yellow"/>
        </w:rPr>
        <w:t>XX</w:t>
      </w:r>
      <w:r>
        <w:t>).</w:t>
      </w:r>
    </w:p>
    <w:p w14:paraId="5AFFAF55" w14:textId="77777777" w:rsidR="00DB1B5A" w:rsidRPr="00E612D9" w:rsidRDefault="00DB1B5A" w:rsidP="00DB1B5A">
      <w:pPr>
        <w:pStyle w:val="IPPHeading2"/>
      </w:pPr>
      <w:r>
        <w:t>9.2</w:t>
      </w:r>
      <w:r>
        <w:tab/>
        <w:t>Report from the Implementation and Capacity Development Committee</w:t>
      </w:r>
    </w:p>
    <w:p w14:paraId="1DF63EC6" w14:textId="77777777" w:rsidR="00DB1B5A" w:rsidRPr="000E3382" w:rsidRDefault="00DB1B5A" w:rsidP="00DB1B5A">
      <w:pPr>
        <w:pStyle w:val="IPPParagraphnumbering"/>
      </w:pPr>
      <w:r w:rsidRPr="00E612D9">
        <w:rPr>
          <w:lang w:val="en-GB"/>
        </w:rPr>
        <w:t>The IC chairperson presented an overview of implementation and capacity development activities during 2023,</w:t>
      </w:r>
      <w:r w:rsidRPr="00E612D9">
        <w:rPr>
          <w:rStyle w:val="FootnoteReference"/>
          <w:lang w:val="en-GB"/>
        </w:rPr>
        <w:footnoteReference w:id="12"/>
      </w:r>
      <w:r w:rsidRPr="00E612D9">
        <w:rPr>
          <w:lang w:val="en-GB"/>
        </w:rPr>
        <w:t xml:space="preserve"> with </w:t>
      </w:r>
      <w:r w:rsidRPr="00E612D9">
        <w:t>further</w:t>
      </w:r>
      <w:r w:rsidRPr="00E612D9">
        <w:rPr>
          <w:lang w:val="en-GB"/>
        </w:rPr>
        <w:t xml:space="preserve"> details being provided under other agenda items</w:t>
      </w:r>
      <w:r>
        <w:rPr>
          <w:lang w:val="en-GB"/>
        </w:rPr>
        <w:t xml:space="preserve">. </w:t>
      </w:r>
      <w:r w:rsidRPr="00577876">
        <w:rPr>
          <w:lang w:val="en-GB"/>
        </w:rPr>
        <w:t xml:space="preserve">Among their activities, the IC and its subgroup and teams had prepared for IPPC Observatory surveys, confirmed the contact details for IPPC official contact points, and conducted </w:t>
      </w:r>
      <w:r w:rsidRPr="00EE1C5D">
        <w:t>phytosanitary</w:t>
      </w:r>
      <w:r w:rsidRPr="00577876">
        <w:rPr>
          <w:lang w:val="en-GB"/>
        </w:rPr>
        <w:t xml:space="preserve"> capacity evaluations (PCEs) and a study on ways of improving the PCE tool. They had also made good progress in </w:t>
      </w:r>
      <w:r>
        <w:rPr>
          <w:lang w:val="en-GB"/>
        </w:rPr>
        <w:t xml:space="preserve">the </w:t>
      </w:r>
      <w:r w:rsidRPr="00577876">
        <w:rPr>
          <w:lang w:val="en-GB"/>
        </w:rPr>
        <w:t>global coordination of action on Fusarium TR4, published or translated various guides and training materials, and revised the guidelines for IPPC regional workshops. The IC chair finished by thanking the IC members, the secretariat and the working groups who had worked on implementation materials</w:t>
      </w:r>
      <w:r>
        <w:rPr>
          <w:lang w:val="en-GB"/>
        </w:rPr>
        <w:t xml:space="preserve"> and highlighting the scarcity of resources for implementation </w:t>
      </w:r>
      <w:r w:rsidRPr="00E612D9">
        <w:rPr>
          <w:lang w:val="en-GB"/>
        </w:rPr>
        <w:t xml:space="preserve">and capacity development </w:t>
      </w:r>
      <w:r>
        <w:rPr>
          <w:lang w:val="en-GB"/>
        </w:rPr>
        <w:t>activities</w:t>
      </w:r>
      <w:r w:rsidRPr="00577876">
        <w:rPr>
          <w:lang w:val="en-GB"/>
        </w:rPr>
        <w:t>.</w:t>
      </w:r>
    </w:p>
    <w:p w14:paraId="0AD3052E" w14:textId="77777777" w:rsidR="00DB1B5A" w:rsidRDefault="00DB1B5A" w:rsidP="00DB1B5A">
      <w:pPr>
        <w:pStyle w:val="IPPParagraphnumbering"/>
        <w:rPr>
          <w:lang w:val="en-GB"/>
        </w:rPr>
      </w:pPr>
      <w:r>
        <w:rPr>
          <w:lang w:val="en-GB"/>
        </w:rPr>
        <w:t>Contracting parties</w:t>
      </w:r>
      <w:r w:rsidRPr="6E733212">
        <w:rPr>
          <w:lang w:val="en-GB"/>
        </w:rPr>
        <w:t xml:space="preserve"> expressed appreciation for the implementation and </w:t>
      </w:r>
      <w:r w:rsidRPr="00EE1C5D">
        <w:t>capacity</w:t>
      </w:r>
      <w:r w:rsidRPr="6E733212">
        <w:rPr>
          <w:lang w:val="en-GB"/>
        </w:rPr>
        <w:t xml:space="preserve"> development activities conducted and invited organizations to provide resources.</w:t>
      </w:r>
    </w:p>
    <w:p w14:paraId="5C7A619E" w14:textId="77777777" w:rsidR="00DB1B5A" w:rsidRDefault="00DB1B5A" w:rsidP="00DB1B5A">
      <w:pPr>
        <w:pStyle w:val="IPPParagraphnumbering"/>
      </w:pPr>
      <w:r>
        <w:t xml:space="preserve">The CPM noted a call for </w:t>
      </w:r>
      <w:r w:rsidRPr="00EE1C5D">
        <w:t>translation</w:t>
      </w:r>
      <w:r>
        <w:t xml:space="preserve"> of implementation materials into Arabic and an offer from Saudi Arabia to provide resources to support this.</w:t>
      </w:r>
    </w:p>
    <w:p w14:paraId="5DFFD52B" w14:textId="77777777" w:rsidR="00DB1B5A" w:rsidRPr="00E612D9" w:rsidRDefault="00DB1B5A" w:rsidP="00DB1B5A">
      <w:pPr>
        <w:pStyle w:val="IPPParagraphnumberingclose"/>
        <w:rPr>
          <w:lang w:val="en-GB"/>
        </w:rPr>
      </w:pPr>
      <w:r w:rsidRPr="00E612D9">
        <w:rPr>
          <w:lang w:val="en-GB"/>
        </w:rPr>
        <w:t>The CPM:</w:t>
      </w:r>
    </w:p>
    <w:p w14:paraId="3AA1CC9B" w14:textId="77777777" w:rsidR="00DB1B5A" w:rsidRPr="00E612D9" w:rsidRDefault="00DB1B5A" w:rsidP="00DB1B5A">
      <w:pPr>
        <w:pStyle w:val="IPPNumberedList"/>
        <w:numPr>
          <w:ilvl w:val="0"/>
          <w:numId w:val="69"/>
        </w:numPr>
        <w:rPr>
          <w:lang w:val="en-GB"/>
        </w:rPr>
      </w:pPr>
      <w:r w:rsidRPr="00E612D9">
        <w:rPr>
          <w:i/>
          <w:iCs/>
          <w:lang w:val="en-GB"/>
        </w:rPr>
        <w:t>noted</w:t>
      </w:r>
      <w:r w:rsidRPr="00E612D9">
        <w:rPr>
          <w:lang w:val="en-GB"/>
        </w:rPr>
        <w:t xml:space="preserve"> the work of the IC in </w:t>
      </w:r>
      <w:proofErr w:type="gramStart"/>
      <w:r w:rsidRPr="00E612D9">
        <w:rPr>
          <w:lang w:val="en-GB"/>
        </w:rPr>
        <w:t>2023;</w:t>
      </w:r>
      <w:proofErr w:type="gramEnd"/>
    </w:p>
    <w:p w14:paraId="6C33250E" w14:textId="77777777" w:rsidR="00DB1B5A" w:rsidRPr="00E612D9" w:rsidRDefault="00DB1B5A" w:rsidP="00DB1B5A">
      <w:pPr>
        <w:pStyle w:val="IPPNumberedList"/>
        <w:numPr>
          <w:ilvl w:val="0"/>
          <w:numId w:val="18"/>
        </w:numPr>
        <w:rPr>
          <w:lang w:val="en-GB"/>
        </w:rPr>
      </w:pPr>
      <w:r w:rsidRPr="00E612D9">
        <w:rPr>
          <w:i/>
          <w:iCs/>
          <w:lang w:val="en-GB"/>
        </w:rPr>
        <w:t>noted</w:t>
      </w:r>
      <w:r w:rsidRPr="00E612D9">
        <w:rPr>
          <w:lang w:val="en-GB"/>
        </w:rPr>
        <w:t xml:space="preserve"> the outcomes of the 2023 meetings of the </w:t>
      </w:r>
      <w:proofErr w:type="gramStart"/>
      <w:r w:rsidRPr="00E612D9">
        <w:rPr>
          <w:lang w:val="en-GB"/>
        </w:rPr>
        <w:t>IC;</w:t>
      </w:r>
      <w:proofErr w:type="gramEnd"/>
    </w:p>
    <w:p w14:paraId="0121869F" w14:textId="77777777" w:rsidR="00DB1B5A" w:rsidRPr="00E612D9" w:rsidRDefault="00DB1B5A" w:rsidP="00DB1B5A">
      <w:pPr>
        <w:pStyle w:val="IPPNumberedList"/>
        <w:rPr>
          <w:lang w:val="en-GB"/>
        </w:rPr>
      </w:pPr>
      <w:r w:rsidRPr="6E733212">
        <w:rPr>
          <w:i/>
          <w:iCs/>
        </w:rPr>
        <w:t>noted</w:t>
      </w:r>
      <w:r>
        <w:t xml:space="preserve"> the activities of the IC Subgroup on the IPPC Observatory and </w:t>
      </w:r>
      <w:r w:rsidRPr="6E733212">
        <w:rPr>
          <w:lang w:val="en-GB"/>
        </w:rPr>
        <w:t>the activities and updates of the IC teams on national reporting obligations (NROs), PCE, Fusarium TR4, IPPC guides and training materials, e-</w:t>
      </w:r>
      <w:r>
        <w:t>commerce</w:t>
      </w:r>
      <w:r w:rsidRPr="6E733212">
        <w:rPr>
          <w:lang w:val="en-GB"/>
        </w:rPr>
        <w:t xml:space="preserve">, the use of third-party entities, the IPPC regional workshop </w:t>
      </w:r>
      <w:r w:rsidRPr="6E733212">
        <w:rPr>
          <w:lang w:val="en-GB"/>
        </w:rPr>
        <w:lastRenderedPageBreak/>
        <w:t xml:space="preserve">guidelines, developing the CPM participation guide, contributed resources, projects, and submission of implementation </w:t>
      </w:r>
      <w:proofErr w:type="gramStart"/>
      <w:r w:rsidRPr="6E733212">
        <w:rPr>
          <w:lang w:val="en-GB"/>
        </w:rPr>
        <w:t>topics;</w:t>
      </w:r>
      <w:proofErr w:type="gramEnd"/>
    </w:p>
    <w:p w14:paraId="7E36310A" w14:textId="77777777" w:rsidR="00DB1B5A" w:rsidRPr="00E612D9" w:rsidRDefault="00DB1B5A" w:rsidP="00DB1B5A">
      <w:pPr>
        <w:pStyle w:val="IPPNumberedList"/>
        <w:rPr>
          <w:lang w:val="en-GB"/>
        </w:rPr>
      </w:pPr>
      <w:r w:rsidRPr="00E612D9">
        <w:rPr>
          <w:i/>
          <w:iCs/>
          <w:lang w:val="en-GB"/>
        </w:rPr>
        <w:t>noted</w:t>
      </w:r>
      <w:r w:rsidRPr="00E612D9">
        <w:rPr>
          <w:lang w:val="en-GB"/>
        </w:rPr>
        <w:t xml:space="preserve"> the revised </w:t>
      </w:r>
      <w:r w:rsidRPr="00E612D9">
        <w:rPr>
          <w:i/>
          <w:iCs/>
          <w:lang w:val="en-GB"/>
        </w:rPr>
        <w:t>Guidelines for IPPC regional workshops</w:t>
      </w:r>
      <w:r w:rsidRPr="00E612D9">
        <w:rPr>
          <w:lang w:val="en-GB"/>
        </w:rPr>
        <w:t xml:space="preserve"> as presented in CPM 2024/41_</w:t>
      </w:r>
      <w:proofErr w:type="gramStart"/>
      <w:r w:rsidRPr="00E612D9">
        <w:rPr>
          <w:lang w:val="en-GB"/>
        </w:rPr>
        <w:t>02;</w:t>
      </w:r>
      <w:proofErr w:type="gramEnd"/>
    </w:p>
    <w:p w14:paraId="00043E14" w14:textId="77777777" w:rsidR="00DB1B5A" w:rsidRPr="00E612D9" w:rsidRDefault="00DB1B5A" w:rsidP="00DB1B5A">
      <w:pPr>
        <w:pStyle w:val="IPPNumberedList"/>
        <w:rPr>
          <w:lang w:val="en-GB"/>
        </w:rPr>
      </w:pPr>
      <w:r w:rsidRPr="00E612D9">
        <w:rPr>
          <w:i/>
          <w:iCs/>
          <w:lang w:val="en-GB"/>
        </w:rPr>
        <w:t>encouraged</w:t>
      </w:r>
      <w:r w:rsidRPr="00E612D9">
        <w:rPr>
          <w:lang w:val="en-GB"/>
        </w:rPr>
        <w:t xml:space="preserve"> contracting parties to provide resources for pest outbreak alert and response system activities and the other under-financed activities, such as NROs, Fusarium TR4 global coordination, the IPPC Observatory and PCE </w:t>
      </w:r>
      <w:proofErr w:type="gramStart"/>
      <w:r w:rsidRPr="00E612D9">
        <w:rPr>
          <w:lang w:val="en-GB"/>
        </w:rPr>
        <w:t>sustainability;</w:t>
      </w:r>
      <w:proofErr w:type="gramEnd"/>
    </w:p>
    <w:p w14:paraId="3DCE446E" w14:textId="77777777" w:rsidR="00DB1B5A" w:rsidRPr="00E612D9" w:rsidRDefault="00DB1B5A" w:rsidP="00DB1B5A">
      <w:pPr>
        <w:pStyle w:val="IPPNumberedList"/>
        <w:rPr>
          <w:lang w:val="en-GB"/>
        </w:rPr>
      </w:pPr>
      <w:r w:rsidRPr="00E612D9">
        <w:rPr>
          <w:i/>
          <w:iCs/>
          <w:lang w:val="en-GB"/>
        </w:rPr>
        <w:t>requested</w:t>
      </w:r>
      <w:r w:rsidRPr="00E612D9">
        <w:rPr>
          <w:lang w:val="en-GB"/>
        </w:rPr>
        <w:t xml:space="preserve"> that the IPPC regional workshop organizing committees include activities dedicated to identifying and discussing IPPC implementation issues in their regional </w:t>
      </w:r>
      <w:proofErr w:type="gramStart"/>
      <w:r w:rsidRPr="00E612D9">
        <w:rPr>
          <w:lang w:val="en-GB"/>
        </w:rPr>
        <w:t>workshops;</w:t>
      </w:r>
      <w:proofErr w:type="gramEnd"/>
    </w:p>
    <w:p w14:paraId="2D240E86" w14:textId="77777777" w:rsidR="00DB1B5A" w:rsidRPr="00E612D9" w:rsidRDefault="00DB1B5A" w:rsidP="00DB1B5A">
      <w:pPr>
        <w:pStyle w:val="IPPNumberedList"/>
        <w:rPr>
          <w:lang w:val="en-GB"/>
        </w:rPr>
      </w:pPr>
      <w:r w:rsidRPr="00E612D9">
        <w:rPr>
          <w:i/>
          <w:iCs/>
          <w:lang w:val="en-GB"/>
        </w:rPr>
        <w:t>invited</w:t>
      </w:r>
      <w:r w:rsidRPr="00E612D9">
        <w:rPr>
          <w:lang w:val="en-GB"/>
        </w:rPr>
        <w:t xml:space="preserve"> contracting parties to promote the IPPC contributed resources and case studies that are included in different IPPC guides and training </w:t>
      </w:r>
      <w:proofErr w:type="gramStart"/>
      <w:r w:rsidRPr="00E612D9">
        <w:rPr>
          <w:lang w:val="en-GB"/>
        </w:rPr>
        <w:t>materials;</w:t>
      </w:r>
      <w:proofErr w:type="gramEnd"/>
    </w:p>
    <w:p w14:paraId="5B4DF4DB" w14:textId="77777777" w:rsidR="00DB1B5A" w:rsidRDefault="00DB1B5A" w:rsidP="00DB1B5A">
      <w:pPr>
        <w:pStyle w:val="IPPNumberedList"/>
        <w:rPr>
          <w:lang w:val="en-GB"/>
        </w:rPr>
      </w:pPr>
      <w:r w:rsidRPr="00E612D9">
        <w:rPr>
          <w:i/>
          <w:iCs/>
          <w:lang w:val="en-GB"/>
        </w:rPr>
        <w:t>supported</w:t>
      </w:r>
      <w:r w:rsidRPr="00E612D9">
        <w:rPr>
          <w:lang w:val="en-GB"/>
        </w:rPr>
        <w:t xml:space="preserve"> the efforts taken to </w:t>
      </w:r>
      <w:r w:rsidRPr="00B40F2B">
        <w:t>improve</w:t>
      </w:r>
      <w:r w:rsidRPr="00E612D9">
        <w:rPr>
          <w:lang w:val="en-GB"/>
        </w:rPr>
        <w:t xml:space="preserve"> communication on IPPC guides and </w:t>
      </w:r>
      <w:r w:rsidRPr="00B40F2B">
        <w:t>training</w:t>
      </w:r>
      <w:r w:rsidRPr="00E612D9">
        <w:rPr>
          <w:lang w:val="en-GB"/>
        </w:rPr>
        <w:t xml:space="preserve"> materials;</w:t>
      </w:r>
      <w:r>
        <w:rPr>
          <w:lang w:val="en-GB"/>
        </w:rPr>
        <w:t xml:space="preserve"> and</w:t>
      </w:r>
    </w:p>
    <w:p w14:paraId="58B76F04" w14:textId="77777777" w:rsidR="00DB1B5A" w:rsidRPr="00E612D9" w:rsidRDefault="00DB1B5A" w:rsidP="00DB1B5A">
      <w:pPr>
        <w:pStyle w:val="IPPNumberedListLast"/>
      </w:pPr>
      <w:r w:rsidRPr="6E733212">
        <w:rPr>
          <w:i/>
          <w:iCs/>
        </w:rPr>
        <w:t>thanked</w:t>
      </w:r>
      <w:r w:rsidRPr="6E733212">
        <w:t xml:space="preserve"> the </w:t>
      </w:r>
      <w:r>
        <w:t>experts</w:t>
      </w:r>
      <w:r w:rsidRPr="6E733212">
        <w:t xml:space="preserve"> who had contributed to the development of IPPC guides</w:t>
      </w:r>
      <w:r>
        <w:t>,</w:t>
      </w:r>
      <w:r w:rsidRPr="6E733212">
        <w:t xml:space="preserve"> </w:t>
      </w:r>
      <w:r>
        <w:t xml:space="preserve">as presented in </w:t>
      </w:r>
      <w:r w:rsidRPr="6E733212">
        <w:t>Appendix </w:t>
      </w:r>
      <w:r w:rsidRPr="6E733212">
        <w:rPr>
          <w:highlight w:val="yellow"/>
        </w:rPr>
        <w:t>XX</w:t>
      </w:r>
      <w:r>
        <w:t xml:space="preserve">, </w:t>
      </w:r>
      <w:r w:rsidRPr="6E733212">
        <w:t>for their outstanding contributions</w:t>
      </w:r>
      <w:r>
        <w:t>.</w:t>
      </w:r>
    </w:p>
    <w:p w14:paraId="102AD727" w14:textId="77777777" w:rsidR="00DB1B5A" w:rsidRPr="00E612D9" w:rsidRDefault="00DB1B5A" w:rsidP="00DB1B5A">
      <w:pPr>
        <w:pStyle w:val="IPPHeading2"/>
      </w:pPr>
      <w:r w:rsidRPr="00E612D9">
        <w:t>9.2.1</w:t>
      </w:r>
      <w:r w:rsidRPr="00E612D9">
        <w:tab/>
        <w:t>List of topics for implementation and capacity development</w:t>
      </w:r>
    </w:p>
    <w:p w14:paraId="568CBFD2" w14:textId="77777777" w:rsidR="00DB1B5A" w:rsidRPr="00E612D9" w:rsidRDefault="00DB1B5A" w:rsidP="00DB1B5A">
      <w:pPr>
        <w:pStyle w:val="IPPParagraphnumberingclose"/>
        <w:rPr>
          <w:lang w:val="en-GB"/>
        </w:rPr>
      </w:pPr>
      <w:r w:rsidRPr="00E612D9">
        <w:rPr>
          <w:lang w:val="en-GB"/>
        </w:rPr>
        <w:t xml:space="preserve">The IC chairperson presented recommendations from the IC for the CPM to make the following changes to the </w:t>
      </w:r>
      <w:r w:rsidRPr="00E612D9">
        <w:rPr>
          <w:i/>
          <w:iCs/>
          <w:lang w:val="en-GB"/>
        </w:rPr>
        <w:t>List of topics for implementation and capacity development</w:t>
      </w:r>
      <w:r w:rsidRPr="00E612D9">
        <w:rPr>
          <w:lang w:val="en-GB"/>
        </w:rPr>
        <w:t>:</w:t>
      </w:r>
      <w:r w:rsidRPr="00E612D9">
        <w:rPr>
          <w:rStyle w:val="FootnoteReference"/>
          <w:lang w:val="en-GB"/>
        </w:rPr>
        <w:footnoteReference w:id="13"/>
      </w:r>
    </w:p>
    <w:p w14:paraId="70A7AE28" w14:textId="77777777" w:rsidR="00DB1B5A" w:rsidRPr="00E612D9" w:rsidRDefault="00DB1B5A" w:rsidP="00DB1B5A">
      <w:pPr>
        <w:pStyle w:val="IPPBullet1"/>
        <w:rPr>
          <w:lang w:val="en-GB"/>
        </w:rPr>
      </w:pPr>
      <w:r w:rsidRPr="00E612D9">
        <w:rPr>
          <w:lang w:val="en-GB"/>
        </w:rPr>
        <w:t>additions:</w:t>
      </w:r>
    </w:p>
    <w:p w14:paraId="6BD130AF" w14:textId="77777777" w:rsidR="00DB1B5A" w:rsidRPr="00E612D9" w:rsidRDefault="00DB1B5A" w:rsidP="00DB1B5A">
      <w:pPr>
        <w:pStyle w:val="IPPBullet2"/>
      </w:pPr>
      <w:r w:rsidRPr="00E612D9">
        <w:rPr>
          <w:i/>
          <w:iCs/>
        </w:rPr>
        <w:t>Guide for participants in the meetings of the CPM of the IPPC</w:t>
      </w:r>
      <w:r w:rsidRPr="00E612D9">
        <w:t xml:space="preserve"> (2023-001), and</w:t>
      </w:r>
    </w:p>
    <w:p w14:paraId="5345A907" w14:textId="77777777" w:rsidR="00DB1B5A" w:rsidRPr="00E612D9" w:rsidRDefault="00DB1B5A" w:rsidP="00DB1B5A">
      <w:pPr>
        <w:pStyle w:val="IPPBullet2"/>
      </w:pPr>
      <w:r w:rsidRPr="00E612D9">
        <w:rPr>
          <w:i/>
          <w:iCs/>
        </w:rPr>
        <w:t>Fusarium TR4 training courses</w:t>
      </w:r>
      <w:r w:rsidRPr="00E612D9">
        <w:t xml:space="preserve"> (2023-002);</w:t>
      </w:r>
      <w:r>
        <w:t xml:space="preserve"> and</w:t>
      </w:r>
    </w:p>
    <w:p w14:paraId="32724A56" w14:textId="77777777" w:rsidR="00DB1B5A" w:rsidRPr="00E612D9" w:rsidRDefault="00DB1B5A" w:rsidP="00DB1B5A">
      <w:pPr>
        <w:pStyle w:val="IPPBullet1"/>
        <w:rPr>
          <w:lang w:val="en-GB"/>
        </w:rPr>
      </w:pPr>
      <w:r w:rsidRPr="00E612D9">
        <w:rPr>
          <w:lang w:val="en-GB"/>
        </w:rPr>
        <w:t>deletions:</w:t>
      </w:r>
    </w:p>
    <w:p w14:paraId="659A8215" w14:textId="77777777" w:rsidR="00DB1B5A" w:rsidRPr="00E612D9" w:rsidRDefault="00DB1B5A" w:rsidP="00DB1B5A">
      <w:pPr>
        <w:pStyle w:val="IPPBullet2"/>
      </w:pPr>
      <w:r w:rsidRPr="00E612D9">
        <w:rPr>
          <w:i/>
          <w:iCs/>
        </w:rPr>
        <w:t>Emergency preparedness – A guide for developing contingency plans for outbreaks of quarantine pests</w:t>
      </w:r>
      <w:r w:rsidRPr="00E612D9">
        <w:t xml:space="preserve"> (2019-012),</w:t>
      </w:r>
    </w:p>
    <w:p w14:paraId="737D4C59" w14:textId="77777777" w:rsidR="00DB1B5A" w:rsidRPr="00E612D9" w:rsidRDefault="00DB1B5A" w:rsidP="00DB1B5A">
      <w:pPr>
        <w:pStyle w:val="IPPBullet2"/>
      </w:pPr>
      <w:r w:rsidRPr="00E612D9">
        <w:rPr>
          <w:i/>
          <w:iCs/>
        </w:rPr>
        <w:t>Guide to regulation of wood packaging material – Understanding the phytosanitary requirements for the movement of wood packaging material in international trade</w:t>
      </w:r>
      <w:r w:rsidRPr="00E612D9">
        <w:t xml:space="preserve"> (2017-043),</w:t>
      </w:r>
    </w:p>
    <w:p w14:paraId="28E6E1AD" w14:textId="77777777" w:rsidR="00DB1B5A" w:rsidRPr="00E612D9" w:rsidRDefault="00DB1B5A" w:rsidP="00DB1B5A">
      <w:pPr>
        <w:pStyle w:val="IPPBullet2"/>
      </w:pPr>
      <w:r w:rsidRPr="00E612D9">
        <w:rPr>
          <w:i/>
          <w:iCs/>
        </w:rPr>
        <w:t>E-commerce – A guide to managing the pest risk posed by goods ordered online and distributed through postal and courier pathways</w:t>
      </w:r>
      <w:r w:rsidRPr="00E612D9">
        <w:t xml:space="preserve"> (2017-039),</w:t>
      </w:r>
    </w:p>
    <w:p w14:paraId="3C6C80B1" w14:textId="77777777" w:rsidR="00DB1B5A" w:rsidRPr="00E612D9" w:rsidRDefault="00DB1B5A" w:rsidP="00DB1B5A">
      <w:pPr>
        <w:pStyle w:val="IPPBullet2"/>
      </w:pPr>
      <w:r w:rsidRPr="00E612D9">
        <w:rPr>
          <w:i/>
          <w:iCs/>
        </w:rPr>
        <w:t xml:space="preserve">Surveillance of </w:t>
      </w:r>
      <w:r w:rsidRPr="00E612D9">
        <w:t>Xylella fastidiosa</w:t>
      </w:r>
      <w:r w:rsidRPr="00E612D9">
        <w:rPr>
          <w:i/>
          <w:iCs/>
        </w:rPr>
        <w:t>, guide</w:t>
      </w:r>
      <w:r w:rsidRPr="00E612D9">
        <w:t xml:space="preserve"> (2018-0037),</w:t>
      </w:r>
    </w:p>
    <w:p w14:paraId="2991CDC9" w14:textId="77777777" w:rsidR="00DB1B5A" w:rsidRPr="00E612D9" w:rsidRDefault="00DB1B5A" w:rsidP="00DB1B5A">
      <w:pPr>
        <w:pStyle w:val="IPPBullet2"/>
      </w:pPr>
      <w:r w:rsidRPr="00E612D9">
        <w:rPr>
          <w:i/>
          <w:iCs/>
        </w:rPr>
        <w:t xml:space="preserve">Inspection of consignments for </w:t>
      </w:r>
      <w:r w:rsidRPr="00E612D9">
        <w:t>Xylella fastidiosa</w:t>
      </w:r>
      <w:r w:rsidRPr="00E612D9">
        <w:rPr>
          <w:i/>
          <w:iCs/>
        </w:rPr>
        <w:t xml:space="preserve"> at points of entry</w:t>
      </w:r>
      <w:r w:rsidRPr="00E612D9">
        <w:t xml:space="preserve"> (2018-038), and</w:t>
      </w:r>
    </w:p>
    <w:p w14:paraId="5990566F" w14:textId="77777777" w:rsidR="00DB1B5A" w:rsidRPr="00E612D9" w:rsidRDefault="00DB1B5A" w:rsidP="00DB1B5A">
      <w:pPr>
        <w:pStyle w:val="IPPBullet2"/>
        <w:spacing w:after="180"/>
      </w:pPr>
      <w:r w:rsidRPr="00E612D9">
        <w:rPr>
          <w:i/>
          <w:iCs/>
        </w:rPr>
        <w:t>Managing non-compliant treated consignments</w:t>
      </w:r>
      <w:r w:rsidRPr="00E612D9">
        <w:t xml:space="preserve"> (2018-027).</w:t>
      </w:r>
    </w:p>
    <w:p w14:paraId="1150C5EE" w14:textId="77777777" w:rsidR="00DB1B5A" w:rsidRPr="00E612D9" w:rsidRDefault="00DB1B5A" w:rsidP="00DB1B5A">
      <w:pPr>
        <w:pStyle w:val="IPPParagraphnumberingclose"/>
        <w:rPr>
          <w:lang w:val="en-GB"/>
        </w:rPr>
      </w:pPr>
      <w:r w:rsidRPr="00E612D9">
        <w:rPr>
          <w:lang w:val="en-GB"/>
        </w:rPr>
        <w:t>The CPM:</w:t>
      </w:r>
    </w:p>
    <w:p w14:paraId="62C5FAA0" w14:textId="77777777" w:rsidR="00DB1B5A" w:rsidRPr="00E612D9" w:rsidRDefault="00DB1B5A" w:rsidP="00DB1B5A">
      <w:pPr>
        <w:pStyle w:val="IPPNumberedList"/>
        <w:numPr>
          <w:ilvl w:val="0"/>
          <w:numId w:val="70"/>
        </w:numPr>
        <w:spacing w:after="180"/>
        <w:rPr>
          <w:lang w:val="en-GB"/>
        </w:rPr>
      </w:pPr>
      <w:r w:rsidRPr="6E733212">
        <w:rPr>
          <w:i/>
          <w:iCs/>
          <w:lang w:val="en-GB"/>
        </w:rPr>
        <w:t>approved</w:t>
      </w:r>
      <w:r w:rsidRPr="6E733212">
        <w:rPr>
          <w:lang w:val="en-GB"/>
        </w:rPr>
        <w:t xml:space="preserve"> the </w:t>
      </w:r>
      <w:r w:rsidRPr="6E733212">
        <w:rPr>
          <w:i/>
          <w:iCs/>
          <w:lang w:val="en-GB"/>
        </w:rPr>
        <w:t>List of implementation and capacity development topics</w:t>
      </w:r>
      <w:r w:rsidRPr="6E733212">
        <w:rPr>
          <w:lang w:val="en-GB"/>
        </w:rPr>
        <w:t xml:space="preserve">, with the above adjustments. </w:t>
      </w:r>
    </w:p>
    <w:p w14:paraId="6BED9D3F" w14:textId="77777777" w:rsidR="006D2BF3" w:rsidRPr="00E612D9" w:rsidRDefault="006D2BF3" w:rsidP="006D2BF3">
      <w:pPr>
        <w:pStyle w:val="IPPHeading1"/>
      </w:pPr>
      <w:r w:rsidRPr="00E612D9">
        <w:t>10.</w:t>
      </w:r>
      <w:r w:rsidRPr="00E612D9">
        <w:tab/>
        <w:t>Adoption of standards</w:t>
      </w:r>
    </w:p>
    <w:p w14:paraId="15B67A9E" w14:textId="77777777" w:rsidR="006D2BF3" w:rsidRPr="00235E5A" w:rsidRDefault="006D2BF3" w:rsidP="006D2BF3">
      <w:pPr>
        <w:pStyle w:val="IPPParagraphnumbering"/>
        <w:rPr>
          <w:lang w:val="en-GB"/>
        </w:rPr>
      </w:pPr>
      <w:r w:rsidRPr="00E612D9">
        <w:rPr>
          <w:lang w:val="en-GB"/>
        </w:rPr>
        <w:t>The secretariat introduced the papers for this agenda item, which presented the draft ISPMs proposed by the SC for adoption by the CPM and activities related to translation of adopted standards.</w:t>
      </w:r>
      <w:r w:rsidRPr="00E612D9">
        <w:rPr>
          <w:rStyle w:val="FootnoteReference"/>
          <w:lang w:val="en-GB"/>
        </w:rPr>
        <w:footnoteReference w:id="14"/>
      </w:r>
      <w:r w:rsidRPr="00E612D9">
        <w:rPr>
          <w:lang w:val="en-GB"/>
        </w:rPr>
        <w:t xml:space="preserve"> </w:t>
      </w:r>
      <w:r w:rsidRPr="00235E5A">
        <w:rPr>
          <w:lang w:val="en-GB"/>
        </w:rPr>
        <w:t>The summary paper also highlighted the need for a coordinator for the Language Review Group for French, noting that the group had not reviewed any standards for eight consecutive years because the coordinator position had been vacant.</w:t>
      </w:r>
    </w:p>
    <w:p w14:paraId="148AB546" w14:textId="77777777" w:rsidR="006D2BF3" w:rsidRDefault="006D2BF3" w:rsidP="006D2BF3">
      <w:pPr>
        <w:pStyle w:val="IPPParagraphnumbering"/>
        <w:rPr>
          <w:lang w:val="en-GB"/>
        </w:rPr>
      </w:pPr>
      <w:r w:rsidRPr="00E612D9">
        <w:rPr>
          <w:lang w:val="en-GB"/>
        </w:rPr>
        <w:lastRenderedPageBreak/>
        <w:t>The secretariat informed the CPM that the deadline for objections specified in the Standard Setting Procedure was three weeks before CPM-18 (2024), namely 25 March 2024, but by that date no objections had been received.</w:t>
      </w:r>
      <w:r w:rsidRPr="00E612D9">
        <w:rPr>
          <w:rStyle w:val="FootnoteReference"/>
          <w:lang w:val="en-GB"/>
        </w:rPr>
        <w:footnoteReference w:id="15"/>
      </w:r>
    </w:p>
    <w:p w14:paraId="285908E9" w14:textId="77777777" w:rsidR="006D2BF3" w:rsidRDefault="006D2BF3" w:rsidP="006D2BF3">
      <w:pPr>
        <w:pStyle w:val="IPPParagraphnumbering"/>
        <w:rPr>
          <w:lang w:val="en-GB"/>
        </w:rPr>
      </w:pPr>
      <w:r>
        <w:rPr>
          <w:lang w:val="en-GB"/>
        </w:rPr>
        <w:t>Some CPs noted the extent of changes made to the draft revision of ISPM </w:t>
      </w:r>
      <w:r w:rsidRPr="00BD4FDE">
        <w:rPr>
          <w:lang w:val="en-GB"/>
        </w:rPr>
        <w:t>4 (</w:t>
      </w:r>
      <w:r w:rsidRPr="00BD4FDE">
        <w:rPr>
          <w:i/>
          <w:iCs/>
          <w:lang w:val="en-GB"/>
        </w:rPr>
        <w:t>Requirements for the establishment of pest free areas</w:t>
      </w:r>
      <w:r w:rsidRPr="00BD4FDE">
        <w:rPr>
          <w:lang w:val="en-GB"/>
        </w:rPr>
        <w:t>) (2009-002)</w:t>
      </w:r>
      <w:r>
        <w:rPr>
          <w:lang w:val="en-GB"/>
        </w:rPr>
        <w:t xml:space="preserve"> after the second consultation, several of which would require drafting adjustments and improvements to technical concepts.</w:t>
      </w:r>
      <w:r>
        <w:rPr>
          <w:rStyle w:val="FootnoteReference"/>
          <w:lang w:val="en-GB"/>
        </w:rPr>
        <w:footnoteReference w:id="16"/>
      </w:r>
      <w:r>
        <w:rPr>
          <w:lang w:val="en-GB"/>
        </w:rPr>
        <w:t xml:space="preserve"> While not objecting to the adoption of the standard, the CPs noted that similar cases had been raised at other CPM meetings and so invited the SC to explore possible solutions. </w:t>
      </w:r>
    </w:p>
    <w:p w14:paraId="7AB79B3F" w14:textId="77777777" w:rsidR="006D2BF3" w:rsidRPr="00E14B80" w:rsidRDefault="006D2BF3" w:rsidP="006D2BF3">
      <w:pPr>
        <w:pStyle w:val="IPPParagraphnumbering"/>
        <w:rPr>
          <w:lang w:val="en-GB"/>
        </w:rPr>
      </w:pPr>
      <w:r w:rsidRPr="00E14B80">
        <w:rPr>
          <w:lang w:val="en-GB"/>
        </w:rPr>
        <w:t xml:space="preserve">The CPM noted that some ISPMs had been adopted many years ago but that proposals for revising old ISPMs should be submitted through the biennial call for topics. </w:t>
      </w:r>
    </w:p>
    <w:p w14:paraId="70CBC076" w14:textId="77777777" w:rsidR="006D2BF3" w:rsidRPr="00E612D9" w:rsidRDefault="006D2BF3" w:rsidP="006D2BF3">
      <w:pPr>
        <w:pStyle w:val="IPPParagraphnumberingclose"/>
        <w:rPr>
          <w:lang w:val="en-GB"/>
        </w:rPr>
      </w:pPr>
      <w:r w:rsidRPr="00E612D9">
        <w:rPr>
          <w:lang w:val="en-GB"/>
        </w:rPr>
        <w:t>The CPM:</w:t>
      </w:r>
    </w:p>
    <w:p w14:paraId="53A36361" w14:textId="77777777" w:rsidR="006D2BF3" w:rsidRPr="00E612D9" w:rsidRDefault="006D2BF3" w:rsidP="006D2BF3">
      <w:pPr>
        <w:pStyle w:val="IPPNumberedList"/>
        <w:numPr>
          <w:ilvl w:val="0"/>
          <w:numId w:val="71"/>
        </w:numPr>
        <w:rPr>
          <w:lang w:val="en-GB"/>
        </w:rPr>
      </w:pPr>
      <w:r w:rsidRPr="00E612D9">
        <w:rPr>
          <w:i/>
          <w:iCs/>
          <w:lang w:val="en-GB"/>
        </w:rPr>
        <w:t>adopted</w:t>
      </w:r>
      <w:r w:rsidRPr="00E612D9">
        <w:rPr>
          <w:lang w:val="en-GB"/>
        </w:rPr>
        <w:t xml:space="preserve"> the 2022 amendments to ISPM 5 (</w:t>
      </w:r>
      <w:r w:rsidRPr="00E612D9">
        <w:rPr>
          <w:i/>
          <w:iCs/>
          <w:lang w:val="en-GB"/>
        </w:rPr>
        <w:t>Glossary of phytosanitary terms</w:t>
      </w:r>
      <w:r w:rsidRPr="00E612D9">
        <w:rPr>
          <w:lang w:val="en-GB"/>
        </w:rPr>
        <w:t xml:space="preserve">) (1994-001), as presented in CPM 2024/10_01, and </w:t>
      </w:r>
      <w:r w:rsidRPr="00E612D9">
        <w:rPr>
          <w:i/>
          <w:iCs/>
          <w:lang w:val="en-GB"/>
        </w:rPr>
        <w:t>revoked</w:t>
      </w:r>
      <w:r w:rsidRPr="00E612D9">
        <w:rPr>
          <w:lang w:val="en-GB"/>
        </w:rPr>
        <w:t xml:space="preserve"> the previously adopted </w:t>
      </w:r>
      <w:proofErr w:type="gramStart"/>
      <w:r w:rsidRPr="00E612D9">
        <w:rPr>
          <w:lang w:val="en-GB"/>
        </w:rPr>
        <w:t>version;</w:t>
      </w:r>
      <w:proofErr w:type="gramEnd"/>
    </w:p>
    <w:p w14:paraId="3E286B76" w14:textId="77777777" w:rsidR="006D2BF3" w:rsidRPr="00E612D9" w:rsidRDefault="006D2BF3" w:rsidP="006D2BF3">
      <w:pPr>
        <w:pStyle w:val="IPPNumberedList"/>
        <w:rPr>
          <w:lang w:val="en-GB"/>
        </w:rPr>
      </w:pPr>
      <w:r w:rsidRPr="00E612D9">
        <w:rPr>
          <w:i/>
          <w:iCs/>
          <w:lang w:val="en-GB"/>
        </w:rPr>
        <w:t>adopted</w:t>
      </w:r>
      <w:r w:rsidRPr="00E612D9">
        <w:rPr>
          <w:lang w:val="en-GB"/>
        </w:rPr>
        <w:t xml:space="preserve"> Annex 1 (Criteria for evaluation of available information for determining host status of </w:t>
      </w:r>
      <w:proofErr w:type="gramStart"/>
      <w:r w:rsidRPr="00E612D9">
        <w:rPr>
          <w:lang w:val="en-GB"/>
        </w:rPr>
        <w:t>fruit to fruit</w:t>
      </w:r>
      <w:proofErr w:type="gramEnd"/>
      <w:r w:rsidRPr="00E612D9">
        <w:rPr>
          <w:lang w:val="en-GB"/>
        </w:rPr>
        <w:t xml:space="preserve"> flies) to ISPM 37 (</w:t>
      </w:r>
      <w:r w:rsidRPr="00E612D9">
        <w:rPr>
          <w:i/>
          <w:iCs/>
          <w:lang w:val="en-GB"/>
        </w:rPr>
        <w:t>Determination of host status of fruit to fruit flies ((</w:t>
      </w:r>
      <w:proofErr w:type="spellStart"/>
      <w:r w:rsidRPr="00E612D9">
        <w:rPr>
          <w:i/>
          <w:iCs/>
          <w:lang w:val="en-GB"/>
        </w:rPr>
        <w:t>Tephritidae</w:t>
      </w:r>
      <w:proofErr w:type="spellEnd"/>
      <w:r w:rsidRPr="00E612D9">
        <w:rPr>
          <w:i/>
          <w:iCs/>
          <w:lang w:val="en-GB"/>
        </w:rPr>
        <w:t>)</w:t>
      </w:r>
      <w:r w:rsidRPr="00E612D9">
        <w:rPr>
          <w:lang w:val="en-GB"/>
        </w:rPr>
        <w:t>) (2018-011) as presented in CPM 2024/10_02;</w:t>
      </w:r>
    </w:p>
    <w:p w14:paraId="2FAF64EF" w14:textId="77777777" w:rsidR="006D2BF3" w:rsidRPr="00E612D9" w:rsidRDefault="006D2BF3" w:rsidP="006D2BF3">
      <w:pPr>
        <w:pStyle w:val="IPPNumberedList"/>
        <w:rPr>
          <w:lang w:val="en-GB"/>
        </w:rPr>
      </w:pPr>
      <w:r w:rsidRPr="00E612D9">
        <w:rPr>
          <w:i/>
          <w:iCs/>
          <w:lang w:val="en-GB"/>
        </w:rPr>
        <w:t>adopted</w:t>
      </w:r>
      <w:r w:rsidRPr="00E612D9">
        <w:rPr>
          <w:lang w:val="en-GB"/>
        </w:rPr>
        <w:t xml:space="preserve"> the revision of ISPM 4 (</w:t>
      </w:r>
      <w:r w:rsidRPr="00E612D9">
        <w:rPr>
          <w:i/>
          <w:iCs/>
          <w:lang w:val="en-GB"/>
        </w:rPr>
        <w:t>Requirements for the establishment of pest free areas</w:t>
      </w:r>
      <w:r w:rsidRPr="00E612D9">
        <w:rPr>
          <w:lang w:val="en-GB"/>
        </w:rPr>
        <w:t xml:space="preserve">) (2009-002), as presented in CPM 2024/10_03, and </w:t>
      </w:r>
      <w:r w:rsidRPr="00E612D9">
        <w:rPr>
          <w:i/>
          <w:iCs/>
          <w:lang w:val="en-GB"/>
        </w:rPr>
        <w:t>revoked</w:t>
      </w:r>
      <w:r w:rsidRPr="00E612D9">
        <w:rPr>
          <w:lang w:val="en-GB"/>
        </w:rPr>
        <w:t xml:space="preserve"> the previously adopted </w:t>
      </w:r>
      <w:proofErr w:type="gramStart"/>
      <w:r w:rsidRPr="00E612D9">
        <w:rPr>
          <w:lang w:val="en-GB"/>
        </w:rPr>
        <w:t>version;</w:t>
      </w:r>
      <w:proofErr w:type="gramEnd"/>
    </w:p>
    <w:p w14:paraId="76C00135" w14:textId="77777777" w:rsidR="006D2BF3" w:rsidRDefault="006D2BF3" w:rsidP="006D2BF3">
      <w:pPr>
        <w:pStyle w:val="IPPNumberedList"/>
        <w:rPr>
          <w:lang w:val="en-GB"/>
        </w:rPr>
      </w:pPr>
      <w:r w:rsidRPr="00E612D9">
        <w:rPr>
          <w:i/>
          <w:iCs/>
          <w:lang w:val="en-GB"/>
        </w:rPr>
        <w:t>adopted</w:t>
      </w:r>
      <w:r w:rsidRPr="00E612D9">
        <w:rPr>
          <w:lang w:val="en-GB"/>
        </w:rPr>
        <w:t xml:space="preserve"> PT 46 (Cold treatment for </w:t>
      </w:r>
      <w:proofErr w:type="spellStart"/>
      <w:r w:rsidRPr="00E612D9">
        <w:rPr>
          <w:i/>
          <w:iCs/>
          <w:lang w:val="en-GB"/>
        </w:rPr>
        <w:t>Thaumatotibia</w:t>
      </w:r>
      <w:proofErr w:type="spellEnd"/>
      <w:r w:rsidRPr="00E612D9">
        <w:rPr>
          <w:i/>
          <w:iCs/>
          <w:lang w:val="en-GB"/>
        </w:rPr>
        <w:t xml:space="preserve"> </w:t>
      </w:r>
      <w:proofErr w:type="spellStart"/>
      <w:r w:rsidRPr="00E612D9">
        <w:rPr>
          <w:i/>
          <w:iCs/>
          <w:lang w:val="en-GB"/>
        </w:rPr>
        <w:t>leucotreta</w:t>
      </w:r>
      <w:proofErr w:type="spellEnd"/>
      <w:r w:rsidRPr="00E612D9">
        <w:rPr>
          <w:lang w:val="en-GB"/>
        </w:rPr>
        <w:t xml:space="preserve"> on </w:t>
      </w:r>
      <w:r w:rsidRPr="00E612D9">
        <w:rPr>
          <w:i/>
          <w:iCs/>
          <w:lang w:val="en-GB"/>
        </w:rPr>
        <w:t>Citrus sinensis</w:t>
      </w:r>
      <w:r w:rsidRPr="00E612D9">
        <w:rPr>
          <w:lang w:val="en-GB"/>
        </w:rPr>
        <w:t>) (2017-029), as presented in CPM 2024/10_04, as Annex 46 to ISPM 28 (</w:t>
      </w:r>
      <w:r w:rsidRPr="00E612D9">
        <w:rPr>
          <w:i/>
          <w:iCs/>
          <w:lang w:val="en-GB"/>
        </w:rPr>
        <w:t>Phytosanitary treatments for regulated pests</w:t>
      </w:r>
      <w:proofErr w:type="gramStart"/>
      <w:r w:rsidRPr="00E612D9">
        <w:rPr>
          <w:lang w:val="en-GB"/>
        </w:rPr>
        <w:t>);</w:t>
      </w:r>
      <w:proofErr w:type="gramEnd"/>
    </w:p>
    <w:p w14:paraId="3EFB4D08" w14:textId="77777777" w:rsidR="006D2BF3" w:rsidRPr="00CE1F61" w:rsidRDefault="006D2BF3" w:rsidP="006D2BF3">
      <w:pPr>
        <w:pStyle w:val="IPPNumberedList"/>
      </w:pPr>
      <w:r w:rsidRPr="00CE1F61">
        <w:rPr>
          <w:i/>
          <w:iCs/>
        </w:rPr>
        <w:t xml:space="preserve">requested </w:t>
      </w:r>
      <w:r w:rsidRPr="00CE1F61">
        <w:t xml:space="preserve">that the SC explore mechanisms to address technical issues that are raised about draft ISPMs submitted for adoption but that are not </w:t>
      </w:r>
      <w:proofErr w:type="gramStart"/>
      <w:r w:rsidRPr="00CE1F61">
        <w:t>objections;</w:t>
      </w:r>
      <w:proofErr w:type="gramEnd"/>
    </w:p>
    <w:p w14:paraId="49C712A2" w14:textId="77777777" w:rsidR="006D2BF3" w:rsidRPr="00E612D9" w:rsidRDefault="006D2BF3" w:rsidP="006D2BF3">
      <w:pPr>
        <w:pStyle w:val="IPPNumberedList"/>
        <w:rPr>
          <w:lang w:val="en-GB"/>
        </w:rPr>
      </w:pPr>
      <w:r w:rsidRPr="00E612D9">
        <w:rPr>
          <w:i/>
          <w:iCs/>
          <w:lang w:val="en-GB"/>
        </w:rPr>
        <w:t>noted</w:t>
      </w:r>
      <w:r w:rsidRPr="00E612D9">
        <w:rPr>
          <w:lang w:val="en-GB"/>
        </w:rPr>
        <w:t xml:space="preserve"> that the following four ISPMs (including annexes) had been reviewed by the Arabic, Chinese, Russian and Spanish language review groups and FAO Translation services, and the IPPC Secretariat had incorporated the modifications accordingly and posted the new versions on the Adopted standards page of the IPP to replace the previously adopted versions:</w:t>
      </w:r>
    </w:p>
    <w:p w14:paraId="7522ABD0" w14:textId="77777777" w:rsidR="006D2BF3" w:rsidRPr="00E612D9" w:rsidRDefault="006D2BF3" w:rsidP="006D2BF3">
      <w:pPr>
        <w:pStyle w:val="IPPBullet2"/>
      </w:pPr>
      <w:r w:rsidRPr="00E612D9">
        <w:t>ISPM 18 (</w:t>
      </w:r>
      <w:r w:rsidRPr="00E612D9">
        <w:rPr>
          <w:i/>
          <w:iCs/>
        </w:rPr>
        <w:t>Requirements for the use of irradiation as a phytosanitary measure</w:t>
      </w:r>
      <w:r w:rsidRPr="00E612D9">
        <w:t>),</w:t>
      </w:r>
    </w:p>
    <w:p w14:paraId="4E263808" w14:textId="77777777" w:rsidR="006D2BF3" w:rsidRPr="00E612D9" w:rsidRDefault="006D2BF3" w:rsidP="006D2BF3">
      <w:pPr>
        <w:pStyle w:val="IPPBullet2"/>
      </w:pPr>
      <w:r w:rsidRPr="00E612D9">
        <w:t>2021 amendments to ISPM 5 (</w:t>
      </w:r>
      <w:r w:rsidRPr="00E612D9">
        <w:rPr>
          <w:i/>
          <w:iCs/>
        </w:rPr>
        <w:t>Glossary of phytosanitary terms</w:t>
      </w:r>
      <w:r w:rsidRPr="00E612D9">
        <w:t>),</w:t>
      </w:r>
    </w:p>
    <w:p w14:paraId="2B407348" w14:textId="77777777" w:rsidR="006D2BF3" w:rsidRPr="00E612D9" w:rsidRDefault="006D2BF3" w:rsidP="006D2BF3">
      <w:pPr>
        <w:pStyle w:val="IPPBullet2"/>
      </w:pPr>
      <w:r w:rsidRPr="00E612D9">
        <w:t>Annex 2 (</w:t>
      </w:r>
      <w:r w:rsidRPr="00E612D9">
        <w:rPr>
          <w:i/>
          <w:iCs/>
        </w:rPr>
        <w:t>Use of specific import authorizations</w:t>
      </w:r>
      <w:r w:rsidRPr="00E612D9">
        <w:t>) (2008-006) to ISPM 20 (</w:t>
      </w:r>
      <w:r w:rsidRPr="00E612D9">
        <w:rPr>
          <w:i/>
          <w:iCs/>
        </w:rPr>
        <w:t>Guidelines for a phytosanitary import regulatory system</w:t>
      </w:r>
      <w:r w:rsidRPr="00E612D9">
        <w:t>),</w:t>
      </w:r>
    </w:p>
    <w:p w14:paraId="62936BF8" w14:textId="77777777" w:rsidR="006D2BF3" w:rsidRPr="00E612D9" w:rsidRDefault="006D2BF3" w:rsidP="006D2BF3">
      <w:pPr>
        <w:pStyle w:val="IPPBullet2"/>
      </w:pPr>
      <w:r w:rsidRPr="00E612D9">
        <w:t>Annex to ISPM 28 (</w:t>
      </w:r>
      <w:r w:rsidRPr="00E612D9">
        <w:rPr>
          <w:i/>
          <w:iCs/>
        </w:rPr>
        <w:t>Phytosanitary treatments for regulated pests</w:t>
      </w:r>
      <w:r w:rsidRPr="00E612D9">
        <w:t xml:space="preserve">): PT 45 (Irradiation treatment for </w:t>
      </w:r>
      <w:r w:rsidRPr="00E612D9">
        <w:rPr>
          <w:i/>
          <w:iCs/>
        </w:rPr>
        <w:t xml:space="preserve">Pseudococcus </w:t>
      </w:r>
      <w:proofErr w:type="spellStart"/>
      <w:r w:rsidRPr="00E612D9">
        <w:rPr>
          <w:i/>
          <w:iCs/>
        </w:rPr>
        <w:t>jackbeardsleyi</w:t>
      </w:r>
      <w:proofErr w:type="spellEnd"/>
      <w:proofErr w:type="gramStart"/>
      <w:r w:rsidRPr="00E612D9">
        <w:t>);</w:t>
      </w:r>
      <w:proofErr w:type="gramEnd"/>
    </w:p>
    <w:p w14:paraId="4CA1E8A0" w14:textId="77777777" w:rsidR="006D2BF3" w:rsidRDefault="006D2BF3" w:rsidP="006D2BF3">
      <w:pPr>
        <w:pStyle w:val="IPPNumberedList"/>
      </w:pPr>
      <w:r w:rsidRPr="00E612D9">
        <w:rPr>
          <w:i/>
          <w:iCs/>
        </w:rPr>
        <w:t>thanked</w:t>
      </w:r>
      <w:r w:rsidRPr="00E612D9">
        <w:t xml:space="preserve"> contracting parties and RPPOs involved in the language review groups – in particular, Mekki CHOUIBANI, Shadi DARWEESH and Sadek ABBAS from the Arabic group, </w:t>
      </w:r>
      <w:proofErr w:type="spellStart"/>
      <w:r w:rsidRPr="00E612D9">
        <w:t>Xiaoliang</w:t>
      </w:r>
      <w:proofErr w:type="spellEnd"/>
      <w:r w:rsidRPr="00E612D9">
        <w:t xml:space="preserve"> WANG (Chinese), Beatriz MELCHO (Spanish) and Snezhana USACHEVA (Russian) – as well as FAO Translation Services, for their efforts and hard work to improve the language versions of ISPMs and relevant annexes; and </w:t>
      </w:r>
    </w:p>
    <w:p w14:paraId="7A6632AA" w14:textId="77777777" w:rsidR="006D2BF3" w:rsidRPr="006211A3" w:rsidRDefault="006D2BF3" w:rsidP="006D2BF3">
      <w:pPr>
        <w:pStyle w:val="IPPNumberedListLast"/>
      </w:pPr>
      <w:r w:rsidRPr="006211A3">
        <w:rPr>
          <w:i/>
          <w:iCs/>
        </w:rPr>
        <w:t>thanked</w:t>
      </w:r>
      <w:r w:rsidRPr="006211A3">
        <w:t xml:space="preserve"> the experts of the groups who drafted the adopted standards and their contracting parties or international organizations (Appendix </w:t>
      </w:r>
      <w:r w:rsidRPr="006211A3">
        <w:rPr>
          <w:highlight w:val="yellow"/>
        </w:rPr>
        <w:t>XX</w:t>
      </w:r>
      <w:r w:rsidRPr="006211A3">
        <w:t>) for their active contribution to the development of these standards.</w:t>
      </w:r>
    </w:p>
    <w:p w14:paraId="3DB29D38" w14:textId="77777777" w:rsidR="006D2BF3" w:rsidRPr="00E612D9" w:rsidDel="00181E29" w:rsidRDefault="006D2BF3" w:rsidP="006D2BF3">
      <w:pPr>
        <w:pStyle w:val="IPPNormal"/>
      </w:pPr>
      <w:r w:rsidRPr="00E612D9">
        <w:rPr>
          <w:highlight w:val="yellow"/>
        </w:rPr>
        <w:t>[</w:t>
      </w:r>
      <w:r w:rsidRPr="00E612D9">
        <w:rPr>
          <w:i/>
          <w:iCs/>
          <w:highlight w:val="yellow"/>
        </w:rPr>
        <w:t>Note (to be deleted upon adoption of report): decision acknowledging SC members who left in 2023 is under agenda item 22 for consistency with decision acknowledging IC members</w:t>
      </w:r>
      <w:r w:rsidRPr="00E612D9">
        <w:rPr>
          <w:highlight w:val="yellow"/>
        </w:rPr>
        <w:t>.]</w:t>
      </w:r>
    </w:p>
    <w:p w14:paraId="084631C2" w14:textId="77777777" w:rsidR="006D2BF3" w:rsidRPr="00E612D9" w:rsidRDefault="006D2BF3" w:rsidP="006D2BF3">
      <w:pPr>
        <w:pStyle w:val="IPPHeading2"/>
      </w:pPr>
      <w:r w:rsidRPr="00E612D9">
        <w:lastRenderedPageBreak/>
        <w:t>10.1</w:t>
      </w:r>
      <w:r w:rsidRPr="00E612D9">
        <w:tab/>
        <w:t xml:space="preserve">Ink amendments to adopted </w:t>
      </w:r>
      <w:proofErr w:type="gramStart"/>
      <w:r w:rsidRPr="00E612D9">
        <w:t>ISPMs</w:t>
      </w:r>
      <w:proofErr w:type="gramEnd"/>
    </w:p>
    <w:p w14:paraId="07EF8CBD" w14:textId="77777777" w:rsidR="006D2BF3" w:rsidRPr="00E612D9" w:rsidRDefault="006D2BF3" w:rsidP="006D2BF3">
      <w:pPr>
        <w:pStyle w:val="IPPParagraphnumbering"/>
        <w:rPr>
          <w:lang w:val="en-GB"/>
        </w:rPr>
      </w:pPr>
      <w:r w:rsidRPr="00E612D9">
        <w:rPr>
          <w:lang w:val="en-GB"/>
        </w:rPr>
        <w:t>The secretariat presented a paper on proposed ink amendments to adopted ISPMs arising from consistency reviews.</w:t>
      </w:r>
      <w:r w:rsidRPr="00E612D9">
        <w:rPr>
          <w:rStyle w:val="FootnoteReference"/>
          <w:lang w:val="en-GB"/>
        </w:rPr>
        <w:footnoteReference w:id="17"/>
      </w:r>
      <w:r w:rsidRPr="00E612D9">
        <w:rPr>
          <w:lang w:val="en-GB"/>
        </w:rPr>
        <w:t xml:space="preserve"> </w:t>
      </w:r>
    </w:p>
    <w:p w14:paraId="0BF6D70D" w14:textId="77777777" w:rsidR="006D2BF3" w:rsidRPr="00E612D9" w:rsidRDefault="006D2BF3" w:rsidP="006D2BF3">
      <w:pPr>
        <w:pStyle w:val="IPPParagraphnumberingclose"/>
      </w:pPr>
      <w:r w:rsidRPr="00E612D9">
        <w:t>The CPM:</w:t>
      </w:r>
    </w:p>
    <w:p w14:paraId="17A4BD88" w14:textId="77777777" w:rsidR="006D2BF3" w:rsidRPr="00E612D9" w:rsidRDefault="006D2BF3" w:rsidP="006D2BF3">
      <w:pPr>
        <w:pStyle w:val="IPPNumberedList"/>
        <w:numPr>
          <w:ilvl w:val="0"/>
          <w:numId w:val="72"/>
        </w:numPr>
        <w:rPr>
          <w:lang w:val="en-GB"/>
        </w:rPr>
      </w:pPr>
      <w:r w:rsidRPr="00E612D9">
        <w:rPr>
          <w:i/>
          <w:iCs/>
          <w:lang w:val="en-GB"/>
        </w:rPr>
        <w:t>noted</w:t>
      </w:r>
      <w:r w:rsidRPr="00E612D9">
        <w:rPr>
          <w:lang w:val="en-GB"/>
        </w:rPr>
        <w:t xml:space="preserve"> the ink amendment to the definition of the glossary (ISPM 5) term “entry (of a consignment)” (Attachment 1 of CPM 2024/11, in English) to provide parallelism with the definition of “entry (of a pest)” and hence reduce potential </w:t>
      </w:r>
      <w:proofErr w:type="gramStart"/>
      <w:r w:rsidRPr="00E612D9">
        <w:rPr>
          <w:lang w:val="en-GB"/>
        </w:rPr>
        <w:t>confusion;</w:t>
      </w:r>
      <w:proofErr w:type="gramEnd"/>
    </w:p>
    <w:p w14:paraId="2607B98A" w14:textId="77777777" w:rsidR="006D2BF3" w:rsidRPr="00E612D9" w:rsidRDefault="006D2BF3" w:rsidP="006D2BF3">
      <w:pPr>
        <w:pStyle w:val="IPPNumberedList"/>
        <w:rPr>
          <w:lang w:val="en-GB"/>
        </w:rPr>
      </w:pPr>
      <w:r w:rsidRPr="00E612D9">
        <w:rPr>
          <w:i/>
          <w:iCs/>
          <w:lang w:val="en-GB"/>
        </w:rPr>
        <w:t>noted</w:t>
      </w:r>
      <w:r w:rsidRPr="00E612D9">
        <w:rPr>
          <w:lang w:val="en-GB"/>
        </w:rPr>
        <w:t xml:space="preserve"> the ink amendments to the Arabic versions of adopted standards as to the translation of the term “treatment” and its plural “treatments” (Attachment 2 of CPM 2024/11, in English</w:t>
      </w:r>
      <w:proofErr w:type="gramStart"/>
      <w:r w:rsidRPr="00E612D9">
        <w:rPr>
          <w:lang w:val="en-GB"/>
        </w:rPr>
        <w:t>);</w:t>
      </w:r>
      <w:proofErr w:type="gramEnd"/>
    </w:p>
    <w:p w14:paraId="1165A047" w14:textId="77777777" w:rsidR="006D2BF3" w:rsidRPr="00E612D9" w:rsidRDefault="006D2BF3" w:rsidP="006D2BF3">
      <w:pPr>
        <w:pStyle w:val="IPPNumberedList"/>
        <w:rPr>
          <w:lang w:val="en-GB"/>
        </w:rPr>
      </w:pPr>
      <w:r w:rsidRPr="00E612D9">
        <w:rPr>
          <w:i/>
          <w:iCs/>
          <w:lang w:val="en-GB"/>
        </w:rPr>
        <w:t>noted</w:t>
      </w:r>
      <w:r w:rsidRPr="00E612D9">
        <w:rPr>
          <w:lang w:val="en-GB"/>
        </w:rPr>
        <w:t xml:space="preserve"> the ink amendments to the Chinese versions of adopted standards as to the translation of the term “irradiation” (Attachment 3 of CPM 2024/11, in English</w:t>
      </w:r>
      <w:proofErr w:type="gramStart"/>
      <w:r w:rsidRPr="00E612D9">
        <w:rPr>
          <w:lang w:val="en-GB"/>
        </w:rPr>
        <w:t>);</w:t>
      </w:r>
      <w:proofErr w:type="gramEnd"/>
    </w:p>
    <w:p w14:paraId="02C27FAA" w14:textId="77777777" w:rsidR="006D2BF3" w:rsidRPr="00E612D9" w:rsidRDefault="006D2BF3" w:rsidP="006D2BF3">
      <w:pPr>
        <w:pStyle w:val="IPPNumberedList"/>
        <w:rPr>
          <w:lang w:val="en-GB"/>
        </w:rPr>
      </w:pPr>
      <w:r w:rsidRPr="00E612D9">
        <w:rPr>
          <w:i/>
          <w:iCs/>
          <w:lang w:val="en-GB"/>
        </w:rPr>
        <w:t>noted</w:t>
      </w:r>
      <w:r w:rsidRPr="00E612D9">
        <w:rPr>
          <w:lang w:val="en-GB"/>
        </w:rPr>
        <w:t xml:space="preserve"> that the ink amendments would be implemented in all FAO language versions of the standards concerned as resources permit</w:t>
      </w:r>
      <w:r>
        <w:rPr>
          <w:lang w:val="en-GB"/>
        </w:rPr>
        <w:t>ted</w:t>
      </w:r>
      <w:r w:rsidRPr="00E612D9">
        <w:rPr>
          <w:lang w:val="en-GB"/>
        </w:rPr>
        <w:t>; and</w:t>
      </w:r>
    </w:p>
    <w:p w14:paraId="7AA85540" w14:textId="77777777" w:rsidR="006D2BF3" w:rsidRPr="00E612D9" w:rsidRDefault="006D2BF3" w:rsidP="006D2BF3">
      <w:pPr>
        <w:pStyle w:val="IPPNumberedListLast"/>
        <w:rPr>
          <w:lang w:val="en-GB"/>
        </w:rPr>
      </w:pPr>
      <w:r w:rsidRPr="00E612D9">
        <w:rPr>
          <w:i/>
          <w:iCs/>
          <w:lang w:val="en-GB"/>
        </w:rPr>
        <w:t>agreed</w:t>
      </w:r>
      <w:r w:rsidRPr="00E612D9">
        <w:rPr>
          <w:lang w:val="en-GB"/>
        </w:rPr>
        <w:t xml:space="preserve"> that, once the secretariat had applied the ink amendments, the previous versions of the standards would be replaced by the newly implemented versions.</w:t>
      </w:r>
    </w:p>
    <w:p w14:paraId="2656BD1D" w14:textId="77777777" w:rsidR="009574B9" w:rsidRPr="00647B7E" w:rsidRDefault="009574B9" w:rsidP="009574B9">
      <w:pPr>
        <w:pStyle w:val="IPPHeading1"/>
      </w:pPr>
      <w:r w:rsidRPr="00647B7E">
        <w:t>11.</w:t>
      </w:r>
      <w:r w:rsidRPr="00647B7E">
        <w:tab/>
        <w:t>CPM recommendations</w:t>
      </w:r>
    </w:p>
    <w:p w14:paraId="68A1D454" w14:textId="77777777" w:rsidR="009574B9" w:rsidRPr="00671C45" w:rsidRDefault="009574B9" w:rsidP="009574B9">
      <w:pPr>
        <w:pStyle w:val="IPPParagraphnumbering"/>
        <w:rPr>
          <w:bCs/>
          <w:lang w:val="en-GB"/>
        </w:rPr>
      </w:pPr>
      <w:r>
        <w:rPr>
          <w:bCs/>
          <w:lang w:val="en-GB"/>
        </w:rPr>
        <w:t xml:space="preserve">The CPM considered </w:t>
      </w:r>
      <w:r w:rsidRPr="00671C45">
        <w:rPr>
          <w:bCs/>
          <w:lang w:val="en-GB"/>
        </w:rPr>
        <w:t>the development of draft CPM recommendations in the work programme.</w:t>
      </w:r>
      <w:r w:rsidRPr="00671C45">
        <w:rPr>
          <w:rStyle w:val="FootnoteReference"/>
          <w:bCs/>
          <w:lang w:val="en-GB"/>
        </w:rPr>
        <w:footnoteReference w:id="18"/>
      </w:r>
      <w:r w:rsidRPr="00671C45">
        <w:rPr>
          <w:bCs/>
          <w:lang w:val="en-GB"/>
        </w:rPr>
        <w:t xml:space="preserve"> One CPM recommendation was under development (see agenda item 11.1) and the CPM was also invited to discuss and agree any new proposals for CPM recommendations that may need to be included in the work programme.</w:t>
      </w:r>
    </w:p>
    <w:p w14:paraId="235B8FB5" w14:textId="77777777" w:rsidR="009574B9" w:rsidRDefault="009574B9" w:rsidP="009574B9">
      <w:pPr>
        <w:pStyle w:val="IPPParagraphnumberingclose"/>
        <w:rPr>
          <w:bCs/>
          <w:lang w:val="en-GB"/>
        </w:rPr>
      </w:pPr>
      <w:r>
        <w:rPr>
          <w:bCs/>
          <w:lang w:val="en-GB"/>
        </w:rPr>
        <w:t>No proposals for new CPM recommendations were proposed.</w:t>
      </w:r>
    </w:p>
    <w:p w14:paraId="0AA4C988" w14:textId="77777777" w:rsidR="009574B9" w:rsidRPr="00712597" w:rsidRDefault="009574B9" w:rsidP="009574B9">
      <w:pPr>
        <w:pStyle w:val="IPPHeading2"/>
      </w:pPr>
      <w:r w:rsidRPr="00712597">
        <w:t>11.1</w:t>
      </w:r>
      <w:r w:rsidRPr="00712597">
        <w:tab/>
        <w:t>Revision of CPM recommendation on sea containers</w:t>
      </w:r>
    </w:p>
    <w:p w14:paraId="6ED4116A" w14:textId="77777777" w:rsidR="009574B9" w:rsidRPr="00712597" w:rsidRDefault="009574B9" w:rsidP="009574B9">
      <w:pPr>
        <w:pStyle w:val="IPPParagraphnumbering"/>
        <w:rPr>
          <w:lang w:val="en-GB"/>
        </w:rPr>
      </w:pPr>
      <w:r w:rsidRPr="00712597">
        <w:rPr>
          <w:lang w:val="en-GB"/>
        </w:rPr>
        <w:t xml:space="preserve">The </w:t>
      </w:r>
      <w:r w:rsidRPr="00E707FA">
        <w:rPr>
          <w:lang w:val="en-GB"/>
        </w:rPr>
        <w:t>secretariat</w:t>
      </w:r>
      <w:r w:rsidRPr="00712597">
        <w:rPr>
          <w:lang w:val="en-GB"/>
        </w:rPr>
        <w:t xml:space="preserve"> presented the draft revision of the CPM Recommendation on </w:t>
      </w:r>
      <w:r w:rsidRPr="00712597">
        <w:rPr>
          <w:i/>
          <w:iCs/>
          <w:lang w:val="en-GB"/>
        </w:rPr>
        <w:t>Sea containers</w:t>
      </w:r>
      <w:r w:rsidRPr="00712597">
        <w:rPr>
          <w:lang w:val="en-GB"/>
        </w:rPr>
        <w:t xml:space="preserve"> (R-06), which had been submitted to consultation in July 2023 as agreed by CPM-17 (2023).</w:t>
      </w:r>
      <w:r w:rsidRPr="00712597">
        <w:rPr>
          <w:rStyle w:val="FootnoteReference"/>
          <w:lang w:val="en-GB"/>
        </w:rPr>
        <w:footnoteReference w:id="19"/>
      </w:r>
    </w:p>
    <w:p w14:paraId="58ACF363" w14:textId="77777777" w:rsidR="009574B9" w:rsidRDefault="009574B9" w:rsidP="009574B9">
      <w:pPr>
        <w:pStyle w:val="IPPParagraphnumbering"/>
        <w:rPr>
          <w:lang w:val="en-GB"/>
        </w:rPr>
      </w:pPr>
      <w:r>
        <w:rPr>
          <w:lang w:val="en-GB"/>
        </w:rPr>
        <w:t>The CPM agreed to change the order of the recommendations on “Collaboration with multilateral bodies” and “Establishing appropriate regulatory tools” in the draft CPM recommendation.</w:t>
      </w:r>
    </w:p>
    <w:p w14:paraId="7E01FBBF" w14:textId="77777777" w:rsidR="009574B9" w:rsidRPr="00344415" w:rsidRDefault="009574B9" w:rsidP="009574B9">
      <w:pPr>
        <w:pStyle w:val="IPPParagraphnumbering"/>
        <w:rPr>
          <w:lang w:val="en-GB"/>
        </w:rPr>
      </w:pPr>
      <w:r w:rsidRPr="00344415">
        <w:rPr>
          <w:lang w:val="en-GB"/>
        </w:rPr>
        <w:t>The CPM chairperson acknowledged the efforts of John HEDLEY in the development of the IPPC work on sea containers.</w:t>
      </w:r>
    </w:p>
    <w:p w14:paraId="2D23C5F9" w14:textId="77777777" w:rsidR="009574B9" w:rsidRPr="00712597" w:rsidRDefault="009574B9" w:rsidP="009574B9">
      <w:pPr>
        <w:pStyle w:val="IPPParagraphnumberingclose"/>
        <w:rPr>
          <w:lang w:val="en-GB"/>
        </w:rPr>
      </w:pPr>
      <w:r w:rsidRPr="00712597">
        <w:rPr>
          <w:lang w:val="en-GB"/>
        </w:rPr>
        <w:t>The CPM:</w:t>
      </w:r>
    </w:p>
    <w:p w14:paraId="506EB766" w14:textId="77777777" w:rsidR="009574B9" w:rsidRPr="002B2B11" w:rsidRDefault="009574B9" w:rsidP="009574B9">
      <w:pPr>
        <w:pStyle w:val="IPPNumberedList"/>
        <w:numPr>
          <w:ilvl w:val="0"/>
          <w:numId w:val="74"/>
        </w:numPr>
        <w:spacing w:after="180"/>
        <w:rPr>
          <w:lang w:val="en-GB"/>
        </w:rPr>
      </w:pPr>
      <w:r w:rsidRPr="002B2B11">
        <w:rPr>
          <w:i/>
          <w:iCs/>
          <w:lang w:val="en-GB"/>
        </w:rPr>
        <w:t>adopted</w:t>
      </w:r>
      <w:r w:rsidRPr="002B2B11">
        <w:rPr>
          <w:lang w:val="en-GB"/>
        </w:rPr>
        <w:t xml:space="preserve"> the CPM Recommendation on </w:t>
      </w:r>
      <w:r w:rsidRPr="002B2B11">
        <w:rPr>
          <w:i/>
          <w:iCs/>
          <w:lang w:val="en-GB"/>
        </w:rPr>
        <w:t xml:space="preserve">Minimizing the pest risk associated with the sea-container pathway </w:t>
      </w:r>
      <w:r w:rsidRPr="002B2B11">
        <w:rPr>
          <w:lang w:val="en-GB"/>
        </w:rPr>
        <w:t xml:space="preserve">(R-06), as </w:t>
      </w:r>
      <w:r>
        <w:rPr>
          <w:lang w:val="en-GB"/>
        </w:rPr>
        <w:t>modified at this meeting (Appendix </w:t>
      </w:r>
      <w:r w:rsidRPr="007C79B6">
        <w:rPr>
          <w:highlight w:val="yellow"/>
          <w:lang w:val="en-GB"/>
        </w:rPr>
        <w:t>XX</w:t>
      </w:r>
      <w:r>
        <w:rPr>
          <w:lang w:val="en-GB"/>
        </w:rPr>
        <w:t>)</w:t>
      </w:r>
      <w:r w:rsidRPr="00077300">
        <w:rPr>
          <w:lang w:val="en-GB"/>
        </w:rPr>
        <w:t>,</w:t>
      </w:r>
      <w:r w:rsidRPr="002B2B11">
        <w:rPr>
          <w:lang w:val="en-GB"/>
        </w:rPr>
        <w:t xml:space="preserve"> to supersede and replace the CPM recommendation on </w:t>
      </w:r>
      <w:r w:rsidRPr="002B2B11">
        <w:rPr>
          <w:i/>
          <w:iCs/>
          <w:lang w:val="en-GB"/>
        </w:rPr>
        <w:t>Sea containers</w:t>
      </w:r>
      <w:r w:rsidRPr="002B2B11">
        <w:rPr>
          <w:lang w:val="en-GB"/>
        </w:rPr>
        <w:t xml:space="preserve"> (R-06).</w:t>
      </w:r>
    </w:p>
    <w:p w14:paraId="29C03138" w14:textId="77777777" w:rsidR="001F113B" w:rsidRPr="00846605" w:rsidRDefault="001F113B" w:rsidP="001F113B">
      <w:pPr>
        <w:pStyle w:val="IPPHeading1"/>
      </w:pPr>
      <w:r w:rsidRPr="00846605">
        <w:t>12.</w:t>
      </w:r>
      <w:r w:rsidRPr="00846605">
        <w:tab/>
        <w:t>Implementation of IPPC strategic framework – report on the implementation of the eight development-agenda items and draft prospectus</w:t>
      </w:r>
    </w:p>
    <w:p w14:paraId="4D2D0B2F" w14:textId="77777777" w:rsidR="001F113B" w:rsidRPr="00846605" w:rsidRDefault="001F113B" w:rsidP="001F113B">
      <w:pPr>
        <w:pStyle w:val="IPPParagraphnumbering"/>
        <w:rPr>
          <w:lang w:val="en-GB"/>
        </w:rPr>
      </w:pPr>
      <w:r w:rsidRPr="00846605">
        <w:rPr>
          <w:lang w:val="en-GB"/>
        </w:rPr>
        <w:t xml:space="preserve">The secretariat presented an investment prospectus that they had developed in close collaboration with the CPM Bureau to raise awareness of the implementation plan for the IPPC Strategic Framework 2020–2030 and to attract funding to support the eight </w:t>
      </w:r>
      <w:r>
        <w:rPr>
          <w:lang w:val="en-GB"/>
        </w:rPr>
        <w:t>development-agenda items (</w:t>
      </w:r>
      <w:r w:rsidRPr="00846605">
        <w:rPr>
          <w:lang w:val="en-GB"/>
        </w:rPr>
        <w:t>DAIs</w:t>
      </w:r>
      <w:r>
        <w:rPr>
          <w:lang w:val="en-GB"/>
        </w:rPr>
        <w:t>)</w:t>
      </w:r>
      <w:r w:rsidRPr="00846605">
        <w:rPr>
          <w:lang w:val="en-GB"/>
        </w:rPr>
        <w:t xml:space="preserve"> of the strategic framework.</w:t>
      </w:r>
      <w:r w:rsidRPr="00846605">
        <w:rPr>
          <w:rStyle w:val="FootnoteReference"/>
          <w:lang w:val="en-GB"/>
        </w:rPr>
        <w:footnoteReference w:id="20"/>
      </w:r>
      <w:r>
        <w:rPr>
          <w:lang w:val="en-GB"/>
        </w:rPr>
        <w:t xml:space="preserve"> The CPM was invited to provide feedback on the draft prospectus.</w:t>
      </w:r>
    </w:p>
    <w:p w14:paraId="5412DBBF" w14:textId="77777777" w:rsidR="001F113B" w:rsidRPr="00846605" w:rsidRDefault="001F113B" w:rsidP="001F113B">
      <w:pPr>
        <w:pStyle w:val="IPPParagraphnumberingclose"/>
        <w:rPr>
          <w:lang w:val="en-GB"/>
        </w:rPr>
      </w:pPr>
      <w:r w:rsidRPr="00846605">
        <w:rPr>
          <w:lang w:val="en-GB"/>
        </w:rPr>
        <w:lastRenderedPageBreak/>
        <w:t>The CPM:</w:t>
      </w:r>
    </w:p>
    <w:p w14:paraId="728507C6" w14:textId="77777777" w:rsidR="001F113B" w:rsidRPr="00846605" w:rsidRDefault="001F113B" w:rsidP="001F113B">
      <w:pPr>
        <w:pStyle w:val="IPPNumberedList"/>
        <w:numPr>
          <w:ilvl w:val="0"/>
          <w:numId w:val="75"/>
        </w:numPr>
        <w:rPr>
          <w:lang w:val="en-GB"/>
        </w:rPr>
      </w:pPr>
      <w:r w:rsidRPr="00846605">
        <w:rPr>
          <w:i/>
          <w:iCs/>
          <w:lang w:val="en-GB"/>
        </w:rPr>
        <w:t>noted</w:t>
      </w:r>
      <w:r w:rsidRPr="00846605">
        <w:rPr>
          <w:lang w:val="en-GB"/>
        </w:rPr>
        <w:t xml:space="preserve"> the paper and its Attachment 1 (investment prospectus); and</w:t>
      </w:r>
    </w:p>
    <w:p w14:paraId="74882B84" w14:textId="77777777" w:rsidR="001F113B" w:rsidRPr="00846605" w:rsidRDefault="001F113B" w:rsidP="001F113B">
      <w:pPr>
        <w:pStyle w:val="IPPNumberedListLast"/>
        <w:rPr>
          <w:lang w:val="en-GB"/>
        </w:rPr>
      </w:pPr>
      <w:r w:rsidRPr="00846605">
        <w:rPr>
          <w:i/>
          <w:iCs/>
          <w:bdr w:val="none" w:sz="0" w:space="0" w:color="auto" w:frame="1"/>
        </w:rPr>
        <w:t xml:space="preserve">agreed </w:t>
      </w:r>
      <w:r w:rsidRPr="00846605">
        <w:rPr>
          <w:bdr w:val="none" w:sz="0" w:space="0" w:color="auto" w:frame="1"/>
        </w:rPr>
        <w:t xml:space="preserve">that CPs </w:t>
      </w:r>
      <w:r>
        <w:rPr>
          <w:bdr w:val="none" w:sz="0" w:space="0" w:color="auto" w:frame="1"/>
        </w:rPr>
        <w:t>and</w:t>
      </w:r>
      <w:r w:rsidRPr="00846605">
        <w:rPr>
          <w:bdr w:val="none" w:sz="0" w:space="0" w:color="auto" w:frame="1"/>
        </w:rPr>
        <w:t xml:space="preserve"> RPPOs with comments on the draft </w:t>
      </w:r>
      <w:r w:rsidRPr="00846605">
        <w:rPr>
          <w:bdr w:val="none" w:sz="0" w:space="0" w:color="auto" w:frame="1"/>
          <w:shd w:val="clear" w:color="auto" w:fill="FFFFFF"/>
        </w:rPr>
        <w:t>investment prospectus (CPM 2024/13_01) should submit them to the secretariat by 15 May 2024 for review by the CPM Bureau at their June 2024 meeting</w:t>
      </w:r>
      <w:r w:rsidRPr="00846605">
        <w:rPr>
          <w:bdr w:val="none" w:sz="0" w:space="0" w:color="auto" w:frame="1"/>
        </w:rPr>
        <w:t>.</w:t>
      </w:r>
    </w:p>
    <w:p w14:paraId="423E5BCA" w14:textId="77777777" w:rsidR="005802F5" w:rsidRPr="00E612D9" w:rsidRDefault="005802F5" w:rsidP="005802F5">
      <w:pPr>
        <w:pStyle w:val="IPPHeading2"/>
      </w:pPr>
      <w:r w:rsidRPr="00E612D9">
        <w:t>12.2</w:t>
      </w:r>
      <w:r w:rsidRPr="00E612D9">
        <w:tab/>
        <w:t>Commodity-specific ISPMs</w:t>
      </w:r>
    </w:p>
    <w:p w14:paraId="6D542348" w14:textId="77777777" w:rsidR="005802F5" w:rsidRPr="00AA5034" w:rsidRDefault="005802F5" w:rsidP="005802F5">
      <w:pPr>
        <w:pStyle w:val="IPPParagraphnumbering"/>
      </w:pPr>
      <w:r w:rsidRPr="00E612D9">
        <w:t>The secretariat presented an update on the DAI on “Commodity- and Pathway-Specific ISPMs”,</w:t>
      </w:r>
      <w:r w:rsidRPr="00E612D9">
        <w:rPr>
          <w:rStyle w:val="FootnoteReference"/>
        </w:rPr>
        <w:footnoteReference w:id="21"/>
      </w:r>
      <w:r w:rsidRPr="00E612D9">
        <w:t xml:space="preserve"> </w:t>
      </w:r>
      <w:r>
        <w:t xml:space="preserve">explaining that the DAI covered both pathway standards in the broad sense as well as commodity standards and included the annexes of </w:t>
      </w:r>
      <w:r w:rsidRPr="00AA5034">
        <w:t>ISPM 46, which were solely for commodity standards. The secretariat noted that the first draft annex to ISPM 46 had been submitted to first consultation in 2023 and several proposals for new annexes had been submitted during the call for topics (reported under agenda item 16.5</w:t>
      </w:r>
      <w:r>
        <w:t>)</w:t>
      </w:r>
      <w:r w:rsidRPr="00AA5034">
        <w:t>.</w:t>
      </w:r>
    </w:p>
    <w:p w14:paraId="4FDA6543" w14:textId="77777777" w:rsidR="005802F5" w:rsidRDefault="005802F5" w:rsidP="005802F5">
      <w:pPr>
        <w:pStyle w:val="IPPParagraphnumbering"/>
      </w:pPr>
      <w:r>
        <w:rPr>
          <w:lang w:val="en-GB"/>
        </w:rPr>
        <w:t xml:space="preserve">The CPM noted a request for </w:t>
      </w:r>
      <w:r w:rsidRPr="007A23AE">
        <w:t xml:space="preserve">the first draft commodity </w:t>
      </w:r>
      <w:r w:rsidRPr="00CD62C9">
        <w:t>standard</w:t>
      </w:r>
      <w:r w:rsidRPr="007A23AE">
        <w:t xml:space="preserve"> submitted to the CPM for adoption </w:t>
      </w:r>
      <w:r>
        <w:t xml:space="preserve">to </w:t>
      </w:r>
      <w:r w:rsidRPr="007A23AE">
        <w:t>be presented in detail in a CPM side session or to a wider audience in a webinar to demonstrate its quality and its potential added value for international trade.</w:t>
      </w:r>
      <w:r>
        <w:rPr>
          <w:rStyle w:val="FootnoteReference"/>
          <w:lang w:val="en-GB"/>
        </w:rPr>
        <w:footnoteReference w:id="22"/>
      </w:r>
      <w:r w:rsidRPr="007A23AE">
        <w:t xml:space="preserve"> </w:t>
      </w:r>
    </w:p>
    <w:p w14:paraId="086B8898" w14:textId="77777777" w:rsidR="005802F5" w:rsidRDefault="005802F5" w:rsidP="005802F5">
      <w:pPr>
        <w:pStyle w:val="IPPParagraphnumbering"/>
        <w:rPr>
          <w:rFonts w:eastAsia="Calibri"/>
        </w:rPr>
      </w:pPr>
      <w:r w:rsidRPr="007A23AE">
        <w:rPr>
          <w:lang w:val="en-GB"/>
        </w:rPr>
        <w:t xml:space="preserve">The European Union </w:t>
      </w:r>
      <w:r w:rsidRPr="007A23AE">
        <w:rPr>
          <w:rFonts w:eastAsia="Calibri"/>
        </w:rPr>
        <w:t xml:space="preserve">confirmed that it was devoted to financially and scientifically support the activities on the development of </w:t>
      </w:r>
      <w:proofErr w:type="gramStart"/>
      <w:r w:rsidRPr="007A23AE">
        <w:rPr>
          <w:rFonts w:eastAsia="Calibri"/>
        </w:rPr>
        <w:t>commodity-specific</w:t>
      </w:r>
      <w:proofErr w:type="gramEnd"/>
      <w:r w:rsidRPr="007A23AE">
        <w:rPr>
          <w:rFonts w:eastAsia="Calibri"/>
        </w:rPr>
        <w:t xml:space="preserve"> ISPMs.</w:t>
      </w:r>
    </w:p>
    <w:p w14:paraId="2063ED1D" w14:textId="77777777" w:rsidR="005802F5" w:rsidRPr="004E3A2F" w:rsidRDefault="005802F5" w:rsidP="005802F5">
      <w:pPr>
        <w:pStyle w:val="IPPParagraphnumbering"/>
        <w:rPr>
          <w:rFonts w:eastAsia="Calibri"/>
        </w:rPr>
      </w:pPr>
      <w:r w:rsidRPr="004E3A2F">
        <w:rPr>
          <w:rFonts w:eastAsia="Calibri"/>
        </w:rPr>
        <w:t>The CPM noted that any CPs with concerns over tariffs should raise these with the World Customs Organization.</w:t>
      </w:r>
    </w:p>
    <w:p w14:paraId="348C265C" w14:textId="77777777" w:rsidR="005802F5" w:rsidRPr="00E612D9" w:rsidRDefault="005802F5" w:rsidP="005802F5">
      <w:pPr>
        <w:pStyle w:val="IPPParagraphnumberingclose"/>
        <w:rPr>
          <w:lang w:val="en-GB"/>
        </w:rPr>
      </w:pPr>
      <w:r w:rsidRPr="00E612D9">
        <w:rPr>
          <w:lang w:val="en-GB"/>
        </w:rPr>
        <w:t>The CPM:</w:t>
      </w:r>
    </w:p>
    <w:p w14:paraId="7FA8736E" w14:textId="77777777" w:rsidR="005802F5" w:rsidRDefault="005802F5" w:rsidP="005802F5">
      <w:pPr>
        <w:pStyle w:val="IPPNumberedList"/>
        <w:numPr>
          <w:ilvl w:val="0"/>
          <w:numId w:val="77"/>
        </w:numPr>
        <w:spacing w:after="180"/>
        <w:rPr>
          <w:lang w:val="en-GB"/>
        </w:rPr>
      </w:pPr>
      <w:r w:rsidRPr="00E612D9">
        <w:rPr>
          <w:i/>
          <w:iCs/>
          <w:lang w:val="en-GB"/>
        </w:rPr>
        <w:t>noted</w:t>
      </w:r>
      <w:r w:rsidRPr="00E612D9">
        <w:rPr>
          <w:lang w:val="en-GB"/>
        </w:rPr>
        <w:t xml:space="preserve"> the update on activities for the DAI on </w:t>
      </w:r>
      <w:proofErr w:type="gramStart"/>
      <w:r w:rsidRPr="00E612D9">
        <w:rPr>
          <w:lang w:val="en-GB"/>
        </w:rPr>
        <w:t>commodity-specific</w:t>
      </w:r>
      <w:proofErr w:type="gramEnd"/>
      <w:r w:rsidRPr="00E612D9">
        <w:rPr>
          <w:lang w:val="en-GB"/>
        </w:rPr>
        <w:t xml:space="preserve"> ISPMs.</w:t>
      </w:r>
    </w:p>
    <w:p w14:paraId="7C614542" w14:textId="77777777" w:rsidR="005802F5" w:rsidRPr="00E612D9" w:rsidRDefault="005802F5" w:rsidP="005802F5">
      <w:pPr>
        <w:pStyle w:val="IPPHeading2"/>
      </w:pPr>
      <w:r w:rsidRPr="00E612D9">
        <w:t>12.3</w:t>
      </w:r>
      <w:r w:rsidRPr="00E612D9">
        <w:tab/>
        <w:t>Management of e-commerce and postal and courier pathways</w:t>
      </w:r>
    </w:p>
    <w:p w14:paraId="3AAAF062" w14:textId="77777777" w:rsidR="005802F5" w:rsidRDefault="005802F5" w:rsidP="005802F5">
      <w:pPr>
        <w:pStyle w:val="IPPParagraphnumbering"/>
        <w:rPr>
          <w:lang w:val="en-GB"/>
        </w:rPr>
      </w:pPr>
      <w:r w:rsidRPr="00E612D9">
        <w:rPr>
          <w:lang w:val="en-GB"/>
        </w:rPr>
        <w:t xml:space="preserve">The secretariat presented an update on the DAI on “Management of E-commerce and Postal and Courier </w:t>
      </w:r>
      <w:r w:rsidRPr="00E612D9">
        <w:t>Pathways</w:t>
      </w:r>
      <w:r w:rsidRPr="00E612D9">
        <w:rPr>
          <w:lang w:val="en-GB"/>
        </w:rPr>
        <w:t>”, including a revised timeline of activities for 2023–</w:t>
      </w:r>
      <w:r w:rsidRPr="002D12DF">
        <w:rPr>
          <w:lang w:val="en-GB"/>
        </w:rPr>
        <w:t>2030.</w:t>
      </w:r>
      <w:r w:rsidRPr="002D12DF">
        <w:rPr>
          <w:rStyle w:val="FootnoteReference"/>
          <w:lang w:val="en-GB"/>
        </w:rPr>
        <w:footnoteReference w:id="23"/>
      </w:r>
      <w:r w:rsidRPr="002D12DF">
        <w:rPr>
          <w:lang w:val="en-GB"/>
        </w:rPr>
        <w:t xml:space="preserve"> The report summarized the activities undertaken in 2023, including the production of an IPPC guide, a factsheet, an infographic video on e-commerce, and a new e-commerce web page on the IPP.</w:t>
      </w:r>
      <w:r>
        <w:rPr>
          <w:lang w:val="en-GB"/>
        </w:rPr>
        <w:t xml:space="preserve"> The secretariat informed the CPM that an IPPC Observatory study on e-commerce would be launched in 2024 and that a comprehensive communications plan on e-commerce had been developed. The secretariat recognized the contribution of Canada in supporting the IPPC work on e-commerce but noted that additional funding was required and encouraged CPs and other partners to contribute.</w:t>
      </w:r>
    </w:p>
    <w:p w14:paraId="4AD4BFBC" w14:textId="77777777" w:rsidR="005802F5" w:rsidRPr="00E612D9" w:rsidRDefault="005802F5" w:rsidP="005802F5">
      <w:pPr>
        <w:pStyle w:val="IPPParagraphnumberingclose"/>
        <w:rPr>
          <w:lang w:val="en-GB"/>
        </w:rPr>
      </w:pPr>
      <w:r w:rsidRPr="00E612D9">
        <w:rPr>
          <w:lang w:val="en-GB"/>
        </w:rPr>
        <w:t>The CPM:</w:t>
      </w:r>
    </w:p>
    <w:p w14:paraId="5ECC6ADC" w14:textId="77777777" w:rsidR="005802F5" w:rsidRPr="00E612D9" w:rsidRDefault="005802F5" w:rsidP="005802F5">
      <w:pPr>
        <w:pStyle w:val="IPPNumberedList"/>
        <w:numPr>
          <w:ilvl w:val="0"/>
          <w:numId w:val="78"/>
        </w:numPr>
        <w:rPr>
          <w:lang w:val="en-GB"/>
        </w:rPr>
      </w:pPr>
      <w:r w:rsidRPr="00E612D9">
        <w:rPr>
          <w:i/>
          <w:iCs/>
          <w:lang w:val="en-GB"/>
        </w:rPr>
        <w:t>noted</w:t>
      </w:r>
      <w:r w:rsidRPr="00E612D9">
        <w:rPr>
          <w:lang w:val="en-GB"/>
        </w:rPr>
        <w:t xml:space="preserve"> the update on activities for the IPPC e-commerce work programme; and</w:t>
      </w:r>
    </w:p>
    <w:p w14:paraId="632C5269" w14:textId="77777777" w:rsidR="005802F5" w:rsidRDefault="005802F5" w:rsidP="005802F5">
      <w:pPr>
        <w:pStyle w:val="IPPNumberedListLast"/>
        <w:rPr>
          <w:lang w:val="en-GB"/>
        </w:rPr>
      </w:pPr>
      <w:r w:rsidRPr="00E612D9">
        <w:rPr>
          <w:i/>
          <w:iCs/>
          <w:lang w:val="en-GB"/>
        </w:rPr>
        <w:t>noted</w:t>
      </w:r>
      <w:r w:rsidRPr="00E612D9">
        <w:rPr>
          <w:lang w:val="en-GB"/>
        </w:rPr>
        <w:t xml:space="preserve"> the revision to the timeline of activities for the DAI on management of e-commerce and postal and courier pathways.</w:t>
      </w:r>
    </w:p>
    <w:p w14:paraId="366273D7" w14:textId="77777777" w:rsidR="005802F5" w:rsidRPr="00E612D9" w:rsidRDefault="005802F5" w:rsidP="005802F5">
      <w:pPr>
        <w:pStyle w:val="IPPHeading2"/>
      </w:pPr>
      <w:r>
        <w:t>12.4</w:t>
      </w:r>
      <w:r>
        <w:tab/>
        <w:t xml:space="preserve">Developing guidance for the use of third-party </w:t>
      </w:r>
      <w:proofErr w:type="gramStart"/>
      <w:r>
        <w:t>entities</w:t>
      </w:r>
      <w:proofErr w:type="gramEnd"/>
    </w:p>
    <w:p w14:paraId="7A02D5F2" w14:textId="77777777" w:rsidR="005802F5" w:rsidRPr="005A0E9F" w:rsidRDefault="005802F5" w:rsidP="005802F5">
      <w:pPr>
        <w:pStyle w:val="IPPParagraphnumbering"/>
        <w:rPr>
          <w:lang w:val="en-GB"/>
        </w:rPr>
      </w:pPr>
      <w:r w:rsidRPr="00E612D9">
        <w:rPr>
          <w:lang w:val="en-GB"/>
        </w:rPr>
        <w:t xml:space="preserve">The </w:t>
      </w:r>
      <w:r w:rsidRPr="00E612D9">
        <w:t>secretariat</w:t>
      </w:r>
      <w:r w:rsidRPr="00E612D9">
        <w:rPr>
          <w:lang w:val="en-GB"/>
        </w:rPr>
        <w:t xml:space="preserve"> provided an update on the DAI on “Developing Guidance for the Use of Third-Party Entities”,</w:t>
      </w:r>
      <w:r>
        <w:rPr>
          <w:lang w:val="en-GB"/>
        </w:rPr>
        <w:t xml:space="preserve"> the plans for which included the development of </w:t>
      </w:r>
      <w:r w:rsidRPr="00576AEA">
        <w:t>two</w:t>
      </w:r>
      <w:r>
        <w:rPr>
          <w:lang w:val="en-GB"/>
        </w:rPr>
        <w:t xml:space="preserve"> IPPC guides: one on </w:t>
      </w:r>
      <w:r w:rsidRPr="66278DCE">
        <w:rPr>
          <w:lang w:val="en-GB"/>
        </w:rPr>
        <w:t>authori</w:t>
      </w:r>
      <w:r>
        <w:rPr>
          <w:lang w:val="en-GB"/>
        </w:rPr>
        <w:t>z</w:t>
      </w:r>
      <w:r w:rsidRPr="66278DCE">
        <w:rPr>
          <w:lang w:val="en-GB"/>
        </w:rPr>
        <w:t xml:space="preserve">ation and </w:t>
      </w:r>
      <w:r>
        <w:rPr>
          <w:lang w:val="en-GB"/>
        </w:rPr>
        <w:t xml:space="preserve">use of third-party entities and the other on audit in a phytosanitary </w:t>
      </w:r>
      <w:r w:rsidRPr="005A0E9F">
        <w:rPr>
          <w:lang w:val="en-GB"/>
        </w:rPr>
        <w:t>context.</w:t>
      </w:r>
      <w:r w:rsidRPr="005A0E9F">
        <w:rPr>
          <w:rStyle w:val="FootnoteReference"/>
          <w:lang w:val="en-GB"/>
        </w:rPr>
        <w:footnoteReference w:id="24"/>
      </w:r>
    </w:p>
    <w:p w14:paraId="59D692C2" w14:textId="77777777" w:rsidR="005802F5" w:rsidRPr="00FD50B1" w:rsidRDefault="005802F5" w:rsidP="005802F5">
      <w:pPr>
        <w:pStyle w:val="IPPParagraphnumberingclose"/>
        <w:rPr>
          <w:lang w:val="en-GB"/>
        </w:rPr>
      </w:pPr>
      <w:r w:rsidRPr="00FD50B1">
        <w:rPr>
          <w:lang w:val="en-GB"/>
        </w:rPr>
        <w:lastRenderedPageBreak/>
        <w:t>The CPM:</w:t>
      </w:r>
    </w:p>
    <w:p w14:paraId="17C90168" w14:textId="77777777" w:rsidR="005802F5" w:rsidRPr="00FD50B1" w:rsidRDefault="005802F5" w:rsidP="005802F5">
      <w:pPr>
        <w:pStyle w:val="IPPNumberedList"/>
        <w:numPr>
          <w:ilvl w:val="0"/>
          <w:numId w:val="79"/>
        </w:numPr>
        <w:rPr>
          <w:lang w:val="en-GB"/>
        </w:rPr>
      </w:pPr>
      <w:r w:rsidRPr="00FD50B1">
        <w:rPr>
          <w:i/>
          <w:iCs/>
          <w:lang w:val="en-GB"/>
        </w:rPr>
        <w:t>noted</w:t>
      </w:r>
      <w:r w:rsidRPr="00FD50B1">
        <w:rPr>
          <w:lang w:val="en-GB"/>
        </w:rPr>
        <w:t xml:space="preserve"> the update on implementation of the DAI on developing guidance on the use of third-party entities; and</w:t>
      </w:r>
    </w:p>
    <w:p w14:paraId="1547BFF6" w14:textId="77777777" w:rsidR="005802F5" w:rsidRPr="00E612D9" w:rsidRDefault="005802F5" w:rsidP="005802F5">
      <w:pPr>
        <w:pStyle w:val="IPPNumberedListLast"/>
      </w:pPr>
      <w:r w:rsidRPr="00FD50B1">
        <w:rPr>
          <w:i/>
          <w:iCs/>
        </w:rPr>
        <w:t>noted</w:t>
      </w:r>
      <w:r w:rsidRPr="00FD50B1">
        <w:t xml:space="preserve"> the revision to the timeline of activities for the IPPC work </w:t>
      </w:r>
      <w:proofErr w:type="spellStart"/>
      <w:r w:rsidRPr="00FD50B1">
        <w:t>programme</w:t>
      </w:r>
      <w:proofErr w:type="spellEnd"/>
      <w:r w:rsidRPr="00FD50B1">
        <w:t xml:space="preserve"> “Developing Guidance on the Use of Third-Party Entities”.</w:t>
      </w:r>
    </w:p>
    <w:p w14:paraId="527ED4B5" w14:textId="77777777" w:rsidR="0074476E" w:rsidRPr="00712597" w:rsidRDefault="0074476E" w:rsidP="0074476E">
      <w:pPr>
        <w:pStyle w:val="IPPHeading2"/>
      </w:pPr>
      <w:r>
        <w:t>12.5</w:t>
      </w:r>
      <w:r>
        <w:tab/>
        <w:t xml:space="preserve">Strengthening pest outbreak alert and response </w:t>
      </w:r>
      <w:proofErr w:type="gramStart"/>
      <w:r>
        <w:t>systems</w:t>
      </w:r>
      <w:proofErr w:type="gramEnd"/>
    </w:p>
    <w:p w14:paraId="66B30B74" w14:textId="77777777" w:rsidR="0074476E" w:rsidRDefault="0074476E" w:rsidP="0074476E">
      <w:pPr>
        <w:pStyle w:val="IPPParagraphnumbering"/>
        <w:rPr>
          <w:lang w:val="en-GB"/>
        </w:rPr>
      </w:pPr>
      <w:r w:rsidRPr="00712597">
        <w:rPr>
          <w:lang w:val="en-GB"/>
        </w:rPr>
        <w:t xml:space="preserve">The </w:t>
      </w:r>
      <w:r w:rsidRPr="006A28A4">
        <w:rPr>
          <w:lang w:val="en-GB"/>
        </w:rPr>
        <w:t>secretariat</w:t>
      </w:r>
      <w:r w:rsidRPr="00712597">
        <w:rPr>
          <w:lang w:val="en-GB"/>
        </w:rPr>
        <w:t xml:space="preserve"> </w:t>
      </w:r>
      <w:r>
        <w:rPr>
          <w:lang w:val="en-GB"/>
        </w:rPr>
        <w:t xml:space="preserve">and the bureau representative for </w:t>
      </w:r>
      <w:r w:rsidRPr="00712597">
        <w:rPr>
          <w:lang w:val="en-GB"/>
        </w:rPr>
        <w:t>the DAI on “Strengthening Pest Outbreak Alert and Response Systems”</w:t>
      </w:r>
      <w:r>
        <w:rPr>
          <w:lang w:val="en-GB"/>
        </w:rPr>
        <w:t xml:space="preserve"> (POARS) </w:t>
      </w:r>
      <w:r w:rsidRPr="00712597">
        <w:rPr>
          <w:lang w:val="en-GB"/>
        </w:rPr>
        <w:t>provided an update</w:t>
      </w:r>
      <w:r>
        <w:rPr>
          <w:lang w:val="en-GB"/>
        </w:rPr>
        <w:t xml:space="preserve"> on the DAI</w:t>
      </w:r>
      <w:r w:rsidRPr="00712597">
        <w:rPr>
          <w:lang w:val="en-GB"/>
        </w:rPr>
        <w:t xml:space="preserve">, </w:t>
      </w:r>
      <w:r>
        <w:rPr>
          <w:lang w:val="en-GB"/>
        </w:rPr>
        <w:t>charting the development of this area of CPM work, the discussions about a working definition of “emerging pest”, and the role of RPPOs.</w:t>
      </w:r>
      <w:r w:rsidRPr="00712597">
        <w:rPr>
          <w:rStyle w:val="FootnoteReference"/>
          <w:lang w:val="en-GB"/>
        </w:rPr>
        <w:footnoteReference w:id="25"/>
      </w:r>
      <w:r w:rsidRPr="00712597">
        <w:rPr>
          <w:lang w:val="en-GB"/>
        </w:rPr>
        <w:t xml:space="preserve"> </w:t>
      </w:r>
      <w:r w:rsidRPr="00F67A7F">
        <w:rPr>
          <w:lang w:val="en-GB"/>
        </w:rPr>
        <w:t xml:space="preserve">The POARS steering group had begun work in early 2024. </w:t>
      </w:r>
    </w:p>
    <w:p w14:paraId="7DCB49F6" w14:textId="77777777" w:rsidR="0074476E" w:rsidRDefault="0074476E" w:rsidP="0074476E">
      <w:pPr>
        <w:pStyle w:val="IPPParagraphnumbering"/>
        <w:rPr>
          <w:rFonts w:eastAsia="Calibri"/>
        </w:rPr>
      </w:pPr>
      <w:r>
        <w:rPr>
          <w:rFonts w:eastAsia="Calibri"/>
        </w:rPr>
        <w:t xml:space="preserve">Contracting parties emphasized the role of NPPOs in declaring pest status and developing national action plans, the role of RPPOs in developing response and preparedness plans for their respective regions, and the need to learn from the experience of the APP in terms of surveillance and response planning. There was also a call for </w:t>
      </w:r>
      <w:r w:rsidRPr="006D2B9D">
        <w:rPr>
          <w:rFonts w:eastAsia="Calibri"/>
        </w:rPr>
        <w:t xml:space="preserve">national reporting obligations </w:t>
      </w:r>
      <w:r>
        <w:rPr>
          <w:rFonts w:eastAsia="Calibri"/>
        </w:rPr>
        <w:t xml:space="preserve">to </w:t>
      </w:r>
      <w:r w:rsidRPr="006D2B9D">
        <w:rPr>
          <w:rFonts w:eastAsia="Calibri"/>
        </w:rPr>
        <w:t>be considered together with other sources of information for the identification of emerging pests</w:t>
      </w:r>
      <w:r>
        <w:rPr>
          <w:rFonts w:eastAsia="Calibri"/>
        </w:rPr>
        <w:t xml:space="preserve"> and for </w:t>
      </w:r>
      <w:r w:rsidRPr="006D2B9D">
        <w:rPr>
          <w:rFonts w:eastAsia="Calibri"/>
        </w:rPr>
        <w:t xml:space="preserve">POARS </w:t>
      </w:r>
      <w:r>
        <w:rPr>
          <w:rFonts w:eastAsia="Calibri"/>
        </w:rPr>
        <w:t xml:space="preserve">to be aligned with the IPPC Strategic Framework </w:t>
      </w:r>
      <w:r w:rsidRPr="006D2B9D">
        <w:rPr>
          <w:rFonts w:eastAsia="Calibri"/>
        </w:rPr>
        <w:t>2020</w:t>
      </w:r>
      <w:r>
        <w:rPr>
          <w:rFonts w:eastAsia="Calibri"/>
        </w:rPr>
        <w:t>–</w:t>
      </w:r>
      <w:r w:rsidRPr="006D2B9D">
        <w:rPr>
          <w:rFonts w:eastAsia="Calibri"/>
        </w:rPr>
        <w:t>2030</w:t>
      </w:r>
      <w:r>
        <w:rPr>
          <w:rFonts w:eastAsia="Calibri"/>
        </w:rPr>
        <w:t>.</w:t>
      </w:r>
    </w:p>
    <w:p w14:paraId="7AE166FD" w14:textId="77777777" w:rsidR="0074476E" w:rsidRPr="001A6823" w:rsidRDefault="0074476E" w:rsidP="0074476E">
      <w:pPr>
        <w:pStyle w:val="IPPParagraphnumbering"/>
        <w:rPr>
          <w:rFonts w:eastAsia="Calibri"/>
        </w:rPr>
      </w:pPr>
      <w:r w:rsidRPr="001A6823">
        <w:rPr>
          <w:rFonts w:eastAsia="Calibri"/>
        </w:rPr>
        <w:t>The CPM</w:t>
      </w:r>
      <w:r>
        <w:rPr>
          <w:rFonts w:eastAsia="Calibri"/>
        </w:rPr>
        <w:t xml:space="preserve"> noted a suggestion that the POARS steering group bring forward the timeline of activities and present an update and a revised timeline of activities to the 2024 meeting of the SPG.</w:t>
      </w:r>
    </w:p>
    <w:p w14:paraId="3438E53B" w14:textId="77777777" w:rsidR="0074476E" w:rsidRDefault="0074476E" w:rsidP="0074476E">
      <w:pPr>
        <w:pStyle w:val="IPPParagraphnumbering"/>
        <w:rPr>
          <w:rFonts w:eastAsia="Calibri"/>
        </w:rPr>
      </w:pPr>
      <w:r>
        <w:rPr>
          <w:lang w:val="en-GB"/>
        </w:rPr>
        <w:t xml:space="preserve">The European Union </w:t>
      </w:r>
      <w:r>
        <w:rPr>
          <w:rFonts w:eastAsia="Calibri"/>
        </w:rPr>
        <w:t xml:space="preserve">confirmed that it was </w:t>
      </w:r>
      <w:r w:rsidRPr="00064F1B">
        <w:rPr>
          <w:rFonts w:eastAsia="Calibri"/>
        </w:rPr>
        <w:t>devoted to support the activities</w:t>
      </w:r>
      <w:r>
        <w:rPr>
          <w:rFonts w:eastAsia="Calibri"/>
        </w:rPr>
        <w:t xml:space="preserve"> of PAORS</w:t>
      </w:r>
      <w:r w:rsidRPr="00064F1B">
        <w:rPr>
          <w:rFonts w:eastAsia="Calibri"/>
        </w:rPr>
        <w:t xml:space="preserve"> financially and scientifically</w:t>
      </w:r>
      <w:r>
        <w:rPr>
          <w:rFonts w:eastAsia="Calibri"/>
        </w:rPr>
        <w:t>.</w:t>
      </w:r>
      <w:r>
        <w:rPr>
          <w:rStyle w:val="FootnoteReference"/>
          <w:lang w:val="en-GB"/>
        </w:rPr>
        <w:footnoteReference w:id="26"/>
      </w:r>
    </w:p>
    <w:p w14:paraId="05BEE2E0" w14:textId="77777777" w:rsidR="0074476E" w:rsidRPr="00712597" w:rsidRDefault="0074476E" w:rsidP="0074476E">
      <w:pPr>
        <w:pStyle w:val="IPPParagraphnumberingclose"/>
        <w:rPr>
          <w:lang w:val="en-GB"/>
        </w:rPr>
      </w:pPr>
      <w:r w:rsidRPr="00712597">
        <w:rPr>
          <w:lang w:val="en-GB"/>
        </w:rPr>
        <w:t>The CPM:</w:t>
      </w:r>
    </w:p>
    <w:p w14:paraId="07126812" w14:textId="77777777" w:rsidR="0074476E" w:rsidRPr="002B2B11" w:rsidRDefault="0074476E" w:rsidP="0074476E">
      <w:pPr>
        <w:pStyle w:val="IPPNumberedList"/>
        <w:numPr>
          <w:ilvl w:val="0"/>
          <w:numId w:val="80"/>
        </w:numPr>
        <w:rPr>
          <w:lang w:val="en-GB"/>
        </w:rPr>
      </w:pPr>
      <w:r w:rsidRPr="002B2B11">
        <w:rPr>
          <w:i/>
          <w:iCs/>
          <w:lang w:val="en-GB"/>
        </w:rPr>
        <w:t>noted</w:t>
      </w:r>
      <w:r w:rsidRPr="002B2B11">
        <w:rPr>
          <w:lang w:val="en-GB"/>
        </w:rPr>
        <w:t xml:space="preserve"> the update on activities for strengthening </w:t>
      </w:r>
      <w:proofErr w:type="gramStart"/>
      <w:r>
        <w:rPr>
          <w:lang w:val="en-GB"/>
        </w:rPr>
        <w:t>POARS</w:t>
      </w:r>
      <w:r w:rsidRPr="002B2B11">
        <w:rPr>
          <w:lang w:val="en-GB"/>
        </w:rPr>
        <w:t>;</w:t>
      </w:r>
      <w:proofErr w:type="gramEnd"/>
    </w:p>
    <w:p w14:paraId="682F32F5" w14:textId="77777777" w:rsidR="0074476E" w:rsidRPr="00712597" w:rsidRDefault="0074476E" w:rsidP="0074476E">
      <w:pPr>
        <w:pStyle w:val="IPPNumberedList"/>
        <w:rPr>
          <w:lang w:val="en-GB"/>
        </w:rPr>
      </w:pPr>
      <w:r w:rsidRPr="00712597">
        <w:rPr>
          <w:i/>
          <w:iCs/>
          <w:lang w:val="en-GB"/>
        </w:rPr>
        <w:t>noted</w:t>
      </w:r>
      <w:r w:rsidRPr="00712597">
        <w:rPr>
          <w:lang w:val="en-GB"/>
        </w:rPr>
        <w:t xml:space="preserve"> the revision to the timeline of activities for the work programme; and</w:t>
      </w:r>
    </w:p>
    <w:p w14:paraId="75C2D896" w14:textId="77777777" w:rsidR="0074476E" w:rsidRPr="00712597" w:rsidRDefault="0074476E" w:rsidP="0074476E">
      <w:pPr>
        <w:pStyle w:val="IPPNumberedListLast"/>
        <w:rPr>
          <w:lang w:val="en-GB"/>
        </w:rPr>
      </w:pPr>
      <w:r w:rsidRPr="001C12C8">
        <w:rPr>
          <w:i/>
          <w:iCs/>
          <w:lang w:val="en-GB"/>
        </w:rPr>
        <w:t xml:space="preserve">encouraged </w:t>
      </w:r>
      <w:r w:rsidRPr="001C12C8">
        <w:rPr>
          <w:lang w:val="en-GB"/>
        </w:rPr>
        <w:t>contracting parties to provide resources for</w:t>
      </w:r>
      <w:r>
        <w:rPr>
          <w:lang w:val="en-GB"/>
        </w:rPr>
        <w:t xml:space="preserve"> POARS </w:t>
      </w:r>
      <w:r w:rsidRPr="32043503">
        <w:rPr>
          <w:lang w:val="en-GB"/>
        </w:rPr>
        <w:t>activities.</w:t>
      </w:r>
    </w:p>
    <w:p w14:paraId="6E0781F4" w14:textId="77777777" w:rsidR="00A72134" w:rsidRPr="00FD50B1" w:rsidRDefault="00A72134" w:rsidP="00A72134">
      <w:pPr>
        <w:pStyle w:val="IPPHeading2"/>
      </w:pPr>
      <w:r>
        <w:t>12.6</w:t>
      </w:r>
      <w:r>
        <w:tab/>
        <w:t>Assessment and management of climate-change impacts on plant health</w:t>
      </w:r>
    </w:p>
    <w:p w14:paraId="311161C8" w14:textId="77777777" w:rsidR="00A72134" w:rsidRPr="00B3056D" w:rsidRDefault="00A72134" w:rsidP="00A72134">
      <w:pPr>
        <w:pStyle w:val="IPPParagraphnumbering"/>
        <w:rPr>
          <w:lang w:val="en-GB"/>
        </w:rPr>
      </w:pPr>
      <w:r w:rsidRPr="00FD50B1">
        <w:rPr>
          <w:lang w:val="en-GB"/>
        </w:rPr>
        <w:t xml:space="preserve">A member of the CPM Focus Group on Climate Change and Phytosanitary Issues presented an update on the progress of the focus group in implementing their 2022–2025 </w:t>
      </w:r>
      <w:r w:rsidRPr="00B3056D">
        <w:rPr>
          <w:lang w:val="en-GB"/>
        </w:rPr>
        <w:t>action plan.</w:t>
      </w:r>
      <w:r w:rsidRPr="00B3056D">
        <w:rPr>
          <w:rStyle w:val="FootnoteReference"/>
          <w:lang w:val="en-GB"/>
        </w:rPr>
        <w:footnoteReference w:id="27"/>
      </w:r>
      <w:r w:rsidRPr="00B3056D">
        <w:rPr>
          <w:lang w:val="en-GB"/>
        </w:rPr>
        <w:t xml:space="preserve"> The action plan was directed </w:t>
      </w:r>
      <w:r w:rsidRPr="00B3056D">
        <w:t>towards</w:t>
      </w:r>
      <w:r w:rsidRPr="00B3056D">
        <w:rPr>
          <w:lang w:val="en-GB"/>
        </w:rPr>
        <w:t xml:space="preserve"> three outcomes: raising awareness of the impact of climate change on plant pests; evaluating and managing the risk to plant health from climate change; and enhancing the recognition of phytosanitary matters in the international climate-change debate. As one of the deliverables, a draft technical resource on </w:t>
      </w:r>
      <w:r w:rsidRPr="00B3056D">
        <w:rPr>
          <w:i/>
          <w:iCs/>
          <w:lang w:val="en-GB"/>
        </w:rPr>
        <w:t>Climate-change impacts on plant pests</w:t>
      </w:r>
      <w:r w:rsidRPr="00B3056D">
        <w:rPr>
          <w:lang w:val="en-GB"/>
        </w:rPr>
        <w:t xml:space="preserve"> prepared by the focus group </w:t>
      </w:r>
      <w:r w:rsidRPr="00B3056D">
        <w:t>had</w:t>
      </w:r>
      <w:r w:rsidRPr="00B3056D">
        <w:rPr>
          <w:lang w:val="en-GB"/>
        </w:rPr>
        <w:t xml:space="preserve"> been subjected to peer review and was presented to the CPM</w:t>
      </w:r>
      <w:r w:rsidRPr="00B3056D">
        <w:rPr>
          <w:i/>
          <w:iCs/>
          <w:lang w:val="en-GB"/>
        </w:rPr>
        <w:t xml:space="preserve"> </w:t>
      </w:r>
      <w:r w:rsidRPr="00B3056D">
        <w:rPr>
          <w:lang w:val="en-GB"/>
        </w:rPr>
        <w:t>for approval.</w:t>
      </w:r>
      <w:r w:rsidRPr="00B3056D">
        <w:rPr>
          <w:rStyle w:val="FootnoteReference"/>
          <w:lang w:val="en-GB"/>
        </w:rPr>
        <w:footnoteReference w:id="28"/>
      </w:r>
      <w:r w:rsidRPr="00B3056D">
        <w:rPr>
          <w:lang w:val="en-GB"/>
        </w:rPr>
        <w:t xml:space="preserve"> The focus group member thanked Canada for their financial support.</w:t>
      </w:r>
    </w:p>
    <w:p w14:paraId="02E0FE1E" w14:textId="77777777" w:rsidR="00A72134" w:rsidRPr="00B3056D" w:rsidRDefault="00A72134" w:rsidP="00A72134">
      <w:pPr>
        <w:pStyle w:val="IPPParagraphnumbering"/>
        <w:rPr>
          <w:lang w:val="en-GB"/>
        </w:rPr>
      </w:pPr>
      <w:r w:rsidRPr="00B3056D">
        <w:rPr>
          <w:lang w:val="en-GB"/>
        </w:rPr>
        <w:t xml:space="preserve">Contracting parties recognized the importance of the work on the impacts of climate change on pests </w:t>
      </w:r>
      <w:r w:rsidRPr="00B3056D">
        <w:t>and</w:t>
      </w:r>
      <w:r w:rsidRPr="00B3056D">
        <w:rPr>
          <w:lang w:val="en-GB"/>
        </w:rPr>
        <w:t xml:space="preserve"> supported further work in this area. The CPM noted a suggestion that data collected and prepared be posted centrally and an action plan for 2026–2030 be developed, aligned with the IPPC Strategic Framework 2020–2030. The CPM also noted a recent special issue of the </w:t>
      </w:r>
      <w:r w:rsidRPr="00B3056D">
        <w:rPr>
          <w:i/>
          <w:iCs/>
          <w:lang w:val="en-GB"/>
        </w:rPr>
        <w:t>EPPO Bulletin</w:t>
      </w:r>
      <w:r w:rsidRPr="00B3056D">
        <w:rPr>
          <w:lang w:val="en-GB"/>
        </w:rPr>
        <w:t xml:space="preserve"> on the impact of climate change on plant pests.</w:t>
      </w:r>
    </w:p>
    <w:p w14:paraId="0C816AD1" w14:textId="77777777" w:rsidR="00A72134" w:rsidRDefault="00A72134" w:rsidP="00A72134">
      <w:pPr>
        <w:pStyle w:val="IPPParagraphnumbering"/>
        <w:rPr>
          <w:lang w:val="en-GB"/>
        </w:rPr>
      </w:pPr>
      <w:r>
        <w:rPr>
          <w:lang w:val="en-GB"/>
        </w:rPr>
        <w:t>The United Kingdom confirmed a financial contribution of GBP 25 000 towards the IPPC work on climate change.</w:t>
      </w:r>
    </w:p>
    <w:p w14:paraId="5BEB83F5" w14:textId="77777777" w:rsidR="00A72134" w:rsidRPr="00FD50B1" w:rsidRDefault="00A72134" w:rsidP="00A72134">
      <w:pPr>
        <w:pStyle w:val="IPPParagraphnumberingclose"/>
        <w:rPr>
          <w:lang w:val="en-GB" w:eastAsia="en-GB"/>
        </w:rPr>
      </w:pPr>
      <w:r w:rsidRPr="00FD50B1">
        <w:rPr>
          <w:lang w:val="en-GB" w:eastAsia="en-GB"/>
        </w:rPr>
        <w:lastRenderedPageBreak/>
        <w:t>The CPM:</w:t>
      </w:r>
    </w:p>
    <w:p w14:paraId="75322908" w14:textId="77777777" w:rsidR="00A72134" w:rsidRDefault="00A72134" w:rsidP="00A72134">
      <w:pPr>
        <w:pStyle w:val="IPPNumberedList"/>
        <w:numPr>
          <w:ilvl w:val="0"/>
          <w:numId w:val="81"/>
        </w:numPr>
        <w:rPr>
          <w:lang w:val="en-GB" w:eastAsia="en-GB"/>
        </w:rPr>
      </w:pPr>
      <w:r w:rsidRPr="00FD50B1">
        <w:rPr>
          <w:rFonts w:ascii="TimesNewRomanPS-ItalicMT" w:hAnsi="TimesNewRomanPS-ItalicMT"/>
          <w:i/>
          <w:iCs/>
          <w:lang w:val="en-GB" w:eastAsia="en-GB"/>
        </w:rPr>
        <w:t xml:space="preserve">noted </w:t>
      </w:r>
      <w:r w:rsidRPr="00FD50B1">
        <w:rPr>
          <w:lang w:val="en-GB" w:eastAsia="en-GB"/>
        </w:rPr>
        <w:t xml:space="preserve">this </w:t>
      </w:r>
      <w:proofErr w:type="gramStart"/>
      <w:r w:rsidRPr="00FD50B1">
        <w:rPr>
          <w:lang w:val="en-GB" w:eastAsia="en-GB"/>
        </w:rPr>
        <w:t>update;</w:t>
      </w:r>
      <w:proofErr w:type="gramEnd"/>
    </w:p>
    <w:p w14:paraId="205CFD10" w14:textId="77777777" w:rsidR="00A72134" w:rsidRDefault="00A72134" w:rsidP="00A72134">
      <w:pPr>
        <w:pStyle w:val="IPPNumberedList"/>
        <w:rPr>
          <w:lang w:eastAsia="en-GB"/>
        </w:rPr>
      </w:pPr>
      <w:r w:rsidRPr="00FD50B1">
        <w:rPr>
          <w:i/>
          <w:iCs/>
          <w:lang w:eastAsia="en-GB"/>
        </w:rPr>
        <w:t>approved</w:t>
      </w:r>
      <w:r w:rsidRPr="00FD50B1">
        <w:rPr>
          <w:lang w:eastAsia="en-GB"/>
        </w:rPr>
        <w:t xml:space="preserve"> the document entitled </w:t>
      </w:r>
      <w:r w:rsidRPr="00FD50B1">
        <w:rPr>
          <w:i/>
          <w:iCs/>
          <w:lang w:eastAsia="en-GB"/>
        </w:rPr>
        <w:t>Climate-change impacts on plant pests</w:t>
      </w:r>
      <w:r w:rsidRPr="00FD50B1">
        <w:rPr>
          <w:lang w:eastAsia="en-GB"/>
        </w:rPr>
        <w:t xml:space="preserve"> (CPM 2024/20_01) to be published by the IPPC Secretariat</w:t>
      </w:r>
      <w:r>
        <w:rPr>
          <w:lang w:eastAsia="en-GB"/>
        </w:rPr>
        <w:t>; and</w:t>
      </w:r>
    </w:p>
    <w:p w14:paraId="2A650AAF" w14:textId="77777777" w:rsidR="00A72134" w:rsidRPr="00FD50B1" w:rsidRDefault="00A72134" w:rsidP="00A72134">
      <w:pPr>
        <w:pStyle w:val="IPPNumberedListLast"/>
        <w:rPr>
          <w:lang w:val="en-GB" w:eastAsia="en-GB"/>
        </w:rPr>
      </w:pPr>
      <w:r w:rsidRPr="065E4E0D">
        <w:rPr>
          <w:i/>
          <w:iCs/>
          <w:lang w:val="en-GB" w:eastAsia="en-GB"/>
        </w:rPr>
        <w:t xml:space="preserve">extended </w:t>
      </w:r>
      <w:r w:rsidRPr="065E4E0D">
        <w:rPr>
          <w:lang w:val="en-GB" w:eastAsia="en-GB"/>
        </w:rPr>
        <w:t>the mandate for the CPM Focus Group on Climate Change on Phytosanitary Issues until CPM-20 (2026).</w:t>
      </w:r>
    </w:p>
    <w:p w14:paraId="5BFB39E9" w14:textId="77777777" w:rsidR="00F67CC0" w:rsidRPr="00321B8D" w:rsidRDefault="00F67CC0" w:rsidP="00F67CC0">
      <w:pPr>
        <w:pStyle w:val="IPPHeading1"/>
      </w:pPr>
      <w:r w:rsidRPr="00321B8D">
        <w:t>13.</w:t>
      </w:r>
      <w:r w:rsidRPr="00321B8D">
        <w:tab/>
        <w:t>Update from other CPM focus groups</w:t>
      </w:r>
    </w:p>
    <w:p w14:paraId="4FE98C24" w14:textId="77777777" w:rsidR="00F67CC0" w:rsidRPr="00321B8D" w:rsidRDefault="00F67CC0" w:rsidP="00F67CC0">
      <w:pPr>
        <w:pStyle w:val="IPPHeading2"/>
      </w:pPr>
      <w:r>
        <w:t>13.1</w:t>
      </w:r>
      <w:r>
        <w:tab/>
        <w:t>Safe provision of food and other humanitarian aid (including item 13.1.1)</w:t>
      </w:r>
    </w:p>
    <w:p w14:paraId="4DB21B84" w14:textId="77777777" w:rsidR="00F67CC0" w:rsidRDefault="00F67CC0" w:rsidP="00F67CC0">
      <w:pPr>
        <w:pStyle w:val="IPPParagraphnumbering"/>
      </w:pPr>
      <w:r w:rsidRPr="00321B8D">
        <w:t>The vice-chairperson of the CPM Focus Group on the Safe Provision of Food and Other Humanitarian Aid presented an update on the activities of the focus group.</w:t>
      </w:r>
      <w:r w:rsidRPr="00321B8D">
        <w:rPr>
          <w:rStyle w:val="FootnoteReference"/>
        </w:rPr>
        <w:footnoteReference w:id="29"/>
      </w:r>
      <w:r w:rsidRPr="00321B8D">
        <w:t xml:space="preserve"> </w:t>
      </w:r>
      <w:r w:rsidRPr="52DA2837">
        <w:t xml:space="preserve">The focus group had revised the draft specification </w:t>
      </w:r>
      <w:r w:rsidRPr="20ECB1EF">
        <w:rPr>
          <w:i/>
          <w:iCs/>
          <w:lang w:val="en-GB"/>
        </w:rPr>
        <w:t>Safe provision of food and other humanitarian aid</w:t>
      </w:r>
      <w:r w:rsidRPr="009928AF">
        <w:rPr>
          <w:lang w:val="en-GB"/>
        </w:rPr>
        <w:t xml:space="preserve"> (2021-020) </w:t>
      </w:r>
      <w:r>
        <w:t>and</w:t>
      </w:r>
      <w:r w:rsidRPr="52DA2837">
        <w:t xml:space="preserve"> had </w:t>
      </w:r>
      <w:r w:rsidRPr="00A849CF">
        <w:t>also</w:t>
      </w:r>
      <w:r w:rsidRPr="52DA2837">
        <w:t xml:space="preserve"> drafted a gap-analysis diagram on existing ISPMs and a proposed definition for the “emergency pathway”.</w:t>
      </w:r>
    </w:p>
    <w:p w14:paraId="44D67A02" w14:textId="77777777" w:rsidR="00F67CC0" w:rsidRPr="00712597" w:rsidRDefault="00F67CC0" w:rsidP="00F67CC0">
      <w:pPr>
        <w:pStyle w:val="IPPParagraphnumbering"/>
      </w:pPr>
      <w:r>
        <w:t>In response to a written intervention received,</w:t>
      </w:r>
      <w:r>
        <w:rPr>
          <w:rStyle w:val="FootnoteReference"/>
          <w:lang w:val="en-GB"/>
        </w:rPr>
        <w:footnoteReference w:id="30"/>
      </w:r>
      <w:r>
        <w:t xml:space="preserve"> the focus group vice-chairperson suggested that the term “emergency pathway” could be referred to as a concept description rather than a definition. This was supported by the CPM.</w:t>
      </w:r>
    </w:p>
    <w:p w14:paraId="73137D82" w14:textId="77777777" w:rsidR="00F67CC0" w:rsidRDefault="00F67CC0" w:rsidP="00F67CC0">
      <w:pPr>
        <w:pStyle w:val="IPPParagraphnumbering"/>
        <w:rPr>
          <w:lang w:val="en-GB"/>
        </w:rPr>
      </w:pPr>
      <w:r w:rsidRPr="00712597">
        <w:rPr>
          <w:lang w:val="en-GB"/>
        </w:rPr>
        <w:t xml:space="preserve">The </w:t>
      </w:r>
      <w:r w:rsidRPr="00E707FA">
        <w:rPr>
          <w:lang w:val="en-GB"/>
        </w:rPr>
        <w:t xml:space="preserve">secretariat </w:t>
      </w:r>
      <w:r w:rsidRPr="00712597">
        <w:rPr>
          <w:lang w:val="en-GB"/>
        </w:rPr>
        <w:t>presented draft terms of reference for an extension of the focus group’s mandate</w:t>
      </w:r>
      <w:r>
        <w:rPr>
          <w:lang w:val="en-GB"/>
        </w:rPr>
        <w:t xml:space="preserve"> </w:t>
      </w:r>
      <w:proofErr w:type="gramStart"/>
      <w:r>
        <w:rPr>
          <w:lang w:val="en-GB"/>
        </w:rPr>
        <w:t>in order to</w:t>
      </w:r>
      <w:proofErr w:type="gramEnd"/>
      <w:r>
        <w:rPr>
          <w:lang w:val="en-GB"/>
        </w:rPr>
        <w:t xml:space="preserve"> address this complex topic.</w:t>
      </w:r>
      <w:r w:rsidRPr="00712597">
        <w:rPr>
          <w:rStyle w:val="FootnoteReference"/>
          <w:lang w:val="en-GB"/>
        </w:rPr>
        <w:footnoteReference w:id="31"/>
      </w:r>
      <w:r w:rsidRPr="00712597">
        <w:rPr>
          <w:lang w:val="en-GB"/>
        </w:rPr>
        <w:t xml:space="preserve"> </w:t>
      </w:r>
      <w:r>
        <w:rPr>
          <w:lang w:val="en-GB"/>
        </w:rPr>
        <w:t xml:space="preserve">This </w:t>
      </w:r>
      <w:r w:rsidRPr="00712597">
        <w:rPr>
          <w:lang w:val="en-GB"/>
        </w:rPr>
        <w:t xml:space="preserve">had been supported by the CPM Bureau and </w:t>
      </w:r>
      <w:r w:rsidRPr="00A849CF">
        <w:t>welcomed</w:t>
      </w:r>
      <w:r w:rsidRPr="00712597">
        <w:rPr>
          <w:lang w:val="en-GB"/>
        </w:rPr>
        <w:t xml:space="preserve"> by the SPG in October 2023</w:t>
      </w:r>
      <w:r>
        <w:rPr>
          <w:lang w:val="en-GB"/>
        </w:rPr>
        <w:t xml:space="preserve">. On behalf of the focus group, the secretariat proposed that the mandate of the focus group be extended for two years, rather than the 12 months proposed in the CPM paper. </w:t>
      </w:r>
    </w:p>
    <w:p w14:paraId="4DC2DBD0" w14:textId="77777777" w:rsidR="00F67CC0" w:rsidRPr="00647FE6" w:rsidRDefault="00F67CC0" w:rsidP="00F67CC0">
      <w:pPr>
        <w:pStyle w:val="IPPParagraphnumbering"/>
        <w:rPr>
          <w:lang w:val="en-GB"/>
        </w:rPr>
      </w:pPr>
      <w:r w:rsidRPr="00647FE6">
        <w:rPr>
          <w:lang w:val="en-GB"/>
        </w:rPr>
        <w:t xml:space="preserve">Contracting parties made diverging suggestions about whether the </w:t>
      </w:r>
      <w:r>
        <w:rPr>
          <w:lang w:val="en-GB"/>
        </w:rPr>
        <w:t xml:space="preserve">SC should first review the draft specification and whether </w:t>
      </w:r>
      <w:r w:rsidRPr="00647FE6">
        <w:rPr>
          <w:lang w:val="en-GB"/>
        </w:rPr>
        <w:t>consultation comments on the draft specification should be addressed by the focus group or the SC. The CPM chairperson therefore suggested that interested CPs participate in a Friends of the Chair meeting, which took place outside of the session. This resulted in a revised set of proposed decisions for the CPM to consider.</w:t>
      </w:r>
      <w:r>
        <w:rPr>
          <w:rStyle w:val="FootnoteReference"/>
          <w:lang w:val="en-GB"/>
        </w:rPr>
        <w:footnoteReference w:id="32"/>
      </w:r>
    </w:p>
    <w:p w14:paraId="47779081" w14:textId="77777777" w:rsidR="00F67CC0" w:rsidRPr="00647FE6" w:rsidRDefault="00F67CC0" w:rsidP="00F67CC0">
      <w:pPr>
        <w:pStyle w:val="IPPParagraphnumberingclose"/>
      </w:pPr>
      <w:r w:rsidRPr="00647FE6">
        <w:t>The CPM:</w:t>
      </w:r>
    </w:p>
    <w:p w14:paraId="50EF8BD0" w14:textId="77777777" w:rsidR="00F67CC0" w:rsidRPr="00A12252" w:rsidRDefault="00F67CC0" w:rsidP="00F67CC0">
      <w:pPr>
        <w:pStyle w:val="IPPNumberedList"/>
        <w:numPr>
          <w:ilvl w:val="0"/>
          <w:numId w:val="125"/>
        </w:numPr>
      </w:pPr>
      <w:r w:rsidRPr="00F67CC0">
        <w:rPr>
          <w:i/>
          <w:iCs/>
        </w:rPr>
        <w:t>noted</w:t>
      </w:r>
      <w:r w:rsidRPr="00A12252">
        <w:t xml:space="preserve"> the work of the CPM Focus Group on the Safe Provision of Food and Other Humanitarian</w:t>
      </w:r>
      <w:r>
        <w:t xml:space="preserve"> </w:t>
      </w:r>
      <w:r w:rsidRPr="00A12252">
        <w:t xml:space="preserve">Aid to </w:t>
      </w:r>
      <w:proofErr w:type="gramStart"/>
      <w:r w:rsidRPr="00A12252">
        <w:t>date;</w:t>
      </w:r>
      <w:proofErr w:type="gramEnd"/>
    </w:p>
    <w:p w14:paraId="10D39A6F" w14:textId="77777777" w:rsidR="00F67CC0" w:rsidRPr="00A12252" w:rsidRDefault="00F67CC0" w:rsidP="00F67CC0">
      <w:pPr>
        <w:pStyle w:val="IPPNumberedList"/>
      </w:pPr>
      <w:r>
        <w:rPr>
          <w:i/>
          <w:iCs/>
        </w:rPr>
        <w:t>approved</w:t>
      </w:r>
      <w:r>
        <w:t xml:space="preserve"> </w:t>
      </w:r>
      <w:r w:rsidRPr="00A12252">
        <w:t xml:space="preserve">the draft specification on </w:t>
      </w:r>
      <w:r w:rsidRPr="00DC04B5">
        <w:rPr>
          <w:i/>
          <w:iCs/>
        </w:rPr>
        <w:t>Safe provision of food and other humanitarian aid</w:t>
      </w:r>
      <w:r w:rsidRPr="00A12252">
        <w:t xml:space="preserve"> (2021-020) to</w:t>
      </w:r>
      <w:r>
        <w:t xml:space="preserve"> </w:t>
      </w:r>
      <w:r w:rsidRPr="00A12252">
        <w:t>be submitted for consultation in July 2024 (Appendix</w:t>
      </w:r>
      <w:r>
        <w:t> </w:t>
      </w:r>
      <w:r w:rsidRPr="00A12252">
        <w:t>1 of CPM 2024/23</w:t>
      </w:r>
      <w:proofErr w:type="gramStart"/>
      <w:r w:rsidRPr="00A12252">
        <w:t>);</w:t>
      </w:r>
      <w:proofErr w:type="gramEnd"/>
      <w:r>
        <w:t xml:space="preserve"> </w:t>
      </w:r>
    </w:p>
    <w:p w14:paraId="20D84F12" w14:textId="77777777" w:rsidR="00F67CC0" w:rsidRPr="00A12252" w:rsidRDefault="00F67CC0" w:rsidP="00F67CC0">
      <w:pPr>
        <w:pStyle w:val="IPPNumberedList"/>
      </w:pPr>
      <w:r w:rsidRPr="00647FE6">
        <w:rPr>
          <w:i/>
          <w:iCs/>
        </w:rPr>
        <w:t>requested</w:t>
      </w:r>
      <w:r>
        <w:t xml:space="preserve"> that</w:t>
      </w:r>
      <w:r w:rsidRPr="00A12252">
        <w:t xml:space="preserve"> the focus group prepare a cover note outlining the steps and process to </w:t>
      </w:r>
      <w:r>
        <w:t>accompany</w:t>
      </w:r>
      <w:r w:rsidRPr="00A12252">
        <w:t xml:space="preserve"> with</w:t>
      </w:r>
      <w:r>
        <w:t xml:space="preserve"> </w:t>
      </w:r>
      <w:r w:rsidRPr="00A12252">
        <w:t xml:space="preserve">the draft </w:t>
      </w:r>
      <w:r>
        <w:t>s</w:t>
      </w:r>
      <w:r w:rsidRPr="00A12252">
        <w:t xml:space="preserve">pecification for </w:t>
      </w:r>
      <w:r>
        <w:t xml:space="preserve">the </w:t>
      </w:r>
      <w:r w:rsidRPr="00A12252">
        <w:t xml:space="preserve">consultation </w:t>
      </w:r>
      <w:proofErr w:type="gramStart"/>
      <w:r w:rsidRPr="00A12252">
        <w:t>period;</w:t>
      </w:r>
      <w:proofErr w:type="gramEnd"/>
    </w:p>
    <w:p w14:paraId="255E289A" w14:textId="77777777" w:rsidR="00F67CC0" w:rsidRDefault="00F67CC0" w:rsidP="00F67CC0">
      <w:pPr>
        <w:pStyle w:val="IPPNumberedList"/>
      </w:pPr>
      <w:r w:rsidRPr="003F29F7">
        <w:rPr>
          <w:i/>
          <w:iCs/>
        </w:rPr>
        <w:t>agree</w:t>
      </w:r>
      <w:r>
        <w:rPr>
          <w:i/>
          <w:iCs/>
        </w:rPr>
        <w:t>d</w:t>
      </w:r>
      <w:r w:rsidRPr="00A12252">
        <w:t xml:space="preserve"> that the focus group would review the consultation comments received for the draft</w:t>
      </w:r>
      <w:r>
        <w:t xml:space="preserve"> </w:t>
      </w:r>
      <w:r w:rsidRPr="00A12252">
        <w:t xml:space="preserve">specification on </w:t>
      </w:r>
      <w:r w:rsidRPr="003F29F7">
        <w:rPr>
          <w:i/>
          <w:iCs/>
        </w:rPr>
        <w:t>Safe provision of food and other humanitarian aid</w:t>
      </w:r>
      <w:r w:rsidRPr="00A12252">
        <w:t xml:space="preserve"> (2021-020) and present a</w:t>
      </w:r>
      <w:r>
        <w:t xml:space="preserve"> </w:t>
      </w:r>
      <w:r w:rsidRPr="00A12252">
        <w:t xml:space="preserve">revised draft </w:t>
      </w:r>
      <w:r>
        <w:t>s</w:t>
      </w:r>
      <w:r w:rsidRPr="00A12252">
        <w:t xml:space="preserve">pecification, and responses to the comments, to the </w:t>
      </w:r>
      <w:proofErr w:type="gramStart"/>
      <w:r>
        <w:t>SC</w:t>
      </w:r>
      <w:r w:rsidRPr="00A12252">
        <w:t>;</w:t>
      </w:r>
      <w:proofErr w:type="gramEnd"/>
    </w:p>
    <w:p w14:paraId="2848653A" w14:textId="77777777" w:rsidR="00F67CC0" w:rsidRPr="00A12252" w:rsidRDefault="00F67CC0" w:rsidP="00F67CC0">
      <w:pPr>
        <w:pStyle w:val="IPPNumberedList"/>
      </w:pPr>
      <w:r>
        <w:rPr>
          <w:i/>
          <w:iCs/>
        </w:rPr>
        <w:t xml:space="preserve">agreed </w:t>
      </w:r>
      <w:r>
        <w:t>that the SC would present to the CPM the finalized draft specification with a request for the CPM to decide whether the development of an ISPM should proceed; and</w:t>
      </w:r>
    </w:p>
    <w:p w14:paraId="7C602E45" w14:textId="77777777" w:rsidR="00F67CC0" w:rsidRDefault="00F67CC0" w:rsidP="00F67CC0">
      <w:pPr>
        <w:pStyle w:val="IPPNumberedListLast"/>
      </w:pPr>
      <w:r w:rsidRPr="20ECB1EF">
        <w:rPr>
          <w:i/>
          <w:iCs/>
        </w:rPr>
        <w:t>agreed</w:t>
      </w:r>
      <w:r>
        <w:t xml:space="preserve"> to extend the mandate of the focus group until CPM-20 (2026), with tasks as presented in CPM 2024/24, including the review of </w:t>
      </w:r>
      <w:r w:rsidRPr="00A849CF">
        <w:t>consultation</w:t>
      </w:r>
      <w:r>
        <w:t xml:space="preserve"> comments and revision of the draft specification to be presented to the SC before being presented to CPM-19 (2025).</w:t>
      </w:r>
    </w:p>
    <w:p w14:paraId="59D330B5" w14:textId="77777777" w:rsidR="00E46C7D" w:rsidRPr="00647B7E" w:rsidRDefault="00E46C7D" w:rsidP="00E46C7D">
      <w:pPr>
        <w:pStyle w:val="IPPHeading1"/>
      </w:pPr>
      <w:r>
        <w:lastRenderedPageBreak/>
        <w:t>14.</w:t>
      </w:r>
      <w:r>
        <w:tab/>
        <w:t>Implementation and Capacity Development</w:t>
      </w:r>
    </w:p>
    <w:p w14:paraId="16007941" w14:textId="77777777" w:rsidR="00E46C7D" w:rsidRPr="00647B7E" w:rsidRDefault="00E46C7D" w:rsidP="00E46C7D">
      <w:pPr>
        <w:pStyle w:val="IPPHeading2"/>
      </w:pPr>
      <w:r w:rsidRPr="00647B7E">
        <w:t>14.1</w:t>
      </w:r>
      <w:r w:rsidRPr="00647B7E">
        <w:tab/>
        <w:t>IPPC guides and training materials</w:t>
      </w:r>
    </w:p>
    <w:p w14:paraId="2B3882DD" w14:textId="77777777" w:rsidR="00E46C7D" w:rsidRDefault="00E46C7D" w:rsidP="00E46C7D">
      <w:pPr>
        <w:pStyle w:val="IPPParagraphnumbering"/>
      </w:pPr>
      <w:r w:rsidRPr="00647B7E">
        <w:rPr>
          <w:lang w:val="en-GB"/>
        </w:rPr>
        <w:t>The secretariat provided an update on the development of IPPC guides and training materials.</w:t>
      </w:r>
      <w:r w:rsidRPr="00647B7E">
        <w:rPr>
          <w:rStyle w:val="FootnoteReference"/>
          <w:lang w:val="en-GB"/>
        </w:rPr>
        <w:footnoteReference w:id="33"/>
      </w:r>
      <w:r w:rsidRPr="00647B7E">
        <w:rPr>
          <w:lang w:val="en-GB"/>
        </w:rPr>
        <w:t xml:space="preserve"> </w:t>
      </w:r>
      <w:r w:rsidRPr="004E3406">
        <w:rPr>
          <w:lang w:val="en-GB"/>
        </w:rPr>
        <w:t xml:space="preserve">Four new guides </w:t>
      </w:r>
      <w:r w:rsidRPr="004E3406">
        <w:t>had</w:t>
      </w:r>
      <w:r w:rsidRPr="004E3406">
        <w:rPr>
          <w:lang w:val="en-GB"/>
        </w:rPr>
        <w:t xml:space="preserve"> been published in 2023, several had been translated into French and Spanish and a comprehensive communications plan had been rolled </w:t>
      </w:r>
      <w:r>
        <w:rPr>
          <w:lang w:val="en-GB"/>
        </w:rPr>
        <w:t xml:space="preserve">out </w:t>
      </w:r>
      <w:r w:rsidRPr="004E3406">
        <w:rPr>
          <w:lang w:val="en-GB"/>
        </w:rPr>
        <w:t>to promote their use.</w:t>
      </w:r>
      <w:r>
        <w:rPr>
          <w:lang w:val="en-GB"/>
        </w:rPr>
        <w:t xml:space="preserve"> The secretariat </w:t>
      </w:r>
      <w:r w:rsidRPr="00907B3E">
        <w:t>also</w:t>
      </w:r>
      <w:r>
        <w:rPr>
          <w:lang w:val="en-GB"/>
        </w:rPr>
        <w:t xml:space="preserve"> reported on the uptake of the e-learning courses launched in 2022. The secretariat thanked all partners who have contributed to the translations of IPPC guides and training materials: the European Union, the </w:t>
      </w:r>
      <w:r w:rsidRPr="009237AA">
        <w:rPr>
          <w:lang w:val="en-GB"/>
        </w:rPr>
        <w:t>Common Market for Southern and Eastern Africa</w:t>
      </w:r>
      <w:r>
        <w:rPr>
          <w:lang w:val="en-GB"/>
        </w:rPr>
        <w:t xml:space="preserve"> (COMESA) Secretariat, the </w:t>
      </w:r>
      <w:r w:rsidRPr="6CC06B7E">
        <w:rPr>
          <w:lang w:val="en-GB"/>
        </w:rPr>
        <w:t xml:space="preserve">FAO </w:t>
      </w:r>
      <w:r>
        <w:rPr>
          <w:lang w:val="en-GB"/>
        </w:rPr>
        <w:t>S</w:t>
      </w:r>
      <w:r w:rsidRPr="6CC06B7E">
        <w:rPr>
          <w:lang w:val="en-GB"/>
        </w:rPr>
        <w:t xml:space="preserve">ubregional Office for Mesoamerica, </w:t>
      </w:r>
      <w:r w:rsidRPr="009237AA">
        <w:rPr>
          <w:lang w:val="en-GB"/>
        </w:rPr>
        <w:t>Committee Linking Entrepreneurship-Agriculture-Development</w:t>
      </w:r>
      <w:r>
        <w:rPr>
          <w:lang w:val="en-GB"/>
        </w:rPr>
        <w:t xml:space="preserve"> (</w:t>
      </w:r>
      <w:r w:rsidRPr="6CC06B7E">
        <w:rPr>
          <w:lang w:val="en-GB"/>
        </w:rPr>
        <w:t>COLEAD</w:t>
      </w:r>
      <w:r>
        <w:rPr>
          <w:lang w:val="en-GB"/>
        </w:rPr>
        <w:t>)</w:t>
      </w:r>
      <w:r w:rsidRPr="6CC06B7E">
        <w:rPr>
          <w:lang w:val="en-GB"/>
        </w:rPr>
        <w:t xml:space="preserve">, </w:t>
      </w:r>
      <w:r>
        <w:rPr>
          <w:lang w:val="en-GB"/>
        </w:rPr>
        <w:t xml:space="preserve">the </w:t>
      </w:r>
      <w:r w:rsidRPr="6CC06B7E">
        <w:rPr>
          <w:lang w:val="en-GB"/>
        </w:rPr>
        <w:t xml:space="preserve">All-Russian Plant Quarantine </w:t>
      </w:r>
      <w:proofErr w:type="spellStart"/>
      <w:r w:rsidRPr="6CC06B7E">
        <w:rPr>
          <w:lang w:val="en-GB"/>
        </w:rPr>
        <w:t>Center</w:t>
      </w:r>
      <w:proofErr w:type="spellEnd"/>
      <w:r w:rsidRPr="6CC06B7E">
        <w:rPr>
          <w:lang w:val="en-GB"/>
        </w:rPr>
        <w:t xml:space="preserve">, </w:t>
      </w:r>
      <w:r>
        <w:rPr>
          <w:lang w:val="en-GB"/>
        </w:rPr>
        <w:t>the North American Plant Protection Organization (</w:t>
      </w:r>
      <w:r w:rsidRPr="6CC06B7E">
        <w:rPr>
          <w:lang w:val="en-GB"/>
        </w:rPr>
        <w:t>NAPPO</w:t>
      </w:r>
      <w:r>
        <w:rPr>
          <w:lang w:val="en-GB"/>
        </w:rPr>
        <w:t>)</w:t>
      </w:r>
      <w:r w:rsidRPr="6CC06B7E">
        <w:rPr>
          <w:lang w:val="en-GB"/>
        </w:rPr>
        <w:t xml:space="preserve">, </w:t>
      </w:r>
      <w:proofErr w:type="spellStart"/>
      <w:r>
        <w:t>Comité</w:t>
      </w:r>
      <w:proofErr w:type="spellEnd"/>
      <w:r>
        <w:t xml:space="preserve"> de Sanidad Vegetal del Cono Sur (</w:t>
      </w:r>
      <w:r w:rsidRPr="6CC06B7E">
        <w:rPr>
          <w:lang w:val="en-GB"/>
        </w:rPr>
        <w:t>COSAVE</w:t>
      </w:r>
      <w:r>
        <w:rPr>
          <w:lang w:val="en-GB"/>
        </w:rPr>
        <w:t>)</w:t>
      </w:r>
      <w:r w:rsidRPr="6CC06B7E">
        <w:rPr>
          <w:lang w:val="en-GB"/>
        </w:rPr>
        <w:t xml:space="preserve">, </w:t>
      </w:r>
      <w:r>
        <w:rPr>
          <w:lang w:val="en-GB"/>
        </w:rPr>
        <w:t xml:space="preserve">the </w:t>
      </w:r>
      <w:r w:rsidRPr="009237AA">
        <w:rPr>
          <w:lang w:val="en-GB"/>
        </w:rPr>
        <w:t xml:space="preserve">Inter-American Institute for Cooperation on Agriculture </w:t>
      </w:r>
      <w:r>
        <w:rPr>
          <w:lang w:val="en-GB"/>
        </w:rPr>
        <w:t>(</w:t>
      </w:r>
      <w:r w:rsidRPr="6CC06B7E">
        <w:rPr>
          <w:lang w:val="en-GB"/>
        </w:rPr>
        <w:t>IICA</w:t>
      </w:r>
      <w:r>
        <w:rPr>
          <w:lang w:val="en-GB"/>
        </w:rPr>
        <w:t>)</w:t>
      </w:r>
      <w:r w:rsidRPr="6CC06B7E">
        <w:rPr>
          <w:lang w:val="en-GB"/>
        </w:rPr>
        <w:t xml:space="preserve"> and </w:t>
      </w:r>
      <w:proofErr w:type="spellStart"/>
      <w:r w:rsidRPr="00413384">
        <w:rPr>
          <w:lang w:val="en-GB"/>
        </w:rPr>
        <w:t>Organismo</w:t>
      </w:r>
      <w:proofErr w:type="spellEnd"/>
      <w:r w:rsidRPr="00413384">
        <w:rPr>
          <w:lang w:val="en-GB"/>
        </w:rPr>
        <w:t xml:space="preserve"> Internacional Regional de Sanidad </w:t>
      </w:r>
      <w:proofErr w:type="spellStart"/>
      <w:r w:rsidRPr="00413384">
        <w:rPr>
          <w:lang w:val="en-GB"/>
        </w:rPr>
        <w:t>Agropecuaria</w:t>
      </w:r>
      <w:proofErr w:type="spellEnd"/>
      <w:r w:rsidRPr="00413384">
        <w:rPr>
          <w:lang w:val="en-GB"/>
        </w:rPr>
        <w:t xml:space="preserve"> </w:t>
      </w:r>
      <w:r>
        <w:rPr>
          <w:lang w:val="en-GB"/>
        </w:rPr>
        <w:t>(</w:t>
      </w:r>
      <w:r w:rsidRPr="6CC06B7E">
        <w:rPr>
          <w:lang w:val="en-GB"/>
        </w:rPr>
        <w:t>OIRSA</w:t>
      </w:r>
      <w:r>
        <w:rPr>
          <w:lang w:val="en-GB"/>
        </w:rPr>
        <w:t>)</w:t>
      </w:r>
      <w:r w:rsidRPr="6CC06B7E">
        <w:rPr>
          <w:lang w:val="en-GB"/>
        </w:rPr>
        <w:t>.</w:t>
      </w:r>
    </w:p>
    <w:p w14:paraId="3201205E" w14:textId="77777777" w:rsidR="00E46C7D" w:rsidRPr="00647B7E" w:rsidRDefault="00E46C7D" w:rsidP="00E46C7D">
      <w:pPr>
        <w:pStyle w:val="IPPParagraphnumberingclose"/>
        <w:rPr>
          <w:lang w:val="en-GB"/>
        </w:rPr>
      </w:pPr>
      <w:r w:rsidRPr="00647B7E">
        <w:rPr>
          <w:lang w:val="en-GB"/>
        </w:rPr>
        <w:t>The CPM:</w:t>
      </w:r>
    </w:p>
    <w:p w14:paraId="704385F2" w14:textId="77777777" w:rsidR="00E46C7D" w:rsidRPr="00647B7E" w:rsidRDefault="00E46C7D" w:rsidP="00E46C7D">
      <w:pPr>
        <w:pStyle w:val="IPPNumberedList"/>
        <w:numPr>
          <w:ilvl w:val="0"/>
          <w:numId w:val="86"/>
        </w:numPr>
        <w:rPr>
          <w:lang w:val="en-GB"/>
        </w:rPr>
      </w:pPr>
      <w:r w:rsidRPr="00647B7E">
        <w:rPr>
          <w:i/>
          <w:iCs/>
          <w:lang w:val="en-GB"/>
        </w:rPr>
        <w:t>noted</w:t>
      </w:r>
      <w:r w:rsidRPr="00647B7E">
        <w:rPr>
          <w:lang w:val="en-GB"/>
        </w:rPr>
        <w:t xml:space="preserve"> the activities of the secretariat to develop high-quality guides and training materials, thoroughly promote their use, and work with partners to translate them as quickly as possible after their initial publication; and</w:t>
      </w:r>
    </w:p>
    <w:p w14:paraId="69767FE9" w14:textId="77777777" w:rsidR="00E46C7D" w:rsidRPr="00647B7E" w:rsidRDefault="00E46C7D" w:rsidP="00E46C7D">
      <w:pPr>
        <w:pStyle w:val="IPPNumberedListLast"/>
        <w:rPr>
          <w:lang w:val="en-GB"/>
        </w:rPr>
      </w:pPr>
      <w:r w:rsidRPr="002221FE">
        <w:rPr>
          <w:i/>
          <w:iCs/>
          <w:lang w:val="en-GB"/>
        </w:rPr>
        <w:t>thanked</w:t>
      </w:r>
      <w:r w:rsidRPr="6CC06B7E">
        <w:rPr>
          <w:lang w:val="en-GB"/>
        </w:rPr>
        <w:t xml:space="preserve"> the experts who had contributed to the </w:t>
      </w:r>
      <w:r w:rsidRPr="00907B3E">
        <w:t>French</w:t>
      </w:r>
      <w:r w:rsidRPr="6CC06B7E">
        <w:rPr>
          <w:lang w:val="en-GB"/>
        </w:rPr>
        <w:t xml:space="preserve"> translations of the IPPC </w:t>
      </w:r>
      <w:r w:rsidRPr="002221FE">
        <w:rPr>
          <w:i/>
          <w:iCs/>
          <w:lang w:val="en-GB"/>
        </w:rPr>
        <w:t>Guide for establishing and maintaining pest free areas</w:t>
      </w:r>
      <w:r w:rsidRPr="6CC06B7E">
        <w:rPr>
          <w:lang w:val="en-GB"/>
        </w:rPr>
        <w:t xml:space="preserve">, the IPPC </w:t>
      </w:r>
      <w:r w:rsidRPr="002221FE">
        <w:rPr>
          <w:i/>
          <w:iCs/>
          <w:lang w:val="en-GB"/>
        </w:rPr>
        <w:t>Surveillance</w:t>
      </w:r>
      <w:r w:rsidRPr="6CC06B7E">
        <w:rPr>
          <w:lang w:val="en-GB"/>
        </w:rPr>
        <w:t xml:space="preserve"> guide and the IPPC </w:t>
      </w:r>
      <w:r w:rsidRPr="002221FE">
        <w:rPr>
          <w:i/>
          <w:iCs/>
          <w:lang w:val="en-GB"/>
        </w:rPr>
        <w:t xml:space="preserve">Prevention, </w:t>
      </w:r>
      <w:proofErr w:type="gramStart"/>
      <w:r w:rsidRPr="002221FE">
        <w:rPr>
          <w:i/>
          <w:iCs/>
          <w:lang w:val="en-GB"/>
        </w:rPr>
        <w:t>preparedness</w:t>
      </w:r>
      <w:proofErr w:type="gramEnd"/>
      <w:r w:rsidRPr="002221FE">
        <w:rPr>
          <w:i/>
          <w:iCs/>
          <w:lang w:val="en-GB"/>
        </w:rPr>
        <w:t xml:space="preserve"> and response guidelines for Fusarium Tropical Race 4 (TR4) of banana</w:t>
      </w:r>
      <w:r w:rsidRPr="6CC06B7E">
        <w:rPr>
          <w:lang w:val="en-GB"/>
        </w:rPr>
        <w:t>, for their commitment and excellent service in proofreading (Appendix </w:t>
      </w:r>
      <w:r w:rsidRPr="6CC06B7E">
        <w:rPr>
          <w:highlight w:val="yellow"/>
          <w:lang w:val="en-GB"/>
        </w:rPr>
        <w:t>XX</w:t>
      </w:r>
      <w:r w:rsidRPr="6CC06B7E">
        <w:rPr>
          <w:lang w:val="en-GB"/>
        </w:rPr>
        <w:t>).</w:t>
      </w:r>
    </w:p>
    <w:p w14:paraId="0215F62C" w14:textId="77777777" w:rsidR="00E46C7D" w:rsidRPr="00647B7E" w:rsidRDefault="00E46C7D" w:rsidP="00E46C7D">
      <w:pPr>
        <w:pStyle w:val="IPPHeading2"/>
      </w:pPr>
      <w:r w:rsidRPr="00647B7E">
        <w:t>14.2</w:t>
      </w:r>
      <w:r w:rsidRPr="00647B7E">
        <w:tab/>
        <w:t>Update on projects managed by the IPPC Secretariat</w:t>
      </w:r>
    </w:p>
    <w:p w14:paraId="1F91B860" w14:textId="77777777" w:rsidR="00E46C7D" w:rsidRPr="000F5446" w:rsidRDefault="00E46C7D" w:rsidP="00E46C7D">
      <w:pPr>
        <w:pStyle w:val="IPPParagraphnumbering"/>
        <w:rPr>
          <w:lang w:val="en-GB"/>
        </w:rPr>
      </w:pPr>
      <w:r w:rsidRPr="00647B7E">
        <w:rPr>
          <w:lang w:val="en-GB"/>
        </w:rPr>
        <w:t>The secretariat presented a paper on the eight projects managed by the secretariat’s Implementation and Facilitation Unit in 2023,</w:t>
      </w:r>
      <w:r w:rsidRPr="00647B7E">
        <w:rPr>
          <w:rStyle w:val="FootnoteReference"/>
          <w:lang w:val="en-GB"/>
        </w:rPr>
        <w:footnoteReference w:id="34"/>
      </w:r>
      <w:r w:rsidRPr="00647B7E">
        <w:rPr>
          <w:lang w:val="en-GB"/>
        </w:rPr>
        <w:t xml:space="preserve"> which had been managed in full compliance with IC procedures and priorities. </w:t>
      </w:r>
      <w:r w:rsidRPr="00FE2030">
        <w:t>The secretariat thanked the partners who had provided financial support for the projects and in-kind contributions and extend</w:t>
      </w:r>
      <w:r w:rsidRPr="00907B3E">
        <w:t>ed</w:t>
      </w:r>
      <w:r w:rsidRPr="00FE2030">
        <w:t xml:space="preserve"> </w:t>
      </w:r>
      <w:r w:rsidRPr="00907B3E">
        <w:t>its</w:t>
      </w:r>
      <w:r w:rsidRPr="00FE2030">
        <w:t xml:space="preserve"> deepest gratitude to China, the European Union, Japan, COMESA, GIZ, Canada, </w:t>
      </w:r>
      <w:proofErr w:type="gramStart"/>
      <w:r w:rsidRPr="00FE2030">
        <w:t>France</w:t>
      </w:r>
      <w:proofErr w:type="gramEnd"/>
      <w:r w:rsidRPr="00FE2030">
        <w:t xml:space="preserve"> and the Republic of Korea</w:t>
      </w:r>
      <w:r w:rsidRPr="00907B3E">
        <w:t xml:space="preserve">. </w:t>
      </w:r>
      <w:r w:rsidRPr="000F5446">
        <w:rPr>
          <w:lang w:val="en-GB"/>
        </w:rPr>
        <w:t>Transparency with the wider IPPC community had been enhanced through dedicated web pages for those projects over USD 500 000.</w:t>
      </w:r>
    </w:p>
    <w:p w14:paraId="345AEBCE" w14:textId="77777777" w:rsidR="00E46C7D" w:rsidRPr="00647B7E" w:rsidRDefault="00E46C7D" w:rsidP="00E46C7D">
      <w:pPr>
        <w:pStyle w:val="IPPParagraphnumberingclose"/>
        <w:rPr>
          <w:lang w:val="en-GB"/>
        </w:rPr>
      </w:pPr>
      <w:r w:rsidRPr="00647B7E">
        <w:rPr>
          <w:lang w:val="en-GB"/>
        </w:rPr>
        <w:t>The CPM:</w:t>
      </w:r>
    </w:p>
    <w:p w14:paraId="1F151FC5" w14:textId="77777777" w:rsidR="00E46C7D" w:rsidRPr="00647B7E" w:rsidRDefault="00E46C7D" w:rsidP="00E46C7D">
      <w:pPr>
        <w:pStyle w:val="IPPNumberedList"/>
        <w:numPr>
          <w:ilvl w:val="0"/>
          <w:numId w:val="87"/>
        </w:numPr>
        <w:rPr>
          <w:lang w:val="en-GB"/>
        </w:rPr>
      </w:pPr>
      <w:r w:rsidRPr="00647B7E">
        <w:rPr>
          <w:i/>
          <w:iCs/>
          <w:lang w:val="en-GB"/>
        </w:rPr>
        <w:t>noted</w:t>
      </w:r>
      <w:r w:rsidRPr="00647B7E">
        <w:rPr>
          <w:lang w:val="en-GB"/>
        </w:rPr>
        <w:t xml:space="preserve"> the deliverables of projects managed by the secretariat; and</w:t>
      </w:r>
    </w:p>
    <w:p w14:paraId="08708B8E" w14:textId="77777777" w:rsidR="00E46C7D" w:rsidRPr="00647B7E" w:rsidRDefault="00E46C7D" w:rsidP="00E46C7D">
      <w:pPr>
        <w:pStyle w:val="IPPNumberedListLast"/>
        <w:rPr>
          <w:lang w:val="en-GB"/>
        </w:rPr>
      </w:pPr>
      <w:r w:rsidRPr="00647B7E">
        <w:rPr>
          <w:i/>
          <w:iCs/>
          <w:lang w:val="en-GB"/>
        </w:rPr>
        <w:t>noted</w:t>
      </w:r>
      <w:r w:rsidRPr="00647B7E">
        <w:rPr>
          <w:lang w:val="en-GB"/>
        </w:rPr>
        <w:t xml:space="preserve"> the compliance of the projects with secretariat and IC procedures and the increased transparency as presented in Appendix 1 of CPM 2024/27.</w:t>
      </w:r>
    </w:p>
    <w:p w14:paraId="7047D600" w14:textId="77777777" w:rsidR="00797166" w:rsidRPr="00647B7E" w:rsidRDefault="00797166" w:rsidP="00797166">
      <w:pPr>
        <w:pStyle w:val="IPPHeading2"/>
      </w:pPr>
      <w:r w:rsidRPr="00647B7E">
        <w:t>14.3</w:t>
      </w:r>
      <w:r w:rsidRPr="00647B7E">
        <w:tab/>
        <w:t>Update on the IPPC Observatory</w:t>
      </w:r>
    </w:p>
    <w:p w14:paraId="0EE9B0DE" w14:textId="77777777" w:rsidR="00797166" w:rsidRDefault="00797166" w:rsidP="00797166">
      <w:pPr>
        <w:pStyle w:val="IPPParagraphnumbering"/>
        <w:rPr>
          <w:lang w:val="en-GB"/>
        </w:rPr>
      </w:pPr>
      <w:bookmarkStart w:id="0" w:name="_Hlk162117277"/>
      <w:r w:rsidRPr="0034701B">
        <w:rPr>
          <w:lang w:val="en-GB"/>
        </w:rPr>
        <w:t>The secretariat presented an update on the 2023 IPPC Observatory activities</w:t>
      </w:r>
      <w:bookmarkEnd w:id="0"/>
      <w:r w:rsidRPr="0034701B">
        <w:rPr>
          <w:lang w:val="en-GB"/>
        </w:rPr>
        <w:t xml:space="preserve"> and priority activities for 2024, including preparations for the IPPC third </w:t>
      </w:r>
      <w:r w:rsidRPr="00647B7E">
        <w:t>general</w:t>
      </w:r>
      <w:r w:rsidRPr="0034701B">
        <w:rPr>
          <w:lang w:val="en-GB"/>
        </w:rPr>
        <w:t xml:space="preserve"> </w:t>
      </w:r>
      <w:r w:rsidRPr="00907B3E">
        <w:t>survey</w:t>
      </w:r>
      <w:r>
        <w:rPr>
          <w:lang w:val="en-GB"/>
        </w:rPr>
        <w:t xml:space="preserve"> and</w:t>
      </w:r>
      <w:r w:rsidRPr="0034701B">
        <w:rPr>
          <w:lang w:val="en-GB"/>
        </w:rPr>
        <w:t xml:space="preserve"> a study on e-commerce.</w:t>
      </w:r>
      <w:r w:rsidRPr="00647B7E">
        <w:rPr>
          <w:rStyle w:val="FootnoteReference"/>
          <w:lang w:val="en-GB"/>
        </w:rPr>
        <w:footnoteReference w:id="35"/>
      </w:r>
      <w:r w:rsidRPr="0034701B">
        <w:rPr>
          <w:lang w:val="en-GB"/>
        </w:rPr>
        <w:t xml:space="preserve"> The secretariat </w:t>
      </w:r>
      <w:r>
        <w:rPr>
          <w:lang w:val="en-GB"/>
        </w:rPr>
        <w:t xml:space="preserve">also </w:t>
      </w:r>
      <w:r w:rsidRPr="0034701B">
        <w:rPr>
          <w:lang w:val="en-GB"/>
        </w:rPr>
        <w:t xml:space="preserve">highlighted the ongoing collaboration with the </w:t>
      </w:r>
      <w:r>
        <w:rPr>
          <w:lang w:val="en-GB"/>
        </w:rPr>
        <w:t xml:space="preserve">observatories </w:t>
      </w:r>
      <w:r w:rsidRPr="0034701B">
        <w:rPr>
          <w:lang w:val="en-GB"/>
        </w:rPr>
        <w:t xml:space="preserve">of the </w:t>
      </w:r>
      <w:r w:rsidRPr="00F60632">
        <w:rPr>
          <w:lang w:val="en-GB"/>
        </w:rPr>
        <w:t>Codex Alimentarius</w:t>
      </w:r>
      <w:r w:rsidRPr="00F60632">
        <w:rPr>
          <w:i/>
          <w:iCs/>
          <w:lang w:val="en-GB"/>
        </w:rPr>
        <w:t xml:space="preserve"> </w:t>
      </w:r>
      <w:r w:rsidRPr="6CC06B7E">
        <w:rPr>
          <w:lang w:val="en-GB"/>
        </w:rPr>
        <w:t>C</w:t>
      </w:r>
      <w:r w:rsidRPr="0034701B">
        <w:rPr>
          <w:lang w:val="en-GB"/>
        </w:rPr>
        <w:t xml:space="preserve">ommission and the World Organisation for Animal Health </w:t>
      </w:r>
      <w:r>
        <w:rPr>
          <w:lang w:val="en-GB"/>
        </w:rPr>
        <w:t>about</w:t>
      </w:r>
      <w:r w:rsidRPr="0034701B">
        <w:rPr>
          <w:lang w:val="en-GB"/>
        </w:rPr>
        <w:t xml:space="preserve"> </w:t>
      </w:r>
      <w:r w:rsidRPr="6CC06B7E">
        <w:rPr>
          <w:lang w:val="en-GB"/>
        </w:rPr>
        <w:t xml:space="preserve">monitoring </w:t>
      </w:r>
      <w:r>
        <w:rPr>
          <w:lang w:val="en-GB"/>
        </w:rPr>
        <w:t xml:space="preserve">the </w:t>
      </w:r>
      <w:r w:rsidRPr="6CC06B7E">
        <w:rPr>
          <w:lang w:val="en-GB"/>
        </w:rPr>
        <w:t>implementation of standards</w:t>
      </w:r>
      <w:r>
        <w:rPr>
          <w:lang w:val="en-GB"/>
        </w:rPr>
        <w:t>,</w:t>
      </w:r>
      <w:r w:rsidRPr="6CC06B7E">
        <w:rPr>
          <w:lang w:val="en-GB"/>
        </w:rPr>
        <w:t xml:space="preserve"> </w:t>
      </w:r>
      <w:r w:rsidRPr="0034701B">
        <w:rPr>
          <w:lang w:val="en-GB"/>
        </w:rPr>
        <w:t xml:space="preserve">best practice for conducting surveys and suggestions made by the IC </w:t>
      </w:r>
      <w:r w:rsidRPr="00AC69C2">
        <w:t xml:space="preserve">to address the </w:t>
      </w:r>
      <w:r w:rsidRPr="0034701B">
        <w:rPr>
          <w:lang w:val="en-GB"/>
        </w:rPr>
        <w:t xml:space="preserve">low response rate </w:t>
      </w:r>
      <w:r w:rsidRPr="00AC69C2">
        <w:t>to IPPC surveys</w:t>
      </w:r>
      <w:r w:rsidRPr="0034701B">
        <w:rPr>
          <w:lang w:val="en-GB"/>
        </w:rPr>
        <w:t>.</w:t>
      </w:r>
      <w:r>
        <w:rPr>
          <w:lang w:val="en-GB"/>
        </w:rPr>
        <w:t xml:space="preserve"> The secretariat thanked funding partners, namely Canada and the Republic of Korea, for their contributions.</w:t>
      </w:r>
    </w:p>
    <w:p w14:paraId="3632F9A9" w14:textId="77777777" w:rsidR="00797166" w:rsidRPr="00647B7E" w:rsidRDefault="00797166" w:rsidP="00797166">
      <w:pPr>
        <w:pStyle w:val="IPPParagraphnumberingclose"/>
        <w:rPr>
          <w:lang w:val="en-GB"/>
        </w:rPr>
      </w:pPr>
      <w:r w:rsidRPr="00647B7E">
        <w:rPr>
          <w:lang w:val="en-GB"/>
        </w:rPr>
        <w:t>The CPM:</w:t>
      </w:r>
    </w:p>
    <w:p w14:paraId="5CA08708" w14:textId="77777777" w:rsidR="00797166" w:rsidRPr="00647B7E" w:rsidRDefault="00797166" w:rsidP="00797166">
      <w:pPr>
        <w:pStyle w:val="IPPNumberedList"/>
        <w:numPr>
          <w:ilvl w:val="0"/>
          <w:numId w:val="88"/>
        </w:numPr>
        <w:rPr>
          <w:lang w:val="en-GB"/>
        </w:rPr>
      </w:pPr>
      <w:r w:rsidRPr="00647B7E">
        <w:rPr>
          <w:i/>
          <w:iCs/>
          <w:lang w:val="en-GB"/>
        </w:rPr>
        <w:t>noted</w:t>
      </w:r>
      <w:r w:rsidRPr="00647B7E">
        <w:rPr>
          <w:lang w:val="en-GB"/>
        </w:rPr>
        <w:t xml:space="preserve"> the update on the 2023 IPPC Observatory </w:t>
      </w:r>
      <w:proofErr w:type="gramStart"/>
      <w:r w:rsidRPr="00647B7E">
        <w:rPr>
          <w:lang w:val="en-GB"/>
        </w:rPr>
        <w:t>activities;</w:t>
      </w:r>
      <w:proofErr w:type="gramEnd"/>
    </w:p>
    <w:p w14:paraId="1569386B" w14:textId="77777777" w:rsidR="00797166" w:rsidRPr="00712597" w:rsidRDefault="00797166" w:rsidP="00797166">
      <w:pPr>
        <w:pStyle w:val="IPPNumberedList"/>
        <w:rPr>
          <w:lang w:val="en-GB"/>
        </w:rPr>
      </w:pPr>
      <w:r w:rsidRPr="6CC06B7E">
        <w:rPr>
          <w:i/>
          <w:iCs/>
          <w:lang w:val="en-GB"/>
        </w:rPr>
        <w:lastRenderedPageBreak/>
        <w:t>noted</w:t>
      </w:r>
      <w:r w:rsidRPr="00647B7E">
        <w:rPr>
          <w:lang w:val="en-GB"/>
        </w:rPr>
        <w:t xml:space="preserve"> that the IPPC Strategic Framework project </w:t>
      </w:r>
      <w:r w:rsidRPr="00ED63D3">
        <w:t>coordinator</w:t>
      </w:r>
      <w:r w:rsidRPr="00647B7E">
        <w:rPr>
          <w:rStyle w:val="FootnoteReference"/>
          <w:lang w:val="en-GB"/>
        </w:rPr>
        <w:footnoteReference w:id="36"/>
      </w:r>
      <w:r w:rsidRPr="00647B7E">
        <w:rPr>
          <w:lang w:val="en-GB"/>
        </w:rPr>
        <w:t xml:space="preserve"> should be hired before DAI monitoring activities commence, following which the IPPC Observatory would provide support by monitoring DAI </w:t>
      </w:r>
      <w:proofErr w:type="gramStart"/>
      <w:r w:rsidRPr="00647B7E">
        <w:rPr>
          <w:lang w:val="en-GB"/>
        </w:rPr>
        <w:t>achievements;</w:t>
      </w:r>
      <w:proofErr w:type="gramEnd"/>
    </w:p>
    <w:p w14:paraId="00A613AD" w14:textId="77777777" w:rsidR="00797166" w:rsidRPr="00647B7E" w:rsidRDefault="00797166" w:rsidP="00797166">
      <w:pPr>
        <w:pStyle w:val="IPPNumberedList"/>
        <w:rPr>
          <w:lang w:val="en-GB"/>
        </w:rPr>
      </w:pPr>
      <w:r w:rsidRPr="00647B7E">
        <w:rPr>
          <w:i/>
          <w:iCs/>
          <w:lang w:val="en-GB"/>
        </w:rPr>
        <w:t>requested</w:t>
      </w:r>
      <w:r w:rsidRPr="00647B7E">
        <w:rPr>
          <w:lang w:val="en-GB"/>
        </w:rPr>
        <w:t xml:space="preserve"> that the secretariat launch the third IPPC general survey, including a search function allowing the compiled data to be freely consulted and adding the following general survey criteria to monitor the </w:t>
      </w:r>
      <w:r w:rsidRPr="00647B7E">
        <w:t>implementation</w:t>
      </w:r>
      <w:r w:rsidRPr="00647B7E">
        <w:rPr>
          <w:lang w:val="en-GB"/>
        </w:rPr>
        <w:t xml:space="preserve"> of the IPPC – NRO updates on the IPP, World Trade Organization notifications, phytosanitary legislation and pest </w:t>
      </w:r>
      <w:proofErr w:type="gramStart"/>
      <w:r w:rsidRPr="00647B7E">
        <w:rPr>
          <w:lang w:val="en-GB"/>
        </w:rPr>
        <w:t>reports;</w:t>
      </w:r>
      <w:proofErr w:type="gramEnd"/>
    </w:p>
    <w:p w14:paraId="7E4D8D2A" w14:textId="77777777" w:rsidR="00797166" w:rsidRPr="00647B7E" w:rsidRDefault="00797166" w:rsidP="00797166">
      <w:pPr>
        <w:pStyle w:val="IPPNumberedList"/>
        <w:rPr>
          <w:lang w:val="en-GB"/>
        </w:rPr>
      </w:pPr>
      <w:r w:rsidRPr="00647B7E">
        <w:rPr>
          <w:i/>
          <w:iCs/>
          <w:lang w:val="en-GB"/>
        </w:rPr>
        <w:t>invited</w:t>
      </w:r>
      <w:r w:rsidRPr="00647B7E">
        <w:rPr>
          <w:lang w:val="en-GB"/>
        </w:rPr>
        <w:t xml:space="preserve"> contracting parties to respond to the third IPPC general </w:t>
      </w:r>
      <w:proofErr w:type="gramStart"/>
      <w:r w:rsidRPr="00647B7E">
        <w:rPr>
          <w:lang w:val="en-GB"/>
        </w:rPr>
        <w:t>survey;</w:t>
      </w:r>
      <w:proofErr w:type="gramEnd"/>
    </w:p>
    <w:p w14:paraId="002D82BE" w14:textId="77777777" w:rsidR="00797166" w:rsidRPr="00647B7E" w:rsidRDefault="00797166" w:rsidP="00797166">
      <w:pPr>
        <w:pStyle w:val="IPPNumberedList"/>
        <w:rPr>
          <w:lang w:val="en-GB"/>
        </w:rPr>
      </w:pPr>
      <w:r w:rsidRPr="00647B7E">
        <w:rPr>
          <w:i/>
          <w:iCs/>
          <w:lang w:val="en-GB"/>
        </w:rPr>
        <w:t>requested</w:t>
      </w:r>
      <w:r w:rsidRPr="00647B7E">
        <w:rPr>
          <w:lang w:val="en-GB"/>
        </w:rPr>
        <w:t xml:space="preserve"> that the </w:t>
      </w:r>
      <w:r w:rsidRPr="00647B7E">
        <w:t>secretariat</w:t>
      </w:r>
      <w:r w:rsidRPr="00647B7E">
        <w:rPr>
          <w:lang w:val="en-GB"/>
        </w:rPr>
        <w:t xml:space="preserve"> launch the survey for the IPPC Observatory study on </w:t>
      </w:r>
      <w:proofErr w:type="gramStart"/>
      <w:r w:rsidRPr="00647B7E">
        <w:rPr>
          <w:lang w:val="en-GB"/>
        </w:rPr>
        <w:t>e-commerce;</w:t>
      </w:r>
      <w:proofErr w:type="gramEnd"/>
    </w:p>
    <w:p w14:paraId="6CFD630D" w14:textId="77777777" w:rsidR="00797166" w:rsidRPr="00647B7E" w:rsidRDefault="00797166" w:rsidP="00797166">
      <w:pPr>
        <w:pStyle w:val="IPPNumberedList"/>
        <w:rPr>
          <w:lang w:val="en-GB"/>
        </w:rPr>
      </w:pPr>
      <w:r w:rsidRPr="00647B7E">
        <w:rPr>
          <w:i/>
          <w:iCs/>
          <w:lang w:val="en-GB"/>
        </w:rPr>
        <w:t>invited</w:t>
      </w:r>
      <w:r w:rsidRPr="00647B7E">
        <w:rPr>
          <w:lang w:val="en-GB"/>
        </w:rPr>
        <w:t xml:space="preserve"> </w:t>
      </w:r>
      <w:r w:rsidRPr="00647B7E">
        <w:t>contracting</w:t>
      </w:r>
      <w:r w:rsidRPr="00647B7E">
        <w:rPr>
          <w:lang w:val="en-GB"/>
        </w:rPr>
        <w:t xml:space="preserve"> parties to respond to the e-commerce </w:t>
      </w:r>
      <w:proofErr w:type="gramStart"/>
      <w:r w:rsidRPr="00647B7E">
        <w:rPr>
          <w:lang w:val="en-GB"/>
        </w:rPr>
        <w:t>survey;</w:t>
      </w:r>
      <w:proofErr w:type="gramEnd"/>
    </w:p>
    <w:p w14:paraId="4FCDD41F" w14:textId="77777777" w:rsidR="00797166" w:rsidRPr="00647B7E" w:rsidRDefault="00797166" w:rsidP="00797166">
      <w:pPr>
        <w:pStyle w:val="IPPNumberedList"/>
        <w:rPr>
          <w:lang w:val="en-GB"/>
        </w:rPr>
      </w:pPr>
      <w:r w:rsidRPr="00647B7E">
        <w:rPr>
          <w:i/>
          <w:iCs/>
          <w:lang w:val="en-GB"/>
        </w:rPr>
        <w:t xml:space="preserve">agreed </w:t>
      </w:r>
      <w:r w:rsidRPr="00647B7E">
        <w:rPr>
          <w:lang w:val="en-GB"/>
        </w:rPr>
        <w:t xml:space="preserve">that, from 2025, the call for IPPC Observatory topics for studies and </w:t>
      </w:r>
      <w:r w:rsidRPr="00647B7E">
        <w:t>surveys</w:t>
      </w:r>
      <w:r w:rsidRPr="00647B7E">
        <w:rPr>
          <w:lang w:val="en-GB"/>
        </w:rPr>
        <w:t xml:space="preserve"> would be included in the IPPC Call </w:t>
      </w:r>
      <w:r w:rsidRPr="00647B7E">
        <w:t>for</w:t>
      </w:r>
      <w:r w:rsidRPr="00647B7E">
        <w:rPr>
          <w:lang w:val="en-GB"/>
        </w:rPr>
        <w:t xml:space="preserve"> Topics: Standards and Implementation with a dedicated </w:t>
      </w:r>
      <w:r w:rsidRPr="00647B7E">
        <w:t>submission</w:t>
      </w:r>
      <w:r w:rsidRPr="00647B7E">
        <w:rPr>
          <w:lang w:val="en-GB"/>
        </w:rPr>
        <w:t xml:space="preserve"> form; </w:t>
      </w:r>
      <w:r>
        <w:rPr>
          <w:lang w:val="en-GB"/>
        </w:rPr>
        <w:t>and</w:t>
      </w:r>
    </w:p>
    <w:p w14:paraId="264F8ECB" w14:textId="77777777" w:rsidR="00797166" w:rsidRPr="00712597" w:rsidRDefault="00797166" w:rsidP="00797166">
      <w:pPr>
        <w:pStyle w:val="IPPNumberedList"/>
        <w:rPr>
          <w:lang w:val="en-GB"/>
        </w:rPr>
      </w:pPr>
      <w:r w:rsidRPr="00647B7E">
        <w:rPr>
          <w:i/>
          <w:iCs/>
          <w:lang w:val="en-GB"/>
        </w:rPr>
        <w:t>encouraged</w:t>
      </w:r>
      <w:r w:rsidRPr="00647B7E">
        <w:rPr>
          <w:lang w:val="en-GB"/>
        </w:rPr>
        <w:t xml:space="preserve"> the secretariat to maintain collaboration with the Three Sisters working group on monitoring the </w:t>
      </w:r>
      <w:r w:rsidRPr="00647B7E">
        <w:t>implementation</w:t>
      </w:r>
      <w:r w:rsidRPr="00647B7E">
        <w:rPr>
          <w:lang w:val="en-GB"/>
        </w:rPr>
        <w:t xml:space="preserve"> of their standards</w:t>
      </w:r>
      <w:r>
        <w:rPr>
          <w:lang w:val="en-GB"/>
        </w:rPr>
        <w:t>.</w:t>
      </w:r>
    </w:p>
    <w:p w14:paraId="39719C55" w14:textId="77777777" w:rsidR="008564EF" w:rsidRPr="00647B7E" w:rsidRDefault="008564EF" w:rsidP="008564EF">
      <w:pPr>
        <w:pStyle w:val="IPPHeading2"/>
      </w:pPr>
      <w:r w:rsidRPr="00647B7E">
        <w:t>14.4</w:t>
      </w:r>
      <w:r w:rsidRPr="00647B7E">
        <w:tab/>
        <w:t>Update on phytosanitary capacity evaluation</w:t>
      </w:r>
    </w:p>
    <w:p w14:paraId="56873DB2" w14:textId="77777777" w:rsidR="008564EF" w:rsidRPr="00C6155F" w:rsidRDefault="008564EF" w:rsidP="008564EF">
      <w:pPr>
        <w:pStyle w:val="IPPParagraphnumbering"/>
        <w:rPr>
          <w:lang w:val="en-GB"/>
        </w:rPr>
      </w:pPr>
      <w:r w:rsidRPr="00647B7E">
        <w:rPr>
          <w:lang w:val="en-GB"/>
        </w:rPr>
        <w:t>The secretariat presented an update on PCE,</w:t>
      </w:r>
      <w:r w:rsidRPr="00647B7E">
        <w:rPr>
          <w:rStyle w:val="FootnoteReference"/>
          <w:lang w:val="en-GB"/>
        </w:rPr>
        <w:footnoteReference w:id="37"/>
      </w:r>
      <w:r w:rsidRPr="00647B7E">
        <w:rPr>
          <w:lang w:val="en-GB"/>
        </w:rPr>
        <w:t xml:space="preserve"> including </w:t>
      </w:r>
      <w:r>
        <w:rPr>
          <w:lang w:val="en-GB"/>
        </w:rPr>
        <w:t xml:space="preserve">an overview of what a PCE entails, the training of facilitators, </w:t>
      </w:r>
      <w:r w:rsidRPr="00647B7E">
        <w:rPr>
          <w:lang w:val="en-GB"/>
        </w:rPr>
        <w:t xml:space="preserve">PCEs carried out during </w:t>
      </w:r>
      <w:r>
        <w:rPr>
          <w:lang w:val="en-GB"/>
        </w:rPr>
        <w:t>2023 and underway in 2024</w:t>
      </w:r>
      <w:r w:rsidRPr="00647B7E">
        <w:rPr>
          <w:lang w:val="en-GB"/>
        </w:rPr>
        <w:t xml:space="preserve">, communication activities related to PCE, the drafting of a desk study on PCE, and the </w:t>
      </w:r>
      <w:r w:rsidRPr="00647B7E">
        <w:t>development</w:t>
      </w:r>
      <w:r w:rsidRPr="00647B7E">
        <w:rPr>
          <w:lang w:val="en-GB"/>
        </w:rPr>
        <w:t xml:space="preserve"> of terms and conditions for use of the online PCE system. </w:t>
      </w:r>
      <w:r w:rsidRPr="00E707FA">
        <w:rPr>
          <w:lang w:val="en-GB"/>
        </w:rPr>
        <w:t xml:space="preserve">The secretariat also highlighted the need for sustainable funding for PCE </w:t>
      </w:r>
      <w:r w:rsidRPr="00F86261">
        <w:t>activities</w:t>
      </w:r>
      <w:r w:rsidRPr="00E707FA">
        <w:rPr>
          <w:lang w:val="en-GB"/>
        </w:rPr>
        <w:t>, as PCEs are funded by projects and there is no dedicated budget in FAO for maintaining the process and the online system.</w:t>
      </w:r>
    </w:p>
    <w:p w14:paraId="1D56C72F" w14:textId="77777777" w:rsidR="008564EF" w:rsidRDefault="008564EF" w:rsidP="008564EF">
      <w:pPr>
        <w:pStyle w:val="IPPParagraphnumbering"/>
        <w:rPr>
          <w:lang w:val="en-GB"/>
        </w:rPr>
      </w:pPr>
      <w:r>
        <w:rPr>
          <w:lang w:val="en-GB"/>
        </w:rPr>
        <w:t>Some CPs</w:t>
      </w:r>
      <w:r w:rsidRPr="6CC06B7E">
        <w:rPr>
          <w:lang w:val="en-GB"/>
        </w:rPr>
        <w:t xml:space="preserve"> expressed their general appreciation for all efforts in advancing the PCE strategy and increased transparency. Contracting parties also expressed appreciation for the support received from the secretariat in facilitating </w:t>
      </w:r>
      <w:r w:rsidRPr="008E775C">
        <w:t>PCEs</w:t>
      </w:r>
      <w:r>
        <w:t>,</w:t>
      </w:r>
      <w:r w:rsidRPr="6CC06B7E">
        <w:rPr>
          <w:lang w:val="en-GB"/>
        </w:rPr>
        <w:t xml:space="preserve"> gaining financial support for PCEs</w:t>
      </w:r>
      <w:r>
        <w:rPr>
          <w:lang w:val="en-GB"/>
        </w:rPr>
        <w:t>,</w:t>
      </w:r>
      <w:r w:rsidRPr="6CC06B7E">
        <w:rPr>
          <w:lang w:val="en-GB"/>
        </w:rPr>
        <w:t xml:space="preserve"> and </w:t>
      </w:r>
      <w:r>
        <w:rPr>
          <w:lang w:val="en-GB"/>
        </w:rPr>
        <w:t xml:space="preserve">advancing the </w:t>
      </w:r>
      <w:r w:rsidRPr="6CC06B7E">
        <w:rPr>
          <w:lang w:val="en-GB"/>
        </w:rPr>
        <w:t>priorities identified by countries in the framework of a PCE</w:t>
      </w:r>
      <w:r>
        <w:rPr>
          <w:lang w:val="en-GB"/>
        </w:rPr>
        <w:t>. In addition, the CPM</w:t>
      </w:r>
      <w:r w:rsidRPr="6CC06B7E">
        <w:rPr>
          <w:lang w:val="en-GB"/>
        </w:rPr>
        <w:t xml:space="preserve"> welcomed the fact that new PCE facilitators had been trained.</w:t>
      </w:r>
    </w:p>
    <w:p w14:paraId="252410AC" w14:textId="77777777" w:rsidR="008564EF" w:rsidRDefault="008564EF" w:rsidP="008564EF">
      <w:pPr>
        <w:pStyle w:val="IPPParagraphnumbering"/>
        <w:rPr>
          <w:lang w:val="en-GB"/>
        </w:rPr>
      </w:pPr>
      <w:r>
        <w:rPr>
          <w:lang w:val="en-GB"/>
        </w:rPr>
        <w:t>In response to a query about the terms and conditions for the online PCE system, the secretariat confirmed that only the country conducting the PCE had access to the data for their PCE, countries could download their PCE strategy at any time, and it was most unlikely that FAO would terminate the application without notifying countries.</w:t>
      </w:r>
    </w:p>
    <w:p w14:paraId="73A04B9B" w14:textId="77777777" w:rsidR="008564EF" w:rsidRPr="00F017CD" w:rsidRDefault="008564EF" w:rsidP="008564EF">
      <w:pPr>
        <w:pStyle w:val="IPPParagraphnumbering"/>
        <w:rPr>
          <w:lang w:val="en-GB"/>
        </w:rPr>
      </w:pPr>
      <w:r w:rsidRPr="6CC06B7E">
        <w:rPr>
          <w:lang w:val="en-GB"/>
        </w:rPr>
        <w:t xml:space="preserve">In response to a request for financial assistance for developing countries who wished to conduct a PCE, the </w:t>
      </w:r>
      <w:r>
        <w:rPr>
          <w:lang w:val="en-GB"/>
        </w:rPr>
        <w:t>s</w:t>
      </w:r>
      <w:r w:rsidRPr="6CC06B7E">
        <w:rPr>
          <w:lang w:val="en-GB"/>
        </w:rPr>
        <w:t xml:space="preserve">ecretariat </w:t>
      </w:r>
      <w:r>
        <w:rPr>
          <w:lang w:val="en-GB"/>
        </w:rPr>
        <w:t>explained that</w:t>
      </w:r>
      <w:r w:rsidRPr="6CC06B7E">
        <w:rPr>
          <w:lang w:val="en-GB"/>
        </w:rPr>
        <w:t xml:space="preserve"> there </w:t>
      </w:r>
      <w:r>
        <w:rPr>
          <w:lang w:val="en-GB"/>
        </w:rPr>
        <w:t>wa</w:t>
      </w:r>
      <w:r w:rsidRPr="6CC06B7E">
        <w:rPr>
          <w:lang w:val="en-GB"/>
        </w:rPr>
        <w:t xml:space="preserve">s currently no budget line for such activity in the </w:t>
      </w:r>
      <w:r>
        <w:rPr>
          <w:lang w:val="en-GB"/>
        </w:rPr>
        <w:t>s</w:t>
      </w:r>
      <w:r w:rsidRPr="6CC06B7E">
        <w:rPr>
          <w:lang w:val="en-GB"/>
        </w:rPr>
        <w:t xml:space="preserve">ecretariat, but </w:t>
      </w:r>
      <w:r>
        <w:rPr>
          <w:lang w:val="en-GB"/>
        </w:rPr>
        <w:t xml:space="preserve">they </w:t>
      </w:r>
      <w:r w:rsidRPr="6CC06B7E">
        <w:rPr>
          <w:lang w:val="en-GB"/>
        </w:rPr>
        <w:t>would support the country to approach donors. The CPM chairperson clarified that the IC would be considering the sustainable funding</w:t>
      </w:r>
      <w:r>
        <w:rPr>
          <w:lang w:val="en-GB"/>
        </w:rPr>
        <w:t xml:space="preserve"> of PCE activities</w:t>
      </w:r>
      <w:r w:rsidRPr="6CC06B7E">
        <w:rPr>
          <w:lang w:val="en-GB"/>
        </w:rPr>
        <w:t>.</w:t>
      </w:r>
    </w:p>
    <w:p w14:paraId="67817131" w14:textId="77777777" w:rsidR="008564EF" w:rsidRPr="00647B7E" w:rsidRDefault="008564EF" w:rsidP="008564EF">
      <w:pPr>
        <w:pStyle w:val="IPPParagraphnumberingclose"/>
        <w:rPr>
          <w:lang w:val="en-GB"/>
        </w:rPr>
      </w:pPr>
      <w:r w:rsidRPr="00647B7E">
        <w:rPr>
          <w:lang w:val="en-GB"/>
        </w:rPr>
        <w:t>The CPM:</w:t>
      </w:r>
    </w:p>
    <w:p w14:paraId="6BE0569D" w14:textId="77777777" w:rsidR="008564EF" w:rsidRPr="00647B7E" w:rsidRDefault="008564EF" w:rsidP="008564EF">
      <w:pPr>
        <w:pStyle w:val="IPPNumberedList"/>
        <w:numPr>
          <w:ilvl w:val="0"/>
          <w:numId w:val="89"/>
        </w:numPr>
        <w:rPr>
          <w:lang w:val="en-GB"/>
        </w:rPr>
      </w:pPr>
      <w:r w:rsidRPr="00647B7E">
        <w:rPr>
          <w:i/>
          <w:iCs/>
          <w:lang w:val="en-GB"/>
        </w:rPr>
        <w:t>noted</w:t>
      </w:r>
      <w:r w:rsidRPr="00647B7E">
        <w:rPr>
          <w:lang w:val="en-GB"/>
        </w:rPr>
        <w:t xml:space="preserve"> the achievements during 2023, aligned with the key results of the PCE Strategy 2020–</w:t>
      </w:r>
      <w:proofErr w:type="gramStart"/>
      <w:r w:rsidRPr="00647B7E">
        <w:rPr>
          <w:lang w:val="en-GB"/>
        </w:rPr>
        <w:t>2030;</w:t>
      </w:r>
      <w:proofErr w:type="gramEnd"/>
    </w:p>
    <w:p w14:paraId="1867C1DE" w14:textId="77777777" w:rsidR="008564EF" w:rsidRDefault="008564EF" w:rsidP="008564EF">
      <w:pPr>
        <w:pStyle w:val="IPPNumberedList"/>
        <w:rPr>
          <w:lang w:val="en-GB"/>
        </w:rPr>
      </w:pPr>
      <w:r w:rsidRPr="6CC06B7E">
        <w:rPr>
          <w:i/>
          <w:iCs/>
          <w:lang w:val="en-GB"/>
        </w:rPr>
        <w:t>noted</w:t>
      </w:r>
      <w:r w:rsidRPr="6CC06B7E">
        <w:rPr>
          <w:lang w:val="en-GB"/>
        </w:rPr>
        <w:t xml:space="preserve"> the </w:t>
      </w:r>
      <w:r>
        <w:t>advances</w:t>
      </w:r>
      <w:r w:rsidRPr="6CC06B7E">
        <w:rPr>
          <w:lang w:val="en-GB"/>
        </w:rPr>
        <w:t xml:space="preserve"> made towards </w:t>
      </w:r>
      <w:r w:rsidRPr="008E775C">
        <w:t>realizing</w:t>
      </w:r>
      <w:r w:rsidRPr="6CC06B7E">
        <w:rPr>
          <w:lang w:val="en-GB"/>
        </w:rPr>
        <w:t xml:space="preserve"> the desk study on </w:t>
      </w:r>
      <w:proofErr w:type="gramStart"/>
      <w:r w:rsidRPr="6CC06B7E">
        <w:rPr>
          <w:lang w:val="en-GB"/>
        </w:rPr>
        <w:t>PCE;</w:t>
      </w:r>
      <w:proofErr w:type="gramEnd"/>
    </w:p>
    <w:p w14:paraId="5F852CCD" w14:textId="77777777" w:rsidR="008564EF" w:rsidRPr="005F67CF" w:rsidRDefault="008564EF" w:rsidP="008564EF">
      <w:pPr>
        <w:pStyle w:val="IPPNumberedList"/>
        <w:rPr>
          <w:lang w:val="en-GB"/>
        </w:rPr>
      </w:pPr>
      <w:r w:rsidRPr="005F67CF">
        <w:rPr>
          <w:i/>
          <w:iCs/>
          <w:lang w:val="en-GB"/>
        </w:rPr>
        <w:t>noted</w:t>
      </w:r>
      <w:r w:rsidRPr="005F67CF">
        <w:rPr>
          <w:lang w:val="en-GB"/>
        </w:rPr>
        <w:t xml:space="preserve"> both </w:t>
      </w:r>
      <w:r w:rsidRPr="00647B7E">
        <w:t>the</w:t>
      </w:r>
      <w:r w:rsidRPr="005F67CF">
        <w:rPr>
          <w:lang w:val="en-GB"/>
        </w:rPr>
        <w:t xml:space="preserve"> continually increasing requests for implementing PCEs in countries and the need to improve the process and tool, while no </w:t>
      </w:r>
      <w:r w:rsidRPr="00647B7E">
        <w:t>sustainable</w:t>
      </w:r>
      <w:r w:rsidRPr="005F67CF">
        <w:rPr>
          <w:lang w:val="en-GB"/>
        </w:rPr>
        <w:t xml:space="preserve"> funding is available at the secretariat level for this activity; and</w:t>
      </w:r>
    </w:p>
    <w:p w14:paraId="1314956F" w14:textId="77777777" w:rsidR="008564EF" w:rsidRPr="00647B7E" w:rsidRDefault="008564EF" w:rsidP="008564EF">
      <w:pPr>
        <w:pStyle w:val="IPPNumberedListLast"/>
        <w:rPr>
          <w:lang w:val="en-GB"/>
        </w:rPr>
      </w:pPr>
      <w:r w:rsidRPr="00647B7E">
        <w:rPr>
          <w:i/>
          <w:iCs/>
          <w:lang w:val="en-GB"/>
        </w:rPr>
        <w:t>noted</w:t>
      </w:r>
      <w:r w:rsidRPr="00647B7E">
        <w:rPr>
          <w:lang w:val="en-GB"/>
        </w:rPr>
        <w:t xml:space="preserve"> the </w:t>
      </w:r>
      <w:r w:rsidRPr="00647B7E">
        <w:rPr>
          <w:i/>
          <w:iCs/>
          <w:lang w:val="en-GB"/>
        </w:rPr>
        <w:t>Terms and conditions for using the phytosanitary capacity evaluation (PCE) online system</w:t>
      </w:r>
      <w:r w:rsidRPr="00647B7E">
        <w:rPr>
          <w:lang w:val="en-GB"/>
        </w:rPr>
        <w:t xml:space="preserve"> as presented in Appendix 1 of CPM 2024/47, which will be publicly available on the online PCE system and will have to be agreed upon to access the PCE online system.</w:t>
      </w:r>
    </w:p>
    <w:p w14:paraId="77ED34AA" w14:textId="77777777" w:rsidR="00B36694" w:rsidRPr="00712597" w:rsidRDefault="00B36694" w:rsidP="00B36694">
      <w:pPr>
        <w:pStyle w:val="IPPHeading2"/>
      </w:pPr>
      <w:r>
        <w:lastRenderedPageBreak/>
        <w:t>14.5</w:t>
      </w:r>
      <w:r>
        <w:tab/>
        <w:t xml:space="preserve">Update on coordination of </w:t>
      </w:r>
      <w:r w:rsidRPr="3B458379">
        <w:rPr>
          <w:i/>
          <w:iCs/>
        </w:rPr>
        <w:t xml:space="preserve">Fusarium </w:t>
      </w:r>
      <w:proofErr w:type="spellStart"/>
      <w:r w:rsidRPr="3B458379">
        <w:rPr>
          <w:i/>
          <w:iCs/>
        </w:rPr>
        <w:t>oxysporum</w:t>
      </w:r>
      <w:proofErr w:type="spellEnd"/>
      <w:r>
        <w:t xml:space="preserve"> f. sp. </w:t>
      </w:r>
      <w:proofErr w:type="spellStart"/>
      <w:r w:rsidRPr="3B458379">
        <w:rPr>
          <w:i/>
          <w:iCs/>
        </w:rPr>
        <w:t>cubense</w:t>
      </w:r>
      <w:proofErr w:type="spellEnd"/>
      <w:r>
        <w:t xml:space="preserve"> TR4 action</w:t>
      </w:r>
    </w:p>
    <w:p w14:paraId="620A42E9" w14:textId="77777777" w:rsidR="00B36694" w:rsidRPr="00B94331" w:rsidRDefault="00B36694" w:rsidP="00B36694">
      <w:pPr>
        <w:pStyle w:val="IPPParagraphnumbering"/>
        <w:rPr>
          <w:lang w:val="en-GB"/>
        </w:rPr>
      </w:pPr>
      <w:r w:rsidRPr="004B117A">
        <w:t>Further</w:t>
      </w:r>
      <w:r w:rsidRPr="00EC68FD">
        <w:rPr>
          <w:lang w:val="en-GB"/>
        </w:rPr>
        <w:t xml:space="preserve"> to the request by CPM-17 (2023) for the secretariat to </w:t>
      </w:r>
      <w:r w:rsidRPr="001E112D">
        <w:rPr>
          <w:lang w:val="en-GB"/>
        </w:rPr>
        <w:t>lead the</w:t>
      </w:r>
      <w:r w:rsidRPr="00EC68FD">
        <w:rPr>
          <w:lang w:val="en-GB"/>
        </w:rPr>
        <w:t xml:space="preserve"> global </w:t>
      </w:r>
      <w:r w:rsidRPr="001E112D">
        <w:rPr>
          <w:lang w:val="en-GB"/>
        </w:rPr>
        <w:t>coordination</w:t>
      </w:r>
      <w:r w:rsidRPr="00EC68FD">
        <w:rPr>
          <w:lang w:val="en-GB"/>
        </w:rPr>
        <w:t xml:space="preserve"> </w:t>
      </w:r>
      <w:r w:rsidRPr="001E112D">
        <w:rPr>
          <w:lang w:val="en-GB"/>
        </w:rPr>
        <w:t xml:space="preserve">of action </w:t>
      </w:r>
      <w:r w:rsidRPr="00EC68FD">
        <w:rPr>
          <w:lang w:val="en-GB"/>
        </w:rPr>
        <w:t xml:space="preserve">on </w:t>
      </w:r>
      <w:r>
        <w:rPr>
          <w:lang w:val="en-GB"/>
        </w:rPr>
        <w:t>Fusarium </w:t>
      </w:r>
      <w:r w:rsidRPr="00EC68FD">
        <w:rPr>
          <w:lang w:val="en-GB"/>
        </w:rPr>
        <w:t>TR4,</w:t>
      </w:r>
      <w:r w:rsidRPr="00712597">
        <w:rPr>
          <w:rStyle w:val="FootnoteReference"/>
          <w:lang w:val="en-GB"/>
        </w:rPr>
        <w:footnoteReference w:id="38"/>
      </w:r>
      <w:r w:rsidRPr="00EC68FD">
        <w:rPr>
          <w:lang w:val="en-GB"/>
        </w:rPr>
        <w:t xml:space="preserve"> the secretariat </w:t>
      </w:r>
      <w:r w:rsidRPr="00BD24AD">
        <w:rPr>
          <w:lang w:val="en-GB"/>
        </w:rPr>
        <w:t>and the CPM Bureau representative</w:t>
      </w:r>
      <w:r>
        <w:rPr>
          <w:lang w:val="en-GB"/>
        </w:rPr>
        <w:t xml:space="preserve"> for this activity </w:t>
      </w:r>
      <w:r w:rsidRPr="00EC68FD">
        <w:rPr>
          <w:lang w:val="en-GB"/>
        </w:rPr>
        <w:t>presented an update on the progress made</w:t>
      </w:r>
      <w:r>
        <w:rPr>
          <w:lang w:val="en-GB"/>
        </w:rPr>
        <w:t xml:space="preserve"> and a table of planned </w:t>
      </w:r>
      <w:r w:rsidRPr="00B94331">
        <w:rPr>
          <w:lang w:val="en-GB"/>
        </w:rPr>
        <w:t>activities.</w:t>
      </w:r>
      <w:r w:rsidRPr="00B94331">
        <w:rPr>
          <w:rStyle w:val="FootnoteReference"/>
          <w:lang w:val="en-GB"/>
        </w:rPr>
        <w:footnoteReference w:id="39"/>
      </w:r>
      <w:r w:rsidRPr="00B94331">
        <w:rPr>
          <w:lang w:val="en-GB"/>
        </w:rPr>
        <w:t xml:space="preserve"> </w:t>
      </w:r>
      <w:r w:rsidRPr="00314452">
        <w:t>The</w:t>
      </w:r>
      <w:r w:rsidRPr="00B94331">
        <w:rPr>
          <w:lang w:val="en-GB"/>
        </w:rPr>
        <w:t xml:space="preserve"> secretariat outlined some of the outputs produced, including preparedness and response guidelines, webinars, a desk-top simulation exercise and the coordination of some field activities. The secretariat also reported on liaison with colleagues within the </w:t>
      </w:r>
      <w:r>
        <w:rPr>
          <w:lang w:val="en-GB"/>
        </w:rPr>
        <w:t>s</w:t>
      </w:r>
      <w:r w:rsidRPr="00B94331">
        <w:rPr>
          <w:lang w:val="en-GB"/>
        </w:rPr>
        <w:t xml:space="preserve">ecretariat, within FAO and </w:t>
      </w:r>
      <w:r>
        <w:rPr>
          <w:lang w:val="en-GB"/>
        </w:rPr>
        <w:t xml:space="preserve">with </w:t>
      </w:r>
      <w:r w:rsidRPr="00B94331">
        <w:rPr>
          <w:lang w:val="en-GB"/>
        </w:rPr>
        <w:t xml:space="preserve">other international organizations. The bureau representative emphasized the role of RPPOs in regional coordination, the need for inter-regional cooperation and the need for resources to continue this area of work. </w:t>
      </w:r>
    </w:p>
    <w:p w14:paraId="3EB5C6E0" w14:textId="77777777" w:rsidR="00B36694" w:rsidRDefault="00B36694" w:rsidP="00B36694">
      <w:pPr>
        <w:pStyle w:val="IPPParagraphnumbering"/>
        <w:rPr>
          <w:lang w:val="en-GB"/>
        </w:rPr>
      </w:pPr>
      <w:r>
        <w:rPr>
          <w:lang w:val="en-GB"/>
        </w:rPr>
        <w:t>Contracting parties thanked the secretariat for the update and for the support the secretariat had provided in helping countries prepare for and respond to Fusarium TR4, and they shared their experiences. The CPM noted the difficulties in controlling the pest, the value of simulation exercises in identifying weaknesses, and the importance of ensuring the official notification of pest status by exporting countries. The CPM also recognized the need for coordination and collaboration and the need for resources to continue the work.</w:t>
      </w:r>
    </w:p>
    <w:p w14:paraId="5E9B5E3C" w14:textId="77777777" w:rsidR="00B36694" w:rsidRDefault="00B36694" w:rsidP="00B36694">
      <w:pPr>
        <w:pStyle w:val="IPPParagraphnumbering"/>
        <w:rPr>
          <w:lang w:val="en-GB"/>
        </w:rPr>
      </w:pPr>
      <w:r w:rsidRPr="3B458379">
        <w:rPr>
          <w:lang w:val="en-GB"/>
        </w:rPr>
        <w:t xml:space="preserve">The secretariat thanked CPs </w:t>
      </w:r>
      <w:r w:rsidRPr="00314452">
        <w:t>for</w:t>
      </w:r>
      <w:r w:rsidRPr="3B458379">
        <w:rPr>
          <w:lang w:val="en-GB"/>
        </w:rPr>
        <w:t xml:space="preserve"> some specific suggestions about amendments to the table of activities, which the CPs confirmed they would forward to the secretariat. </w:t>
      </w:r>
    </w:p>
    <w:p w14:paraId="097AFBFE" w14:textId="77777777" w:rsidR="00B36694" w:rsidRDefault="00B36694" w:rsidP="00B36694">
      <w:pPr>
        <w:pStyle w:val="IPPParagraphnumbering"/>
        <w:rPr>
          <w:lang w:val="en-GB"/>
        </w:rPr>
      </w:pPr>
      <w:r w:rsidRPr="3B458379">
        <w:rPr>
          <w:lang w:val="en-GB"/>
        </w:rPr>
        <w:t xml:space="preserve">One RPPO presented a statement on behalf of the Latin American and Caribbean group (GRULAC) seeking a renewed commitment to coordination of action on Fusarium TR4 and </w:t>
      </w:r>
      <w:r>
        <w:rPr>
          <w:lang w:val="en-GB"/>
        </w:rPr>
        <w:t>for the</w:t>
      </w:r>
      <w:r w:rsidRPr="3B458379">
        <w:rPr>
          <w:lang w:val="en-GB"/>
        </w:rPr>
        <w:t xml:space="preserve"> mobiliz</w:t>
      </w:r>
      <w:r>
        <w:rPr>
          <w:lang w:val="en-GB"/>
        </w:rPr>
        <w:t>ation</w:t>
      </w:r>
      <w:r w:rsidRPr="3B458379">
        <w:rPr>
          <w:lang w:val="en-GB"/>
        </w:rPr>
        <w:t xml:space="preserve"> </w:t>
      </w:r>
      <w:r>
        <w:rPr>
          <w:lang w:val="en-GB"/>
        </w:rPr>
        <w:t xml:space="preserve">of </w:t>
      </w:r>
      <w:r w:rsidRPr="3B458379">
        <w:rPr>
          <w:lang w:val="en-GB"/>
        </w:rPr>
        <w:t>resources.</w:t>
      </w:r>
      <w:r>
        <w:rPr>
          <w:rStyle w:val="FootnoteReference"/>
          <w:lang w:val="en-GB"/>
        </w:rPr>
        <w:footnoteReference w:id="40"/>
      </w:r>
    </w:p>
    <w:p w14:paraId="4E21EABB" w14:textId="77777777" w:rsidR="00B36694" w:rsidRDefault="00B36694" w:rsidP="00B36694">
      <w:pPr>
        <w:pStyle w:val="IPPParagraphnumbering"/>
        <w:rPr>
          <w:lang w:val="en-GB"/>
        </w:rPr>
      </w:pPr>
      <w:r w:rsidRPr="3B458379">
        <w:rPr>
          <w:lang w:val="en-GB"/>
        </w:rPr>
        <w:t>The E</w:t>
      </w:r>
      <w:r>
        <w:rPr>
          <w:lang w:val="en-GB"/>
        </w:rPr>
        <w:t xml:space="preserve">uropean </w:t>
      </w:r>
      <w:r w:rsidRPr="3B458379">
        <w:rPr>
          <w:lang w:val="en-GB"/>
        </w:rPr>
        <w:t>U</w:t>
      </w:r>
      <w:r>
        <w:rPr>
          <w:lang w:val="en-GB"/>
        </w:rPr>
        <w:t>nion</w:t>
      </w:r>
      <w:r w:rsidRPr="3B458379">
        <w:rPr>
          <w:lang w:val="en-GB"/>
        </w:rPr>
        <w:t xml:space="preserve"> </w:t>
      </w:r>
      <w:r>
        <w:rPr>
          <w:lang w:val="en-GB"/>
        </w:rPr>
        <w:t xml:space="preserve">reiterated its </w:t>
      </w:r>
      <w:r w:rsidRPr="3B458379">
        <w:rPr>
          <w:lang w:val="en-GB"/>
        </w:rPr>
        <w:t>commit</w:t>
      </w:r>
      <w:r>
        <w:rPr>
          <w:lang w:val="en-GB"/>
        </w:rPr>
        <w:t>ment</w:t>
      </w:r>
      <w:r w:rsidRPr="3B458379">
        <w:rPr>
          <w:lang w:val="en-GB"/>
        </w:rPr>
        <w:t xml:space="preserve"> to </w:t>
      </w:r>
      <w:r w:rsidRPr="00314452">
        <w:t>support</w:t>
      </w:r>
      <w:r w:rsidRPr="3B458379">
        <w:rPr>
          <w:lang w:val="en-GB"/>
        </w:rPr>
        <w:t xml:space="preserve"> the TR4 global coordination in the framework of POARS with scientific and financial resources.</w:t>
      </w:r>
    </w:p>
    <w:p w14:paraId="0636EF43" w14:textId="77777777" w:rsidR="00B36694" w:rsidRPr="00712597" w:rsidRDefault="00B36694" w:rsidP="00B36694">
      <w:pPr>
        <w:pStyle w:val="IPPParagraphnumberingclose"/>
        <w:rPr>
          <w:lang w:val="en-GB"/>
        </w:rPr>
      </w:pPr>
      <w:r w:rsidRPr="00712597">
        <w:rPr>
          <w:lang w:val="en-GB"/>
        </w:rPr>
        <w:t>The CPM:</w:t>
      </w:r>
    </w:p>
    <w:p w14:paraId="0485A354" w14:textId="77777777" w:rsidR="00B36694" w:rsidRPr="002B2B11" w:rsidRDefault="00B36694" w:rsidP="00B36694">
      <w:pPr>
        <w:pStyle w:val="IPPNumberedList"/>
        <w:numPr>
          <w:ilvl w:val="0"/>
          <w:numId w:val="90"/>
        </w:numPr>
        <w:rPr>
          <w:lang w:val="en-GB"/>
        </w:rPr>
      </w:pPr>
      <w:r w:rsidRPr="002B2B11">
        <w:rPr>
          <w:i/>
          <w:iCs/>
          <w:lang w:val="en-GB"/>
        </w:rPr>
        <w:t>noted</w:t>
      </w:r>
      <w:r w:rsidRPr="002B2B11">
        <w:rPr>
          <w:lang w:val="en-GB"/>
        </w:rPr>
        <w:t xml:space="preserve"> the update of activities for TR4 global </w:t>
      </w:r>
      <w:proofErr w:type="gramStart"/>
      <w:r w:rsidRPr="002B2B11">
        <w:rPr>
          <w:lang w:val="en-GB"/>
        </w:rPr>
        <w:t>coordination;</w:t>
      </w:r>
      <w:proofErr w:type="gramEnd"/>
    </w:p>
    <w:p w14:paraId="15D773A8" w14:textId="77777777" w:rsidR="00B36694" w:rsidRPr="00F1124B" w:rsidRDefault="00B36694" w:rsidP="00B36694">
      <w:pPr>
        <w:pStyle w:val="IPPNumberedList"/>
        <w:rPr>
          <w:lang w:val="en-GB"/>
        </w:rPr>
      </w:pPr>
      <w:r w:rsidRPr="00F1124B">
        <w:rPr>
          <w:i/>
          <w:iCs/>
          <w:lang w:val="en-GB"/>
        </w:rPr>
        <w:t xml:space="preserve">requested </w:t>
      </w:r>
      <w:r w:rsidRPr="00F1124B">
        <w:rPr>
          <w:lang w:val="en-GB"/>
        </w:rPr>
        <w:t xml:space="preserve">that the secretariat consider the </w:t>
      </w:r>
      <w:r>
        <w:rPr>
          <w:lang w:val="en-GB"/>
        </w:rPr>
        <w:t xml:space="preserve">amendments suggested at this meeting for </w:t>
      </w:r>
      <w:r w:rsidRPr="00F1124B">
        <w:rPr>
          <w:lang w:val="en-GB"/>
        </w:rPr>
        <w:t>the activities presented in Appendix 1 of CPM 2024; and</w:t>
      </w:r>
    </w:p>
    <w:p w14:paraId="057CB8F8" w14:textId="77777777" w:rsidR="00B36694" w:rsidRPr="00840263" w:rsidRDefault="00B36694" w:rsidP="00B36694">
      <w:pPr>
        <w:pStyle w:val="IPPNumberedListLast"/>
        <w:rPr>
          <w:lang w:val="en-GB"/>
        </w:rPr>
      </w:pPr>
      <w:r>
        <w:rPr>
          <w:i/>
          <w:iCs/>
          <w:lang w:val="en-GB"/>
        </w:rPr>
        <w:t xml:space="preserve">agreed </w:t>
      </w:r>
      <w:r w:rsidRPr="00877693">
        <w:rPr>
          <w:lang w:val="en-GB"/>
        </w:rPr>
        <w:t xml:space="preserve">to </w:t>
      </w:r>
      <w:r w:rsidRPr="00877693">
        <w:t>identify</w:t>
      </w:r>
      <w:r w:rsidRPr="00712597">
        <w:t xml:space="preserve"> financial and/or in-kind resources and partnerships (including public-private partnerships) to implement the global coordination on TR4 efficiently and ensure the sustainability of the IPPC Secretariat efforts</w:t>
      </w:r>
      <w:r>
        <w:t>.</w:t>
      </w:r>
    </w:p>
    <w:p w14:paraId="352F9FF4" w14:textId="77777777" w:rsidR="00E76BDF" w:rsidRPr="006F7FD4" w:rsidRDefault="00E76BDF" w:rsidP="00E76BDF">
      <w:pPr>
        <w:pStyle w:val="IPPHeading1"/>
      </w:pPr>
      <w:r>
        <w:t>15.</w:t>
      </w:r>
      <w:r>
        <w:tab/>
        <w:t>Collaboration with regional plant protection organizations</w:t>
      </w:r>
    </w:p>
    <w:p w14:paraId="7F182708" w14:textId="77777777" w:rsidR="00E76BDF" w:rsidRPr="00712597" w:rsidRDefault="00E76BDF" w:rsidP="00E76BDF">
      <w:pPr>
        <w:pStyle w:val="IPPHeading2"/>
      </w:pPr>
      <w:r>
        <w:t>15.1</w:t>
      </w:r>
      <w:r>
        <w:tab/>
        <w:t>Role of Regional Plant Protection Organizations</w:t>
      </w:r>
    </w:p>
    <w:p w14:paraId="5C9E647A" w14:textId="77777777" w:rsidR="00E76BDF" w:rsidRDefault="00E76BDF" w:rsidP="00E76BDF">
      <w:pPr>
        <w:pStyle w:val="IPPParagraphnumbering"/>
        <w:rPr>
          <w:lang w:val="en-GB"/>
        </w:rPr>
      </w:pPr>
      <w:r w:rsidRPr="0BE7F42D">
        <w:rPr>
          <w:lang w:val="en-GB"/>
        </w:rPr>
        <w:t xml:space="preserve">Two RPPO representatives presented a video introducing the ten RPPOs, the history of RPPO involvement with the IPPC as an </w:t>
      </w:r>
      <w:r w:rsidRPr="00BC3C3D">
        <w:t>international</w:t>
      </w:r>
      <w:r w:rsidRPr="0BE7F42D">
        <w:rPr>
          <w:lang w:val="en-GB"/>
        </w:rPr>
        <w:t xml:space="preserve"> treaty and its governance, and the role and responsibilities of RPPOs. The video highlighted that RPPOs were not only plant-health pioneers but also play an indispensable part in implementation of the IPPC objectives.</w:t>
      </w:r>
    </w:p>
    <w:p w14:paraId="43817EDA" w14:textId="77777777" w:rsidR="00E76BDF" w:rsidRPr="006F7FD4" w:rsidRDefault="00E76BDF" w:rsidP="00E76BDF">
      <w:pPr>
        <w:pStyle w:val="IPPHeading2"/>
      </w:pPr>
      <w:r w:rsidRPr="006F7FD4">
        <w:t>15.2</w:t>
      </w:r>
      <w:r w:rsidRPr="006F7FD4">
        <w:tab/>
        <w:t>Report from Technical Consultation among Regional Plant Protection Organizations</w:t>
      </w:r>
    </w:p>
    <w:p w14:paraId="59EC4590" w14:textId="77777777" w:rsidR="00E76BDF" w:rsidRPr="006C1FDE" w:rsidRDefault="00E76BDF" w:rsidP="00E76BDF">
      <w:pPr>
        <w:pStyle w:val="IPPParagraphnumbering"/>
        <w:rPr>
          <w:lang w:val="en-GB"/>
        </w:rPr>
      </w:pPr>
      <w:r>
        <w:rPr>
          <w:lang w:val="en-GB"/>
        </w:rPr>
        <w:t xml:space="preserve">One of the RPPO representatives </w:t>
      </w:r>
      <w:r w:rsidRPr="006F7FD4">
        <w:rPr>
          <w:lang w:val="en-GB"/>
        </w:rPr>
        <w:t xml:space="preserve">presented a report </w:t>
      </w:r>
      <w:r>
        <w:rPr>
          <w:lang w:val="en-GB"/>
        </w:rPr>
        <w:t xml:space="preserve">on behalf of the chairperson of the </w:t>
      </w:r>
      <w:r w:rsidRPr="006F7FD4">
        <w:rPr>
          <w:lang w:val="en-GB"/>
        </w:rPr>
        <w:t xml:space="preserve">thirty-fifth </w:t>
      </w:r>
      <w:r>
        <w:rPr>
          <w:lang w:val="en-GB"/>
        </w:rPr>
        <w:t>TC-RPPOs.</w:t>
      </w:r>
      <w:r w:rsidRPr="006F7FD4">
        <w:rPr>
          <w:rStyle w:val="FootnoteReference"/>
          <w:lang w:val="en-GB"/>
        </w:rPr>
        <w:footnoteReference w:id="41"/>
      </w:r>
      <w:r>
        <w:rPr>
          <w:lang w:val="en-GB"/>
        </w:rPr>
        <w:t xml:space="preserve"> </w:t>
      </w:r>
      <w:r w:rsidRPr="006F7FD4">
        <w:rPr>
          <w:lang w:val="en-GB"/>
        </w:rPr>
        <w:t xml:space="preserve">The thirty-fifth TC-RPPOs was held in Bogotá, Colombia, from 24 to 26 October 2023. </w:t>
      </w:r>
      <w:r w:rsidRPr="006C1FDE">
        <w:rPr>
          <w:lang w:val="en-GB"/>
        </w:rPr>
        <w:t>Matters considered included, among other things, the role of RPPOs</w:t>
      </w:r>
      <w:r>
        <w:rPr>
          <w:lang w:val="en-GB"/>
        </w:rPr>
        <w:t xml:space="preserve"> in coordinating the work of the </w:t>
      </w:r>
      <w:r>
        <w:rPr>
          <w:lang w:val="en-GB"/>
        </w:rPr>
        <w:lastRenderedPageBreak/>
        <w:t>IPPC on a regional level</w:t>
      </w:r>
      <w:r w:rsidRPr="006C1FDE">
        <w:rPr>
          <w:lang w:val="en-GB"/>
        </w:rPr>
        <w:t>, the relationship between RPPOs and the IPPC, and the harmonization of RPPO information on the IPP.</w:t>
      </w:r>
    </w:p>
    <w:p w14:paraId="58359362" w14:textId="77777777" w:rsidR="00E76BDF" w:rsidRPr="00712597" w:rsidRDefault="00E76BDF" w:rsidP="00E76BDF">
      <w:pPr>
        <w:pStyle w:val="IPPParagraphnumbering"/>
        <w:rPr>
          <w:lang w:val="en-GB"/>
        </w:rPr>
      </w:pPr>
      <w:r>
        <w:rPr>
          <w:lang w:val="en-GB"/>
        </w:rPr>
        <w:t>Some CPs</w:t>
      </w:r>
      <w:r w:rsidRPr="0BE7F42D">
        <w:rPr>
          <w:lang w:val="en-GB"/>
        </w:rPr>
        <w:t xml:space="preserve"> </w:t>
      </w:r>
      <w:r w:rsidRPr="00BC3C3D">
        <w:t>expressed</w:t>
      </w:r>
      <w:r w:rsidRPr="0BE7F42D">
        <w:rPr>
          <w:lang w:val="en-GB"/>
        </w:rPr>
        <w:t xml:space="preserve"> </w:t>
      </w:r>
      <w:r>
        <w:rPr>
          <w:lang w:val="en-GB"/>
        </w:rPr>
        <w:t xml:space="preserve">their </w:t>
      </w:r>
      <w:r w:rsidRPr="0BE7F42D">
        <w:rPr>
          <w:lang w:val="en-GB"/>
        </w:rPr>
        <w:t xml:space="preserve">gratitude to the outgoing executive director of NAPPO and the director-general of </w:t>
      </w:r>
      <w:r>
        <w:rPr>
          <w:lang w:val="en-GB"/>
        </w:rPr>
        <w:t>the European and Mediterranean Plant Protection Organization (</w:t>
      </w:r>
      <w:r w:rsidRPr="0BE7F42D">
        <w:rPr>
          <w:lang w:val="en-GB"/>
        </w:rPr>
        <w:t>EPPO</w:t>
      </w:r>
      <w:r>
        <w:rPr>
          <w:lang w:val="en-GB"/>
        </w:rPr>
        <w:t>)</w:t>
      </w:r>
      <w:r w:rsidRPr="0BE7F42D">
        <w:rPr>
          <w:lang w:val="en-GB"/>
        </w:rPr>
        <w:t xml:space="preserve"> who </w:t>
      </w:r>
      <w:r>
        <w:rPr>
          <w:lang w:val="en-GB"/>
        </w:rPr>
        <w:t>we</w:t>
      </w:r>
      <w:r w:rsidRPr="0BE7F42D">
        <w:rPr>
          <w:lang w:val="en-GB"/>
        </w:rPr>
        <w:t xml:space="preserve">re attending </w:t>
      </w:r>
      <w:r>
        <w:rPr>
          <w:lang w:val="en-GB"/>
        </w:rPr>
        <w:t xml:space="preserve">a </w:t>
      </w:r>
      <w:r w:rsidRPr="0BE7F42D">
        <w:rPr>
          <w:lang w:val="en-GB"/>
        </w:rPr>
        <w:t xml:space="preserve">CPM </w:t>
      </w:r>
      <w:r>
        <w:rPr>
          <w:lang w:val="en-GB"/>
        </w:rPr>
        <w:t xml:space="preserve">session </w:t>
      </w:r>
      <w:r w:rsidRPr="0BE7F42D">
        <w:rPr>
          <w:lang w:val="en-GB"/>
        </w:rPr>
        <w:t>for the last time,</w:t>
      </w:r>
      <w:r>
        <w:rPr>
          <w:lang w:val="en-GB"/>
        </w:rPr>
        <w:t xml:space="preserve"> </w:t>
      </w:r>
      <w:r w:rsidRPr="0BE7F42D">
        <w:rPr>
          <w:lang w:val="en-GB"/>
        </w:rPr>
        <w:t>for having served the IPPC community with great professionalism and dedication.</w:t>
      </w:r>
    </w:p>
    <w:p w14:paraId="1A63E9ED" w14:textId="77777777" w:rsidR="00E76BDF" w:rsidRPr="006F7FD4" w:rsidRDefault="00E76BDF" w:rsidP="00E76BDF">
      <w:pPr>
        <w:pStyle w:val="IPPParagraphnumberingclose"/>
        <w:rPr>
          <w:lang w:val="en-GB"/>
        </w:rPr>
      </w:pPr>
      <w:r w:rsidRPr="006F7FD4">
        <w:rPr>
          <w:lang w:val="en-GB"/>
        </w:rPr>
        <w:t>The CPM:</w:t>
      </w:r>
    </w:p>
    <w:p w14:paraId="0611DBFA" w14:textId="77777777" w:rsidR="00E76BDF" w:rsidRPr="006F7FD4" w:rsidRDefault="00E76BDF" w:rsidP="00E76BDF">
      <w:pPr>
        <w:pStyle w:val="IPPNumberedList"/>
        <w:numPr>
          <w:ilvl w:val="0"/>
          <w:numId w:val="92"/>
        </w:numPr>
        <w:rPr>
          <w:lang w:val="en-GB"/>
        </w:rPr>
      </w:pPr>
      <w:r w:rsidRPr="006F7FD4">
        <w:rPr>
          <w:i/>
          <w:iCs/>
          <w:lang w:val="en-GB"/>
        </w:rPr>
        <w:t>noted</w:t>
      </w:r>
      <w:r w:rsidRPr="006F7FD4">
        <w:rPr>
          <w:lang w:val="en-GB"/>
        </w:rPr>
        <w:t xml:space="preserve"> the report from the thirty-fifth TC-RPPOs; and</w:t>
      </w:r>
    </w:p>
    <w:p w14:paraId="7630C61B" w14:textId="77777777" w:rsidR="00E76BDF" w:rsidRDefault="00E76BDF" w:rsidP="00E76BDF">
      <w:pPr>
        <w:pStyle w:val="IPPNumberedListLast"/>
        <w:rPr>
          <w:lang w:val="en-GB"/>
        </w:rPr>
      </w:pPr>
      <w:r w:rsidRPr="006F7FD4">
        <w:rPr>
          <w:i/>
          <w:iCs/>
          <w:lang w:val="en-GB"/>
        </w:rPr>
        <w:t>noted</w:t>
      </w:r>
      <w:r w:rsidRPr="006F7FD4">
        <w:rPr>
          <w:lang w:val="en-GB"/>
        </w:rPr>
        <w:t xml:space="preserve"> the </w:t>
      </w:r>
      <w:r w:rsidRPr="006F7FD4">
        <w:t>document</w:t>
      </w:r>
      <w:r w:rsidRPr="006F7FD4">
        <w:rPr>
          <w:lang w:val="en-GB"/>
        </w:rPr>
        <w:t xml:space="preserve"> entitled </w:t>
      </w:r>
      <w:proofErr w:type="gramStart"/>
      <w:r w:rsidRPr="006F7FD4">
        <w:rPr>
          <w:i/>
          <w:iCs/>
          <w:lang w:val="en-GB"/>
        </w:rPr>
        <w:t>The</w:t>
      </w:r>
      <w:proofErr w:type="gramEnd"/>
      <w:r w:rsidRPr="006F7FD4">
        <w:rPr>
          <w:i/>
          <w:iCs/>
          <w:lang w:val="en-GB"/>
        </w:rPr>
        <w:t xml:space="preserve"> roles and basic responsibilities of regional plant protection organizations</w:t>
      </w:r>
      <w:r w:rsidRPr="006F7FD4">
        <w:rPr>
          <w:lang w:val="en-GB"/>
        </w:rPr>
        <w:t xml:space="preserve"> as presented in CPM 2024/42_01.</w:t>
      </w:r>
    </w:p>
    <w:p w14:paraId="0F0694E8" w14:textId="77777777" w:rsidR="00980724" w:rsidRPr="006F7FD4" w:rsidRDefault="00980724" w:rsidP="00980724">
      <w:pPr>
        <w:pStyle w:val="IPPHeading2"/>
        <w:rPr>
          <w:i/>
          <w:iCs/>
        </w:rPr>
      </w:pPr>
      <w:r w:rsidRPr="006F7FD4">
        <w:t>16.5</w:t>
      </w:r>
      <w:r w:rsidRPr="006F7FD4">
        <w:tab/>
        <w:t xml:space="preserve">Recommendations from the Task Force on Topics on the 2023 </w:t>
      </w:r>
      <w:r w:rsidRPr="006F7FD4">
        <w:rPr>
          <w:i/>
          <w:iCs/>
        </w:rPr>
        <w:t>Call for topics: Standards and Implementation</w:t>
      </w:r>
    </w:p>
    <w:p w14:paraId="0A8B3FF5" w14:textId="77777777" w:rsidR="00980724" w:rsidRDefault="00980724" w:rsidP="00980724">
      <w:pPr>
        <w:pStyle w:val="IPPParagraphnumbering"/>
      </w:pPr>
      <w:r w:rsidRPr="006F7FD4">
        <w:t xml:space="preserve">The </w:t>
      </w:r>
      <w:r>
        <w:t>Task Force on Topics</w:t>
      </w:r>
      <w:r w:rsidRPr="006F7FD4">
        <w:t xml:space="preserve"> </w:t>
      </w:r>
      <w:r>
        <w:t xml:space="preserve">(TFT) </w:t>
      </w:r>
      <w:r w:rsidRPr="006F7FD4">
        <w:t xml:space="preserve">chairperson presented a report on the 2023 Call for Topics: Standards and Implementation, </w:t>
      </w:r>
      <w:r w:rsidRPr="00A35AF9">
        <w:t>including the TFT’s recommendations for consideration by the CPM.</w:t>
      </w:r>
      <w:r w:rsidRPr="00A35AF9">
        <w:rPr>
          <w:rStyle w:val="FootnoteReference"/>
          <w:lang w:val="en-GB"/>
        </w:rPr>
        <w:footnoteReference w:id="42"/>
      </w:r>
      <w:r w:rsidRPr="00A35AF9">
        <w:t xml:space="preserve"> </w:t>
      </w:r>
    </w:p>
    <w:p w14:paraId="1B214BE9" w14:textId="77777777" w:rsidR="00980724" w:rsidRPr="0083455F" w:rsidRDefault="00980724" w:rsidP="00980724">
      <w:pPr>
        <w:pStyle w:val="IPPParagraphnumbering"/>
        <w:rPr>
          <w:lang w:val="en-GB"/>
        </w:rPr>
      </w:pPr>
      <w:r>
        <w:t>The CPM considered a suggestion that the proposed revision of ISPM 12 (</w:t>
      </w:r>
      <w:r>
        <w:rPr>
          <w:i/>
          <w:iCs/>
        </w:rPr>
        <w:t>Phytosanitary certificates</w:t>
      </w:r>
      <w:r>
        <w:t xml:space="preserve">) </w:t>
      </w:r>
      <w:r w:rsidRPr="0083455F">
        <w:rPr>
          <w:lang w:val="en-GB"/>
        </w:rPr>
        <w:t>be assigned priority 2 rather than priority 1, as the standard had been revised very recently</w:t>
      </w:r>
      <w:r>
        <w:rPr>
          <w:lang w:val="en-GB"/>
        </w:rPr>
        <w:t xml:space="preserve">, but agreed to priority 1 so as to keep this critical standard </w:t>
      </w:r>
      <w:proofErr w:type="gramStart"/>
      <w:r>
        <w:rPr>
          <w:lang w:val="en-GB"/>
        </w:rPr>
        <w:t>up-to-date</w:t>
      </w:r>
      <w:proofErr w:type="gramEnd"/>
      <w:r>
        <w:rPr>
          <w:lang w:val="en-GB"/>
        </w:rPr>
        <w:t>.</w:t>
      </w:r>
      <w:r>
        <w:rPr>
          <w:rStyle w:val="FootnoteReference"/>
          <w:lang w:val="en-GB"/>
        </w:rPr>
        <w:footnoteReference w:id="43"/>
      </w:r>
    </w:p>
    <w:p w14:paraId="6769DC12" w14:textId="77777777" w:rsidR="00980724" w:rsidRPr="006F7FD4" w:rsidRDefault="00980724" w:rsidP="00980724">
      <w:pPr>
        <w:pStyle w:val="IPPParagraphnumberingclose"/>
        <w:rPr>
          <w:lang w:val="en-GB"/>
        </w:rPr>
      </w:pPr>
      <w:r w:rsidRPr="006F7FD4">
        <w:rPr>
          <w:lang w:val="en-GB"/>
        </w:rPr>
        <w:t>The CPM:</w:t>
      </w:r>
    </w:p>
    <w:p w14:paraId="632C81BE" w14:textId="77777777" w:rsidR="00980724" w:rsidRPr="006F7FD4" w:rsidRDefault="00980724" w:rsidP="00980724">
      <w:pPr>
        <w:pStyle w:val="IPPNumberedList"/>
        <w:numPr>
          <w:ilvl w:val="0"/>
          <w:numId w:val="97"/>
        </w:numPr>
        <w:rPr>
          <w:lang w:val="en-GB"/>
        </w:rPr>
      </w:pPr>
      <w:r w:rsidRPr="006F7FD4">
        <w:rPr>
          <w:i/>
          <w:iCs/>
          <w:lang w:val="en-GB"/>
        </w:rPr>
        <w:t>adopted</w:t>
      </w:r>
      <w:r w:rsidRPr="006F7FD4">
        <w:rPr>
          <w:lang w:val="en-GB"/>
        </w:rPr>
        <w:t xml:space="preserve"> the recommended topics in response to the 2023 Call for Topics: Standards and Implementation as presented in Table 1 of CPM 2024/INF/</w:t>
      </w:r>
      <w:proofErr w:type="gramStart"/>
      <w:r w:rsidRPr="006F7FD4">
        <w:rPr>
          <w:lang w:val="en-GB"/>
        </w:rPr>
        <w:t>10</w:t>
      </w:r>
      <w:r>
        <w:rPr>
          <w:lang w:val="en-GB"/>
        </w:rPr>
        <w:t>;</w:t>
      </w:r>
      <w:proofErr w:type="gramEnd"/>
    </w:p>
    <w:p w14:paraId="3D7A42BF" w14:textId="77777777" w:rsidR="00980724" w:rsidRPr="0083455F" w:rsidRDefault="00980724" w:rsidP="00980724">
      <w:pPr>
        <w:pStyle w:val="IPPNumberedList"/>
        <w:rPr>
          <w:lang w:val="en-GB"/>
        </w:rPr>
      </w:pPr>
      <w:r w:rsidRPr="0083455F">
        <w:rPr>
          <w:i/>
          <w:iCs/>
          <w:lang w:val="en-GB"/>
        </w:rPr>
        <w:t>adopted</w:t>
      </w:r>
      <w:r w:rsidRPr="0083455F">
        <w:rPr>
          <w:lang w:val="en-GB"/>
        </w:rPr>
        <w:t xml:space="preserve"> the </w:t>
      </w:r>
      <w:r w:rsidRPr="0083455F">
        <w:rPr>
          <w:i/>
          <w:iCs/>
          <w:lang w:val="en-GB"/>
        </w:rPr>
        <w:t>List of topics for IPPC standards</w:t>
      </w:r>
      <w:r w:rsidRPr="0083455F">
        <w:rPr>
          <w:lang w:val="en-GB"/>
        </w:rPr>
        <w:t>, including the newly adopted topics with the associated recommended priorities and the SC’s adjustments noted under agenda item </w:t>
      </w:r>
      <w:proofErr w:type="gramStart"/>
      <w:r w:rsidRPr="0083455F">
        <w:rPr>
          <w:lang w:val="en-GB"/>
        </w:rPr>
        <w:t>9.1.1</w:t>
      </w:r>
      <w:proofErr w:type="gramEnd"/>
    </w:p>
    <w:p w14:paraId="165F625F" w14:textId="77777777" w:rsidR="00980724" w:rsidRPr="006F7FD4" w:rsidRDefault="00980724" w:rsidP="00980724">
      <w:pPr>
        <w:pStyle w:val="IPPNumberedList"/>
        <w:rPr>
          <w:lang w:val="en-GB"/>
        </w:rPr>
      </w:pPr>
      <w:r w:rsidRPr="006F7FD4">
        <w:rPr>
          <w:i/>
          <w:iCs/>
          <w:lang w:val="en-GB"/>
        </w:rPr>
        <w:t>requested</w:t>
      </w:r>
      <w:r w:rsidRPr="006F7FD4">
        <w:rPr>
          <w:lang w:val="en-GB"/>
        </w:rPr>
        <w:t xml:space="preserve"> that the IC integrate the submitted topics into existing ones within the work programme of the IC and </w:t>
      </w:r>
      <w:r w:rsidRPr="006F7FD4">
        <w:t>promote</w:t>
      </w:r>
      <w:r w:rsidRPr="006F7FD4">
        <w:rPr>
          <w:lang w:val="en-GB"/>
        </w:rPr>
        <w:t xml:space="preserve"> the information already available for the topics </w:t>
      </w:r>
      <w:proofErr w:type="gramStart"/>
      <w:r w:rsidRPr="006F7FD4">
        <w:rPr>
          <w:lang w:val="en-GB"/>
        </w:rPr>
        <w:t>proposed;</w:t>
      </w:r>
      <w:proofErr w:type="gramEnd"/>
    </w:p>
    <w:p w14:paraId="644D86D7" w14:textId="77777777" w:rsidR="00980724" w:rsidRPr="006F7FD4" w:rsidRDefault="00980724" w:rsidP="00980724">
      <w:pPr>
        <w:pStyle w:val="IPPNumberedList"/>
        <w:rPr>
          <w:lang w:val="en-GB"/>
        </w:rPr>
      </w:pPr>
      <w:r w:rsidRPr="006F7FD4">
        <w:rPr>
          <w:i/>
          <w:iCs/>
          <w:lang w:val="en-GB"/>
        </w:rPr>
        <w:t>noted</w:t>
      </w:r>
      <w:r w:rsidRPr="006F7FD4">
        <w:rPr>
          <w:lang w:val="en-GB"/>
        </w:rPr>
        <w:t xml:space="preserve"> the TFT’s recommendations on the SC subjects (for DPs) outlined in Table 3 of CPM 2024/INF/</w:t>
      </w:r>
      <w:proofErr w:type="gramStart"/>
      <w:r w:rsidRPr="006F7FD4">
        <w:rPr>
          <w:lang w:val="en-GB"/>
        </w:rPr>
        <w:t>10;</w:t>
      </w:r>
      <w:proofErr w:type="gramEnd"/>
    </w:p>
    <w:p w14:paraId="0D3AC604" w14:textId="77777777" w:rsidR="00980724" w:rsidRPr="006F7FD4" w:rsidRDefault="00980724" w:rsidP="00980724">
      <w:pPr>
        <w:pStyle w:val="IPPNumberedList"/>
        <w:rPr>
          <w:lang w:val="en-GB"/>
        </w:rPr>
      </w:pPr>
      <w:r w:rsidRPr="006F7FD4">
        <w:rPr>
          <w:i/>
          <w:iCs/>
          <w:lang w:val="en-GB"/>
        </w:rPr>
        <w:t>encouraged</w:t>
      </w:r>
      <w:r w:rsidRPr="006F7FD4">
        <w:rPr>
          <w:lang w:val="en-GB"/>
        </w:rPr>
        <w:t xml:space="preserve"> contracting parties, RPPOs, and other </w:t>
      </w:r>
      <w:r w:rsidRPr="006F7FD4">
        <w:t>interested</w:t>
      </w:r>
      <w:r w:rsidRPr="006F7FD4">
        <w:rPr>
          <w:lang w:val="en-GB"/>
        </w:rPr>
        <w:t xml:space="preserve"> parties to consider providing support and resources to deliver high-priority topics on the lists of topics; and</w:t>
      </w:r>
    </w:p>
    <w:p w14:paraId="22CB4E1D" w14:textId="77777777" w:rsidR="00980724" w:rsidRDefault="00980724" w:rsidP="00980724">
      <w:pPr>
        <w:pStyle w:val="IPPNumberedListLast"/>
        <w:rPr>
          <w:lang w:val="en-GB"/>
        </w:rPr>
      </w:pPr>
      <w:r w:rsidRPr="006F7FD4">
        <w:rPr>
          <w:i/>
          <w:iCs/>
          <w:lang w:val="en-GB"/>
        </w:rPr>
        <w:t>noted</w:t>
      </w:r>
      <w:r w:rsidRPr="006F7FD4">
        <w:rPr>
          <w:lang w:val="en-GB"/>
        </w:rPr>
        <w:t xml:space="preserve"> that the TFT would revise the submission forms and the </w:t>
      </w:r>
      <w:r w:rsidRPr="006F7FD4">
        <w:rPr>
          <w:i/>
          <w:iCs/>
          <w:lang w:val="en-GB"/>
        </w:rPr>
        <w:t>Criteria for the justification and prioritization of proposed topics</w:t>
      </w:r>
      <w:r w:rsidRPr="006F7FD4">
        <w:rPr>
          <w:lang w:val="en-GB"/>
        </w:rPr>
        <w:t xml:space="preserve"> with inputs </w:t>
      </w:r>
      <w:r w:rsidRPr="006F7FD4">
        <w:t>from</w:t>
      </w:r>
      <w:r w:rsidRPr="006F7FD4">
        <w:rPr>
          <w:lang w:val="en-GB"/>
        </w:rPr>
        <w:t xml:space="preserve"> the CPM Bureau, SPG, SC and IC, and present the revised forms to CPM-19 (2025).</w:t>
      </w:r>
    </w:p>
    <w:p w14:paraId="491C9176" w14:textId="19EC625E" w:rsidR="00D86908" w:rsidRDefault="00D86908" w:rsidP="00D86908">
      <w:pPr>
        <w:pStyle w:val="IPPParagraphnumbering"/>
      </w:pPr>
    </w:p>
    <w:p w14:paraId="3518F7EF" w14:textId="77777777" w:rsidR="00D86908" w:rsidRPr="00365859" w:rsidRDefault="00D86908" w:rsidP="00D86908">
      <w:pPr>
        <w:pStyle w:val="IPPParagraphnumbering"/>
      </w:pPr>
    </w:p>
    <w:sectPr w:rsidR="00D86908" w:rsidRPr="00365859" w:rsidSect="00CA7114">
      <w:footerReference w:type="default" r:id="rId11"/>
      <w:pgSz w:w="11906" w:h="16838" w:code="9"/>
      <w:pgMar w:top="1559"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530F" w14:textId="77777777" w:rsidR="00CA7114" w:rsidRDefault="00CA7114" w:rsidP="00A911B8">
      <w:r>
        <w:separator/>
      </w:r>
    </w:p>
  </w:endnote>
  <w:endnote w:type="continuationSeparator" w:id="0">
    <w:p w14:paraId="71550150" w14:textId="77777777" w:rsidR="00CA7114" w:rsidRDefault="00CA7114" w:rsidP="00A911B8">
      <w:r>
        <w:continuationSeparator/>
      </w:r>
    </w:p>
  </w:endnote>
  <w:endnote w:type="continuationNotice" w:id="1">
    <w:p w14:paraId="2267F4BB" w14:textId="77777777" w:rsidR="00CA7114" w:rsidRDefault="00CA7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44666"/>
      <w:docPartObj>
        <w:docPartGallery w:val="Page Numbers (Bottom of Page)"/>
        <w:docPartUnique/>
      </w:docPartObj>
    </w:sdtPr>
    <w:sdtEndPr>
      <w:rPr>
        <w:noProof/>
      </w:rPr>
    </w:sdtEndPr>
    <w:sdtContent>
      <w:p w14:paraId="34945174" w14:textId="6A84D5EE" w:rsidR="00A911B8" w:rsidRDefault="00A911B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68B5DA46" w14:textId="77777777" w:rsidR="00A911B8" w:rsidRDefault="00A9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1DFF7" w14:textId="77777777" w:rsidR="00CA7114" w:rsidRDefault="00CA7114" w:rsidP="00A911B8">
      <w:r>
        <w:separator/>
      </w:r>
    </w:p>
  </w:footnote>
  <w:footnote w:type="continuationSeparator" w:id="0">
    <w:p w14:paraId="1DDA9CA8" w14:textId="77777777" w:rsidR="00CA7114" w:rsidRDefault="00CA7114" w:rsidP="00A911B8">
      <w:r>
        <w:continuationSeparator/>
      </w:r>
    </w:p>
  </w:footnote>
  <w:footnote w:type="continuationNotice" w:id="1">
    <w:p w14:paraId="5171A335" w14:textId="77777777" w:rsidR="00CA7114" w:rsidRDefault="00CA7114"/>
  </w:footnote>
  <w:footnote w:id="2">
    <w:p w14:paraId="6897C0AE" w14:textId="7B91E33F" w:rsidR="00735FEC" w:rsidRDefault="00735FEC" w:rsidP="00735FEC">
      <w:pPr>
        <w:pStyle w:val="IPPFootnote"/>
      </w:pPr>
      <w:r>
        <w:rPr>
          <w:rStyle w:val="FootnoteReference"/>
        </w:rPr>
        <w:footnoteRef/>
      </w:r>
      <w:r>
        <w:t xml:space="preserve"> CPM 2024/CRP/</w:t>
      </w:r>
      <w:r w:rsidR="002110DC">
        <w:t>04</w:t>
      </w:r>
      <w:r>
        <w:t>.</w:t>
      </w:r>
    </w:p>
  </w:footnote>
  <w:footnote w:id="3">
    <w:p w14:paraId="066FB291" w14:textId="51B46371" w:rsidR="009E4F94" w:rsidRDefault="009E4F94" w:rsidP="009E4F94">
      <w:pPr>
        <w:pStyle w:val="IPPFootnote"/>
      </w:pPr>
      <w:r>
        <w:rPr>
          <w:rStyle w:val="FootnoteReference"/>
        </w:rPr>
        <w:footnoteRef/>
      </w:r>
      <w:r>
        <w:t xml:space="preserve"> CPM 2024/04.</w:t>
      </w:r>
    </w:p>
  </w:footnote>
  <w:footnote w:id="4">
    <w:p w14:paraId="3279EFFD" w14:textId="77777777" w:rsidR="00225D1A" w:rsidRDefault="00225D1A" w:rsidP="00225D1A">
      <w:pPr>
        <w:pStyle w:val="IPPFootnote"/>
      </w:pPr>
      <w:r>
        <w:rPr>
          <w:rStyle w:val="FootnoteReference"/>
        </w:rPr>
        <w:footnoteRef/>
      </w:r>
      <w:r>
        <w:t xml:space="preserve"> CPM 2024/05.</w:t>
      </w:r>
    </w:p>
  </w:footnote>
  <w:footnote w:id="5">
    <w:p w14:paraId="02B90165" w14:textId="77777777" w:rsidR="00496310" w:rsidRDefault="00496310" w:rsidP="00496310">
      <w:pPr>
        <w:pStyle w:val="IPPFootnote"/>
      </w:pPr>
      <w:r>
        <w:rPr>
          <w:rStyle w:val="FootnoteReference"/>
        </w:rPr>
        <w:footnoteRef/>
      </w:r>
      <w:r>
        <w:t xml:space="preserve"> CPM 2024/46.</w:t>
      </w:r>
    </w:p>
  </w:footnote>
  <w:footnote w:id="6">
    <w:p w14:paraId="57520CBC" w14:textId="77777777" w:rsidR="005D0471" w:rsidRDefault="005D0471" w:rsidP="005D0471">
      <w:pPr>
        <w:pStyle w:val="IPPFootnote"/>
      </w:pPr>
      <w:r>
        <w:rPr>
          <w:rStyle w:val="FootnoteReference"/>
        </w:rPr>
        <w:footnoteRef/>
      </w:r>
      <w:r>
        <w:t xml:space="preserve"> CPM 2024/06.</w:t>
      </w:r>
    </w:p>
  </w:footnote>
  <w:footnote w:id="7">
    <w:p w14:paraId="01BF6955" w14:textId="77777777" w:rsidR="005D0471" w:rsidRDefault="005D0471" w:rsidP="005D0471">
      <w:pPr>
        <w:pStyle w:val="IPPFootnote"/>
      </w:pPr>
      <w:r>
        <w:rPr>
          <w:rStyle w:val="FootnoteReference"/>
        </w:rPr>
        <w:footnoteRef/>
      </w:r>
      <w:r>
        <w:t xml:space="preserve"> CPM 2024/07.</w:t>
      </w:r>
    </w:p>
  </w:footnote>
  <w:footnote w:id="8">
    <w:p w14:paraId="27389DF9" w14:textId="77777777" w:rsidR="005D0471" w:rsidRDefault="005D0471" w:rsidP="005D0471">
      <w:pPr>
        <w:pStyle w:val="IPPFootnote"/>
      </w:pPr>
      <w:r>
        <w:rPr>
          <w:rStyle w:val="FootnoteReference"/>
        </w:rPr>
        <w:footnoteRef/>
      </w:r>
      <w:r>
        <w:t xml:space="preserve"> CPM 2024/08; CPM 2024/INF/09.</w:t>
      </w:r>
    </w:p>
  </w:footnote>
  <w:footnote w:id="9">
    <w:p w14:paraId="421126DC" w14:textId="77777777" w:rsidR="005D0471" w:rsidRDefault="005D0471" w:rsidP="005D0471">
      <w:pPr>
        <w:pStyle w:val="IPPFootnote"/>
      </w:pPr>
      <w:r>
        <w:rPr>
          <w:rStyle w:val="FootnoteReference"/>
        </w:rPr>
        <w:footnoteRef/>
      </w:r>
      <w:r>
        <w:t xml:space="preserve"> </w:t>
      </w:r>
      <w:r w:rsidRPr="00464D0E">
        <w:t>CPM 2024/INF/</w:t>
      </w:r>
      <w:proofErr w:type="gramStart"/>
      <w:r w:rsidRPr="00464D0E">
        <w:t>20</w:t>
      </w:r>
      <w:r>
        <w:t>;</w:t>
      </w:r>
      <w:proofErr w:type="gramEnd"/>
      <w:r>
        <w:t xml:space="preserve"> </w:t>
      </w:r>
    </w:p>
  </w:footnote>
  <w:footnote w:id="10">
    <w:p w14:paraId="270CA8C1" w14:textId="77777777" w:rsidR="005D0471" w:rsidRDefault="005D0471" w:rsidP="005D0471">
      <w:pPr>
        <w:pStyle w:val="IPPFootnote"/>
      </w:pPr>
      <w:r>
        <w:rPr>
          <w:rStyle w:val="FootnoteReference"/>
        </w:rPr>
        <w:footnoteRef/>
      </w:r>
      <w:r>
        <w:t xml:space="preserve"> </w:t>
      </w:r>
      <w:r w:rsidRPr="00464D0E">
        <w:t>CPM 2024/INF/20.</w:t>
      </w:r>
    </w:p>
  </w:footnote>
  <w:footnote w:id="11">
    <w:p w14:paraId="2BB2BDFF" w14:textId="77777777" w:rsidR="005D0471" w:rsidRDefault="005D0471" w:rsidP="005D0471">
      <w:pPr>
        <w:pStyle w:val="IPPFootnote"/>
      </w:pPr>
      <w:r>
        <w:rPr>
          <w:rStyle w:val="FootnoteReference"/>
        </w:rPr>
        <w:footnoteRef/>
      </w:r>
      <w:r>
        <w:t xml:space="preserve"> CPM 2024/CRP/07.</w:t>
      </w:r>
    </w:p>
  </w:footnote>
  <w:footnote w:id="12">
    <w:p w14:paraId="602CAAAF" w14:textId="77777777" w:rsidR="00DB1B5A" w:rsidRDefault="00DB1B5A" w:rsidP="00DB1B5A">
      <w:pPr>
        <w:pStyle w:val="IPPFootnote"/>
      </w:pPr>
      <w:r>
        <w:rPr>
          <w:rStyle w:val="FootnoteReference"/>
        </w:rPr>
        <w:footnoteRef/>
      </w:r>
      <w:r>
        <w:t xml:space="preserve"> CPM 2024/41, including CPM 2024/41_01 and CPM 2024/41_02.</w:t>
      </w:r>
    </w:p>
  </w:footnote>
  <w:footnote w:id="13">
    <w:p w14:paraId="2C9CDE42" w14:textId="77777777" w:rsidR="00DB1B5A" w:rsidRDefault="00DB1B5A" w:rsidP="00DB1B5A">
      <w:pPr>
        <w:pStyle w:val="IPPFootnote"/>
      </w:pPr>
      <w:r>
        <w:rPr>
          <w:rStyle w:val="FootnoteReference"/>
        </w:rPr>
        <w:footnoteRef/>
      </w:r>
      <w:r>
        <w:t xml:space="preserve"> CPM 2024/09.</w:t>
      </w:r>
    </w:p>
  </w:footnote>
  <w:footnote w:id="14">
    <w:p w14:paraId="4C69A5A9" w14:textId="77777777" w:rsidR="006D2BF3" w:rsidRDefault="006D2BF3" w:rsidP="006D2BF3">
      <w:pPr>
        <w:pStyle w:val="IPPFootnote"/>
      </w:pPr>
      <w:r>
        <w:rPr>
          <w:rStyle w:val="FootnoteReference"/>
        </w:rPr>
        <w:footnoteRef/>
      </w:r>
      <w:r>
        <w:t xml:space="preserve"> CPM 2024/10 (including attachments 01–04).</w:t>
      </w:r>
    </w:p>
  </w:footnote>
  <w:footnote w:id="15">
    <w:p w14:paraId="0C0522A8" w14:textId="77777777" w:rsidR="006D2BF3" w:rsidRDefault="006D2BF3" w:rsidP="006D2BF3">
      <w:pPr>
        <w:pStyle w:val="IPPFootnote"/>
      </w:pPr>
      <w:r>
        <w:rPr>
          <w:rStyle w:val="FootnoteReference"/>
        </w:rPr>
        <w:footnoteRef/>
      </w:r>
      <w:r>
        <w:t xml:space="preserve"> CPM 2024/INF/13.</w:t>
      </w:r>
    </w:p>
  </w:footnote>
  <w:footnote w:id="16">
    <w:p w14:paraId="3C0F4DD7" w14:textId="77777777" w:rsidR="006D2BF3" w:rsidRDefault="006D2BF3" w:rsidP="006D2BF3">
      <w:pPr>
        <w:pStyle w:val="IPPFootnote"/>
      </w:pPr>
      <w:r>
        <w:rPr>
          <w:rStyle w:val="FootnoteReference"/>
        </w:rPr>
        <w:footnoteRef/>
      </w:r>
      <w:r>
        <w:t xml:space="preserve"> </w:t>
      </w:r>
      <w:r w:rsidRPr="00464D0E">
        <w:t>CPM 2024/INF/20.</w:t>
      </w:r>
    </w:p>
  </w:footnote>
  <w:footnote w:id="17">
    <w:p w14:paraId="3229FD89" w14:textId="77777777" w:rsidR="006D2BF3" w:rsidRDefault="006D2BF3" w:rsidP="006D2BF3">
      <w:pPr>
        <w:pStyle w:val="IPPFootnote"/>
      </w:pPr>
      <w:r>
        <w:rPr>
          <w:rStyle w:val="FootnoteReference"/>
        </w:rPr>
        <w:footnoteRef/>
      </w:r>
      <w:r>
        <w:t xml:space="preserve"> CPM 2024/11.</w:t>
      </w:r>
    </w:p>
  </w:footnote>
  <w:footnote w:id="18">
    <w:p w14:paraId="427EAB02" w14:textId="77777777" w:rsidR="009574B9" w:rsidRDefault="009574B9" w:rsidP="009574B9">
      <w:pPr>
        <w:pStyle w:val="IPPFootnote"/>
      </w:pPr>
      <w:r>
        <w:rPr>
          <w:rStyle w:val="FootnoteReference"/>
        </w:rPr>
        <w:footnoteRef/>
      </w:r>
      <w:r>
        <w:t xml:space="preserve"> CPM 2024/12.</w:t>
      </w:r>
    </w:p>
  </w:footnote>
  <w:footnote w:id="19">
    <w:p w14:paraId="1073353C" w14:textId="77777777" w:rsidR="009574B9" w:rsidRDefault="009574B9" w:rsidP="009574B9">
      <w:pPr>
        <w:pStyle w:val="IPPFootnote"/>
      </w:pPr>
      <w:r>
        <w:rPr>
          <w:rStyle w:val="FootnoteReference"/>
        </w:rPr>
        <w:footnoteRef/>
      </w:r>
      <w:r>
        <w:t xml:space="preserve"> CPM 2024/12_01.</w:t>
      </w:r>
    </w:p>
  </w:footnote>
  <w:footnote w:id="20">
    <w:p w14:paraId="26FA5912" w14:textId="77777777" w:rsidR="001F113B" w:rsidRDefault="001F113B" w:rsidP="001F113B">
      <w:pPr>
        <w:pStyle w:val="IPPFootnote"/>
      </w:pPr>
      <w:r>
        <w:rPr>
          <w:rStyle w:val="FootnoteReference"/>
        </w:rPr>
        <w:footnoteRef/>
      </w:r>
      <w:r>
        <w:t xml:space="preserve"> CPM 2024/13 (including attachment 01).</w:t>
      </w:r>
    </w:p>
  </w:footnote>
  <w:footnote w:id="21">
    <w:p w14:paraId="7C9BF749" w14:textId="77777777" w:rsidR="005802F5" w:rsidRDefault="005802F5" w:rsidP="005802F5">
      <w:pPr>
        <w:pStyle w:val="IPPFootnote"/>
      </w:pPr>
      <w:r>
        <w:rPr>
          <w:rStyle w:val="FootnoteReference"/>
        </w:rPr>
        <w:footnoteRef/>
      </w:r>
      <w:r>
        <w:t xml:space="preserve"> CPM 2024/16.</w:t>
      </w:r>
    </w:p>
  </w:footnote>
  <w:footnote w:id="22">
    <w:p w14:paraId="066AB132" w14:textId="77777777" w:rsidR="005802F5" w:rsidRDefault="005802F5" w:rsidP="005802F5">
      <w:pPr>
        <w:pStyle w:val="IPPFootnote"/>
      </w:pPr>
      <w:r>
        <w:rPr>
          <w:rStyle w:val="FootnoteReference"/>
        </w:rPr>
        <w:footnoteRef/>
      </w:r>
      <w:r>
        <w:t xml:space="preserve"> </w:t>
      </w:r>
      <w:r w:rsidRPr="00D61794">
        <w:t>CPM 2024/CRP/05.</w:t>
      </w:r>
    </w:p>
  </w:footnote>
  <w:footnote w:id="23">
    <w:p w14:paraId="461C8070" w14:textId="77777777" w:rsidR="005802F5" w:rsidRDefault="005802F5" w:rsidP="005802F5">
      <w:pPr>
        <w:pStyle w:val="IPPFootnote"/>
      </w:pPr>
      <w:r>
        <w:rPr>
          <w:rStyle w:val="FootnoteReference"/>
        </w:rPr>
        <w:footnoteRef/>
      </w:r>
      <w:r>
        <w:t xml:space="preserve"> CPM 2024/17.</w:t>
      </w:r>
    </w:p>
  </w:footnote>
  <w:footnote w:id="24">
    <w:p w14:paraId="4E782825" w14:textId="77777777" w:rsidR="005802F5" w:rsidRDefault="005802F5" w:rsidP="005802F5">
      <w:pPr>
        <w:pStyle w:val="IPPFootnote"/>
      </w:pPr>
      <w:r>
        <w:rPr>
          <w:rStyle w:val="FootnoteReference"/>
        </w:rPr>
        <w:footnoteRef/>
      </w:r>
      <w:r>
        <w:t xml:space="preserve"> CPM 2024/18.</w:t>
      </w:r>
    </w:p>
  </w:footnote>
  <w:footnote w:id="25">
    <w:p w14:paraId="4EFBEECC" w14:textId="77777777" w:rsidR="0074476E" w:rsidRDefault="0074476E" w:rsidP="0074476E">
      <w:pPr>
        <w:pStyle w:val="IPPFootnote"/>
      </w:pPr>
      <w:r>
        <w:rPr>
          <w:rStyle w:val="FootnoteReference"/>
        </w:rPr>
        <w:footnoteRef/>
      </w:r>
      <w:r>
        <w:t xml:space="preserve"> CPM 2024/19.</w:t>
      </w:r>
    </w:p>
  </w:footnote>
  <w:footnote w:id="26">
    <w:p w14:paraId="3204EF23" w14:textId="77777777" w:rsidR="0074476E" w:rsidRDefault="0074476E" w:rsidP="0074476E">
      <w:pPr>
        <w:pStyle w:val="IPPFootnote"/>
      </w:pPr>
      <w:r>
        <w:rPr>
          <w:rStyle w:val="FootnoteReference"/>
        </w:rPr>
        <w:footnoteRef/>
      </w:r>
      <w:r>
        <w:t xml:space="preserve"> </w:t>
      </w:r>
      <w:r w:rsidRPr="00D61794">
        <w:t>CPM 2024/CRP/05.</w:t>
      </w:r>
    </w:p>
  </w:footnote>
  <w:footnote w:id="27">
    <w:p w14:paraId="01579413" w14:textId="77777777" w:rsidR="00A72134" w:rsidRDefault="00A72134" w:rsidP="00A72134">
      <w:pPr>
        <w:pStyle w:val="IPPFootnote"/>
      </w:pPr>
      <w:r>
        <w:rPr>
          <w:rStyle w:val="FootnoteReference"/>
        </w:rPr>
        <w:footnoteRef/>
      </w:r>
      <w:r>
        <w:t xml:space="preserve"> CPM 2024/20.</w:t>
      </w:r>
    </w:p>
  </w:footnote>
  <w:footnote w:id="28">
    <w:p w14:paraId="17D84EBC" w14:textId="77777777" w:rsidR="00A72134" w:rsidRDefault="00A72134" w:rsidP="00A72134">
      <w:pPr>
        <w:pStyle w:val="IPPFootnote"/>
      </w:pPr>
      <w:r>
        <w:rPr>
          <w:rStyle w:val="FootnoteReference"/>
        </w:rPr>
        <w:footnoteRef/>
      </w:r>
      <w:r>
        <w:t xml:space="preserve"> CPM 2024/20_01.</w:t>
      </w:r>
    </w:p>
  </w:footnote>
  <w:footnote w:id="29">
    <w:p w14:paraId="10DC02DB" w14:textId="77777777" w:rsidR="00F67CC0" w:rsidRDefault="00F67CC0" w:rsidP="00F67CC0">
      <w:pPr>
        <w:pStyle w:val="IPPFootnote"/>
      </w:pPr>
      <w:r>
        <w:rPr>
          <w:rStyle w:val="FootnoteReference"/>
        </w:rPr>
        <w:footnoteRef/>
      </w:r>
      <w:r>
        <w:t xml:space="preserve"> CPM 2024/23.</w:t>
      </w:r>
    </w:p>
  </w:footnote>
  <w:footnote w:id="30">
    <w:p w14:paraId="636653B6" w14:textId="77777777" w:rsidR="00F67CC0" w:rsidRDefault="00F67CC0" w:rsidP="00F67CC0">
      <w:pPr>
        <w:pStyle w:val="IPPFootnote"/>
      </w:pPr>
      <w:r>
        <w:rPr>
          <w:rStyle w:val="FootnoteReference"/>
        </w:rPr>
        <w:footnoteRef/>
      </w:r>
      <w:r>
        <w:t xml:space="preserve"> </w:t>
      </w:r>
      <w:r w:rsidRPr="00D61794">
        <w:t>CPM 2024/CRP/05.</w:t>
      </w:r>
    </w:p>
  </w:footnote>
  <w:footnote w:id="31">
    <w:p w14:paraId="67A66A3F" w14:textId="77777777" w:rsidR="00F67CC0" w:rsidRDefault="00F67CC0" w:rsidP="00F67CC0">
      <w:pPr>
        <w:pStyle w:val="IPPFootnote"/>
      </w:pPr>
      <w:r>
        <w:rPr>
          <w:rStyle w:val="FootnoteReference"/>
        </w:rPr>
        <w:footnoteRef/>
      </w:r>
      <w:r>
        <w:t xml:space="preserve"> CPM 2024/24.</w:t>
      </w:r>
    </w:p>
  </w:footnote>
  <w:footnote w:id="32">
    <w:p w14:paraId="7646D9C3" w14:textId="77777777" w:rsidR="00F67CC0" w:rsidRDefault="00F67CC0" w:rsidP="00F67CC0">
      <w:pPr>
        <w:pStyle w:val="IPPFootnote"/>
      </w:pPr>
      <w:r>
        <w:rPr>
          <w:rStyle w:val="FootnoteReference"/>
        </w:rPr>
        <w:footnoteRef/>
      </w:r>
      <w:r>
        <w:t xml:space="preserve"> CPM 2024/CRP/13.</w:t>
      </w:r>
    </w:p>
  </w:footnote>
  <w:footnote w:id="33">
    <w:p w14:paraId="60A688E5" w14:textId="77777777" w:rsidR="00E46C7D" w:rsidRDefault="00E46C7D" w:rsidP="00E46C7D">
      <w:pPr>
        <w:pStyle w:val="IPPFootnote"/>
      </w:pPr>
      <w:r>
        <w:rPr>
          <w:rStyle w:val="FootnoteReference"/>
        </w:rPr>
        <w:footnoteRef/>
      </w:r>
      <w:r>
        <w:t xml:space="preserve"> CPM 2024/26.</w:t>
      </w:r>
    </w:p>
  </w:footnote>
  <w:footnote w:id="34">
    <w:p w14:paraId="6FDEAFE0" w14:textId="77777777" w:rsidR="00E46C7D" w:rsidRDefault="00E46C7D" w:rsidP="00E46C7D">
      <w:pPr>
        <w:pStyle w:val="IPPFootnote"/>
      </w:pPr>
      <w:r>
        <w:rPr>
          <w:rStyle w:val="FootnoteReference"/>
        </w:rPr>
        <w:footnoteRef/>
      </w:r>
      <w:r>
        <w:t xml:space="preserve"> CPM 2024/27.</w:t>
      </w:r>
    </w:p>
  </w:footnote>
  <w:footnote w:id="35">
    <w:p w14:paraId="5525B9F1" w14:textId="77777777" w:rsidR="00797166" w:rsidRDefault="00797166" w:rsidP="00797166">
      <w:pPr>
        <w:pStyle w:val="IPPFootnote"/>
      </w:pPr>
      <w:r>
        <w:rPr>
          <w:rStyle w:val="FootnoteReference"/>
        </w:rPr>
        <w:footnoteRef/>
      </w:r>
      <w:r>
        <w:t xml:space="preserve"> CPM 2024/28.</w:t>
      </w:r>
    </w:p>
  </w:footnote>
  <w:footnote w:id="36">
    <w:p w14:paraId="235B353C" w14:textId="77777777" w:rsidR="00797166" w:rsidRDefault="00797166" w:rsidP="00797166">
      <w:pPr>
        <w:pStyle w:val="IPPFootnote"/>
      </w:pPr>
      <w:r>
        <w:rPr>
          <w:rStyle w:val="FootnoteReference"/>
        </w:rPr>
        <w:footnoteRef/>
      </w:r>
      <w:r>
        <w:t xml:space="preserve"> Suggested by CPM-17 (2023), agenda item 12.1.</w:t>
      </w:r>
    </w:p>
  </w:footnote>
  <w:footnote w:id="37">
    <w:p w14:paraId="17B57873" w14:textId="77777777" w:rsidR="008564EF" w:rsidRDefault="008564EF" w:rsidP="008564EF">
      <w:pPr>
        <w:pStyle w:val="IPPFootnote"/>
      </w:pPr>
      <w:r>
        <w:rPr>
          <w:rStyle w:val="FootnoteReference"/>
        </w:rPr>
        <w:footnoteRef/>
      </w:r>
      <w:r>
        <w:t xml:space="preserve"> CPM 2024/29; CPM 2024/47.</w:t>
      </w:r>
    </w:p>
  </w:footnote>
  <w:footnote w:id="38">
    <w:p w14:paraId="1CD0B9C5" w14:textId="77777777" w:rsidR="00B36694" w:rsidRDefault="00B36694" w:rsidP="00B36694">
      <w:pPr>
        <w:pStyle w:val="IPPFootnote"/>
      </w:pPr>
      <w:r>
        <w:rPr>
          <w:rStyle w:val="FootnoteReference"/>
        </w:rPr>
        <w:footnoteRef/>
      </w:r>
      <w:r>
        <w:t xml:space="preserve"> CPM-17 (2023), agenda item 15.5.</w:t>
      </w:r>
    </w:p>
  </w:footnote>
  <w:footnote w:id="39">
    <w:p w14:paraId="0E736C79" w14:textId="77777777" w:rsidR="00B36694" w:rsidRDefault="00B36694" w:rsidP="00B36694">
      <w:pPr>
        <w:pStyle w:val="IPPFootnote"/>
      </w:pPr>
      <w:r>
        <w:rPr>
          <w:rStyle w:val="FootnoteReference"/>
        </w:rPr>
        <w:footnoteRef/>
      </w:r>
      <w:r>
        <w:t xml:space="preserve"> CPM 2024/30, including Appendix 1.</w:t>
      </w:r>
    </w:p>
  </w:footnote>
  <w:footnote w:id="40">
    <w:p w14:paraId="7D151061" w14:textId="77777777" w:rsidR="00B36694" w:rsidRDefault="00B36694" w:rsidP="00B36694">
      <w:pPr>
        <w:pStyle w:val="IPPFootnote"/>
      </w:pPr>
      <w:r>
        <w:rPr>
          <w:rStyle w:val="FootnoteReference"/>
        </w:rPr>
        <w:footnoteRef/>
      </w:r>
      <w:r>
        <w:t xml:space="preserve"> CPM 2024/CRP/</w:t>
      </w:r>
      <w:r w:rsidRPr="00930AA4">
        <w:rPr>
          <w:highlight w:val="yellow"/>
        </w:rPr>
        <w:t>XX</w:t>
      </w:r>
      <w:r>
        <w:t>.</w:t>
      </w:r>
    </w:p>
  </w:footnote>
  <w:footnote w:id="41">
    <w:p w14:paraId="482CF42B" w14:textId="77777777" w:rsidR="00E76BDF" w:rsidRDefault="00E76BDF" w:rsidP="00E76BDF">
      <w:pPr>
        <w:pStyle w:val="IPPFootnote"/>
      </w:pPr>
      <w:r>
        <w:rPr>
          <w:rStyle w:val="FootnoteReference"/>
        </w:rPr>
        <w:footnoteRef/>
      </w:r>
      <w:r>
        <w:t xml:space="preserve"> CPM 2024/42 (including attachment 01).</w:t>
      </w:r>
    </w:p>
  </w:footnote>
  <w:footnote w:id="42">
    <w:p w14:paraId="6C806D06" w14:textId="77777777" w:rsidR="00980724" w:rsidRDefault="00980724" w:rsidP="00980724">
      <w:pPr>
        <w:pStyle w:val="IPPFootnote"/>
      </w:pPr>
      <w:r>
        <w:rPr>
          <w:rStyle w:val="FootnoteReference"/>
        </w:rPr>
        <w:footnoteRef/>
      </w:r>
      <w:r>
        <w:t xml:space="preserve"> CPM 2024/34; CPM 2024/INF/10.</w:t>
      </w:r>
    </w:p>
  </w:footnote>
  <w:footnote w:id="43">
    <w:p w14:paraId="15E36BC1" w14:textId="77777777" w:rsidR="00980724" w:rsidRDefault="00980724" w:rsidP="00980724">
      <w:pPr>
        <w:pStyle w:val="IPPFootnote"/>
      </w:pPr>
      <w:r>
        <w:rPr>
          <w:rStyle w:val="FootnoteReference"/>
        </w:rPr>
        <w:footnoteRef/>
      </w:r>
      <w:r>
        <w:t xml:space="preserve"> CPM 2024/INF/20.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82D42"/>
    <w:multiLevelType w:val="hybridMultilevel"/>
    <w:tmpl w:val="C8F4B0B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26531976">
    <w:abstractNumId w:val="18"/>
  </w:num>
  <w:num w:numId="2" w16cid:durableId="1749381087">
    <w:abstractNumId w:val="12"/>
  </w:num>
  <w:num w:numId="3" w16cid:durableId="1189366223">
    <w:abstractNumId w:val="14"/>
  </w:num>
  <w:num w:numId="4" w16cid:durableId="1358458346">
    <w:abstractNumId w:val="20"/>
  </w:num>
  <w:num w:numId="5" w16cid:durableId="636107580">
    <w:abstractNumId w:val="17"/>
  </w:num>
  <w:num w:numId="6" w16cid:durableId="735201531">
    <w:abstractNumId w:val="15"/>
  </w:num>
  <w:num w:numId="7" w16cid:durableId="625426921">
    <w:abstractNumId w:val="22"/>
  </w:num>
  <w:num w:numId="8" w16cid:durableId="1752699161">
    <w:abstractNumId w:val="10"/>
  </w:num>
  <w:num w:numId="9" w16cid:durableId="259989354">
    <w:abstractNumId w:val="19"/>
  </w:num>
  <w:num w:numId="10" w16cid:durableId="2067071154">
    <w:abstractNumId w:val="10"/>
  </w:num>
  <w:num w:numId="11" w16cid:durableId="2034727845">
    <w:abstractNumId w:val="10"/>
  </w:num>
  <w:num w:numId="12" w16cid:durableId="2073776060">
    <w:abstractNumId w:val="10"/>
  </w:num>
  <w:num w:numId="13" w16cid:durableId="35667761">
    <w:abstractNumId w:val="10"/>
  </w:num>
  <w:num w:numId="14" w16cid:durableId="445587674">
    <w:abstractNumId w:val="10"/>
  </w:num>
  <w:num w:numId="15" w16cid:durableId="1871526360">
    <w:abstractNumId w:val="10"/>
  </w:num>
  <w:num w:numId="16" w16cid:durableId="1795249000">
    <w:abstractNumId w:val="10"/>
  </w:num>
  <w:num w:numId="17" w16cid:durableId="277562697">
    <w:abstractNumId w:val="10"/>
  </w:num>
  <w:num w:numId="18" w16cid:durableId="306320772">
    <w:abstractNumId w:val="10"/>
  </w:num>
  <w:num w:numId="19" w16cid:durableId="38359818">
    <w:abstractNumId w:val="10"/>
  </w:num>
  <w:num w:numId="20" w16cid:durableId="891844838">
    <w:abstractNumId w:val="10"/>
  </w:num>
  <w:num w:numId="21" w16cid:durableId="637106705">
    <w:abstractNumId w:val="10"/>
  </w:num>
  <w:num w:numId="22" w16cid:durableId="1707099390">
    <w:abstractNumId w:val="10"/>
  </w:num>
  <w:num w:numId="23" w16cid:durableId="935988320">
    <w:abstractNumId w:val="10"/>
  </w:num>
  <w:num w:numId="24" w16cid:durableId="827406451">
    <w:abstractNumId w:val="10"/>
  </w:num>
  <w:num w:numId="25" w16cid:durableId="1619526989">
    <w:abstractNumId w:val="10"/>
  </w:num>
  <w:num w:numId="26" w16cid:durableId="1388913741">
    <w:abstractNumId w:val="10"/>
  </w:num>
  <w:num w:numId="27" w16cid:durableId="1342046980">
    <w:abstractNumId w:val="10"/>
  </w:num>
  <w:num w:numId="28" w16cid:durableId="695690951">
    <w:abstractNumId w:val="10"/>
  </w:num>
  <w:num w:numId="29" w16cid:durableId="836727507">
    <w:abstractNumId w:val="10"/>
  </w:num>
  <w:num w:numId="30" w16cid:durableId="81608122">
    <w:abstractNumId w:val="10"/>
  </w:num>
  <w:num w:numId="31" w16cid:durableId="2041203480">
    <w:abstractNumId w:val="10"/>
  </w:num>
  <w:num w:numId="32" w16cid:durableId="1155730322">
    <w:abstractNumId w:val="10"/>
  </w:num>
  <w:num w:numId="33" w16cid:durableId="1387800478">
    <w:abstractNumId w:val="10"/>
  </w:num>
  <w:num w:numId="34" w16cid:durableId="102041218">
    <w:abstractNumId w:val="10"/>
  </w:num>
  <w:num w:numId="35" w16cid:durableId="493690190">
    <w:abstractNumId w:val="10"/>
  </w:num>
  <w:num w:numId="36" w16cid:durableId="2098287834">
    <w:abstractNumId w:val="10"/>
  </w:num>
  <w:num w:numId="37" w16cid:durableId="125976083">
    <w:abstractNumId w:val="10"/>
  </w:num>
  <w:num w:numId="38" w16cid:durableId="97530644">
    <w:abstractNumId w:val="10"/>
  </w:num>
  <w:num w:numId="39" w16cid:durableId="1871184463">
    <w:abstractNumId w:val="10"/>
  </w:num>
  <w:num w:numId="40" w16cid:durableId="741948841">
    <w:abstractNumId w:val="10"/>
  </w:num>
  <w:num w:numId="41" w16cid:durableId="63994100">
    <w:abstractNumId w:val="10"/>
  </w:num>
  <w:num w:numId="42" w16cid:durableId="2037150648">
    <w:abstractNumId w:val="10"/>
  </w:num>
  <w:num w:numId="43" w16cid:durableId="412775781">
    <w:abstractNumId w:val="10"/>
  </w:num>
  <w:num w:numId="44" w16cid:durableId="20012456">
    <w:abstractNumId w:val="10"/>
  </w:num>
  <w:num w:numId="45" w16cid:durableId="2087611277">
    <w:abstractNumId w:val="10"/>
  </w:num>
  <w:num w:numId="46" w16cid:durableId="835192051">
    <w:abstractNumId w:val="10"/>
  </w:num>
  <w:num w:numId="47" w16cid:durableId="995885408">
    <w:abstractNumId w:val="10"/>
  </w:num>
  <w:num w:numId="48" w16cid:durableId="764039421">
    <w:abstractNumId w:val="10"/>
  </w:num>
  <w:num w:numId="49" w16cid:durableId="417600670">
    <w:abstractNumId w:val="10"/>
  </w:num>
  <w:num w:numId="50" w16cid:durableId="448165627">
    <w:abstractNumId w:val="10"/>
  </w:num>
  <w:num w:numId="51" w16cid:durableId="1144614584">
    <w:abstractNumId w:val="10"/>
  </w:num>
  <w:num w:numId="52" w16cid:durableId="347996332">
    <w:abstractNumId w:val="10"/>
  </w:num>
  <w:num w:numId="53" w16cid:durableId="47534145">
    <w:abstractNumId w:val="10"/>
  </w:num>
  <w:num w:numId="54" w16cid:durableId="226113132">
    <w:abstractNumId w:val="10"/>
  </w:num>
  <w:num w:numId="55" w16cid:durableId="1364592734">
    <w:abstractNumId w:val="10"/>
  </w:num>
  <w:num w:numId="56" w16cid:durableId="883176008">
    <w:abstractNumId w:val="10"/>
  </w:num>
  <w:num w:numId="57" w16cid:durableId="696734640">
    <w:abstractNumId w:val="10"/>
  </w:num>
  <w:num w:numId="58" w16cid:durableId="1032725211">
    <w:abstractNumId w:val="10"/>
  </w:num>
  <w:num w:numId="59" w16cid:durableId="197795548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0" w16cid:durableId="956371708">
    <w:abstractNumId w:val="10"/>
    <w:lvlOverride w:ilvl="0">
      <w:startOverride w:val="1"/>
    </w:lvlOverride>
  </w:num>
  <w:num w:numId="61" w16cid:durableId="276720852">
    <w:abstractNumId w:val="10"/>
    <w:lvlOverride w:ilvl="0">
      <w:startOverride w:val="1"/>
    </w:lvlOverride>
  </w:num>
  <w:num w:numId="62" w16cid:durableId="1582761502">
    <w:abstractNumId w:val="10"/>
    <w:lvlOverride w:ilvl="0">
      <w:startOverride w:val="1"/>
    </w:lvlOverride>
  </w:num>
  <w:num w:numId="63" w16cid:durableId="1325083867">
    <w:abstractNumId w:val="10"/>
    <w:lvlOverride w:ilvl="0">
      <w:startOverride w:val="1"/>
    </w:lvlOverride>
  </w:num>
  <w:num w:numId="64" w16cid:durableId="591082882">
    <w:abstractNumId w:val="10"/>
    <w:lvlOverride w:ilvl="0">
      <w:startOverride w:val="1"/>
    </w:lvlOverride>
  </w:num>
  <w:num w:numId="65" w16cid:durableId="670329298">
    <w:abstractNumId w:val="10"/>
    <w:lvlOverride w:ilvl="0">
      <w:startOverride w:val="1"/>
    </w:lvlOverride>
  </w:num>
  <w:num w:numId="66" w16cid:durableId="381486000">
    <w:abstractNumId w:val="10"/>
    <w:lvlOverride w:ilvl="0">
      <w:startOverride w:val="1"/>
    </w:lvlOverride>
  </w:num>
  <w:num w:numId="67" w16cid:durableId="237057509">
    <w:abstractNumId w:val="10"/>
    <w:lvlOverride w:ilvl="0">
      <w:startOverride w:val="1"/>
    </w:lvlOverride>
  </w:num>
  <w:num w:numId="68" w16cid:durableId="2030914113">
    <w:abstractNumId w:val="10"/>
    <w:lvlOverride w:ilvl="0">
      <w:startOverride w:val="1"/>
    </w:lvlOverride>
  </w:num>
  <w:num w:numId="69" w16cid:durableId="118424130">
    <w:abstractNumId w:val="10"/>
    <w:lvlOverride w:ilvl="0">
      <w:startOverride w:val="1"/>
    </w:lvlOverride>
  </w:num>
  <w:num w:numId="70" w16cid:durableId="755243960">
    <w:abstractNumId w:val="10"/>
    <w:lvlOverride w:ilvl="0">
      <w:startOverride w:val="1"/>
    </w:lvlOverride>
  </w:num>
  <w:num w:numId="71" w16cid:durableId="392241544">
    <w:abstractNumId w:val="10"/>
    <w:lvlOverride w:ilvl="0">
      <w:startOverride w:val="1"/>
    </w:lvlOverride>
  </w:num>
  <w:num w:numId="72" w16cid:durableId="20085295">
    <w:abstractNumId w:val="10"/>
    <w:lvlOverride w:ilvl="0">
      <w:startOverride w:val="1"/>
    </w:lvlOverride>
  </w:num>
  <w:num w:numId="73" w16cid:durableId="864904924">
    <w:abstractNumId w:val="10"/>
    <w:lvlOverride w:ilvl="0">
      <w:startOverride w:val="1"/>
    </w:lvlOverride>
  </w:num>
  <w:num w:numId="74" w16cid:durableId="1422986433">
    <w:abstractNumId w:val="10"/>
    <w:lvlOverride w:ilvl="0">
      <w:startOverride w:val="1"/>
    </w:lvlOverride>
  </w:num>
  <w:num w:numId="75" w16cid:durableId="9336308">
    <w:abstractNumId w:val="10"/>
    <w:lvlOverride w:ilvl="0">
      <w:startOverride w:val="1"/>
    </w:lvlOverride>
  </w:num>
  <w:num w:numId="76" w16cid:durableId="104813092">
    <w:abstractNumId w:val="10"/>
    <w:lvlOverride w:ilvl="0">
      <w:startOverride w:val="1"/>
    </w:lvlOverride>
  </w:num>
  <w:num w:numId="77" w16cid:durableId="63526339">
    <w:abstractNumId w:val="10"/>
    <w:lvlOverride w:ilvl="0">
      <w:startOverride w:val="1"/>
    </w:lvlOverride>
  </w:num>
  <w:num w:numId="78" w16cid:durableId="1727484093">
    <w:abstractNumId w:val="10"/>
    <w:lvlOverride w:ilvl="0">
      <w:startOverride w:val="1"/>
    </w:lvlOverride>
  </w:num>
  <w:num w:numId="79" w16cid:durableId="245916581">
    <w:abstractNumId w:val="10"/>
    <w:lvlOverride w:ilvl="0">
      <w:startOverride w:val="1"/>
    </w:lvlOverride>
  </w:num>
  <w:num w:numId="80" w16cid:durableId="1553620061">
    <w:abstractNumId w:val="10"/>
    <w:lvlOverride w:ilvl="0">
      <w:startOverride w:val="1"/>
    </w:lvlOverride>
  </w:num>
  <w:num w:numId="81" w16cid:durableId="51928746">
    <w:abstractNumId w:val="10"/>
    <w:lvlOverride w:ilvl="0">
      <w:startOverride w:val="1"/>
    </w:lvlOverride>
  </w:num>
  <w:num w:numId="82" w16cid:durableId="760684172">
    <w:abstractNumId w:val="10"/>
    <w:lvlOverride w:ilvl="0">
      <w:startOverride w:val="1"/>
    </w:lvlOverride>
  </w:num>
  <w:num w:numId="83" w16cid:durableId="1174536505">
    <w:abstractNumId w:val="10"/>
    <w:lvlOverride w:ilvl="0">
      <w:startOverride w:val="1"/>
    </w:lvlOverride>
  </w:num>
  <w:num w:numId="84" w16cid:durableId="713120556">
    <w:abstractNumId w:val="10"/>
    <w:lvlOverride w:ilvl="0">
      <w:startOverride w:val="1"/>
    </w:lvlOverride>
  </w:num>
  <w:num w:numId="85" w16cid:durableId="1360928698">
    <w:abstractNumId w:val="10"/>
    <w:lvlOverride w:ilvl="0">
      <w:startOverride w:val="1"/>
    </w:lvlOverride>
  </w:num>
  <w:num w:numId="86" w16cid:durableId="15547593">
    <w:abstractNumId w:val="10"/>
    <w:lvlOverride w:ilvl="0">
      <w:startOverride w:val="1"/>
    </w:lvlOverride>
  </w:num>
  <w:num w:numId="87" w16cid:durableId="139275893">
    <w:abstractNumId w:val="10"/>
    <w:lvlOverride w:ilvl="0">
      <w:startOverride w:val="1"/>
    </w:lvlOverride>
  </w:num>
  <w:num w:numId="88" w16cid:durableId="1796830272">
    <w:abstractNumId w:val="10"/>
    <w:lvlOverride w:ilvl="0">
      <w:startOverride w:val="1"/>
    </w:lvlOverride>
  </w:num>
  <w:num w:numId="89" w16cid:durableId="1405299268">
    <w:abstractNumId w:val="10"/>
    <w:lvlOverride w:ilvl="0">
      <w:startOverride w:val="1"/>
    </w:lvlOverride>
  </w:num>
  <w:num w:numId="90" w16cid:durableId="1542596739">
    <w:abstractNumId w:val="10"/>
    <w:lvlOverride w:ilvl="0">
      <w:startOverride w:val="1"/>
    </w:lvlOverride>
  </w:num>
  <w:num w:numId="91" w16cid:durableId="316570559">
    <w:abstractNumId w:val="10"/>
    <w:lvlOverride w:ilvl="0">
      <w:startOverride w:val="1"/>
    </w:lvlOverride>
  </w:num>
  <w:num w:numId="92" w16cid:durableId="1136678496">
    <w:abstractNumId w:val="10"/>
    <w:lvlOverride w:ilvl="0">
      <w:startOverride w:val="1"/>
    </w:lvlOverride>
  </w:num>
  <w:num w:numId="93" w16cid:durableId="1467045623">
    <w:abstractNumId w:val="10"/>
    <w:lvlOverride w:ilvl="0">
      <w:startOverride w:val="1"/>
    </w:lvlOverride>
  </w:num>
  <w:num w:numId="94" w16cid:durableId="1232421141">
    <w:abstractNumId w:val="10"/>
    <w:lvlOverride w:ilvl="0">
      <w:startOverride w:val="1"/>
    </w:lvlOverride>
  </w:num>
  <w:num w:numId="95" w16cid:durableId="1218935952">
    <w:abstractNumId w:val="10"/>
    <w:lvlOverride w:ilvl="0">
      <w:startOverride w:val="1"/>
    </w:lvlOverride>
  </w:num>
  <w:num w:numId="96" w16cid:durableId="16392187">
    <w:abstractNumId w:val="10"/>
    <w:lvlOverride w:ilvl="0">
      <w:startOverride w:val="1"/>
    </w:lvlOverride>
  </w:num>
  <w:num w:numId="97" w16cid:durableId="414283937">
    <w:abstractNumId w:val="10"/>
    <w:lvlOverride w:ilvl="0">
      <w:startOverride w:val="1"/>
    </w:lvlOverride>
  </w:num>
  <w:num w:numId="98" w16cid:durableId="1839467576">
    <w:abstractNumId w:val="10"/>
    <w:lvlOverride w:ilvl="0">
      <w:startOverride w:val="1"/>
    </w:lvlOverride>
  </w:num>
  <w:num w:numId="99" w16cid:durableId="823817867">
    <w:abstractNumId w:val="10"/>
    <w:lvlOverride w:ilvl="0">
      <w:startOverride w:val="1"/>
    </w:lvlOverride>
  </w:num>
  <w:num w:numId="100" w16cid:durableId="1433746492">
    <w:abstractNumId w:val="10"/>
    <w:lvlOverride w:ilvl="0">
      <w:startOverride w:val="1"/>
    </w:lvlOverride>
  </w:num>
  <w:num w:numId="101" w16cid:durableId="609320745">
    <w:abstractNumId w:val="10"/>
    <w:lvlOverride w:ilvl="0">
      <w:startOverride w:val="1"/>
    </w:lvlOverride>
  </w:num>
  <w:num w:numId="102" w16cid:durableId="821889899">
    <w:abstractNumId w:val="10"/>
    <w:lvlOverride w:ilvl="0">
      <w:startOverride w:val="1"/>
    </w:lvlOverride>
  </w:num>
  <w:num w:numId="103" w16cid:durableId="58795996">
    <w:abstractNumId w:val="10"/>
    <w:lvlOverride w:ilvl="0">
      <w:startOverride w:val="1"/>
    </w:lvlOverride>
  </w:num>
  <w:num w:numId="104" w16cid:durableId="373967370">
    <w:abstractNumId w:val="10"/>
    <w:lvlOverride w:ilvl="0">
      <w:startOverride w:val="1"/>
    </w:lvlOverride>
  </w:num>
  <w:num w:numId="105" w16cid:durableId="1561598503">
    <w:abstractNumId w:val="10"/>
    <w:lvlOverride w:ilvl="0">
      <w:startOverride w:val="1"/>
    </w:lvlOverride>
  </w:num>
  <w:num w:numId="106" w16cid:durableId="1886988642">
    <w:abstractNumId w:val="10"/>
    <w:lvlOverride w:ilvl="0">
      <w:startOverride w:val="1"/>
    </w:lvlOverride>
  </w:num>
  <w:num w:numId="107" w16cid:durableId="507409293">
    <w:abstractNumId w:val="10"/>
    <w:lvlOverride w:ilvl="0">
      <w:startOverride w:val="1"/>
    </w:lvlOverride>
  </w:num>
  <w:num w:numId="108" w16cid:durableId="1030179433">
    <w:abstractNumId w:val="10"/>
    <w:lvlOverride w:ilvl="0">
      <w:startOverride w:val="1"/>
    </w:lvlOverride>
  </w:num>
  <w:num w:numId="109" w16cid:durableId="1634940127">
    <w:abstractNumId w:val="11"/>
  </w:num>
  <w:num w:numId="110" w16cid:durableId="751855798">
    <w:abstractNumId w:val="13"/>
  </w:num>
  <w:num w:numId="111" w16cid:durableId="1096559190">
    <w:abstractNumId w:val="16"/>
  </w:num>
  <w:num w:numId="112" w16cid:durableId="1712146357">
    <w:abstractNumId w:val="9"/>
  </w:num>
  <w:num w:numId="113" w16cid:durableId="1722557205">
    <w:abstractNumId w:val="7"/>
  </w:num>
  <w:num w:numId="114" w16cid:durableId="1201271">
    <w:abstractNumId w:val="6"/>
  </w:num>
  <w:num w:numId="115" w16cid:durableId="185826108">
    <w:abstractNumId w:val="5"/>
  </w:num>
  <w:num w:numId="116" w16cid:durableId="257298398">
    <w:abstractNumId w:val="4"/>
  </w:num>
  <w:num w:numId="117" w16cid:durableId="1676423577">
    <w:abstractNumId w:val="8"/>
  </w:num>
  <w:num w:numId="118" w16cid:durableId="125778737">
    <w:abstractNumId w:val="3"/>
  </w:num>
  <w:num w:numId="119" w16cid:durableId="776291828">
    <w:abstractNumId w:val="2"/>
  </w:num>
  <w:num w:numId="120" w16cid:durableId="410125225">
    <w:abstractNumId w:val="1"/>
  </w:num>
  <w:num w:numId="121" w16cid:durableId="128011168">
    <w:abstractNumId w:val="0"/>
  </w:num>
  <w:num w:numId="122" w16cid:durableId="1787114051">
    <w:abstractNumId w:val="21"/>
  </w:num>
  <w:num w:numId="123" w16cid:durableId="760300074">
    <w:abstractNumId w:val="10"/>
    <w:lvlOverride w:ilvl="0">
      <w:startOverride w:val="1"/>
    </w:lvlOverride>
  </w:num>
  <w:num w:numId="124" w16cid:durableId="206526182">
    <w:abstractNumId w:val="10"/>
    <w:lvlOverride w:ilvl="0">
      <w:startOverride w:val="1"/>
    </w:lvlOverride>
  </w:num>
  <w:num w:numId="125" w16cid:durableId="1253315210">
    <w:abstractNumId w:val="10"/>
    <w:lvlOverride w:ilvl="0">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1MjYFMiyMLSwMzZV0lIJTi4sz8/NACgxrAVHEK90sAAAA"/>
  </w:docVars>
  <w:rsids>
    <w:rsidRoot w:val="00B914BF"/>
    <w:rsid w:val="00002148"/>
    <w:rsid w:val="00002C35"/>
    <w:rsid w:val="00004801"/>
    <w:rsid w:val="00010AD2"/>
    <w:rsid w:val="000141DF"/>
    <w:rsid w:val="000164B0"/>
    <w:rsid w:val="000168EC"/>
    <w:rsid w:val="000202B0"/>
    <w:rsid w:val="000206B4"/>
    <w:rsid w:val="00022E11"/>
    <w:rsid w:val="00027A88"/>
    <w:rsid w:val="0003338D"/>
    <w:rsid w:val="000348A8"/>
    <w:rsid w:val="0003584F"/>
    <w:rsid w:val="00035CDF"/>
    <w:rsid w:val="000378F1"/>
    <w:rsid w:val="00046102"/>
    <w:rsid w:val="0004617B"/>
    <w:rsid w:val="00047442"/>
    <w:rsid w:val="000475D2"/>
    <w:rsid w:val="00052E20"/>
    <w:rsid w:val="00053348"/>
    <w:rsid w:val="0005448B"/>
    <w:rsid w:val="00054A17"/>
    <w:rsid w:val="00055A13"/>
    <w:rsid w:val="00057ED7"/>
    <w:rsid w:val="00062420"/>
    <w:rsid w:val="00064F1B"/>
    <w:rsid w:val="0006708A"/>
    <w:rsid w:val="000725A3"/>
    <w:rsid w:val="0007353B"/>
    <w:rsid w:val="0007374D"/>
    <w:rsid w:val="00073F1C"/>
    <w:rsid w:val="00074EF1"/>
    <w:rsid w:val="0007601F"/>
    <w:rsid w:val="00080404"/>
    <w:rsid w:val="00082C86"/>
    <w:rsid w:val="00083A24"/>
    <w:rsid w:val="00084624"/>
    <w:rsid w:val="00084A23"/>
    <w:rsid w:val="00091B2F"/>
    <w:rsid w:val="00092C01"/>
    <w:rsid w:val="0009417C"/>
    <w:rsid w:val="00096BD3"/>
    <w:rsid w:val="0009793A"/>
    <w:rsid w:val="00097D2A"/>
    <w:rsid w:val="000A72A5"/>
    <w:rsid w:val="000B3B8C"/>
    <w:rsid w:val="000B4048"/>
    <w:rsid w:val="000B46FD"/>
    <w:rsid w:val="000B5C76"/>
    <w:rsid w:val="000B693E"/>
    <w:rsid w:val="000B7143"/>
    <w:rsid w:val="000B7C24"/>
    <w:rsid w:val="000C0B1A"/>
    <w:rsid w:val="000C22A0"/>
    <w:rsid w:val="000C4298"/>
    <w:rsid w:val="000C6337"/>
    <w:rsid w:val="000D00A7"/>
    <w:rsid w:val="000D3DAA"/>
    <w:rsid w:val="000D503E"/>
    <w:rsid w:val="000E51F4"/>
    <w:rsid w:val="000E5A6C"/>
    <w:rsid w:val="000F2E70"/>
    <w:rsid w:val="000F3C7C"/>
    <w:rsid w:val="000F6F05"/>
    <w:rsid w:val="00101086"/>
    <w:rsid w:val="00101557"/>
    <w:rsid w:val="001021BE"/>
    <w:rsid w:val="00104798"/>
    <w:rsid w:val="0010779D"/>
    <w:rsid w:val="0011509E"/>
    <w:rsid w:val="00123E1C"/>
    <w:rsid w:val="001242E9"/>
    <w:rsid w:val="001242ED"/>
    <w:rsid w:val="00131499"/>
    <w:rsid w:val="0013316F"/>
    <w:rsid w:val="001334E7"/>
    <w:rsid w:val="00134557"/>
    <w:rsid w:val="00134B66"/>
    <w:rsid w:val="001352B8"/>
    <w:rsid w:val="001372DE"/>
    <w:rsid w:val="00140A79"/>
    <w:rsid w:val="001437A7"/>
    <w:rsid w:val="0014417F"/>
    <w:rsid w:val="001454CE"/>
    <w:rsid w:val="00150B33"/>
    <w:rsid w:val="00151B70"/>
    <w:rsid w:val="00152C13"/>
    <w:rsid w:val="00153833"/>
    <w:rsid w:val="001611EB"/>
    <w:rsid w:val="001616D1"/>
    <w:rsid w:val="00161AED"/>
    <w:rsid w:val="00161FE0"/>
    <w:rsid w:val="00163620"/>
    <w:rsid w:val="00164915"/>
    <w:rsid w:val="0017175C"/>
    <w:rsid w:val="001717EB"/>
    <w:rsid w:val="001811B3"/>
    <w:rsid w:val="00181E29"/>
    <w:rsid w:val="0018240D"/>
    <w:rsid w:val="00183E5F"/>
    <w:rsid w:val="00186040"/>
    <w:rsid w:val="00191F79"/>
    <w:rsid w:val="001A0215"/>
    <w:rsid w:val="001A0440"/>
    <w:rsid w:val="001A048D"/>
    <w:rsid w:val="001A1FA4"/>
    <w:rsid w:val="001A4328"/>
    <w:rsid w:val="001A611F"/>
    <w:rsid w:val="001A7177"/>
    <w:rsid w:val="001A78A0"/>
    <w:rsid w:val="001B1809"/>
    <w:rsid w:val="001B6DC7"/>
    <w:rsid w:val="001C1A33"/>
    <w:rsid w:val="001C7086"/>
    <w:rsid w:val="001C7B06"/>
    <w:rsid w:val="001D11D7"/>
    <w:rsid w:val="001D2581"/>
    <w:rsid w:val="001D3666"/>
    <w:rsid w:val="001D6432"/>
    <w:rsid w:val="001E112D"/>
    <w:rsid w:val="001E40BB"/>
    <w:rsid w:val="001E42CF"/>
    <w:rsid w:val="001E5F3F"/>
    <w:rsid w:val="001E6222"/>
    <w:rsid w:val="001F0234"/>
    <w:rsid w:val="001F113B"/>
    <w:rsid w:val="001F1670"/>
    <w:rsid w:val="001F2E22"/>
    <w:rsid w:val="001F3B0B"/>
    <w:rsid w:val="001F3CEB"/>
    <w:rsid w:val="001F6D59"/>
    <w:rsid w:val="00202448"/>
    <w:rsid w:val="00210D4B"/>
    <w:rsid w:val="00210E30"/>
    <w:rsid w:val="002110DC"/>
    <w:rsid w:val="00220DC2"/>
    <w:rsid w:val="002210DF"/>
    <w:rsid w:val="00223836"/>
    <w:rsid w:val="00224424"/>
    <w:rsid w:val="00225017"/>
    <w:rsid w:val="00225D1A"/>
    <w:rsid w:val="00226B19"/>
    <w:rsid w:val="00227D68"/>
    <w:rsid w:val="0023503E"/>
    <w:rsid w:val="00236FB6"/>
    <w:rsid w:val="0024336D"/>
    <w:rsid w:val="00243518"/>
    <w:rsid w:val="00244CD1"/>
    <w:rsid w:val="00246282"/>
    <w:rsid w:val="00246851"/>
    <w:rsid w:val="00246D5A"/>
    <w:rsid w:val="00250136"/>
    <w:rsid w:val="00251BE5"/>
    <w:rsid w:val="00251EA9"/>
    <w:rsid w:val="002534F9"/>
    <w:rsid w:val="00253CB9"/>
    <w:rsid w:val="00253F25"/>
    <w:rsid w:val="00253F2B"/>
    <w:rsid w:val="00254A27"/>
    <w:rsid w:val="002558C7"/>
    <w:rsid w:val="00255939"/>
    <w:rsid w:val="0025634B"/>
    <w:rsid w:val="0025772C"/>
    <w:rsid w:val="00257F44"/>
    <w:rsid w:val="00260166"/>
    <w:rsid w:val="002616C9"/>
    <w:rsid w:val="0026384F"/>
    <w:rsid w:val="00265277"/>
    <w:rsid w:val="0026608A"/>
    <w:rsid w:val="002663C6"/>
    <w:rsid w:val="00266CDD"/>
    <w:rsid w:val="00267268"/>
    <w:rsid w:val="0026790F"/>
    <w:rsid w:val="0027365C"/>
    <w:rsid w:val="00280AB3"/>
    <w:rsid w:val="00281A6F"/>
    <w:rsid w:val="002821BA"/>
    <w:rsid w:val="00283E4C"/>
    <w:rsid w:val="00290B38"/>
    <w:rsid w:val="00291C2F"/>
    <w:rsid w:val="002B0DD7"/>
    <w:rsid w:val="002B2B11"/>
    <w:rsid w:val="002B51EB"/>
    <w:rsid w:val="002B5831"/>
    <w:rsid w:val="002B5F09"/>
    <w:rsid w:val="002C085D"/>
    <w:rsid w:val="002C0AA2"/>
    <w:rsid w:val="002C3A0B"/>
    <w:rsid w:val="002C4120"/>
    <w:rsid w:val="002C648A"/>
    <w:rsid w:val="002C7616"/>
    <w:rsid w:val="002D109C"/>
    <w:rsid w:val="002D2164"/>
    <w:rsid w:val="002D23FE"/>
    <w:rsid w:val="002D412B"/>
    <w:rsid w:val="002D4A4D"/>
    <w:rsid w:val="002D59E9"/>
    <w:rsid w:val="002E1CBB"/>
    <w:rsid w:val="002F09BA"/>
    <w:rsid w:val="002F3539"/>
    <w:rsid w:val="00301277"/>
    <w:rsid w:val="003025F9"/>
    <w:rsid w:val="003038B9"/>
    <w:rsid w:val="00305428"/>
    <w:rsid w:val="0030684B"/>
    <w:rsid w:val="00307374"/>
    <w:rsid w:val="00307FA4"/>
    <w:rsid w:val="00310399"/>
    <w:rsid w:val="00311C6F"/>
    <w:rsid w:val="00313747"/>
    <w:rsid w:val="003147C4"/>
    <w:rsid w:val="00321B8D"/>
    <w:rsid w:val="0032240D"/>
    <w:rsid w:val="00325A0B"/>
    <w:rsid w:val="00330C19"/>
    <w:rsid w:val="003318EC"/>
    <w:rsid w:val="0033279E"/>
    <w:rsid w:val="00336B09"/>
    <w:rsid w:val="003400EC"/>
    <w:rsid w:val="00344406"/>
    <w:rsid w:val="0035087F"/>
    <w:rsid w:val="00350905"/>
    <w:rsid w:val="00351C10"/>
    <w:rsid w:val="00354153"/>
    <w:rsid w:val="00354CF5"/>
    <w:rsid w:val="00365859"/>
    <w:rsid w:val="0036616F"/>
    <w:rsid w:val="0036677C"/>
    <w:rsid w:val="00367252"/>
    <w:rsid w:val="00367374"/>
    <w:rsid w:val="00371BE9"/>
    <w:rsid w:val="00373B01"/>
    <w:rsid w:val="0037495E"/>
    <w:rsid w:val="00374B5B"/>
    <w:rsid w:val="00375C6E"/>
    <w:rsid w:val="00382278"/>
    <w:rsid w:val="00384B90"/>
    <w:rsid w:val="00385037"/>
    <w:rsid w:val="003911CD"/>
    <w:rsid w:val="00393732"/>
    <w:rsid w:val="00393849"/>
    <w:rsid w:val="003A0858"/>
    <w:rsid w:val="003A09D1"/>
    <w:rsid w:val="003A2EFC"/>
    <w:rsid w:val="003A2F25"/>
    <w:rsid w:val="003A5D0C"/>
    <w:rsid w:val="003B1293"/>
    <w:rsid w:val="003B1545"/>
    <w:rsid w:val="003B5425"/>
    <w:rsid w:val="003B63F5"/>
    <w:rsid w:val="003B6D82"/>
    <w:rsid w:val="003C49AE"/>
    <w:rsid w:val="003C6BB2"/>
    <w:rsid w:val="003C6C5F"/>
    <w:rsid w:val="003C733E"/>
    <w:rsid w:val="003D0FA5"/>
    <w:rsid w:val="003D418F"/>
    <w:rsid w:val="003D5FEB"/>
    <w:rsid w:val="003D6447"/>
    <w:rsid w:val="003D78D1"/>
    <w:rsid w:val="003E1D08"/>
    <w:rsid w:val="003E3A45"/>
    <w:rsid w:val="003E55E4"/>
    <w:rsid w:val="003E6BCB"/>
    <w:rsid w:val="003F30D5"/>
    <w:rsid w:val="003F437C"/>
    <w:rsid w:val="003F4902"/>
    <w:rsid w:val="003F6CF2"/>
    <w:rsid w:val="003F7287"/>
    <w:rsid w:val="003F7C2B"/>
    <w:rsid w:val="00400402"/>
    <w:rsid w:val="00400AD8"/>
    <w:rsid w:val="004020AF"/>
    <w:rsid w:val="00402EEA"/>
    <w:rsid w:val="00404ED8"/>
    <w:rsid w:val="004079E6"/>
    <w:rsid w:val="00407B86"/>
    <w:rsid w:val="00410B15"/>
    <w:rsid w:val="004132D4"/>
    <w:rsid w:val="00413FFA"/>
    <w:rsid w:val="004155CE"/>
    <w:rsid w:val="004172D2"/>
    <w:rsid w:val="00422F12"/>
    <w:rsid w:val="00424EB5"/>
    <w:rsid w:val="00425D12"/>
    <w:rsid w:val="0043021D"/>
    <w:rsid w:val="0043094D"/>
    <w:rsid w:val="004309F3"/>
    <w:rsid w:val="00431DDB"/>
    <w:rsid w:val="0043467F"/>
    <w:rsid w:val="00436ADC"/>
    <w:rsid w:val="00437CB5"/>
    <w:rsid w:val="004405B4"/>
    <w:rsid w:val="00441DBB"/>
    <w:rsid w:val="00443395"/>
    <w:rsid w:val="00444D59"/>
    <w:rsid w:val="004453C3"/>
    <w:rsid w:val="00446E44"/>
    <w:rsid w:val="00447FBD"/>
    <w:rsid w:val="004523AA"/>
    <w:rsid w:val="00452993"/>
    <w:rsid w:val="004536D7"/>
    <w:rsid w:val="00454844"/>
    <w:rsid w:val="00454C6F"/>
    <w:rsid w:val="00462723"/>
    <w:rsid w:val="00463B0F"/>
    <w:rsid w:val="004647C8"/>
    <w:rsid w:val="00464D0E"/>
    <w:rsid w:val="00466A13"/>
    <w:rsid w:val="00470907"/>
    <w:rsid w:val="004710B8"/>
    <w:rsid w:val="004743AD"/>
    <w:rsid w:val="00474830"/>
    <w:rsid w:val="00474E25"/>
    <w:rsid w:val="00475A2A"/>
    <w:rsid w:val="0048026E"/>
    <w:rsid w:val="00481079"/>
    <w:rsid w:val="00482DE3"/>
    <w:rsid w:val="00483577"/>
    <w:rsid w:val="004858BF"/>
    <w:rsid w:val="00490107"/>
    <w:rsid w:val="00490585"/>
    <w:rsid w:val="0049246F"/>
    <w:rsid w:val="00493759"/>
    <w:rsid w:val="004951CD"/>
    <w:rsid w:val="00495335"/>
    <w:rsid w:val="00495D82"/>
    <w:rsid w:val="00496310"/>
    <w:rsid w:val="004964E2"/>
    <w:rsid w:val="004970A1"/>
    <w:rsid w:val="004A3098"/>
    <w:rsid w:val="004A3B0B"/>
    <w:rsid w:val="004A5D9A"/>
    <w:rsid w:val="004A789F"/>
    <w:rsid w:val="004B117A"/>
    <w:rsid w:val="004B32AD"/>
    <w:rsid w:val="004B473E"/>
    <w:rsid w:val="004B49D8"/>
    <w:rsid w:val="004B5D8E"/>
    <w:rsid w:val="004C68C6"/>
    <w:rsid w:val="004D3157"/>
    <w:rsid w:val="004E043B"/>
    <w:rsid w:val="004E08FF"/>
    <w:rsid w:val="004E133D"/>
    <w:rsid w:val="004E1719"/>
    <w:rsid w:val="004F03C9"/>
    <w:rsid w:val="004F3177"/>
    <w:rsid w:val="004F382D"/>
    <w:rsid w:val="004F4A93"/>
    <w:rsid w:val="004F7FAB"/>
    <w:rsid w:val="0050087B"/>
    <w:rsid w:val="00500BC6"/>
    <w:rsid w:val="00500C89"/>
    <w:rsid w:val="0050222C"/>
    <w:rsid w:val="00502C08"/>
    <w:rsid w:val="00503127"/>
    <w:rsid w:val="0050483D"/>
    <w:rsid w:val="00506FA7"/>
    <w:rsid w:val="00510C12"/>
    <w:rsid w:val="00510D08"/>
    <w:rsid w:val="00510F80"/>
    <w:rsid w:val="00511CE1"/>
    <w:rsid w:val="00512D3E"/>
    <w:rsid w:val="005136FF"/>
    <w:rsid w:val="00514272"/>
    <w:rsid w:val="00515395"/>
    <w:rsid w:val="00520186"/>
    <w:rsid w:val="00525BB2"/>
    <w:rsid w:val="00526392"/>
    <w:rsid w:val="0052672C"/>
    <w:rsid w:val="00527C3F"/>
    <w:rsid w:val="00527EDC"/>
    <w:rsid w:val="00530764"/>
    <w:rsid w:val="00530F99"/>
    <w:rsid w:val="0053245D"/>
    <w:rsid w:val="005333AF"/>
    <w:rsid w:val="00534203"/>
    <w:rsid w:val="00535DFA"/>
    <w:rsid w:val="005367AB"/>
    <w:rsid w:val="0054172D"/>
    <w:rsid w:val="0054356D"/>
    <w:rsid w:val="00551190"/>
    <w:rsid w:val="00553028"/>
    <w:rsid w:val="00555577"/>
    <w:rsid w:val="00557474"/>
    <w:rsid w:val="00557623"/>
    <w:rsid w:val="00557F78"/>
    <w:rsid w:val="00560055"/>
    <w:rsid w:val="005607B2"/>
    <w:rsid w:val="00565370"/>
    <w:rsid w:val="00565941"/>
    <w:rsid w:val="00566CDA"/>
    <w:rsid w:val="00567CB2"/>
    <w:rsid w:val="00567E93"/>
    <w:rsid w:val="005733CF"/>
    <w:rsid w:val="00574832"/>
    <w:rsid w:val="005769FA"/>
    <w:rsid w:val="00576B06"/>
    <w:rsid w:val="00577D4E"/>
    <w:rsid w:val="00577DAF"/>
    <w:rsid w:val="005802F5"/>
    <w:rsid w:val="0058129C"/>
    <w:rsid w:val="00590B22"/>
    <w:rsid w:val="00592B34"/>
    <w:rsid w:val="005930C3"/>
    <w:rsid w:val="00593850"/>
    <w:rsid w:val="005945B0"/>
    <w:rsid w:val="005966CE"/>
    <w:rsid w:val="00597BC0"/>
    <w:rsid w:val="005A12B9"/>
    <w:rsid w:val="005A260D"/>
    <w:rsid w:val="005A5A37"/>
    <w:rsid w:val="005A5A98"/>
    <w:rsid w:val="005A5C95"/>
    <w:rsid w:val="005A60EB"/>
    <w:rsid w:val="005A6548"/>
    <w:rsid w:val="005B1D61"/>
    <w:rsid w:val="005B201E"/>
    <w:rsid w:val="005B3E93"/>
    <w:rsid w:val="005B4002"/>
    <w:rsid w:val="005B42A9"/>
    <w:rsid w:val="005B523F"/>
    <w:rsid w:val="005B7CC1"/>
    <w:rsid w:val="005C2001"/>
    <w:rsid w:val="005C64E0"/>
    <w:rsid w:val="005C69CB"/>
    <w:rsid w:val="005C77D0"/>
    <w:rsid w:val="005C7985"/>
    <w:rsid w:val="005D0471"/>
    <w:rsid w:val="005D2656"/>
    <w:rsid w:val="005D4AB2"/>
    <w:rsid w:val="005D598D"/>
    <w:rsid w:val="005D5F2D"/>
    <w:rsid w:val="005D6A37"/>
    <w:rsid w:val="005E156A"/>
    <w:rsid w:val="005E2B4D"/>
    <w:rsid w:val="005F0D7A"/>
    <w:rsid w:val="005F1DCC"/>
    <w:rsid w:val="005F2FE5"/>
    <w:rsid w:val="005F4024"/>
    <w:rsid w:val="0060145E"/>
    <w:rsid w:val="0060324A"/>
    <w:rsid w:val="006054DA"/>
    <w:rsid w:val="00610081"/>
    <w:rsid w:val="00611E04"/>
    <w:rsid w:val="00612175"/>
    <w:rsid w:val="00612EA4"/>
    <w:rsid w:val="0061431F"/>
    <w:rsid w:val="00622190"/>
    <w:rsid w:val="00625B3A"/>
    <w:rsid w:val="00625B5E"/>
    <w:rsid w:val="0062671E"/>
    <w:rsid w:val="00627567"/>
    <w:rsid w:val="00635DE1"/>
    <w:rsid w:val="00640F89"/>
    <w:rsid w:val="0064362A"/>
    <w:rsid w:val="00643BA0"/>
    <w:rsid w:val="0064459C"/>
    <w:rsid w:val="00647B7E"/>
    <w:rsid w:val="00647F26"/>
    <w:rsid w:val="006512F7"/>
    <w:rsid w:val="0065293A"/>
    <w:rsid w:val="00654430"/>
    <w:rsid w:val="00655D25"/>
    <w:rsid w:val="00655F53"/>
    <w:rsid w:val="00655FF0"/>
    <w:rsid w:val="00664BDC"/>
    <w:rsid w:val="0066590D"/>
    <w:rsid w:val="00665DA1"/>
    <w:rsid w:val="00667502"/>
    <w:rsid w:val="0067005A"/>
    <w:rsid w:val="00671ADD"/>
    <w:rsid w:val="0067495E"/>
    <w:rsid w:val="00676E0E"/>
    <w:rsid w:val="00684992"/>
    <w:rsid w:val="00684C28"/>
    <w:rsid w:val="006914E6"/>
    <w:rsid w:val="00697FAF"/>
    <w:rsid w:val="006A28A4"/>
    <w:rsid w:val="006A2E43"/>
    <w:rsid w:val="006B2516"/>
    <w:rsid w:val="006B2E42"/>
    <w:rsid w:val="006B30C8"/>
    <w:rsid w:val="006B3E16"/>
    <w:rsid w:val="006B412E"/>
    <w:rsid w:val="006B4698"/>
    <w:rsid w:val="006B586F"/>
    <w:rsid w:val="006B668B"/>
    <w:rsid w:val="006C0048"/>
    <w:rsid w:val="006C0227"/>
    <w:rsid w:val="006C1249"/>
    <w:rsid w:val="006C1798"/>
    <w:rsid w:val="006C264C"/>
    <w:rsid w:val="006C2D36"/>
    <w:rsid w:val="006C5847"/>
    <w:rsid w:val="006D0107"/>
    <w:rsid w:val="006D2ABD"/>
    <w:rsid w:val="006D2B9D"/>
    <w:rsid w:val="006D2BF3"/>
    <w:rsid w:val="006D344B"/>
    <w:rsid w:val="006D56FF"/>
    <w:rsid w:val="006D77C2"/>
    <w:rsid w:val="006E1226"/>
    <w:rsid w:val="006E12A8"/>
    <w:rsid w:val="006E14FD"/>
    <w:rsid w:val="006E1500"/>
    <w:rsid w:val="006E3DF1"/>
    <w:rsid w:val="006E69E9"/>
    <w:rsid w:val="006F10BF"/>
    <w:rsid w:val="006F1874"/>
    <w:rsid w:val="006F1C4B"/>
    <w:rsid w:val="006F38AF"/>
    <w:rsid w:val="006F4FD3"/>
    <w:rsid w:val="006F6153"/>
    <w:rsid w:val="006F6822"/>
    <w:rsid w:val="006F7D8A"/>
    <w:rsid w:val="006F7FD4"/>
    <w:rsid w:val="0070112F"/>
    <w:rsid w:val="007012C0"/>
    <w:rsid w:val="00702791"/>
    <w:rsid w:val="00702C51"/>
    <w:rsid w:val="00704255"/>
    <w:rsid w:val="00706798"/>
    <w:rsid w:val="00711540"/>
    <w:rsid w:val="00712597"/>
    <w:rsid w:val="0071436A"/>
    <w:rsid w:val="007143E0"/>
    <w:rsid w:val="00714716"/>
    <w:rsid w:val="00716806"/>
    <w:rsid w:val="00721455"/>
    <w:rsid w:val="00721B9A"/>
    <w:rsid w:val="00722D91"/>
    <w:rsid w:val="007236F1"/>
    <w:rsid w:val="007240F9"/>
    <w:rsid w:val="007268D4"/>
    <w:rsid w:val="00734F1D"/>
    <w:rsid w:val="007352E5"/>
    <w:rsid w:val="00735FEC"/>
    <w:rsid w:val="00743483"/>
    <w:rsid w:val="0074476E"/>
    <w:rsid w:val="00745DA7"/>
    <w:rsid w:val="0075242A"/>
    <w:rsid w:val="00752A42"/>
    <w:rsid w:val="00752D67"/>
    <w:rsid w:val="00757C74"/>
    <w:rsid w:val="0076169E"/>
    <w:rsid w:val="00763F3F"/>
    <w:rsid w:val="007643E9"/>
    <w:rsid w:val="00764DAB"/>
    <w:rsid w:val="00765351"/>
    <w:rsid w:val="00766DE2"/>
    <w:rsid w:val="007708CF"/>
    <w:rsid w:val="0077217E"/>
    <w:rsid w:val="007737F7"/>
    <w:rsid w:val="00773DBC"/>
    <w:rsid w:val="00774BC5"/>
    <w:rsid w:val="0077794C"/>
    <w:rsid w:val="007826AB"/>
    <w:rsid w:val="00786EE5"/>
    <w:rsid w:val="007879A3"/>
    <w:rsid w:val="00787CF1"/>
    <w:rsid w:val="00792F28"/>
    <w:rsid w:val="00793BD9"/>
    <w:rsid w:val="00793F4E"/>
    <w:rsid w:val="00796630"/>
    <w:rsid w:val="00796B74"/>
    <w:rsid w:val="00797166"/>
    <w:rsid w:val="007A2669"/>
    <w:rsid w:val="007A2C0D"/>
    <w:rsid w:val="007A30A9"/>
    <w:rsid w:val="007A43FE"/>
    <w:rsid w:val="007B02F4"/>
    <w:rsid w:val="007B039E"/>
    <w:rsid w:val="007B1C3B"/>
    <w:rsid w:val="007B3437"/>
    <w:rsid w:val="007B3BD0"/>
    <w:rsid w:val="007B66FC"/>
    <w:rsid w:val="007B7BA4"/>
    <w:rsid w:val="007B7BDC"/>
    <w:rsid w:val="007C1D3B"/>
    <w:rsid w:val="007C29F5"/>
    <w:rsid w:val="007C37DB"/>
    <w:rsid w:val="007C428C"/>
    <w:rsid w:val="007C55C9"/>
    <w:rsid w:val="007C6723"/>
    <w:rsid w:val="007C7183"/>
    <w:rsid w:val="007D20E2"/>
    <w:rsid w:val="007D21D0"/>
    <w:rsid w:val="007D7279"/>
    <w:rsid w:val="007E2536"/>
    <w:rsid w:val="007E382E"/>
    <w:rsid w:val="007E54D0"/>
    <w:rsid w:val="007E61DD"/>
    <w:rsid w:val="007E7AE8"/>
    <w:rsid w:val="007F0208"/>
    <w:rsid w:val="007F1137"/>
    <w:rsid w:val="007F64B0"/>
    <w:rsid w:val="007F7B86"/>
    <w:rsid w:val="0080207C"/>
    <w:rsid w:val="00805BC8"/>
    <w:rsid w:val="008064F1"/>
    <w:rsid w:val="00806EF4"/>
    <w:rsid w:val="00814A55"/>
    <w:rsid w:val="008154E6"/>
    <w:rsid w:val="0081555C"/>
    <w:rsid w:val="0081574B"/>
    <w:rsid w:val="00821827"/>
    <w:rsid w:val="00822AC9"/>
    <w:rsid w:val="00822E5A"/>
    <w:rsid w:val="00823C9A"/>
    <w:rsid w:val="00824119"/>
    <w:rsid w:val="008261C1"/>
    <w:rsid w:val="00830268"/>
    <w:rsid w:val="00831D0D"/>
    <w:rsid w:val="00831D70"/>
    <w:rsid w:val="00832233"/>
    <w:rsid w:val="00833DDF"/>
    <w:rsid w:val="008344AF"/>
    <w:rsid w:val="00841713"/>
    <w:rsid w:val="008440B9"/>
    <w:rsid w:val="00846605"/>
    <w:rsid w:val="008564EF"/>
    <w:rsid w:val="008566C5"/>
    <w:rsid w:val="008569CF"/>
    <w:rsid w:val="00856B64"/>
    <w:rsid w:val="00860816"/>
    <w:rsid w:val="00866E82"/>
    <w:rsid w:val="0086746D"/>
    <w:rsid w:val="00870416"/>
    <w:rsid w:val="008716B4"/>
    <w:rsid w:val="00872255"/>
    <w:rsid w:val="00872672"/>
    <w:rsid w:val="00872C85"/>
    <w:rsid w:val="00874E43"/>
    <w:rsid w:val="00875974"/>
    <w:rsid w:val="00884E89"/>
    <w:rsid w:val="00885996"/>
    <w:rsid w:val="0088627C"/>
    <w:rsid w:val="00886A9E"/>
    <w:rsid w:val="00890DF6"/>
    <w:rsid w:val="00891869"/>
    <w:rsid w:val="008933DE"/>
    <w:rsid w:val="00894A1F"/>
    <w:rsid w:val="008A005B"/>
    <w:rsid w:val="008A060E"/>
    <w:rsid w:val="008A238B"/>
    <w:rsid w:val="008A438D"/>
    <w:rsid w:val="008A6F53"/>
    <w:rsid w:val="008A738F"/>
    <w:rsid w:val="008B276E"/>
    <w:rsid w:val="008B513A"/>
    <w:rsid w:val="008B6208"/>
    <w:rsid w:val="008B6C57"/>
    <w:rsid w:val="008C1297"/>
    <w:rsid w:val="008C1DB8"/>
    <w:rsid w:val="008C27F2"/>
    <w:rsid w:val="008C4096"/>
    <w:rsid w:val="008D115E"/>
    <w:rsid w:val="008D2F19"/>
    <w:rsid w:val="008D561B"/>
    <w:rsid w:val="008D68DB"/>
    <w:rsid w:val="008E26EE"/>
    <w:rsid w:val="008E2718"/>
    <w:rsid w:val="008E3552"/>
    <w:rsid w:val="008E398B"/>
    <w:rsid w:val="008E47AB"/>
    <w:rsid w:val="008E637E"/>
    <w:rsid w:val="008E7033"/>
    <w:rsid w:val="008F1F63"/>
    <w:rsid w:val="008F3F14"/>
    <w:rsid w:val="008F5B6A"/>
    <w:rsid w:val="008F5C2A"/>
    <w:rsid w:val="008F7284"/>
    <w:rsid w:val="008F7D25"/>
    <w:rsid w:val="0090211A"/>
    <w:rsid w:val="0090566C"/>
    <w:rsid w:val="009076CA"/>
    <w:rsid w:val="009076F6"/>
    <w:rsid w:val="00907D4E"/>
    <w:rsid w:val="00907DD1"/>
    <w:rsid w:val="009201BF"/>
    <w:rsid w:val="00920254"/>
    <w:rsid w:val="00922117"/>
    <w:rsid w:val="00925ACC"/>
    <w:rsid w:val="0092611C"/>
    <w:rsid w:val="00926EAD"/>
    <w:rsid w:val="009307A2"/>
    <w:rsid w:val="009309B8"/>
    <w:rsid w:val="00931504"/>
    <w:rsid w:val="00931A22"/>
    <w:rsid w:val="00931A47"/>
    <w:rsid w:val="00933207"/>
    <w:rsid w:val="0093333B"/>
    <w:rsid w:val="0093432C"/>
    <w:rsid w:val="00934794"/>
    <w:rsid w:val="0093497B"/>
    <w:rsid w:val="00934A95"/>
    <w:rsid w:val="00936189"/>
    <w:rsid w:val="009363F9"/>
    <w:rsid w:val="00940D38"/>
    <w:rsid w:val="00942EEC"/>
    <w:rsid w:val="00951AC1"/>
    <w:rsid w:val="009523EB"/>
    <w:rsid w:val="00953FAA"/>
    <w:rsid w:val="00954AA2"/>
    <w:rsid w:val="009558BB"/>
    <w:rsid w:val="009574B9"/>
    <w:rsid w:val="00960573"/>
    <w:rsid w:val="00963B26"/>
    <w:rsid w:val="009668AD"/>
    <w:rsid w:val="00967A8D"/>
    <w:rsid w:val="00970062"/>
    <w:rsid w:val="0097092C"/>
    <w:rsid w:val="0097094E"/>
    <w:rsid w:val="00973739"/>
    <w:rsid w:val="00980724"/>
    <w:rsid w:val="009815EF"/>
    <w:rsid w:val="0098349F"/>
    <w:rsid w:val="009834E1"/>
    <w:rsid w:val="009839CF"/>
    <w:rsid w:val="009840A3"/>
    <w:rsid w:val="00984E12"/>
    <w:rsid w:val="009928AF"/>
    <w:rsid w:val="009A0304"/>
    <w:rsid w:val="009A23B1"/>
    <w:rsid w:val="009A3187"/>
    <w:rsid w:val="009A339E"/>
    <w:rsid w:val="009A3491"/>
    <w:rsid w:val="009A762A"/>
    <w:rsid w:val="009B0174"/>
    <w:rsid w:val="009B2667"/>
    <w:rsid w:val="009B36B4"/>
    <w:rsid w:val="009B77BA"/>
    <w:rsid w:val="009B7DA3"/>
    <w:rsid w:val="009C153D"/>
    <w:rsid w:val="009C1BFA"/>
    <w:rsid w:val="009C4A4A"/>
    <w:rsid w:val="009C559E"/>
    <w:rsid w:val="009C654E"/>
    <w:rsid w:val="009D1454"/>
    <w:rsid w:val="009D18B5"/>
    <w:rsid w:val="009D33B3"/>
    <w:rsid w:val="009D41C8"/>
    <w:rsid w:val="009D6193"/>
    <w:rsid w:val="009D7A63"/>
    <w:rsid w:val="009E076C"/>
    <w:rsid w:val="009E4F94"/>
    <w:rsid w:val="009F415A"/>
    <w:rsid w:val="00A11033"/>
    <w:rsid w:val="00A12A7D"/>
    <w:rsid w:val="00A138F6"/>
    <w:rsid w:val="00A1570A"/>
    <w:rsid w:val="00A16F8E"/>
    <w:rsid w:val="00A17172"/>
    <w:rsid w:val="00A21DB2"/>
    <w:rsid w:val="00A248D9"/>
    <w:rsid w:val="00A275BC"/>
    <w:rsid w:val="00A27A82"/>
    <w:rsid w:val="00A310D9"/>
    <w:rsid w:val="00A32B15"/>
    <w:rsid w:val="00A331E5"/>
    <w:rsid w:val="00A354BF"/>
    <w:rsid w:val="00A35F75"/>
    <w:rsid w:val="00A4236A"/>
    <w:rsid w:val="00A45713"/>
    <w:rsid w:val="00A46120"/>
    <w:rsid w:val="00A46C6F"/>
    <w:rsid w:val="00A5003E"/>
    <w:rsid w:val="00A5069E"/>
    <w:rsid w:val="00A56702"/>
    <w:rsid w:val="00A579FC"/>
    <w:rsid w:val="00A61955"/>
    <w:rsid w:val="00A66915"/>
    <w:rsid w:val="00A67769"/>
    <w:rsid w:val="00A72134"/>
    <w:rsid w:val="00A72606"/>
    <w:rsid w:val="00A75970"/>
    <w:rsid w:val="00A75BD8"/>
    <w:rsid w:val="00A76BEA"/>
    <w:rsid w:val="00A8061B"/>
    <w:rsid w:val="00A822BD"/>
    <w:rsid w:val="00A82404"/>
    <w:rsid w:val="00A83D4D"/>
    <w:rsid w:val="00A90BA4"/>
    <w:rsid w:val="00A911B8"/>
    <w:rsid w:val="00A91CC4"/>
    <w:rsid w:val="00A95460"/>
    <w:rsid w:val="00A957F0"/>
    <w:rsid w:val="00A969AB"/>
    <w:rsid w:val="00AB46A5"/>
    <w:rsid w:val="00AB50B9"/>
    <w:rsid w:val="00AB518E"/>
    <w:rsid w:val="00AB619B"/>
    <w:rsid w:val="00AB7064"/>
    <w:rsid w:val="00AC04FC"/>
    <w:rsid w:val="00AC2F7E"/>
    <w:rsid w:val="00AC314A"/>
    <w:rsid w:val="00AC4CD8"/>
    <w:rsid w:val="00AC69C2"/>
    <w:rsid w:val="00AD207A"/>
    <w:rsid w:val="00AD3AF3"/>
    <w:rsid w:val="00AD5392"/>
    <w:rsid w:val="00AD5C7B"/>
    <w:rsid w:val="00AD7C78"/>
    <w:rsid w:val="00AE134D"/>
    <w:rsid w:val="00AE2120"/>
    <w:rsid w:val="00AE3777"/>
    <w:rsid w:val="00AE39EA"/>
    <w:rsid w:val="00AE3A48"/>
    <w:rsid w:val="00AE6D2B"/>
    <w:rsid w:val="00AE78EB"/>
    <w:rsid w:val="00AE7F46"/>
    <w:rsid w:val="00AF0559"/>
    <w:rsid w:val="00B00682"/>
    <w:rsid w:val="00B03F89"/>
    <w:rsid w:val="00B051F4"/>
    <w:rsid w:val="00B05953"/>
    <w:rsid w:val="00B06020"/>
    <w:rsid w:val="00B12014"/>
    <w:rsid w:val="00B12360"/>
    <w:rsid w:val="00B13F2B"/>
    <w:rsid w:val="00B1466C"/>
    <w:rsid w:val="00B15591"/>
    <w:rsid w:val="00B16876"/>
    <w:rsid w:val="00B210B8"/>
    <w:rsid w:val="00B2478F"/>
    <w:rsid w:val="00B24A88"/>
    <w:rsid w:val="00B25A46"/>
    <w:rsid w:val="00B27D9E"/>
    <w:rsid w:val="00B310B5"/>
    <w:rsid w:val="00B320ED"/>
    <w:rsid w:val="00B33696"/>
    <w:rsid w:val="00B36694"/>
    <w:rsid w:val="00B37E3C"/>
    <w:rsid w:val="00B42216"/>
    <w:rsid w:val="00B426E3"/>
    <w:rsid w:val="00B43659"/>
    <w:rsid w:val="00B468A5"/>
    <w:rsid w:val="00B46D93"/>
    <w:rsid w:val="00B50C81"/>
    <w:rsid w:val="00B5245A"/>
    <w:rsid w:val="00B536D2"/>
    <w:rsid w:val="00B53B40"/>
    <w:rsid w:val="00B55EFD"/>
    <w:rsid w:val="00B6031D"/>
    <w:rsid w:val="00B706BD"/>
    <w:rsid w:val="00B71CEE"/>
    <w:rsid w:val="00B7293D"/>
    <w:rsid w:val="00B765DC"/>
    <w:rsid w:val="00B76A9B"/>
    <w:rsid w:val="00B76E72"/>
    <w:rsid w:val="00B8218B"/>
    <w:rsid w:val="00B828FB"/>
    <w:rsid w:val="00B833D8"/>
    <w:rsid w:val="00B8342D"/>
    <w:rsid w:val="00B84D7B"/>
    <w:rsid w:val="00B85B13"/>
    <w:rsid w:val="00B86915"/>
    <w:rsid w:val="00B86C53"/>
    <w:rsid w:val="00B872EC"/>
    <w:rsid w:val="00B87936"/>
    <w:rsid w:val="00B90889"/>
    <w:rsid w:val="00B914BF"/>
    <w:rsid w:val="00B91D6D"/>
    <w:rsid w:val="00B921EF"/>
    <w:rsid w:val="00B92BF5"/>
    <w:rsid w:val="00B96190"/>
    <w:rsid w:val="00B97E3E"/>
    <w:rsid w:val="00BA0730"/>
    <w:rsid w:val="00BA143B"/>
    <w:rsid w:val="00BB1144"/>
    <w:rsid w:val="00BB1253"/>
    <w:rsid w:val="00BB29A7"/>
    <w:rsid w:val="00BB478C"/>
    <w:rsid w:val="00BB48CF"/>
    <w:rsid w:val="00BB62F2"/>
    <w:rsid w:val="00BC1351"/>
    <w:rsid w:val="00BC5DF8"/>
    <w:rsid w:val="00BC5F97"/>
    <w:rsid w:val="00BC6532"/>
    <w:rsid w:val="00BC7D9A"/>
    <w:rsid w:val="00BD281D"/>
    <w:rsid w:val="00BD4FDE"/>
    <w:rsid w:val="00BD5ED0"/>
    <w:rsid w:val="00BE2734"/>
    <w:rsid w:val="00BE7AF3"/>
    <w:rsid w:val="00BF4D05"/>
    <w:rsid w:val="00BF5831"/>
    <w:rsid w:val="00BF6E2B"/>
    <w:rsid w:val="00BF75E0"/>
    <w:rsid w:val="00C00421"/>
    <w:rsid w:val="00C0366E"/>
    <w:rsid w:val="00C157E7"/>
    <w:rsid w:val="00C20F02"/>
    <w:rsid w:val="00C24497"/>
    <w:rsid w:val="00C262A1"/>
    <w:rsid w:val="00C26B15"/>
    <w:rsid w:val="00C30B2A"/>
    <w:rsid w:val="00C31913"/>
    <w:rsid w:val="00C334BA"/>
    <w:rsid w:val="00C36BE6"/>
    <w:rsid w:val="00C37112"/>
    <w:rsid w:val="00C40593"/>
    <w:rsid w:val="00C42F15"/>
    <w:rsid w:val="00C45B50"/>
    <w:rsid w:val="00C47AA5"/>
    <w:rsid w:val="00C50112"/>
    <w:rsid w:val="00C50194"/>
    <w:rsid w:val="00C5623A"/>
    <w:rsid w:val="00C563BA"/>
    <w:rsid w:val="00C60EF8"/>
    <w:rsid w:val="00C612E0"/>
    <w:rsid w:val="00C6155F"/>
    <w:rsid w:val="00C62381"/>
    <w:rsid w:val="00C671C5"/>
    <w:rsid w:val="00C75FB9"/>
    <w:rsid w:val="00C769BF"/>
    <w:rsid w:val="00C76D8B"/>
    <w:rsid w:val="00C813BA"/>
    <w:rsid w:val="00C821EF"/>
    <w:rsid w:val="00C8238A"/>
    <w:rsid w:val="00C86E30"/>
    <w:rsid w:val="00C87984"/>
    <w:rsid w:val="00C90215"/>
    <w:rsid w:val="00C91272"/>
    <w:rsid w:val="00C945D5"/>
    <w:rsid w:val="00C96170"/>
    <w:rsid w:val="00CA1494"/>
    <w:rsid w:val="00CA2B95"/>
    <w:rsid w:val="00CA3CC3"/>
    <w:rsid w:val="00CA57A4"/>
    <w:rsid w:val="00CA5EB2"/>
    <w:rsid w:val="00CA6912"/>
    <w:rsid w:val="00CA7114"/>
    <w:rsid w:val="00CB09A3"/>
    <w:rsid w:val="00CB0CA9"/>
    <w:rsid w:val="00CB1165"/>
    <w:rsid w:val="00CB2FA0"/>
    <w:rsid w:val="00CB54DC"/>
    <w:rsid w:val="00CC0F8A"/>
    <w:rsid w:val="00CC12FC"/>
    <w:rsid w:val="00CC3D08"/>
    <w:rsid w:val="00CC4B6D"/>
    <w:rsid w:val="00CC5A23"/>
    <w:rsid w:val="00CC5AA0"/>
    <w:rsid w:val="00CC5ECA"/>
    <w:rsid w:val="00CC79FA"/>
    <w:rsid w:val="00CD0E1F"/>
    <w:rsid w:val="00CD1510"/>
    <w:rsid w:val="00CD26FE"/>
    <w:rsid w:val="00CD3B16"/>
    <w:rsid w:val="00CD5E3D"/>
    <w:rsid w:val="00CE2211"/>
    <w:rsid w:val="00CE5DF2"/>
    <w:rsid w:val="00CF021F"/>
    <w:rsid w:val="00CF10FE"/>
    <w:rsid w:val="00CF1774"/>
    <w:rsid w:val="00CF6538"/>
    <w:rsid w:val="00D00C2A"/>
    <w:rsid w:val="00D013EC"/>
    <w:rsid w:val="00D02815"/>
    <w:rsid w:val="00D03103"/>
    <w:rsid w:val="00D042D0"/>
    <w:rsid w:val="00D04537"/>
    <w:rsid w:val="00D04DFE"/>
    <w:rsid w:val="00D06040"/>
    <w:rsid w:val="00D060B7"/>
    <w:rsid w:val="00D07930"/>
    <w:rsid w:val="00D11CAD"/>
    <w:rsid w:val="00D12437"/>
    <w:rsid w:val="00D126AA"/>
    <w:rsid w:val="00D12C91"/>
    <w:rsid w:val="00D14DDB"/>
    <w:rsid w:val="00D15839"/>
    <w:rsid w:val="00D15E14"/>
    <w:rsid w:val="00D16ED9"/>
    <w:rsid w:val="00D179BD"/>
    <w:rsid w:val="00D20692"/>
    <w:rsid w:val="00D23455"/>
    <w:rsid w:val="00D23FD4"/>
    <w:rsid w:val="00D243E4"/>
    <w:rsid w:val="00D2522A"/>
    <w:rsid w:val="00D264FC"/>
    <w:rsid w:val="00D268E7"/>
    <w:rsid w:val="00D30DC4"/>
    <w:rsid w:val="00D313CD"/>
    <w:rsid w:val="00D31814"/>
    <w:rsid w:val="00D3315A"/>
    <w:rsid w:val="00D40988"/>
    <w:rsid w:val="00D43176"/>
    <w:rsid w:val="00D43220"/>
    <w:rsid w:val="00D47892"/>
    <w:rsid w:val="00D5195D"/>
    <w:rsid w:val="00D52816"/>
    <w:rsid w:val="00D548AE"/>
    <w:rsid w:val="00D5546A"/>
    <w:rsid w:val="00D57B39"/>
    <w:rsid w:val="00D60A5D"/>
    <w:rsid w:val="00D61030"/>
    <w:rsid w:val="00D61794"/>
    <w:rsid w:val="00D62D08"/>
    <w:rsid w:val="00D631C3"/>
    <w:rsid w:val="00D635D5"/>
    <w:rsid w:val="00D66273"/>
    <w:rsid w:val="00D66AC7"/>
    <w:rsid w:val="00D676E1"/>
    <w:rsid w:val="00D67CA6"/>
    <w:rsid w:val="00D749FC"/>
    <w:rsid w:val="00D75D05"/>
    <w:rsid w:val="00D77C6A"/>
    <w:rsid w:val="00D79DE1"/>
    <w:rsid w:val="00D80545"/>
    <w:rsid w:val="00D853E9"/>
    <w:rsid w:val="00D86908"/>
    <w:rsid w:val="00D93F79"/>
    <w:rsid w:val="00D974E0"/>
    <w:rsid w:val="00D97AAA"/>
    <w:rsid w:val="00DA361B"/>
    <w:rsid w:val="00DA445F"/>
    <w:rsid w:val="00DA4492"/>
    <w:rsid w:val="00DA53A6"/>
    <w:rsid w:val="00DA6D26"/>
    <w:rsid w:val="00DB1AE4"/>
    <w:rsid w:val="00DB1B5A"/>
    <w:rsid w:val="00DB3113"/>
    <w:rsid w:val="00DB471C"/>
    <w:rsid w:val="00DB70D9"/>
    <w:rsid w:val="00DC268A"/>
    <w:rsid w:val="00DC387D"/>
    <w:rsid w:val="00DC7E1E"/>
    <w:rsid w:val="00DD0D9A"/>
    <w:rsid w:val="00DD3E8E"/>
    <w:rsid w:val="00DD5389"/>
    <w:rsid w:val="00DD69DC"/>
    <w:rsid w:val="00DE017C"/>
    <w:rsid w:val="00DE235D"/>
    <w:rsid w:val="00DE598E"/>
    <w:rsid w:val="00DE718C"/>
    <w:rsid w:val="00DF2382"/>
    <w:rsid w:val="00DF2EB9"/>
    <w:rsid w:val="00DF32FA"/>
    <w:rsid w:val="00DF3D78"/>
    <w:rsid w:val="00DF4C9C"/>
    <w:rsid w:val="00DF65A2"/>
    <w:rsid w:val="00E0188F"/>
    <w:rsid w:val="00E02EAA"/>
    <w:rsid w:val="00E044AC"/>
    <w:rsid w:val="00E10687"/>
    <w:rsid w:val="00E10D8A"/>
    <w:rsid w:val="00E10EF3"/>
    <w:rsid w:val="00E11E70"/>
    <w:rsid w:val="00E135AD"/>
    <w:rsid w:val="00E164D9"/>
    <w:rsid w:val="00E16730"/>
    <w:rsid w:val="00E20237"/>
    <w:rsid w:val="00E2073A"/>
    <w:rsid w:val="00E20F83"/>
    <w:rsid w:val="00E246D2"/>
    <w:rsid w:val="00E2500C"/>
    <w:rsid w:val="00E25CBF"/>
    <w:rsid w:val="00E33896"/>
    <w:rsid w:val="00E33B99"/>
    <w:rsid w:val="00E34B78"/>
    <w:rsid w:val="00E35778"/>
    <w:rsid w:val="00E3584D"/>
    <w:rsid w:val="00E35E59"/>
    <w:rsid w:val="00E40750"/>
    <w:rsid w:val="00E40F05"/>
    <w:rsid w:val="00E412E7"/>
    <w:rsid w:val="00E4630B"/>
    <w:rsid w:val="00E46C7D"/>
    <w:rsid w:val="00E47205"/>
    <w:rsid w:val="00E47553"/>
    <w:rsid w:val="00E51C14"/>
    <w:rsid w:val="00E53234"/>
    <w:rsid w:val="00E5364E"/>
    <w:rsid w:val="00E56B24"/>
    <w:rsid w:val="00E612D9"/>
    <w:rsid w:val="00E6198D"/>
    <w:rsid w:val="00E61E31"/>
    <w:rsid w:val="00E62F93"/>
    <w:rsid w:val="00E64000"/>
    <w:rsid w:val="00E65680"/>
    <w:rsid w:val="00E657F1"/>
    <w:rsid w:val="00E67618"/>
    <w:rsid w:val="00E707FA"/>
    <w:rsid w:val="00E72EBF"/>
    <w:rsid w:val="00E76BDF"/>
    <w:rsid w:val="00E81D95"/>
    <w:rsid w:val="00E85377"/>
    <w:rsid w:val="00E853BE"/>
    <w:rsid w:val="00E87897"/>
    <w:rsid w:val="00E87FBD"/>
    <w:rsid w:val="00E90CF4"/>
    <w:rsid w:val="00E94C66"/>
    <w:rsid w:val="00EA5914"/>
    <w:rsid w:val="00EA7016"/>
    <w:rsid w:val="00EB4210"/>
    <w:rsid w:val="00EB5870"/>
    <w:rsid w:val="00EB5A78"/>
    <w:rsid w:val="00EC1B71"/>
    <w:rsid w:val="00EC31F0"/>
    <w:rsid w:val="00EC3ED2"/>
    <w:rsid w:val="00EC68FD"/>
    <w:rsid w:val="00EC793C"/>
    <w:rsid w:val="00ED07D3"/>
    <w:rsid w:val="00ED2958"/>
    <w:rsid w:val="00ED4318"/>
    <w:rsid w:val="00ED5048"/>
    <w:rsid w:val="00ED7743"/>
    <w:rsid w:val="00ED7F7E"/>
    <w:rsid w:val="00EE1DBA"/>
    <w:rsid w:val="00EE3D5C"/>
    <w:rsid w:val="00EE725E"/>
    <w:rsid w:val="00EF2B2D"/>
    <w:rsid w:val="00EF2DEA"/>
    <w:rsid w:val="00F00523"/>
    <w:rsid w:val="00F0152B"/>
    <w:rsid w:val="00F017DA"/>
    <w:rsid w:val="00F01B5C"/>
    <w:rsid w:val="00F0487C"/>
    <w:rsid w:val="00F05073"/>
    <w:rsid w:val="00F06DA3"/>
    <w:rsid w:val="00F100FC"/>
    <w:rsid w:val="00F101E7"/>
    <w:rsid w:val="00F11E6F"/>
    <w:rsid w:val="00F128BE"/>
    <w:rsid w:val="00F20475"/>
    <w:rsid w:val="00F23478"/>
    <w:rsid w:val="00F23A17"/>
    <w:rsid w:val="00F25812"/>
    <w:rsid w:val="00F27DF4"/>
    <w:rsid w:val="00F30969"/>
    <w:rsid w:val="00F30FDF"/>
    <w:rsid w:val="00F314B9"/>
    <w:rsid w:val="00F31B0F"/>
    <w:rsid w:val="00F32B10"/>
    <w:rsid w:val="00F360D8"/>
    <w:rsid w:val="00F36A45"/>
    <w:rsid w:val="00F40D47"/>
    <w:rsid w:val="00F42386"/>
    <w:rsid w:val="00F44CCE"/>
    <w:rsid w:val="00F45AB4"/>
    <w:rsid w:val="00F469B4"/>
    <w:rsid w:val="00F503A0"/>
    <w:rsid w:val="00F55824"/>
    <w:rsid w:val="00F55C05"/>
    <w:rsid w:val="00F56F00"/>
    <w:rsid w:val="00F57979"/>
    <w:rsid w:val="00F60D86"/>
    <w:rsid w:val="00F617C7"/>
    <w:rsid w:val="00F63900"/>
    <w:rsid w:val="00F669E3"/>
    <w:rsid w:val="00F67CC0"/>
    <w:rsid w:val="00F728DA"/>
    <w:rsid w:val="00F73A02"/>
    <w:rsid w:val="00F756CC"/>
    <w:rsid w:val="00F77D92"/>
    <w:rsid w:val="00F812DE"/>
    <w:rsid w:val="00F86261"/>
    <w:rsid w:val="00F86A88"/>
    <w:rsid w:val="00F907D1"/>
    <w:rsid w:val="00F90F8C"/>
    <w:rsid w:val="00F91F9F"/>
    <w:rsid w:val="00F93D98"/>
    <w:rsid w:val="00F942D4"/>
    <w:rsid w:val="00F95B5F"/>
    <w:rsid w:val="00F96515"/>
    <w:rsid w:val="00FA2652"/>
    <w:rsid w:val="00FA7863"/>
    <w:rsid w:val="00FB4FDC"/>
    <w:rsid w:val="00FB5290"/>
    <w:rsid w:val="00FB66EB"/>
    <w:rsid w:val="00FC1255"/>
    <w:rsid w:val="00FC46A3"/>
    <w:rsid w:val="00FC5157"/>
    <w:rsid w:val="00FC5CE1"/>
    <w:rsid w:val="00FC735C"/>
    <w:rsid w:val="00FD0F38"/>
    <w:rsid w:val="00FD1595"/>
    <w:rsid w:val="00FD50B1"/>
    <w:rsid w:val="00FD5478"/>
    <w:rsid w:val="00FD7840"/>
    <w:rsid w:val="00FD7F26"/>
    <w:rsid w:val="00FE28E1"/>
    <w:rsid w:val="00FE58C0"/>
    <w:rsid w:val="00FE60E9"/>
    <w:rsid w:val="00FF6D75"/>
    <w:rsid w:val="00FF744A"/>
    <w:rsid w:val="0154B0A3"/>
    <w:rsid w:val="029541E0"/>
    <w:rsid w:val="03881917"/>
    <w:rsid w:val="03D3579C"/>
    <w:rsid w:val="04311241"/>
    <w:rsid w:val="051462CC"/>
    <w:rsid w:val="06C018B5"/>
    <w:rsid w:val="09A2431B"/>
    <w:rsid w:val="0B2030F4"/>
    <w:rsid w:val="0B96A58F"/>
    <w:rsid w:val="0DF189F4"/>
    <w:rsid w:val="0E3044C3"/>
    <w:rsid w:val="0E91A6FB"/>
    <w:rsid w:val="0ECC1B42"/>
    <w:rsid w:val="0FA26099"/>
    <w:rsid w:val="1246935B"/>
    <w:rsid w:val="12B7566A"/>
    <w:rsid w:val="12DA015B"/>
    <w:rsid w:val="140F8895"/>
    <w:rsid w:val="14A95CE2"/>
    <w:rsid w:val="15675E26"/>
    <w:rsid w:val="174DC9A6"/>
    <w:rsid w:val="18F28091"/>
    <w:rsid w:val="19D8982A"/>
    <w:rsid w:val="1A908D65"/>
    <w:rsid w:val="1C1556DF"/>
    <w:rsid w:val="1C82E2F7"/>
    <w:rsid w:val="1CD2E6A0"/>
    <w:rsid w:val="1E558F9F"/>
    <w:rsid w:val="1E6EB701"/>
    <w:rsid w:val="1EFC066E"/>
    <w:rsid w:val="1F087265"/>
    <w:rsid w:val="1F400541"/>
    <w:rsid w:val="21CFA219"/>
    <w:rsid w:val="221E52A0"/>
    <w:rsid w:val="226642DA"/>
    <w:rsid w:val="231D1B7C"/>
    <w:rsid w:val="23432525"/>
    <w:rsid w:val="238526D8"/>
    <w:rsid w:val="23B962D2"/>
    <w:rsid w:val="245F3A61"/>
    <w:rsid w:val="256A200D"/>
    <w:rsid w:val="262E4635"/>
    <w:rsid w:val="2671779B"/>
    <w:rsid w:val="2826B034"/>
    <w:rsid w:val="286A9C60"/>
    <w:rsid w:val="29D3B818"/>
    <w:rsid w:val="2D433842"/>
    <w:rsid w:val="2DA632FA"/>
    <w:rsid w:val="2F3054B0"/>
    <w:rsid w:val="2F34D5C2"/>
    <w:rsid w:val="2F6B0C67"/>
    <w:rsid w:val="30CA736F"/>
    <w:rsid w:val="31EB4E02"/>
    <w:rsid w:val="32043503"/>
    <w:rsid w:val="324D09A0"/>
    <w:rsid w:val="329ADE71"/>
    <w:rsid w:val="32A7ED35"/>
    <w:rsid w:val="33299F11"/>
    <w:rsid w:val="33D8476A"/>
    <w:rsid w:val="3491E38C"/>
    <w:rsid w:val="352E6604"/>
    <w:rsid w:val="355A9765"/>
    <w:rsid w:val="363F7C69"/>
    <w:rsid w:val="37DB4CCA"/>
    <w:rsid w:val="388B16DE"/>
    <w:rsid w:val="3906250B"/>
    <w:rsid w:val="3ADF5244"/>
    <w:rsid w:val="3BDF29C0"/>
    <w:rsid w:val="3E3B2556"/>
    <w:rsid w:val="3EF2A5E1"/>
    <w:rsid w:val="3F0A6304"/>
    <w:rsid w:val="3F4C65C9"/>
    <w:rsid w:val="3F9BAEB0"/>
    <w:rsid w:val="40E8362A"/>
    <w:rsid w:val="448E4A20"/>
    <w:rsid w:val="44CD1760"/>
    <w:rsid w:val="458228DA"/>
    <w:rsid w:val="46B0D2EC"/>
    <w:rsid w:val="4705F3CA"/>
    <w:rsid w:val="47DAD8E8"/>
    <w:rsid w:val="492468F7"/>
    <w:rsid w:val="498B7ED9"/>
    <w:rsid w:val="4BB535BA"/>
    <w:rsid w:val="4BEA7F5E"/>
    <w:rsid w:val="4D689D53"/>
    <w:rsid w:val="4DA0DFE3"/>
    <w:rsid w:val="4DA4FEF1"/>
    <w:rsid w:val="4E4F15EB"/>
    <w:rsid w:val="4E9AA0C5"/>
    <w:rsid w:val="4E9D57D2"/>
    <w:rsid w:val="4EBF7EEB"/>
    <w:rsid w:val="4EF6CCA6"/>
    <w:rsid w:val="4FDDE217"/>
    <w:rsid w:val="505747C3"/>
    <w:rsid w:val="508803EB"/>
    <w:rsid w:val="50AAB705"/>
    <w:rsid w:val="52776710"/>
    <w:rsid w:val="52953CBF"/>
    <w:rsid w:val="52DA2837"/>
    <w:rsid w:val="535738A2"/>
    <w:rsid w:val="539DC5B1"/>
    <w:rsid w:val="5412E216"/>
    <w:rsid w:val="54793A9A"/>
    <w:rsid w:val="5569B22F"/>
    <w:rsid w:val="571A8FFE"/>
    <w:rsid w:val="58968BAF"/>
    <w:rsid w:val="59422AB7"/>
    <w:rsid w:val="5B424398"/>
    <w:rsid w:val="5D52DB0D"/>
    <w:rsid w:val="5D7340BC"/>
    <w:rsid w:val="5ECEAE9C"/>
    <w:rsid w:val="5F0F7AD8"/>
    <w:rsid w:val="5FCB5444"/>
    <w:rsid w:val="602D5163"/>
    <w:rsid w:val="615D4883"/>
    <w:rsid w:val="61E896B6"/>
    <w:rsid w:val="6264746D"/>
    <w:rsid w:val="62720CA4"/>
    <w:rsid w:val="62BD65A9"/>
    <w:rsid w:val="62BD7041"/>
    <w:rsid w:val="6350DE41"/>
    <w:rsid w:val="6390A045"/>
    <w:rsid w:val="6424B19A"/>
    <w:rsid w:val="64425E28"/>
    <w:rsid w:val="6486657B"/>
    <w:rsid w:val="661F7ECF"/>
    <w:rsid w:val="692E8F94"/>
    <w:rsid w:val="698ACEE3"/>
    <w:rsid w:val="6ACA766B"/>
    <w:rsid w:val="6B010734"/>
    <w:rsid w:val="6B5E4E06"/>
    <w:rsid w:val="6B81B079"/>
    <w:rsid w:val="6C16AA92"/>
    <w:rsid w:val="6D525693"/>
    <w:rsid w:val="6E78DE90"/>
    <w:rsid w:val="6F6D3ABF"/>
    <w:rsid w:val="70B43A80"/>
    <w:rsid w:val="718598C4"/>
    <w:rsid w:val="718AC202"/>
    <w:rsid w:val="71E74DB7"/>
    <w:rsid w:val="72593690"/>
    <w:rsid w:val="73272B83"/>
    <w:rsid w:val="74176D39"/>
    <w:rsid w:val="741A02BA"/>
    <w:rsid w:val="74B2FA95"/>
    <w:rsid w:val="750ABFF2"/>
    <w:rsid w:val="750B4BF3"/>
    <w:rsid w:val="765D094A"/>
    <w:rsid w:val="7694C9A9"/>
    <w:rsid w:val="7758E7F5"/>
    <w:rsid w:val="77EA9B57"/>
    <w:rsid w:val="7914A1F2"/>
    <w:rsid w:val="79DCC3DD"/>
    <w:rsid w:val="79F0FEA4"/>
    <w:rsid w:val="7A090E20"/>
    <w:rsid w:val="7A4A94FE"/>
    <w:rsid w:val="7B5302D9"/>
    <w:rsid w:val="7B8CCF05"/>
    <w:rsid w:val="7D62F2BA"/>
    <w:rsid w:val="7DD8697A"/>
    <w:rsid w:val="7E8D1E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BC40E"/>
  <w15:chartTrackingRefBased/>
  <w15:docId w15:val="{66C36158-8B2F-433A-B976-D644B0E1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6C5"/>
    <w:pPr>
      <w:spacing w:after="0" w:line="240" w:lineRule="auto"/>
      <w:jc w:val="both"/>
    </w:pPr>
    <w:rPr>
      <w:rFonts w:ascii="Times New Roman" w:eastAsia="MS Mincho" w:hAnsi="Times New Roman" w:cs="Times New Roman"/>
      <w:kern w:val="0"/>
      <w:szCs w:val="24"/>
      <w14:ligatures w14:val="none"/>
    </w:rPr>
  </w:style>
  <w:style w:type="paragraph" w:styleId="Heading1">
    <w:name w:val="heading 1"/>
    <w:basedOn w:val="Normal"/>
    <w:next w:val="Normal"/>
    <w:link w:val="Heading1Char"/>
    <w:qFormat/>
    <w:rsid w:val="008566C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566C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566C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6C5"/>
    <w:rPr>
      <w:rFonts w:ascii="Times New Roman" w:eastAsia="MS Mincho" w:hAnsi="Times New Roman" w:cs="Times New Roman"/>
      <w:b/>
      <w:bCs/>
      <w:kern w:val="0"/>
      <w:szCs w:val="24"/>
      <w14:ligatures w14:val="none"/>
    </w:rPr>
  </w:style>
  <w:style w:type="character" w:customStyle="1" w:styleId="Heading2Char">
    <w:name w:val="Heading 2 Char"/>
    <w:basedOn w:val="DefaultParagraphFont"/>
    <w:link w:val="Heading2"/>
    <w:rsid w:val="008566C5"/>
    <w:rPr>
      <w:rFonts w:ascii="Calibri" w:eastAsia="MS Mincho" w:hAnsi="Calibri" w:cs="Times New Roman"/>
      <w:b/>
      <w:bCs/>
      <w:i/>
      <w:iCs/>
      <w:kern w:val="0"/>
      <w:sz w:val="28"/>
      <w:szCs w:val="28"/>
      <w14:ligatures w14:val="none"/>
    </w:rPr>
  </w:style>
  <w:style w:type="character" w:customStyle="1" w:styleId="Heading3Char">
    <w:name w:val="Heading 3 Char"/>
    <w:basedOn w:val="DefaultParagraphFont"/>
    <w:link w:val="Heading3"/>
    <w:rsid w:val="008566C5"/>
    <w:rPr>
      <w:rFonts w:ascii="Calibri" w:eastAsia="MS Mincho" w:hAnsi="Calibri" w:cs="Times New Roman"/>
      <w:b/>
      <w:bCs/>
      <w:kern w:val="0"/>
      <w:sz w:val="26"/>
      <w:szCs w:val="26"/>
      <w14:ligatures w14:val="none"/>
    </w:rPr>
  </w:style>
  <w:style w:type="paragraph" w:styleId="FootnoteText">
    <w:name w:val="footnote text"/>
    <w:basedOn w:val="Normal"/>
    <w:link w:val="FootnoteTextChar"/>
    <w:semiHidden/>
    <w:rsid w:val="008566C5"/>
    <w:pPr>
      <w:spacing w:before="60"/>
    </w:pPr>
    <w:rPr>
      <w:sz w:val="20"/>
    </w:rPr>
  </w:style>
  <w:style w:type="character" w:customStyle="1" w:styleId="FootnoteTextChar">
    <w:name w:val="Footnote Text Char"/>
    <w:basedOn w:val="DefaultParagraphFont"/>
    <w:link w:val="FootnoteText"/>
    <w:semiHidden/>
    <w:rsid w:val="008566C5"/>
    <w:rPr>
      <w:rFonts w:ascii="Times New Roman" w:eastAsia="MS Mincho" w:hAnsi="Times New Roman" w:cs="Times New Roman"/>
      <w:kern w:val="0"/>
      <w:sz w:val="20"/>
      <w:szCs w:val="24"/>
      <w14:ligatures w14:val="none"/>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8566C5"/>
    <w:rPr>
      <w:vertAlign w:val="superscript"/>
    </w:rPr>
  </w:style>
  <w:style w:type="paragraph" w:customStyle="1" w:styleId="Style">
    <w:name w:val="Style"/>
    <w:basedOn w:val="Footer"/>
    <w:autoRedefine/>
    <w:qFormat/>
    <w:rsid w:val="008566C5"/>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8566C5"/>
    <w:pPr>
      <w:tabs>
        <w:tab w:val="center" w:pos="4680"/>
        <w:tab w:val="right" w:pos="9360"/>
      </w:tabs>
    </w:pPr>
  </w:style>
  <w:style w:type="character" w:customStyle="1" w:styleId="FooterChar">
    <w:name w:val="Footer Char"/>
    <w:basedOn w:val="DefaultParagraphFont"/>
    <w:link w:val="Footer"/>
    <w:rsid w:val="008566C5"/>
    <w:rPr>
      <w:rFonts w:ascii="Times New Roman" w:eastAsia="MS Mincho" w:hAnsi="Times New Roman" w:cs="Times New Roman"/>
      <w:kern w:val="0"/>
      <w:szCs w:val="24"/>
      <w14:ligatures w14:val="none"/>
    </w:rPr>
  </w:style>
  <w:style w:type="character" w:styleId="PageNumber">
    <w:name w:val="page number"/>
    <w:rsid w:val="008566C5"/>
    <w:rPr>
      <w:rFonts w:ascii="Arial" w:hAnsi="Arial"/>
      <w:b/>
      <w:sz w:val="18"/>
    </w:rPr>
  </w:style>
  <w:style w:type="paragraph" w:customStyle="1" w:styleId="IPPArialFootnote">
    <w:name w:val="IPP Arial Footnote"/>
    <w:basedOn w:val="IPPArialTable"/>
    <w:qFormat/>
    <w:rsid w:val="008566C5"/>
    <w:pPr>
      <w:tabs>
        <w:tab w:val="left" w:pos="28"/>
      </w:tabs>
      <w:ind w:left="284" w:hanging="284"/>
    </w:pPr>
    <w:rPr>
      <w:sz w:val="16"/>
    </w:rPr>
  </w:style>
  <w:style w:type="paragraph" w:customStyle="1" w:styleId="IPPContentsHead">
    <w:name w:val="IPP ContentsHead"/>
    <w:basedOn w:val="IPPSubhead"/>
    <w:next w:val="IPPNormal"/>
    <w:qFormat/>
    <w:rsid w:val="008566C5"/>
    <w:pPr>
      <w:spacing w:after="240"/>
    </w:pPr>
    <w:rPr>
      <w:sz w:val="24"/>
    </w:rPr>
  </w:style>
  <w:style w:type="table" w:styleId="TableGrid">
    <w:name w:val="Table Grid"/>
    <w:basedOn w:val="TableNormal"/>
    <w:rsid w:val="008566C5"/>
    <w:pPr>
      <w:spacing w:after="0" w:line="240" w:lineRule="auto"/>
    </w:pPr>
    <w:rPr>
      <w:rFonts w:ascii="Cambria" w:eastAsia="MS Mincho" w:hAnsi="Cambria" w:cs="Times New Roman"/>
      <w:kern w:val="0"/>
      <w:sz w:val="20"/>
      <w:szCs w:val="2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66C5"/>
    <w:rPr>
      <w:rFonts w:ascii="Tahoma" w:hAnsi="Tahoma" w:cs="Tahoma"/>
      <w:sz w:val="16"/>
      <w:szCs w:val="16"/>
    </w:rPr>
  </w:style>
  <w:style w:type="character" w:customStyle="1" w:styleId="BalloonTextChar">
    <w:name w:val="Balloon Text Char"/>
    <w:basedOn w:val="DefaultParagraphFont"/>
    <w:link w:val="BalloonText"/>
    <w:rsid w:val="008566C5"/>
    <w:rPr>
      <w:rFonts w:ascii="Tahoma" w:eastAsia="MS Mincho" w:hAnsi="Tahoma" w:cs="Tahoma"/>
      <w:kern w:val="0"/>
      <w:sz w:val="16"/>
      <w:szCs w:val="16"/>
      <w14:ligatures w14:val="none"/>
    </w:rPr>
  </w:style>
  <w:style w:type="paragraph" w:customStyle="1" w:styleId="IPPBullet2">
    <w:name w:val="IPP Bullet2"/>
    <w:basedOn w:val="IPPNormal"/>
    <w:next w:val="IPPBullet1"/>
    <w:qFormat/>
    <w:rsid w:val="008566C5"/>
    <w:pPr>
      <w:numPr>
        <w:numId w:val="4"/>
      </w:numPr>
      <w:tabs>
        <w:tab w:val="left" w:pos="1134"/>
      </w:tabs>
      <w:spacing w:after="60"/>
      <w:ind w:left="1134" w:hanging="567"/>
    </w:pPr>
  </w:style>
  <w:style w:type="paragraph" w:customStyle="1" w:styleId="IPPQuote">
    <w:name w:val="IPP Quote"/>
    <w:basedOn w:val="IPPNormal"/>
    <w:qFormat/>
    <w:rsid w:val="008566C5"/>
    <w:pPr>
      <w:ind w:left="851" w:right="851"/>
    </w:pPr>
    <w:rPr>
      <w:sz w:val="18"/>
    </w:rPr>
  </w:style>
  <w:style w:type="paragraph" w:customStyle="1" w:styleId="IPPNormal">
    <w:name w:val="IPP Normal"/>
    <w:basedOn w:val="Normal"/>
    <w:qFormat/>
    <w:rsid w:val="008566C5"/>
    <w:pPr>
      <w:spacing w:after="180"/>
    </w:pPr>
    <w:rPr>
      <w:rFonts w:eastAsia="Times"/>
    </w:rPr>
  </w:style>
  <w:style w:type="paragraph" w:customStyle="1" w:styleId="IPPIndentClose">
    <w:name w:val="IPP Indent Close"/>
    <w:basedOn w:val="IPPNormal"/>
    <w:qFormat/>
    <w:rsid w:val="008566C5"/>
    <w:pPr>
      <w:tabs>
        <w:tab w:val="left" w:pos="2835"/>
      </w:tabs>
      <w:spacing w:after="60"/>
      <w:ind w:left="567"/>
    </w:pPr>
  </w:style>
  <w:style w:type="paragraph" w:customStyle="1" w:styleId="IPPIndent">
    <w:name w:val="IPP Indent"/>
    <w:basedOn w:val="IPPIndentClose"/>
    <w:qFormat/>
    <w:rsid w:val="008566C5"/>
    <w:pPr>
      <w:spacing w:after="180"/>
    </w:pPr>
  </w:style>
  <w:style w:type="paragraph" w:customStyle="1" w:styleId="IPPFootnote">
    <w:name w:val="IPP Footnote"/>
    <w:basedOn w:val="IPPArialFootnote"/>
    <w:qFormat/>
    <w:rsid w:val="008566C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566C5"/>
    <w:pPr>
      <w:keepNext/>
      <w:tabs>
        <w:tab w:val="left" w:pos="567"/>
      </w:tabs>
      <w:spacing w:before="120" w:after="120"/>
      <w:ind w:left="567" w:hanging="567"/>
    </w:pPr>
    <w:rPr>
      <w:b/>
      <w:i/>
    </w:rPr>
  </w:style>
  <w:style w:type="character" w:customStyle="1" w:styleId="IPPnormalitalics">
    <w:name w:val="IPP normal italics"/>
    <w:basedOn w:val="DefaultParagraphFont"/>
    <w:rsid w:val="008566C5"/>
    <w:rPr>
      <w:rFonts w:ascii="Times New Roman" w:hAnsi="Times New Roman"/>
      <w:i/>
      <w:sz w:val="22"/>
      <w:lang w:val="en-US"/>
    </w:rPr>
  </w:style>
  <w:style w:type="character" w:customStyle="1" w:styleId="IPPNormalbold">
    <w:name w:val="IPP Normal bold"/>
    <w:basedOn w:val="PlainTextChar"/>
    <w:rsid w:val="008566C5"/>
    <w:rPr>
      <w:rFonts w:ascii="Times New Roman" w:eastAsia="Times" w:hAnsi="Times New Roman" w:cs="Times New Roman"/>
      <w:b/>
      <w:kern w:val="0"/>
      <w:sz w:val="22"/>
      <w:szCs w:val="21"/>
      <w:lang w:val="en-AU"/>
      <w14:ligatures w14:val="none"/>
    </w:rPr>
  </w:style>
  <w:style w:type="paragraph" w:customStyle="1" w:styleId="IPPHeadSection">
    <w:name w:val="IPP HeadSection"/>
    <w:basedOn w:val="Normal"/>
    <w:next w:val="Normal"/>
    <w:qFormat/>
    <w:rsid w:val="008566C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566C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566C5"/>
    <w:pPr>
      <w:keepNext/>
      <w:ind w:left="567" w:hanging="567"/>
      <w:jc w:val="left"/>
    </w:pPr>
    <w:rPr>
      <w:b/>
      <w:bCs/>
      <w:iCs/>
      <w:szCs w:val="22"/>
    </w:rPr>
  </w:style>
  <w:style w:type="character" w:customStyle="1" w:styleId="IPPNormalunderlined">
    <w:name w:val="IPP Normal underlined"/>
    <w:basedOn w:val="DefaultParagraphFont"/>
    <w:rsid w:val="008566C5"/>
    <w:rPr>
      <w:rFonts w:ascii="Times New Roman" w:hAnsi="Times New Roman"/>
      <w:sz w:val="22"/>
      <w:u w:val="single"/>
      <w:lang w:val="en-US"/>
    </w:rPr>
  </w:style>
  <w:style w:type="paragraph" w:customStyle="1" w:styleId="IPPBullet1">
    <w:name w:val="IPP Bullet1"/>
    <w:basedOn w:val="IPPBullet1Last"/>
    <w:qFormat/>
    <w:rsid w:val="008566C5"/>
    <w:pPr>
      <w:numPr>
        <w:numId w:val="9"/>
      </w:numPr>
      <w:spacing w:after="60"/>
      <w:ind w:left="567" w:hanging="567"/>
    </w:pPr>
    <w:rPr>
      <w:lang w:val="en-US"/>
    </w:rPr>
  </w:style>
  <w:style w:type="paragraph" w:customStyle="1" w:styleId="IPPBullet1Last">
    <w:name w:val="IPP Bullet1Last"/>
    <w:basedOn w:val="IPPNormal"/>
    <w:next w:val="IPPNormal"/>
    <w:qFormat/>
    <w:rsid w:val="008566C5"/>
    <w:pPr>
      <w:numPr>
        <w:numId w:val="5"/>
      </w:numPr>
    </w:pPr>
  </w:style>
  <w:style w:type="character" w:customStyle="1" w:styleId="IPPNormalstrikethrough">
    <w:name w:val="IPP Normal strikethrough"/>
    <w:rsid w:val="008566C5"/>
    <w:rPr>
      <w:rFonts w:ascii="Times New Roman" w:hAnsi="Times New Roman"/>
      <w:strike/>
      <w:dstrike w:val="0"/>
      <w:sz w:val="22"/>
    </w:rPr>
  </w:style>
  <w:style w:type="paragraph" w:customStyle="1" w:styleId="IPPTitle16pt">
    <w:name w:val="IPP Title16pt"/>
    <w:basedOn w:val="Normal"/>
    <w:qFormat/>
    <w:rsid w:val="008566C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566C5"/>
    <w:pPr>
      <w:spacing w:after="360"/>
      <w:jc w:val="center"/>
    </w:pPr>
    <w:rPr>
      <w:rFonts w:ascii="Arial" w:hAnsi="Arial" w:cs="Arial"/>
      <w:b/>
      <w:bCs/>
      <w:sz w:val="36"/>
      <w:szCs w:val="36"/>
    </w:rPr>
  </w:style>
  <w:style w:type="paragraph" w:customStyle="1" w:styleId="IPPHeader">
    <w:name w:val="IPP Header"/>
    <w:basedOn w:val="Normal"/>
    <w:qFormat/>
    <w:rsid w:val="008566C5"/>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8566C5"/>
    <w:pPr>
      <w:keepNext/>
      <w:tabs>
        <w:tab w:val="left" w:pos="567"/>
      </w:tabs>
      <w:spacing w:before="120"/>
      <w:jc w:val="left"/>
      <w:outlineLvl w:val="1"/>
    </w:pPr>
    <w:rPr>
      <w:b/>
      <w:sz w:val="24"/>
    </w:rPr>
  </w:style>
  <w:style w:type="numbering" w:customStyle="1" w:styleId="IPPParagraphnumberedlist">
    <w:name w:val="IPP Paragraph numbered list"/>
    <w:rsid w:val="008566C5"/>
    <w:pPr>
      <w:numPr>
        <w:numId w:val="3"/>
      </w:numPr>
    </w:pPr>
  </w:style>
  <w:style w:type="paragraph" w:customStyle="1" w:styleId="IPPNormalCloseSpace">
    <w:name w:val="IPP NormalCloseSpace"/>
    <w:basedOn w:val="Normal"/>
    <w:qFormat/>
    <w:rsid w:val="008566C5"/>
    <w:pPr>
      <w:keepNext/>
      <w:spacing w:after="60"/>
    </w:pPr>
  </w:style>
  <w:style w:type="paragraph" w:customStyle="1" w:styleId="IPPHeading2">
    <w:name w:val="IPP Heading2"/>
    <w:basedOn w:val="IPPNormal"/>
    <w:next w:val="IPPNormal"/>
    <w:qFormat/>
    <w:rsid w:val="008566C5"/>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8566C5"/>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8566C5"/>
    <w:pPr>
      <w:tabs>
        <w:tab w:val="right" w:leader="dot" w:pos="9072"/>
      </w:tabs>
      <w:spacing w:before="240"/>
      <w:ind w:left="567" w:hanging="567"/>
    </w:pPr>
  </w:style>
  <w:style w:type="paragraph" w:styleId="TOC2">
    <w:name w:val="toc 2"/>
    <w:basedOn w:val="TOC1"/>
    <w:next w:val="Normal"/>
    <w:autoRedefine/>
    <w:uiPriority w:val="39"/>
    <w:rsid w:val="008566C5"/>
    <w:pPr>
      <w:keepNext w:val="0"/>
      <w:tabs>
        <w:tab w:val="left" w:pos="425"/>
      </w:tabs>
      <w:spacing w:before="120" w:after="0"/>
      <w:ind w:left="425" w:right="284" w:hanging="425"/>
    </w:pPr>
  </w:style>
  <w:style w:type="paragraph" w:styleId="TOC3">
    <w:name w:val="toc 3"/>
    <w:basedOn w:val="TOC2"/>
    <w:next w:val="Normal"/>
    <w:autoRedefine/>
    <w:uiPriority w:val="39"/>
    <w:rsid w:val="008566C5"/>
    <w:pPr>
      <w:tabs>
        <w:tab w:val="left" w:pos="1276"/>
      </w:tabs>
      <w:spacing w:before="60"/>
      <w:ind w:left="1276" w:hanging="851"/>
    </w:pPr>
    <w:rPr>
      <w:rFonts w:eastAsia="Times"/>
    </w:rPr>
  </w:style>
  <w:style w:type="paragraph" w:styleId="TOC4">
    <w:name w:val="toc 4"/>
    <w:basedOn w:val="Normal"/>
    <w:next w:val="Normal"/>
    <w:autoRedefine/>
    <w:uiPriority w:val="39"/>
    <w:rsid w:val="008566C5"/>
    <w:pPr>
      <w:spacing w:after="120"/>
      <w:ind w:left="660"/>
    </w:pPr>
    <w:rPr>
      <w:rFonts w:eastAsia="Times"/>
      <w:lang w:val="en-AU"/>
    </w:rPr>
  </w:style>
  <w:style w:type="paragraph" w:styleId="TOC5">
    <w:name w:val="toc 5"/>
    <w:basedOn w:val="Normal"/>
    <w:next w:val="Normal"/>
    <w:autoRedefine/>
    <w:uiPriority w:val="39"/>
    <w:rsid w:val="008566C5"/>
    <w:pPr>
      <w:spacing w:after="120"/>
      <w:ind w:left="880"/>
    </w:pPr>
    <w:rPr>
      <w:rFonts w:eastAsia="Times"/>
      <w:lang w:val="en-AU"/>
    </w:rPr>
  </w:style>
  <w:style w:type="paragraph" w:styleId="TOC6">
    <w:name w:val="toc 6"/>
    <w:basedOn w:val="Normal"/>
    <w:next w:val="Normal"/>
    <w:autoRedefine/>
    <w:uiPriority w:val="39"/>
    <w:rsid w:val="008566C5"/>
    <w:pPr>
      <w:spacing w:after="120"/>
      <w:ind w:left="1100"/>
    </w:pPr>
    <w:rPr>
      <w:rFonts w:eastAsia="Times"/>
      <w:lang w:val="en-AU"/>
    </w:rPr>
  </w:style>
  <w:style w:type="paragraph" w:styleId="TOC7">
    <w:name w:val="toc 7"/>
    <w:basedOn w:val="Normal"/>
    <w:next w:val="Normal"/>
    <w:autoRedefine/>
    <w:uiPriority w:val="39"/>
    <w:rsid w:val="008566C5"/>
    <w:pPr>
      <w:spacing w:after="120"/>
      <w:ind w:left="1320"/>
    </w:pPr>
    <w:rPr>
      <w:rFonts w:eastAsia="Times"/>
      <w:lang w:val="en-AU"/>
    </w:rPr>
  </w:style>
  <w:style w:type="paragraph" w:styleId="TOC8">
    <w:name w:val="toc 8"/>
    <w:basedOn w:val="Normal"/>
    <w:next w:val="Normal"/>
    <w:autoRedefine/>
    <w:uiPriority w:val="39"/>
    <w:rsid w:val="008566C5"/>
    <w:pPr>
      <w:spacing w:after="120"/>
      <w:ind w:left="1540"/>
    </w:pPr>
    <w:rPr>
      <w:rFonts w:eastAsia="Times"/>
      <w:lang w:val="en-AU"/>
    </w:rPr>
  </w:style>
  <w:style w:type="paragraph" w:styleId="TOC9">
    <w:name w:val="toc 9"/>
    <w:basedOn w:val="Normal"/>
    <w:next w:val="Normal"/>
    <w:autoRedefine/>
    <w:uiPriority w:val="39"/>
    <w:rsid w:val="008566C5"/>
    <w:pPr>
      <w:spacing w:after="120"/>
      <w:ind w:left="1760"/>
    </w:pPr>
    <w:rPr>
      <w:rFonts w:eastAsia="Times"/>
      <w:lang w:val="en-AU"/>
    </w:rPr>
  </w:style>
  <w:style w:type="paragraph" w:customStyle="1" w:styleId="IPPReferences">
    <w:name w:val="IPP References"/>
    <w:basedOn w:val="IPPNormal"/>
    <w:qFormat/>
    <w:rsid w:val="008566C5"/>
    <w:pPr>
      <w:spacing w:after="60"/>
      <w:ind w:left="567" w:hanging="567"/>
    </w:pPr>
  </w:style>
  <w:style w:type="paragraph" w:customStyle="1" w:styleId="IPPArial">
    <w:name w:val="IPP Arial"/>
    <w:basedOn w:val="IPPNormal"/>
    <w:qFormat/>
    <w:rsid w:val="008566C5"/>
    <w:pPr>
      <w:spacing w:after="0"/>
    </w:pPr>
    <w:rPr>
      <w:rFonts w:ascii="Arial" w:hAnsi="Arial"/>
      <w:sz w:val="18"/>
    </w:rPr>
  </w:style>
  <w:style w:type="paragraph" w:customStyle="1" w:styleId="IPPArialTable">
    <w:name w:val="IPP Arial Table"/>
    <w:basedOn w:val="IPPArial"/>
    <w:qFormat/>
    <w:rsid w:val="008566C5"/>
    <w:pPr>
      <w:spacing w:before="60" w:after="60"/>
      <w:jc w:val="left"/>
    </w:pPr>
  </w:style>
  <w:style w:type="paragraph" w:customStyle="1" w:styleId="IPPHeaderlandscape">
    <w:name w:val="IPP Header landscape"/>
    <w:basedOn w:val="IPPHeader"/>
    <w:qFormat/>
    <w:rsid w:val="008566C5"/>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8566C5"/>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8566C5"/>
    <w:rPr>
      <w:rFonts w:ascii="Courier" w:eastAsia="Times" w:hAnsi="Courier" w:cs="Times New Roman"/>
      <w:kern w:val="0"/>
      <w:sz w:val="21"/>
      <w:szCs w:val="21"/>
      <w:lang w:val="en-AU"/>
      <w14:ligatures w14:val="none"/>
    </w:rPr>
  </w:style>
  <w:style w:type="paragraph" w:customStyle="1" w:styleId="IPPLetterList">
    <w:name w:val="IPP LetterList"/>
    <w:basedOn w:val="IPPBullet2"/>
    <w:qFormat/>
    <w:rsid w:val="008566C5"/>
    <w:pPr>
      <w:numPr>
        <w:numId w:val="1"/>
      </w:numPr>
      <w:jc w:val="left"/>
    </w:pPr>
  </w:style>
  <w:style w:type="paragraph" w:customStyle="1" w:styleId="IPPLetterListIndent">
    <w:name w:val="IPP LetterList Indent"/>
    <w:basedOn w:val="IPPLetterList"/>
    <w:qFormat/>
    <w:rsid w:val="008566C5"/>
    <w:pPr>
      <w:numPr>
        <w:numId w:val="2"/>
      </w:numPr>
    </w:pPr>
  </w:style>
  <w:style w:type="paragraph" w:customStyle="1" w:styleId="IPPFooterLandscape">
    <w:name w:val="IPP Footer Landscape"/>
    <w:basedOn w:val="IPPHeaderlandscape"/>
    <w:qFormat/>
    <w:rsid w:val="008566C5"/>
    <w:pPr>
      <w:pBdr>
        <w:top w:val="single" w:sz="4" w:space="1" w:color="auto"/>
        <w:bottom w:val="none" w:sz="0" w:space="0" w:color="auto"/>
      </w:pBdr>
      <w:jc w:val="right"/>
    </w:pPr>
    <w:rPr>
      <w:b/>
    </w:rPr>
  </w:style>
  <w:style w:type="paragraph" w:customStyle="1" w:styleId="IPPSubheadSpace">
    <w:name w:val="IPP Subhead Space"/>
    <w:basedOn w:val="IPPSubhead"/>
    <w:qFormat/>
    <w:rsid w:val="008566C5"/>
    <w:pPr>
      <w:tabs>
        <w:tab w:val="left" w:pos="567"/>
      </w:tabs>
      <w:spacing w:before="60" w:after="60"/>
    </w:pPr>
  </w:style>
  <w:style w:type="paragraph" w:customStyle="1" w:styleId="IPPSubheadSpaceAfter">
    <w:name w:val="IPP Subhead SpaceAfter"/>
    <w:basedOn w:val="IPPSubhead"/>
    <w:qFormat/>
    <w:rsid w:val="008566C5"/>
    <w:pPr>
      <w:spacing w:after="60"/>
    </w:pPr>
  </w:style>
  <w:style w:type="paragraph" w:customStyle="1" w:styleId="IPPHdg1Num">
    <w:name w:val="IPP Hdg1Num"/>
    <w:basedOn w:val="IPPHeading1"/>
    <w:next w:val="IPPNormal"/>
    <w:qFormat/>
    <w:rsid w:val="008566C5"/>
    <w:pPr>
      <w:numPr>
        <w:numId w:val="6"/>
      </w:numPr>
    </w:pPr>
  </w:style>
  <w:style w:type="paragraph" w:customStyle="1" w:styleId="IPPHdg2Num">
    <w:name w:val="IPP Hdg2Num"/>
    <w:basedOn w:val="IPPHeading2"/>
    <w:next w:val="IPPNormal"/>
    <w:qFormat/>
    <w:rsid w:val="008566C5"/>
    <w:pPr>
      <w:numPr>
        <w:ilvl w:val="1"/>
        <w:numId w:val="7"/>
      </w:numPr>
    </w:pPr>
  </w:style>
  <w:style w:type="paragraph" w:customStyle="1" w:styleId="IPPNumberedList">
    <w:name w:val="IPP NumberedList"/>
    <w:basedOn w:val="IPPBullet1"/>
    <w:qFormat/>
    <w:rsid w:val="008566C5"/>
    <w:pPr>
      <w:numPr>
        <w:numId w:val="8"/>
      </w:numPr>
    </w:pPr>
  </w:style>
  <w:style w:type="paragraph" w:styleId="Header">
    <w:name w:val="header"/>
    <w:basedOn w:val="Normal"/>
    <w:link w:val="HeaderChar"/>
    <w:rsid w:val="008566C5"/>
    <w:pPr>
      <w:tabs>
        <w:tab w:val="center" w:pos="4680"/>
        <w:tab w:val="right" w:pos="9360"/>
      </w:tabs>
    </w:pPr>
  </w:style>
  <w:style w:type="character" w:customStyle="1" w:styleId="HeaderChar">
    <w:name w:val="Header Char"/>
    <w:basedOn w:val="DefaultParagraphFont"/>
    <w:link w:val="Header"/>
    <w:rsid w:val="008566C5"/>
    <w:rPr>
      <w:rFonts w:ascii="Times New Roman" w:eastAsia="MS Mincho" w:hAnsi="Times New Roman" w:cs="Times New Roman"/>
      <w:kern w:val="0"/>
      <w:szCs w:val="24"/>
      <w14:ligatures w14:val="none"/>
    </w:rPr>
  </w:style>
  <w:style w:type="character" w:styleId="Strong">
    <w:name w:val="Strong"/>
    <w:basedOn w:val="DefaultParagraphFont"/>
    <w:qFormat/>
    <w:rsid w:val="008566C5"/>
    <w:rPr>
      <w:b/>
      <w:bCs/>
    </w:rPr>
  </w:style>
  <w:style w:type="paragraph" w:styleId="ListParagraph">
    <w:name w:val="List Paragraph"/>
    <w:basedOn w:val="Normal"/>
    <w:uiPriority w:val="34"/>
    <w:qFormat/>
    <w:rsid w:val="008566C5"/>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8566C5"/>
    <w:pPr>
      <w:numPr>
        <w:numId w:val="59"/>
      </w:numPr>
    </w:pPr>
    <w:rPr>
      <w:lang w:val="en-US"/>
    </w:rPr>
  </w:style>
  <w:style w:type="paragraph" w:customStyle="1" w:styleId="IPPParagraphnumberingclose">
    <w:name w:val="IPP Paragraph numbering close"/>
    <w:basedOn w:val="IPPParagraphnumbering"/>
    <w:qFormat/>
    <w:rsid w:val="008566C5"/>
    <w:pPr>
      <w:keepNext/>
      <w:spacing w:after="60"/>
    </w:pPr>
  </w:style>
  <w:style w:type="paragraph" w:customStyle="1" w:styleId="IPPNumberedListLast">
    <w:name w:val="IPP NumberedListLast"/>
    <w:basedOn w:val="IPPNumberedList"/>
    <w:qFormat/>
    <w:rsid w:val="008566C5"/>
    <w:pPr>
      <w:spacing w:after="180"/>
    </w:pPr>
  </w:style>
  <w:style w:type="character" w:styleId="Hyperlink">
    <w:name w:val="Hyperlink"/>
    <w:basedOn w:val="DefaultParagraphFont"/>
    <w:unhideWhenUsed/>
    <w:rsid w:val="008566C5"/>
    <w:rPr>
      <w:color w:val="0000FF"/>
      <w:u w:val="none"/>
    </w:rPr>
  </w:style>
  <w:style w:type="character" w:styleId="FollowedHyperlink">
    <w:name w:val="FollowedHyperlink"/>
    <w:basedOn w:val="DefaultParagraphFont"/>
    <w:semiHidden/>
    <w:unhideWhenUsed/>
    <w:rsid w:val="008566C5"/>
    <w:rPr>
      <w:color w:val="954F72" w:themeColor="followedHyperlink"/>
      <w:u w:val="none"/>
    </w:rPr>
  </w:style>
  <w:style w:type="character" w:styleId="CommentReference">
    <w:name w:val="annotation reference"/>
    <w:basedOn w:val="DefaultParagraphFont"/>
    <w:uiPriority w:val="99"/>
    <w:semiHidden/>
    <w:unhideWhenUsed/>
    <w:rsid w:val="00152C13"/>
    <w:rPr>
      <w:sz w:val="16"/>
      <w:szCs w:val="16"/>
    </w:rPr>
  </w:style>
  <w:style w:type="paragraph" w:styleId="CommentText">
    <w:name w:val="annotation text"/>
    <w:basedOn w:val="Normal"/>
    <w:link w:val="CommentTextChar"/>
    <w:uiPriority w:val="99"/>
    <w:unhideWhenUsed/>
    <w:rsid w:val="00152C13"/>
    <w:rPr>
      <w:sz w:val="20"/>
      <w:szCs w:val="20"/>
    </w:rPr>
  </w:style>
  <w:style w:type="character" w:customStyle="1" w:styleId="CommentTextChar">
    <w:name w:val="Comment Text Char"/>
    <w:basedOn w:val="DefaultParagraphFont"/>
    <w:link w:val="CommentText"/>
    <w:uiPriority w:val="99"/>
    <w:rsid w:val="00152C13"/>
    <w:rPr>
      <w:rFonts w:ascii="Times New Roman" w:eastAsia="MS Mincho"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52C13"/>
    <w:rPr>
      <w:b/>
      <w:bCs/>
    </w:rPr>
  </w:style>
  <w:style w:type="character" w:customStyle="1" w:styleId="CommentSubjectChar">
    <w:name w:val="Comment Subject Char"/>
    <w:basedOn w:val="CommentTextChar"/>
    <w:link w:val="CommentSubject"/>
    <w:uiPriority w:val="99"/>
    <w:semiHidden/>
    <w:rsid w:val="00152C13"/>
    <w:rPr>
      <w:rFonts w:ascii="Times New Roman" w:eastAsia="MS Mincho" w:hAnsi="Times New Roman" w:cs="Times New Roman"/>
      <w:b/>
      <w:bCs/>
      <w:kern w:val="0"/>
      <w:sz w:val="20"/>
      <w:szCs w:val="20"/>
      <w14:ligatures w14:val="none"/>
    </w:rPr>
  </w:style>
  <w:style w:type="character" w:customStyle="1" w:styleId="fontstyle01">
    <w:name w:val="fontstyle01"/>
    <w:basedOn w:val="DefaultParagraphFont"/>
    <w:rsid w:val="006F38AF"/>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6F38AF"/>
    <w:rPr>
      <w:rFonts w:ascii="TimesNewRomanPS-ItalicMT" w:hAnsi="TimesNewRomanPS-ItalicMT" w:hint="default"/>
      <w:b w:val="0"/>
      <w:bCs w:val="0"/>
      <w:i/>
      <w:iCs/>
      <w:color w:val="000000"/>
      <w:sz w:val="22"/>
      <w:szCs w:val="22"/>
    </w:rPr>
  </w:style>
  <w:style w:type="paragraph" w:styleId="Revision">
    <w:name w:val="Revision"/>
    <w:hidden/>
    <w:uiPriority w:val="99"/>
    <w:semiHidden/>
    <w:rsid w:val="003B6D82"/>
    <w:pPr>
      <w:spacing w:after="0" w:line="240" w:lineRule="auto"/>
    </w:pPr>
    <w:rPr>
      <w:rFonts w:ascii="Times New Roman" w:eastAsia="MS Mincho" w:hAnsi="Times New Roman" w:cs="Times New Roman"/>
      <w:kern w:val="0"/>
      <w:szCs w:val="24"/>
      <w14:ligatures w14:val="none"/>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D31814"/>
  </w:style>
  <w:style w:type="paragraph" w:styleId="NormalWeb">
    <w:name w:val="Normal (Web)"/>
    <w:basedOn w:val="Normal"/>
    <w:uiPriority w:val="99"/>
    <w:semiHidden/>
    <w:unhideWhenUsed/>
    <w:rsid w:val="00CA1494"/>
    <w:pPr>
      <w:spacing w:before="100" w:beforeAutospacing="1" w:after="100" w:afterAutospacing="1"/>
      <w:jc w:val="left"/>
    </w:pPr>
    <w:rPr>
      <w:rFonts w:eastAsia="Times New Roman"/>
      <w:sz w:val="24"/>
      <w:lang w:eastAsia="en-GB"/>
    </w:rPr>
  </w:style>
  <w:style w:type="paragraph" w:customStyle="1" w:styleId="xelementtoproof">
    <w:name w:val="x_elementtoproof"/>
    <w:basedOn w:val="Normal"/>
    <w:rsid w:val="00CA1494"/>
    <w:pPr>
      <w:spacing w:before="100" w:beforeAutospacing="1" w:after="100" w:afterAutospacing="1"/>
      <w:jc w:val="left"/>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4189">
      <w:bodyDiv w:val="1"/>
      <w:marLeft w:val="0"/>
      <w:marRight w:val="0"/>
      <w:marTop w:val="0"/>
      <w:marBottom w:val="0"/>
      <w:divBdr>
        <w:top w:val="none" w:sz="0" w:space="0" w:color="auto"/>
        <w:left w:val="none" w:sz="0" w:space="0" w:color="auto"/>
        <w:bottom w:val="none" w:sz="0" w:space="0" w:color="auto"/>
        <w:right w:val="none" w:sz="0" w:space="0" w:color="auto"/>
      </w:divBdr>
      <w:divsChild>
        <w:div w:id="1554579607">
          <w:marLeft w:val="0"/>
          <w:marRight w:val="0"/>
          <w:marTop w:val="0"/>
          <w:marBottom w:val="0"/>
          <w:divBdr>
            <w:top w:val="none" w:sz="0" w:space="0" w:color="auto"/>
            <w:left w:val="none" w:sz="0" w:space="0" w:color="auto"/>
            <w:bottom w:val="none" w:sz="0" w:space="0" w:color="auto"/>
            <w:right w:val="none" w:sz="0" w:space="0" w:color="auto"/>
          </w:divBdr>
        </w:div>
        <w:div w:id="396051601">
          <w:marLeft w:val="0"/>
          <w:marRight w:val="0"/>
          <w:marTop w:val="0"/>
          <w:marBottom w:val="0"/>
          <w:divBdr>
            <w:top w:val="none" w:sz="0" w:space="0" w:color="auto"/>
            <w:left w:val="none" w:sz="0" w:space="0" w:color="auto"/>
            <w:bottom w:val="none" w:sz="0" w:space="0" w:color="auto"/>
            <w:right w:val="none" w:sz="0" w:space="0" w:color="auto"/>
          </w:divBdr>
        </w:div>
      </w:divsChild>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512184257">
      <w:bodyDiv w:val="1"/>
      <w:marLeft w:val="0"/>
      <w:marRight w:val="0"/>
      <w:marTop w:val="0"/>
      <w:marBottom w:val="0"/>
      <w:divBdr>
        <w:top w:val="none" w:sz="0" w:space="0" w:color="auto"/>
        <w:left w:val="none" w:sz="0" w:space="0" w:color="auto"/>
        <w:bottom w:val="none" w:sz="0" w:space="0" w:color="auto"/>
        <w:right w:val="none" w:sz="0" w:space="0" w:color="auto"/>
      </w:divBdr>
    </w:div>
    <w:div w:id="850265350">
      <w:bodyDiv w:val="1"/>
      <w:marLeft w:val="0"/>
      <w:marRight w:val="0"/>
      <w:marTop w:val="0"/>
      <w:marBottom w:val="0"/>
      <w:divBdr>
        <w:top w:val="none" w:sz="0" w:space="0" w:color="auto"/>
        <w:left w:val="none" w:sz="0" w:space="0" w:color="auto"/>
        <w:bottom w:val="none" w:sz="0" w:space="0" w:color="auto"/>
        <w:right w:val="none" w:sz="0" w:space="0" w:color="auto"/>
      </w:divBdr>
    </w:div>
    <w:div w:id="1020089949">
      <w:bodyDiv w:val="1"/>
      <w:marLeft w:val="0"/>
      <w:marRight w:val="0"/>
      <w:marTop w:val="0"/>
      <w:marBottom w:val="0"/>
      <w:divBdr>
        <w:top w:val="none" w:sz="0" w:space="0" w:color="auto"/>
        <w:left w:val="none" w:sz="0" w:space="0" w:color="auto"/>
        <w:bottom w:val="none" w:sz="0" w:space="0" w:color="auto"/>
        <w:right w:val="none" w:sz="0" w:space="0" w:color="auto"/>
      </w:divBdr>
    </w:div>
    <w:div w:id="20900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OneDrive\Desktop\IPPC_2023-01-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SharedWithUsers xmlns="a05d7f75-f42e-4288-8809-604fd4d9691f">
      <UserInfo>
        <DisplayName>Cassin, Aoife (NSP)</DisplayName>
        <AccountId>14363</AccountId>
        <AccountType/>
      </UserInfo>
      <UserInfo>
        <DisplayName>Deng, Arop (NSPD)</DisplayName>
        <AccountId>14322</AccountId>
        <AccountType/>
      </UserInfo>
      <UserInfo>
        <DisplayName>Rouen, Karen (NSPD)</DisplayName>
        <AccountId>17944</AccountId>
        <AccountType/>
      </UserInfo>
      <UserInfo>
        <DisplayName>Benovic, Marko (NSPD)</DisplayName>
        <AccountId>14350</AccountId>
        <AccountType/>
      </UserInfo>
      <UserInfo>
        <DisplayName>Menon, Dominique (NSPD)</DisplayName>
        <AccountId>16056</AccountId>
        <AccountType/>
      </UserInfo>
      <UserInfo>
        <DisplayName>Nersisyan, Avetik (NSP)</DisplayName>
        <AccountId>14349</AccountId>
        <AccountType/>
      </UserInfo>
      <UserInfo>
        <DisplayName>Krah, Emmanuel (NSPD)</DisplayName>
        <AccountId>16346</AccountId>
        <AccountType/>
      </UserInfo>
      <UserInfo>
        <DisplayName>Shamilov, Artur (NSP)</DisplayName>
        <AccountId>14351</AccountId>
        <AccountType/>
      </UserInfo>
      <UserInfo>
        <DisplayName>Moreira, Adriana (NSP)</DisplayName>
        <AccountId>14323</AccountId>
        <AccountType/>
      </UserInfo>
      <UserInfo>
        <DisplayName>Frio, Mutya (NSPDD)</DisplayName>
        <AccountId>14366</AccountId>
        <AccountType/>
      </UserInfo>
      <UserInfo>
        <DisplayName>Madaminova, Rokhila (NSPD)</DisplayName>
        <AccountId>14562</AccountId>
        <AccountType/>
      </UserInfo>
      <UserInfo>
        <DisplayName>BeltranMontoya, Camilo (NSP)</DisplayName>
        <AccountId>14362</AccountId>
        <AccountType/>
      </UserInfo>
      <UserInfo>
        <DisplayName>Peterson, Barbara (NSP)</DisplayName>
        <AccountId>14375</AccountId>
        <AccountType/>
      </UserInfo>
      <UserInfo>
        <DisplayName>Koumba, Descartes (NSP)</DisplayName>
        <AccountId>14370</AccountId>
        <AccountType/>
      </UserInfo>
      <UserInfo>
        <DisplayName>Gilmore, John (NSPD)</DisplayName>
        <AccountId>14332</AccountId>
        <AccountType/>
      </UserInfo>
      <UserInfo>
        <DisplayName>Brunel, Sarah (NSP)</DisplayName>
        <AccountId>14352</AccountId>
        <AccountType/>
      </UserInfo>
      <UserInfo>
        <DisplayName>ElLissy, Osama (NSPD)</DisplayName>
        <AccountId>14878</AccountId>
        <AccountType/>
      </UserInfo>
      <UserInfo>
        <DisplayName>White, Fitzroy (NSPD)</DisplayName>
        <AccountId>14410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13263-1E41-4676-9E1A-EF5DB4FA53CF}">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2.xml><?xml version="1.0" encoding="utf-8"?>
<ds:datastoreItem xmlns:ds="http://schemas.openxmlformats.org/officeDocument/2006/customXml" ds:itemID="{169A303C-9351-465F-B724-881D9FF287DF}">
  <ds:schemaRefs>
    <ds:schemaRef ds:uri="http://schemas.microsoft.com/sharepoint/v3/contenttype/forms"/>
  </ds:schemaRefs>
</ds:datastoreItem>
</file>

<file path=customXml/itemProps3.xml><?xml version="1.0" encoding="utf-8"?>
<ds:datastoreItem xmlns:ds="http://schemas.openxmlformats.org/officeDocument/2006/customXml" ds:itemID="{7DC52F14-6727-4F94-A922-4A759C546864}">
  <ds:schemaRefs>
    <ds:schemaRef ds:uri="http://schemas.openxmlformats.org/officeDocument/2006/bibliography"/>
  </ds:schemaRefs>
</ds:datastoreItem>
</file>

<file path=customXml/itemProps4.xml><?xml version="1.0" encoding="utf-8"?>
<ds:datastoreItem xmlns:ds="http://schemas.openxmlformats.org/officeDocument/2006/customXml" ds:itemID="{9A5E8DEA-2E6E-4F76-B3C1-D5411F1BB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IPPC_2023-01-28.dotx</Template>
  <TotalTime>1</TotalTime>
  <Pages>14</Pages>
  <Words>6664</Words>
  <Characters>35789</Characters>
  <Application>Microsoft Office Word</Application>
  <DocSecurity>0</DocSecurity>
  <Lines>568</Lines>
  <Paragraphs>165</Paragraphs>
  <ScaleCrop>false</ScaleCrop>
  <Company/>
  <LinksUpToDate>false</LinksUpToDate>
  <CharactersWithSpaces>42288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Rouen</dc:creator>
  <cp:keywords/>
  <dc:description/>
  <cp:lastModifiedBy>Cassin, Aoife (NSP)</cp:lastModifiedBy>
  <cp:revision>2</cp:revision>
  <dcterms:created xsi:type="dcterms:W3CDTF">2024-04-19T06:37:00Z</dcterms:created>
  <dcterms:modified xsi:type="dcterms:W3CDTF">2024-04-19T06:37:00Z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