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CE91" w14:textId="22604B9E" w:rsidR="00F47096" w:rsidRDefault="009C79A1" w:rsidP="008C0C54">
      <w:pPr>
        <w:pStyle w:val="IPPHeading1"/>
        <w:tabs>
          <w:tab w:val="clear" w:pos="567"/>
          <w:tab w:val="left" w:pos="142"/>
        </w:tabs>
        <w:ind w:left="0" w:firstLine="0"/>
        <w:rPr>
          <w:lang w:eastAsia="zh-CN"/>
        </w:rPr>
      </w:pPr>
      <w:r w:rsidRPr="00F65207">
        <w:rPr>
          <w:szCs w:val="16"/>
        </w:rPr>
        <w:t>DRAFT</w:t>
      </w:r>
      <w:r>
        <w:rPr>
          <w:szCs w:val="16"/>
        </w:rPr>
        <w:t xml:space="preserve"> ANNEX TO ISPM 28</w:t>
      </w:r>
      <w:r w:rsidRPr="00F65207">
        <w:t>:</w:t>
      </w:r>
      <w:r w:rsidRPr="00F65207">
        <w:rPr>
          <w:szCs w:val="16"/>
        </w:rPr>
        <w:t xml:space="preserve"> </w:t>
      </w:r>
      <w:r w:rsidR="00813A73">
        <w:rPr>
          <w:szCs w:val="16"/>
        </w:rPr>
        <w:t>I</w:t>
      </w:r>
      <w:r w:rsidR="00972296" w:rsidRPr="00F46B3A">
        <w:rPr>
          <w:lang w:eastAsia="zh-CN"/>
        </w:rPr>
        <w:t xml:space="preserve">rradiation treatment </w:t>
      </w:r>
      <w:r w:rsidR="00813A73">
        <w:rPr>
          <w:rFonts w:eastAsia="SimSun"/>
          <w:lang w:eastAsia="zh-CN"/>
        </w:rPr>
        <w:t>f</w:t>
      </w:r>
      <w:r w:rsidR="00A54E6E" w:rsidRPr="009E6EF8">
        <w:rPr>
          <w:rFonts w:eastAsia="SimSun" w:hint="eastAsia"/>
          <w:lang w:eastAsia="zh-CN"/>
        </w:rPr>
        <w:t>or</w:t>
      </w:r>
      <w:r w:rsidR="00C722F4" w:rsidRPr="00C722F4">
        <w:rPr>
          <w:lang w:eastAsia="zh-CN"/>
        </w:rPr>
        <w:t xml:space="preserve"> all stages of the family </w:t>
      </w:r>
      <w:proofErr w:type="spellStart"/>
      <w:r w:rsidR="00C722F4" w:rsidRPr="00C722F4">
        <w:rPr>
          <w:lang w:eastAsia="zh-CN"/>
        </w:rPr>
        <w:t>Pseudococcidae</w:t>
      </w:r>
      <w:proofErr w:type="spellEnd"/>
      <w:r w:rsidR="00C722F4" w:rsidRPr="00C722F4">
        <w:rPr>
          <w:lang w:eastAsia="zh-CN"/>
        </w:rPr>
        <w:t xml:space="preserve"> (generic) </w:t>
      </w:r>
      <w:r w:rsidR="00C722F4" w:rsidRPr="00C722F4">
        <w:rPr>
          <w:rFonts w:hint="eastAsia"/>
          <w:lang w:eastAsia="zh-CN"/>
        </w:rPr>
        <w:t>(</w:t>
      </w:r>
      <w:r w:rsidR="00C722F4" w:rsidRPr="00C722F4">
        <w:rPr>
          <w:lang w:eastAsia="zh-CN"/>
        </w:rPr>
        <w:t>201</w:t>
      </w:r>
      <w:r w:rsidR="00C722F4" w:rsidRPr="00C722F4">
        <w:rPr>
          <w:rFonts w:hint="eastAsia"/>
          <w:lang w:eastAsia="zh-CN"/>
        </w:rPr>
        <w:t>7</w:t>
      </w:r>
      <w:r w:rsidR="00C722F4" w:rsidRPr="00C722F4">
        <w:rPr>
          <w:lang w:eastAsia="zh-CN"/>
        </w:rPr>
        <w:t>-0</w:t>
      </w:r>
      <w:r w:rsidR="00C722F4" w:rsidRPr="00C722F4">
        <w:rPr>
          <w:rFonts w:hint="eastAsia"/>
          <w:lang w:eastAsia="zh-CN"/>
        </w:rPr>
        <w:t>12)</w:t>
      </w:r>
    </w:p>
    <w:p w14:paraId="57C9AF92" w14:textId="77777777" w:rsidR="008C0C54" w:rsidRPr="008C0C54" w:rsidRDefault="008C0C54" w:rsidP="00536C41">
      <w:pPr>
        <w:pStyle w:val="IPPNormal"/>
        <w:spacing w:after="0"/>
        <w:rPr>
          <w:lang w:eastAsia="zh-CN"/>
        </w:rPr>
      </w:pP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424"/>
        <w:gridCol w:w="6051"/>
      </w:tblGrid>
      <w:tr w:rsidR="00E906D0" w:rsidRPr="001C6A1A" w14:paraId="3127CE93" w14:textId="77777777" w:rsidTr="002A6122">
        <w:trPr>
          <w:tblCellSpacing w:w="0" w:type="dxa"/>
        </w:trPr>
        <w:tc>
          <w:tcPr>
            <w:tcW w:w="8475" w:type="dxa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2" w14:textId="77777777" w:rsidR="00E906D0" w:rsidRPr="00E906D0" w:rsidRDefault="00E906D0" w:rsidP="001E045A">
            <w:pPr>
              <w:pStyle w:val="IPPArialTable"/>
            </w:pPr>
            <w:r w:rsidRPr="001C6A1A">
              <w:rPr>
                <w:b/>
              </w:rPr>
              <w:t>Status box</w:t>
            </w:r>
          </w:p>
        </w:tc>
      </w:tr>
      <w:tr w:rsidR="00295854" w:rsidRPr="001C6A1A" w14:paraId="3127CE95" w14:textId="77777777" w:rsidTr="002A6122">
        <w:trPr>
          <w:tblCellSpacing w:w="0" w:type="dxa"/>
        </w:trPr>
        <w:tc>
          <w:tcPr>
            <w:tcW w:w="8475" w:type="dxa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4" w14:textId="77777777" w:rsidR="00295854" w:rsidRPr="001C6A1A" w:rsidRDefault="00295854" w:rsidP="001E045A">
            <w:pPr>
              <w:pStyle w:val="IPPArialTable"/>
              <w:rPr>
                <w:szCs w:val="18"/>
              </w:rPr>
            </w:pPr>
            <w:r w:rsidRPr="001C6A1A">
              <w:rPr>
                <w:rFonts w:cs="Arial"/>
                <w:szCs w:val="18"/>
              </w:rPr>
              <w:t>This is not an official part of the standard and it will be modified by the IPPC Secretariat after adoption.</w:t>
            </w:r>
          </w:p>
        </w:tc>
      </w:tr>
      <w:tr w:rsidR="00F47096" w:rsidRPr="001C6A1A" w14:paraId="3127CE98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6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Date of this document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7" w14:textId="38AE5147" w:rsidR="00F47096" w:rsidRPr="000873C8" w:rsidRDefault="00F47096" w:rsidP="000873C8">
            <w:pPr>
              <w:pStyle w:val="IPPArialTable"/>
              <w:rPr>
                <w:rFonts w:eastAsia="SimSun"/>
                <w:lang w:eastAsia="zh-CN"/>
              </w:rPr>
            </w:pPr>
            <w:r w:rsidRPr="001C6A1A">
              <w:rPr>
                <w:szCs w:val="18"/>
              </w:rPr>
              <w:t>20</w:t>
            </w:r>
            <w:r w:rsidR="006E7C4A">
              <w:rPr>
                <w:szCs w:val="18"/>
              </w:rPr>
              <w:t>24</w:t>
            </w:r>
            <w:r w:rsidR="00A22CBF" w:rsidRPr="001C6A1A">
              <w:rPr>
                <w:szCs w:val="18"/>
              </w:rPr>
              <w:t>-0</w:t>
            </w:r>
            <w:r w:rsidR="00C722F4">
              <w:rPr>
                <w:rFonts w:eastAsia="SimSun" w:hint="eastAsia"/>
                <w:szCs w:val="18"/>
                <w:lang w:eastAsia="zh-CN"/>
              </w:rPr>
              <w:t>5</w:t>
            </w:r>
            <w:r w:rsidR="00295854" w:rsidRPr="001C6A1A">
              <w:rPr>
                <w:szCs w:val="18"/>
              </w:rPr>
              <w:t>-</w:t>
            </w:r>
            <w:r w:rsidR="00FB07AA">
              <w:rPr>
                <w:rFonts w:eastAsia="SimSun" w:hint="eastAsia"/>
                <w:szCs w:val="18"/>
                <w:lang w:eastAsia="zh-CN"/>
              </w:rPr>
              <w:t>2</w:t>
            </w:r>
            <w:r w:rsidR="0086722B">
              <w:rPr>
                <w:rFonts w:eastAsia="SimSun"/>
                <w:szCs w:val="18"/>
                <w:lang w:eastAsia="zh-CN"/>
              </w:rPr>
              <w:t>4</w:t>
            </w:r>
          </w:p>
        </w:tc>
      </w:tr>
      <w:tr w:rsidR="00F47096" w:rsidRPr="001C6A1A" w14:paraId="3127CE9B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9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Document category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A" w14:textId="77777777" w:rsidR="00F47096" w:rsidRPr="000873C8" w:rsidRDefault="00F47096" w:rsidP="00454EC7">
            <w:pPr>
              <w:pStyle w:val="IPPArialTable"/>
              <w:rPr>
                <w:rFonts w:eastAsia="SimSun"/>
                <w:lang w:eastAsia="zh-CN"/>
              </w:rPr>
            </w:pPr>
            <w:r w:rsidRPr="001C6A1A">
              <w:rPr>
                <w:szCs w:val="18"/>
              </w:rPr>
              <w:t>Draft Annex to ISPM 28</w:t>
            </w:r>
          </w:p>
        </w:tc>
      </w:tr>
      <w:tr w:rsidR="00F47096" w:rsidRPr="001C6A1A" w14:paraId="3127CE9E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C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Current document stage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D" w14:textId="19A44E28" w:rsidR="00F47096" w:rsidRPr="001337FE" w:rsidRDefault="00F00747" w:rsidP="00F00747">
            <w:pPr>
              <w:pStyle w:val="IPPArialTable"/>
              <w:rPr>
                <w:rFonts w:eastAsia="SimSun"/>
                <w:lang w:eastAsia="zh-CN"/>
              </w:rPr>
            </w:pPr>
            <w:r>
              <w:rPr>
                <w:rFonts w:eastAsia="SimSun"/>
                <w:i/>
                <w:lang w:eastAsia="zh-CN"/>
              </w:rPr>
              <w:t>T</w:t>
            </w:r>
            <w:r w:rsidRPr="00F00747">
              <w:rPr>
                <w:rFonts w:eastAsia="SimSun"/>
                <w:i/>
                <w:lang w:eastAsia="zh-CN"/>
              </w:rPr>
              <w:t>o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="001337FE">
              <w:t>20</w:t>
            </w:r>
            <w:r w:rsidR="0086722B">
              <w:t>24</w:t>
            </w:r>
            <w:r w:rsidR="001337FE">
              <w:t>-0</w:t>
            </w:r>
            <w:r w:rsidR="0086722B">
              <w:t>6</w:t>
            </w:r>
            <w:r w:rsidR="001337FE">
              <w:rPr>
                <w:rFonts w:eastAsia="SimSun" w:hint="eastAsia"/>
                <w:lang w:eastAsia="zh-CN"/>
              </w:rPr>
              <w:t xml:space="preserve"> TPPT </w:t>
            </w:r>
            <w:r>
              <w:rPr>
                <w:rFonts w:eastAsia="SimSun"/>
                <w:lang w:eastAsia="zh-CN"/>
              </w:rPr>
              <w:t>meeting</w:t>
            </w:r>
          </w:p>
        </w:tc>
      </w:tr>
      <w:tr w:rsidR="00F47096" w:rsidRPr="001C6A1A" w14:paraId="3127CEA3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9F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Major stages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A0" w14:textId="77777777" w:rsidR="00F47096" w:rsidRPr="001C6A1A" w:rsidRDefault="000873C8" w:rsidP="001E045A">
            <w:pPr>
              <w:pStyle w:val="IPPArialTable"/>
            </w:pPr>
            <w:r>
              <w:t>201</w:t>
            </w:r>
            <w:r>
              <w:rPr>
                <w:rFonts w:eastAsia="SimSun" w:hint="eastAsia"/>
                <w:lang w:eastAsia="zh-CN"/>
              </w:rPr>
              <w:t>7-06</w:t>
            </w:r>
            <w:r w:rsidR="00F47096" w:rsidRPr="001C6A1A">
              <w:t xml:space="preserve"> Treatment submitted</w:t>
            </w:r>
          </w:p>
          <w:p w14:paraId="3127CEA1" w14:textId="77777777" w:rsidR="00F47096" w:rsidRPr="00E05F78" w:rsidRDefault="000873C8" w:rsidP="001E045A">
            <w:pPr>
              <w:pStyle w:val="IPPArialTable"/>
              <w:rPr>
                <w:rFonts w:eastAsia="SimSun"/>
                <w:lang w:eastAsia="zh-CN"/>
              </w:rPr>
            </w:pPr>
            <w:r>
              <w:t>201</w:t>
            </w:r>
            <w:r>
              <w:rPr>
                <w:rFonts w:eastAsia="SimSun" w:hint="eastAsia"/>
                <w:lang w:eastAsia="zh-CN"/>
              </w:rPr>
              <w:t>7</w:t>
            </w:r>
            <w:r>
              <w:t>-</w:t>
            </w:r>
            <w:r w:rsidR="00E72C2B" w:rsidRPr="00ED6CD3">
              <w:rPr>
                <w:rFonts w:eastAsia="SimSun" w:hint="eastAsia"/>
                <w:lang w:eastAsia="zh-CN"/>
              </w:rPr>
              <w:t>07</w:t>
            </w:r>
            <w:r w:rsidR="00F47096" w:rsidRPr="00ED6CD3">
              <w:t xml:space="preserve"> </w:t>
            </w:r>
            <w:r w:rsidRPr="00ED6CD3">
              <w:t>TPPT reviewed treatment</w:t>
            </w:r>
            <w:r w:rsidRPr="00ED6CD3">
              <w:rPr>
                <w:rFonts w:eastAsia="SimSun" w:hint="eastAsia"/>
                <w:lang w:eastAsia="zh-CN"/>
              </w:rPr>
              <w:t xml:space="preserve">, </w:t>
            </w:r>
            <w:r w:rsidRPr="00ED6CD3">
              <w:t>agree to</w:t>
            </w:r>
            <w:r w:rsidRPr="00ED6CD3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Pr="00ED6CD3">
              <w:t>recommend</w:t>
            </w:r>
            <w:r w:rsidRPr="00ED6CD3">
              <w:rPr>
                <w:rFonts w:eastAsia="SimSun" w:hint="eastAsia"/>
                <w:lang w:eastAsia="zh-CN"/>
              </w:rPr>
              <w:t xml:space="preserve"> </w:t>
            </w:r>
            <w:r w:rsidRPr="00ED6CD3">
              <w:t>to</w:t>
            </w:r>
            <w:r w:rsidRPr="00ED6CD3">
              <w:rPr>
                <w:rFonts w:hint="eastAsia"/>
              </w:rPr>
              <w:t xml:space="preserve"> </w:t>
            </w:r>
            <w:r w:rsidRPr="00ED6CD3">
              <w:t>SC</w:t>
            </w:r>
            <w:r w:rsidRPr="00ED6CD3">
              <w:rPr>
                <w:rFonts w:hint="eastAsia"/>
              </w:rPr>
              <w:t xml:space="preserve"> </w:t>
            </w:r>
            <w:r w:rsidRPr="00ED6CD3">
              <w:t>for inclusion on the List of Topics for IPPC standards</w:t>
            </w:r>
            <w:r w:rsidRPr="00ED6CD3">
              <w:rPr>
                <w:rFonts w:hint="eastAsia"/>
              </w:rPr>
              <w:t xml:space="preserve"> and</w:t>
            </w:r>
            <w:r w:rsidRPr="00ED6CD3">
              <w:t xml:space="preserve"> </w:t>
            </w:r>
            <w:r w:rsidR="00BC7B12" w:rsidRPr="00ED6CD3">
              <w:t xml:space="preserve"> requested additional information</w:t>
            </w:r>
          </w:p>
          <w:p w14:paraId="1379B7FF" w14:textId="77777777" w:rsidR="00003A61" w:rsidRDefault="000873C8" w:rsidP="00F00747">
            <w:pPr>
              <w:pStyle w:val="IPPArialTable"/>
            </w:pPr>
            <w:r>
              <w:t>201</w:t>
            </w:r>
            <w:r w:rsidR="002E2EC7">
              <w:rPr>
                <w:rFonts w:eastAsia="SimSun" w:hint="eastAsia"/>
                <w:lang w:eastAsia="zh-CN"/>
              </w:rPr>
              <w:t>9</w:t>
            </w:r>
            <w:r>
              <w:t>-0</w:t>
            </w:r>
            <w:r w:rsidR="002E2EC7">
              <w:rPr>
                <w:rFonts w:eastAsia="SimSun" w:hint="eastAsia"/>
                <w:lang w:eastAsia="zh-CN"/>
              </w:rPr>
              <w:t>5</w:t>
            </w:r>
            <w:r w:rsidR="00F47096" w:rsidRPr="001C6A1A">
              <w:t xml:space="preserve"> Submitter responded</w:t>
            </w:r>
            <w:r w:rsidR="00BC7B12">
              <w:t xml:space="preserve"> </w:t>
            </w:r>
          </w:p>
          <w:p w14:paraId="273C097B" w14:textId="77777777" w:rsidR="00680DEB" w:rsidRDefault="00680DEB" w:rsidP="004C65E6">
            <w:pPr>
              <w:pStyle w:val="IPPArialTable"/>
            </w:pPr>
            <w:r w:rsidRPr="00680DEB">
              <w:t xml:space="preserve">2021-07 </w:t>
            </w:r>
            <w:r w:rsidRPr="00680DEB">
              <w:t>TPPT reviewed treatment</w:t>
            </w:r>
            <w:r w:rsidR="004C65E6">
              <w:t xml:space="preserve"> </w:t>
            </w:r>
            <w:r w:rsidR="004C65E6" w:rsidRPr="004C65E6">
              <w:t>CRP project of the IAEA</w:t>
            </w:r>
          </w:p>
          <w:p w14:paraId="3127CEA2" w14:textId="1910E297" w:rsidR="004C65E6" w:rsidRPr="00B77933" w:rsidRDefault="004C65E6" w:rsidP="004C65E6">
            <w:pPr>
              <w:pStyle w:val="IPPArialTable"/>
            </w:pPr>
            <w:r>
              <w:t xml:space="preserve">2024-06 TPPT reviewed </w:t>
            </w:r>
            <w:r w:rsidR="009350D2">
              <w:t xml:space="preserve">treatment </w:t>
            </w:r>
          </w:p>
        </w:tc>
      </w:tr>
      <w:tr w:rsidR="00F47096" w:rsidRPr="001C6A1A" w14:paraId="3127CEA6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A4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Treatment lead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A5" w14:textId="77777777" w:rsidR="00F47096" w:rsidRPr="00D47035" w:rsidRDefault="000873C8" w:rsidP="00077A23">
            <w:pPr>
              <w:pStyle w:val="IPPArialTable"/>
              <w:rPr>
                <w:strike/>
                <w:szCs w:val="18"/>
              </w:rPr>
            </w:pPr>
            <w:r>
              <w:rPr>
                <w:szCs w:val="18"/>
              </w:rPr>
              <w:t>201</w:t>
            </w:r>
            <w:r>
              <w:rPr>
                <w:rFonts w:eastAsia="SimSun" w:hint="eastAsia"/>
                <w:szCs w:val="18"/>
                <w:lang w:eastAsia="zh-CN"/>
              </w:rPr>
              <w:t>7</w:t>
            </w:r>
            <w:r w:rsidR="00B77933">
              <w:rPr>
                <w:szCs w:val="18"/>
              </w:rPr>
              <w:t>-</w:t>
            </w:r>
            <w:r w:rsidR="00E72C2B" w:rsidRPr="009B604B">
              <w:rPr>
                <w:rFonts w:eastAsia="SimSun" w:hint="eastAsia"/>
                <w:szCs w:val="18"/>
                <w:lang w:eastAsia="zh-CN"/>
              </w:rPr>
              <w:t>07</w:t>
            </w:r>
            <w:r w:rsidR="00170988" w:rsidRPr="0066323A">
              <w:rPr>
                <w:szCs w:val="18"/>
              </w:rPr>
              <w:t xml:space="preserve"> </w:t>
            </w:r>
            <w:r w:rsidR="00E906D0" w:rsidRPr="0066323A">
              <w:rPr>
                <w:szCs w:val="18"/>
              </w:rPr>
              <w:t>Mr</w:t>
            </w:r>
            <w:r w:rsidR="005F23B6" w:rsidRPr="0066323A">
              <w:rPr>
                <w:szCs w:val="18"/>
              </w:rPr>
              <w:t xml:space="preserve"> </w:t>
            </w:r>
            <w:r w:rsidR="00E05F78">
              <w:rPr>
                <w:rFonts w:eastAsia="SimSun" w:hint="eastAsia"/>
                <w:szCs w:val="18"/>
                <w:lang w:eastAsia="zh-CN"/>
              </w:rPr>
              <w:t xml:space="preserve">Daojian </w:t>
            </w:r>
            <w:r w:rsidR="00F47096" w:rsidRPr="0066323A">
              <w:rPr>
                <w:szCs w:val="18"/>
              </w:rPr>
              <w:t xml:space="preserve"> </w:t>
            </w:r>
            <w:r w:rsidR="00E05F78">
              <w:rPr>
                <w:rFonts w:eastAsia="SimSun" w:hint="eastAsia"/>
                <w:szCs w:val="18"/>
                <w:lang w:eastAsia="zh-CN"/>
              </w:rPr>
              <w:t>YU</w:t>
            </w:r>
            <w:r w:rsidR="00E906D0" w:rsidRPr="0066323A">
              <w:rPr>
                <w:szCs w:val="18"/>
              </w:rPr>
              <w:t xml:space="preserve"> </w:t>
            </w:r>
            <w:r w:rsidR="00170988" w:rsidRPr="0066323A">
              <w:rPr>
                <w:szCs w:val="18"/>
              </w:rPr>
              <w:t>(</w:t>
            </w:r>
            <w:r w:rsidR="00E05F78">
              <w:rPr>
                <w:rFonts w:eastAsia="SimSun" w:hint="eastAsia"/>
                <w:szCs w:val="18"/>
                <w:lang w:eastAsia="zh-CN"/>
              </w:rPr>
              <w:t>CN</w:t>
            </w:r>
            <w:r w:rsidR="00170988" w:rsidRPr="0066323A">
              <w:rPr>
                <w:szCs w:val="18"/>
              </w:rPr>
              <w:t>)</w:t>
            </w:r>
          </w:p>
        </w:tc>
      </w:tr>
      <w:tr w:rsidR="00F47096" w:rsidRPr="001C6A1A" w14:paraId="3127CEA9" w14:textId="77777777" w:rsidTr="001E045A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A7" w14:textId="77777777" w:rsidR="00F47096" w:rsidRPr="001C6A1A" w:rsidRDefault="00F47096" w:rsidP="001E045A">
            <w:pPr>
              <w:pStyle w:val="IPPArialTable"/>
              <w:rPr>
                <w:b/>
                <w:szCs w:val="18"/>
              </w:rPr>
            </w:pPr>
            <w:r w:rsidRPr="001C6A1A">
              <w:rPr>
                <w:b/>
                <w:szCs w:val="18"/>
              </w:rPr>
              <w:t>Secretariat notes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7CEA8" w14:textId="77777777" w:rsidR="008640E6" w:rsidRPr="001C6A1A" w:rsidRDefault="008640E6" w:rsidP="008640E6">
            <w:pPr>
              <w:pStyle w:val="IPPArialTable"/>
            </w:pPr>
          </w:p>
        </w:tc>
      </w:tr>
    </w:tbl>
    <w:p w14:paraId="3127CEAA" w14:textId="77777777" w:rsidR="00F47096" w:rsidRPr="001C6A1A" w:rsidRDefault="00F47096" w:rsidP="00F47096">
      <w:pPr>
        <w:pStyle w:val="IPPHeading1"/>
      </w:pPr>
      <w:r w:rsidRPr="001C6A1A">
        <w:t>Scope of the treatment</w:t>
      </w:r>
    </w:p>
    <w:p w14:paraId="3127CEAB" w14:textId="77777777" w:rsidR="00F47096" w:rsidRPr="006E3A9D" w:rsidRDefault="006E3A9D" w:rsidP="00CD1B35">
      <w:pPr>
        <w:pStyle w:val="IPPParagraphnumbering"/>
        <w:rPr>
          <w:lang w:eastAsia="en-GB"/>
        </w:rPr>
      </w:pPr>
      <w:r>
        <w:rPr>
          <w:rFonts w:eastAsia="SimSun"/>
          <w:lang w:eastAsia="zh-CN"/>
        </w:rPr>
        <w:t xml:space="preserve">This treatment describes the </w:t>
      </w:r>
      <w:r>
        <w:rPr>
          <w:rFonts w:eastAsia="SimSun" w:hint="eastAsia"/>
          <w:lang w:eastAsia="zh-CN"/>
        </w:rPr>
        <w:t xml:space="preserve">generic </w:t>
      </w:r>
      <w:r>
        <w:rPr>
          <w:rFonts w:eastAsia="SimSun"/>
          <w:lang w:eastAsia="zh-CN"/>
        </w:rPr>
        <w:t>irradiation treatment of fruits and vegetables to</w:t>
      </w:r>
      <w:r w:rsidRPr="006E3A9D">
        <w:rPr>
          <w:lang w:eastAsia="en-GB"/>
        </w:rPr>
        <w:t xml:space="preserve"> prevent </w:t>
      </w:r>
      <w:r w:rsidR="00634B62">
        <w:rPr>
          <w:rFonts w:hint="eastAsia"/>
          <w:lang w:eastAsia="en-GB"/>
        </w:rPr>
        <w:t xml:space="preserve"> </w:t>
      </w:r>
      <w:r w:rsidR="00634B62" w:rsidRPr="00E01042">
        <w:rPr>
          <w:rFonts w:eastAsia="SimSun" w:hint="eastAsia"/>
          <w:lang w:eastAsia="zh-CN"/>
        </w:rPr>
        <w:t>n</w:t>
      </w:r>
      <w:r w:rsidRPr="006E3A9D">
        <w:rPr>
          <w:rFonts w:hint="eastAsia"/>
          <w:lang w:eastAsia="en-GB"/>
        </w:rPr>
        <w:t>o development beyond F1 1st instar</w:t>
      </w:r>
      <w:r w:rsidR="00A54E6E" w:rsidRPr="006E3A9D">
        <w:rPr>
          <w:lang w:eastAsia="en-GB"/>
        </w:rPr>
        <w:t xml:space="preserve"> for all stages of the family </w:t>
      </w:r>
      <w:proofErr w:type="spellStart"/>
      <w:r w:rsidR="00A54E6E" w:rsidRPr="006E3A9D">
        <w:rPr>
          <w:lang w:eastAsia="en-GB"/>
        </w:rPr>
        <w:t>Pseudococcidae</w:t>
      </w:r>
      <w:proofErr w:type="spellEnd"/>
      <w:r w:rsidR="00A54E6E" w:rsidRPr="001C6A1A">
        <w:rPr>
          <w:lang w:eastAsia="en-GB"/>
        </w:rPr>
        <w:t xml:space="preserve"> </w:t>
      </w:r>
      <w:r w:rsidRPr="006E3A9D">
        <w:rPr>
          <w:lang w:eastAsia="en-GB"/>
        </w:rPr>
        <w:t>at the</w:t>
      </w:r>
      <w:r w:rsidRPr="006E3A9D">
        <w:rPr>
          <w:rFonts w:hint="eastAsia"/>
          <w:lang w:eastAsia="en-GB"/>
        </w:rPr>
        <w:t xml:space="preserve"> </w:t>
      </w:r>
      <w:r w:rsidRPr="006E3A9D">
        <w:rPr>
          <w:lang w:eastAsia="en-GB"/>
        </w:rPr>
        <w:t>stated efficacy level</w:t>
      </w:r>
      <w:r w:rsidR="00F47096" w:rsidRPr="006E3A9D">
        <w:rPr>
          <w:vertAlign w:val="superscript"/>
          <w:lang w:eastAsia="en-GB"/>
        </w:rPr>
        <w:footnoteReference w:id="1"/>
      </w:r>
      <w:r w:rsidR="00F47096" w:rsidRPr="006E3A9D">
        <w:rPr>
          <w:lang w:eastAsia="en-GB"/>
        </w:rPr>
        <w:t>.</w:t>
      </w:r>
      <w:r w:rsidR="00147211" w:rsidRPr="00147211">
        <w:rPr>
          <w:rFonts w:eastAsia="SimSun"/>
          <w:sz w:val="20"/>
          <w:szCs w:val="20"/>
          <w:lang w:eastAsia="zh-CN"/>
        </w:rPr>
        <w:t xml:space="preserve"> </w:t>
      </w:r>
    </w:p>
    <w:p w14:paraId="3127CEAC" w14:textId="77777777" w:rsidR="00F47096" w:rsidRPr="006E3A9D" w:rsidRDefault="00F47096" w:rsidP="00F47096">
      <w:pPr>
        <w:pStyle w:val="IPPHeading1"/>
      </w:pPr>
      <w:r w:rsidRPr="006E3A9D">
        <w:t>Treatment description</w:t>
      </w:r>
    </w:p>
    <w:p w14:paraId="3127CEAD" w14:textId="77777777" w:rsidR="00112FAE" w:rsidRPr="00112FAE" w:rsidRDefault="00F47096" w:rsidP="00856562">
      <w:pPr>
        <w:pStyle w:val="IPPParagraphnumbering"/>
        <w:rPr>
          <w:lang w:val="en-GB"/>
        </w:rPr>
      </w:pPr>
      <w:r w:rsidRPr="00112FAE">
        <w:rPr>
          <w:b/>
          <w:lang w:val="en-GB"/>
        </w:rPr>
        <w:t>Name of treatment</w:t>
      </w:r>
      <w:r w:rsidRPr="00112FAE">
        <w:rPr>
          <w:lang w:val="en-GB"/>
        </w:rPr>
        <w:tab/>
      </w:r>
      <w:r w:rsidR="00090415" w:rsidRPr="00112FAE">
        <w:rPr>
          <w:lang w:val="en-GB"/>
        </w:rPr>
        <w:tab/>
      </w:r>
      <w:r w:rsidR="00182F68">
        <w:rPr>
          <w:rFonts w:hint="eastAsia"/>
          <w:lang w:val="en-GB" w:eastAsia="zh-CN"/>
        </w:rPr>
        <w:t>I</w:t>
      </w:r>
      <w:r w:rsidRPr="00112FAE">
        <w:rPr>
          <w:lang w:val="en-GB"/>
        </w:rPr>
        <w:t xml:space="preserve">rradiation </w:t>
      </w:r>
      <w:r w:rsidR="008142AB" w:rsidRPr="00112FAE">
        <w:rPr>
          <w:lang w:val="en-GB"/>
        </w:rPr>
        <w:t>t</w:t>
      </w:r>
      <w:r w:rsidRPr="00112FAE">
        <w:rPr>
          <w:lang w:val="en-GB"/>
        </w:rPr>
        <w:t>reatment for</w:t>
      </w:r>
      <w:r w:rsidR="00A54E6E" w:rsidRPr="009E6EF8">
        <w:rPr>
          <w:rFonts w:hint="eastAsia"/>
          <w:lang w:val="en-GB" w:eastAsia="zh-CN"/>
        </w:rPr>
        <w:t xml:space="preserve"> all stag</w:t>
      </w:r>
      <w:r w:rsidR="005828EA">
        <w:rPr>
          <w:rFonts w:hint="eastAsia"/>
          <w:lang w:val="en-GB" w:eastAsia="zh-CN"/>
        </w:rPr>
        <w:t xml:space="preserve">es of the family </w:t>
      </w:r>
      <w:proofErr w:type="spellStart"/>
      <w:r w:rsidR="005828EA">
        <w:rPr>
          <w:rFonts w:hint="eastAsia"/>
          <w:lang w:val="en-GB" w:eastAsia="zh-CN"/>
        </w:rPr>
        <w:t>Pseudococcidae</w:t>
      </w:r>
      <w:proofErr w:type="spellEnd"/>
      <w:r w:rsidR="005828EA">
        <w:rPr>
          <w:rFonts w:hint="eastAsia"/>
          <w:lang w:val="en-GB" w:eastAsia="zh-CN"/>
        </w:rPr>
        <w:t xml:space="preserve"> </w:t>
      </w:r>
      <w:r w:rsidR="00A54E6E" w:rsidRPr="009E6EF8">
        <w:rPr>
          <w:rFonts w:hint="eastAsia"/>
          <w:lang w:val="en-GB" w:eastAsia="zh-CN"/>
        </w:rPr>
        <w:t>(Generic</w:t>
      </w:r>
      <w:r w:rsidR="003C2985">
        <w:rPr>
          <w:rFonts w:hint="eastAsia"/>
          <w:lang w:val="en-GB" w:eastAsia="zh-CN"/>
        </w:rPr>
        <w:t>)</w:t>
      </w:r>
    </w:p>
    <w:p w14:paraId="3127CEAE" w14:textId="77777777" w:rsidR="00F47096" w:rsidRPr="001C6A1A" w:rsidRDefault="00F47096" w:rsidP="00856562">
      <w:pPr>
        <w:pStyle w:val="IPPParagraphnumbering"/>
        <w:rPr>
          <w:lang w:val="en-GB"/>
        </w:rPr>
      </w:pPr>
      <w:r w:rsidRPr="00CD1B35">
        <w:rPr>
          <w:b/>
          <w:lang w:val="en-GB"/>
        </w:rPr>
        <w:t>Active ingredient</w:t>
      </w:r>
      <w:r w:rsidRPr="00112FAE">
        <w:rPr>
          <w:lang w:val="en-GB"/>
        </w:rPr>
        <w:tab/>
      </w:r>
      <w:r w:rsidRPr="00112FAE">
        <w:rPr>
          <w:lang w:val="en-GB"/>
        </w:rPr>
        <w:tab/>
        <w:t>N/A</w:t>
      </w:r>
    </w:p>
    <w:p w14:paraId="3127CEAF" w14:textId="77777777" w:rsidR="00F47096" w:rsidRPr="001C6A1A" w:rsidRDefault="00F47096" w:rsidP="00856562">
      <w:pPr>
        <w:pStyle w:val="IPPParagraphnumbering"/>
        <w:rPr>
          <w:lang w:val="en-GB"/>
        </w:rPr>
      </w:pPr>
      <w:r w:rsidRPr="001C6A1A">
        <w:rPr>
          <w:b/>
          <w:lang w:val="en-GB"/>
        </w:rPr>
        <w:t>Treatment type</w:t>
      </w:r>
      <w:r w:rsidRPr="001C6A1A">
        <w:rPr>
          <w:lang w:val="en-GB"/>
        </w:rPr>
        <w:tab/>
      </w:r>
      <w:r w:rsidRPr="001C6A1A">
        <w:rPr>
          <w:lang w:val="en-GB"/>
        </w:rPr>
        <w:tab/>
      </w:r>
      <w:r w:rsidR="001F32C1" w:rsidRPr="001C6A1A">
        <w:rPr>
          <w:lang w:val="en-GB"/>
        </w:rPr>
        <w:t>I</w:t>
      </w:r>
      <w:r w:rsidRPr="001C6A1A">
        <w:rPr>
          <w:lang w:val="en-GB"/>
        </w:rPr>
        <w:t xml:space="preserve">rradiation </w:t>
      </w:r>
    </w:p>
    <w:p w14:paraId="3127CEB0" w14:textId="77777777" w:rsidR="00F47096" w:rsidRPr="00147211" w:rsidRDefault="00F47096" w:rsidP="00856562">
      <w:pPr>
        <w:pStyle w:val="IPPParagraphnumbering"/>
        <w:rPr>
          <w:lang w:val="en-GB"/>
        </w:rPr>
      </w:pPr>
      <w:r w:rsidRPr="001C6A1A">
        <w:rPr>
          <w:b/>
          <w:lang w:val="en-GB"/>
        </w:rPr>
        <w:t>Target pest</w:t>
      </w:r>
      <w:r w:rsidRPr="001C6A1A">
        <w:rPr>
          <w:lang w:val="en-GB"/>
        </w:rPr>
        <w:tab/>
      </w:r>
      <w:r w:rsidRPr="001C6A1A">
        <w:rPr>
          <w:lang w:val="en-GB"/>
        </w:rPr>
        <w:tab/>
      </w:r>
      <w:r w:rsidRPr="001C6A1A">
        <w:rPr>
          <w:lang w:val="en-GB"/>
        </w:rPr>
        <w:tab/>
      </w:r>
      <w:proofErr w:type="spellStart"/>
      <w:r w:rsidR="00A54E6E" w:rsidRPr="00147211">
        <w:rPr>
          <w:lang w:val="en-GB"/>
        </w:rPr>
        <w:t>Pseudococcidae</w:t>
      </w:r>
      <w:proofErr w:type="spellEnd"/>
      <w:r w:rsidR="00CA575E" w:rsidRPr="00147211">
        <w:rPr>
          <w:rFonts w:hint="eastAsia"/>
          <w:lang w:val="en-GB"/>
        </w:rPr>
        <w:t xml:space="preserve"> </w:t>
      </w:r>
      <w:r w:rsidR="00112FAE" w:rsidRPr="00147211">
        <w:rPr>
          <w:rFonts w:hint="eastAsia"/>
          <w:lang w:val="en-GB"/>
        </w:rPr>
        <w:t>(</w:t>
      </w:r>
      <w:r w:rsidR="00A54E6E" w:rsidRPr="00147211">
        <w:rPr>
          <w:rFonts w:hint="eastAsia"/>
          <w:lang w:val="en-GB"/>
        </w:rPr>
        <w:t>Hemiptera</w:t>
      </w:r>
      <w:r w:rsidR="00112FAE" w:rsidRPr="00147211">
        <w:rPr>
          <w:rFonts w:hint="eastAsia"/>
          <w:lang w:val="en-GB"/>
        </w:rPr>
        <w:t>)</w:t>
      </w:r>
    </w:p>
    <w:p w14:paraId="3127CEB1" w14:textId="77777777" w:rsidR="00F47096" w:rsidRPr="001C6A1A" w:rsidRDefault="00F47096" w:rsidP="00856562">
      <w:pPr>
        <w:pStyle w:val="IPPParagraphnumbering"/>
        <w:rPr>
          <w:lang w:val="en-GB"/>
        </w:rPr>
      </w:pPr>
      <w:r w:rsidRPr="001C6A1A">
        <w:rPr>
          <w:b/>
          <w:lang w:val="en-GB"/>
        </w:rPr>
        <w:t>Target regulated articles</w:t>
      </w:r>
      <w:r w:rsidRPr="001C6A1A">
        <w:rPr>
          <w:lang w:val="en-GB"/>
        </w:rPr>
        <w:tab/>
      </w:r>
      <w:r w:rsidR="006E3A9D" w:rsidRPr="00147211">
        <w:rPr>
          <w:lang w:val="en-GB"/>
        </w:rPr>
        <w:t>All fruits and vegetables that are hosts of the above mealybugs</w:t>
      </w:r>
      <w:r w:rsidR="006E3A9D">
        <w:rPr>
          <w:rFonts w:eastAsia="SimSun"/>
          <w:szCs w:val="22"/>
          <w:lang w:eastAsia="zh-CN"/>
        </w:rPr>
        <w:t>.</w:t>
      </w:r>
    </w:p>
    <w:p w14:paraId="3127CEB2" w14:textId="77777777" w:rsidR="00F47096" w:rsidRPr="001C6A1A" w:rsidRDefault="00F47096" w:rsidP="00CD1B35">
      <w:pPr>
        <w:pStyle w:val="IPPHeading1"/>
        <w:rPr>
          <w:i/>
        </w:rPr>
      </w:pPr>
      <w:r w:rsidRPr="00CD1B35">
        <w:lastRenderedPageBreak/>
        <w:t>Treatment</w:t>
      </w:r>
      <w:r w:rsidRPr="001C6A1A">
        <w:t xml:space="preserve"> schedule</w:t>
      </w:r>
    </w:p>
    <w:p w14:paraId="3127CEB3" w14:textId="77777777" w:rsidR="00F47096" w:rsidRPr="006E3A9D" w:rsidRDefault="00F47096" w:rsidP="00856562">
      <w:pPr>
        <w:pStyle w:val="IPPParagraphnumbering"/>
        <w:rPr>
          <w:lang w:val="en-GB"/>
        </w:rPr>
      </w:pPr>
      <w:r w:rsidRPr="00CD1B35">
        <w:t>Minimum</w:t>
      </w:r>
      <w:r w:rsidRPr="001C6A1A">
        <w:rPr>
          <w:lang w:val="en-GB"/>
        </w:rPr>
        <w:t xml:space="preserve"> absorbed dose of </w:t>
      </w:r>
      <w:r w:rsidR="00A54E6E">
        <w:rPr>
          <w:rFonts w:eastAsia="SimSun" w:hint="eastAsia"/>
          <w:lang w:val="en-GB" w:eastAsia="zh-CN"/>
        </w:rPr>
        <w:t>25</w:t>
      </w:r>
      <w:r w:rsidR="00AF2110">
        <w:rPr>
          <w:rFonts w:eastAsia="SimSun" w:hint="eastAsia"/>
          <w:lang w:val="en-GB" w:eastAsia="zh-CN"/>
        </w:rPr>
        <w:t>0</w:t>
      </w:r>
      <w:r w:rsidR="00522D99" w:rsidRPr="001C6A1A">
        <w:rPr>
          <w:lang w:val="en-GB"/>
        </w:rPr>
        <w:t> </w:t>
      </w:r>
      <w:r w:rsidRPr="001C6A1A">
        <w:rPr>
          <w:lang w:val="en-GB"/>
        </w:rPr>
        <w:t xml:space="preserve">Gy to prevent </w:t>
      </w:r>
      <w:r w:rsidR="007D20CF" w:rsidRPr="009E6EF8">
        <w:rPr>
          <w:rFonts w:eastAsia="SimSun" w:hint="eastAsia"/>
          <w:lang w:val="en-GB" w:eastAsia="zh-CN"/>
        </w:rPr>
        <w:t>n</w:t>
      </w:r>
      <w:r w:rsidR="00A54E6E" w:rsidRPr="00A54E6E">
        <w:rPr>
          <w:rFonts w:hint="eastAsia"/>
          <w:lang w:val="en-GB"/>
        </w:rPr>
        <w:t>o development beyond F1 1st instar</w:t>
      </w:r>
      <w:r w:rsidR="007D20CF" w:rsidRPr="009E6EF8">
        <w:rPr>
          <w:rFonts w:eastAsia="SimSun" w:hint="eastAsia"/>
          <w:lang w:val="en-GB" w:eastAsia="zh-CN"/>
        </w:rPr>
        <w:t xml:space="preserve"> of </w:t>
      </w:r>
      <w:r w:rsidR="007D20CF" w:rsidRPr="007D20CF">
        <w:rPr>
          <w:rFonts w:eastAsia="SimSun" w:hint="eastAsia"/>
          <w:lang w:val="en-GB" w:eastAsia="zh-CN"/>
        </w:rPr>
        <w:t>all stages</w:t>
      </w:r>
      <w:r w:rsidR="007D20CF">
        <w:rPr>
          <w:rFonts w:eastAsia="SimSun" w:hint="eastAsia"/>
          <w:lang w:val="en-GB" w:eastAsia="zh-CN"/>
        </w:rPr>
        <w:t xml:space="preserve"> of the family </w:t>
      </w:r>
      <w:proofErr w:type="spellStart"/>
      <w:r w:rsidR="007D20CF">
        <w:rPr>
          <w:rFonts w:eastAsia="SimSun" w:hint="eastAsia"/>
          <w:lang w:val="en-GB" w:eastAsia="zh-CN"/>
        </w:rPr>
        <w:t>Pseudococcidae</w:t>
      </w:r>
      <w:proofErr w:type="spellEnd"/>
      <w:r w:rsidR="00A070E5" w:rsidRPr="00A54E6E">
        <w:rPr>
          <w:rFonts w:hint="eastAsia"/>
          <w:lang w:val="en-GB"/>
        </w:rPr>
        <w:t>.</w:t>
      </w:r>
    </w:p>
    <w:p w14:paraId="3127CEB4" w14:textId="77777777" w:rsidR="00117E7E" w:rsidRDefault="00117E7E" w:rsidP="00CD1B35">
      <w:pPr>
        <w:pStyle w:val="IPPParagraphnumbering"/>
        <w:rPr>
          <w:lang w:eastAsia="zh-CN"/>
        </w:rPr>
      </w:pPr>
      <w:r w:rsidRPr="00117E7E">
        <w:rPr>
          <w:lang w:eastAsia="zh-CN"/>
        </w:rPr>
        <w:t xml:space="preserve">There is 95% confidence that the treatment according to this schedule prevents the continued development of F1 1st instars of up to 99.997% of all </w:t>
      </w:r>
      <w:proofErr w:type="spellStart"/>
      <w:r w:rsidRPr="00117E7E">
        <w:rPr>
          <w:lang w:eastAsia="zh-CN"/>
        </w:rPr>
        <w:t>Pseudococcidae</w:t>
      </w:r>
      <w:proofErr w:type="spellEnd"/>
      <w:r w:rsidRPr="00117E7E">
        <w:rPr>
          <w:lang w:eastAsia="zh-CN"/>
        </w:rPr>
        <w:t xml:space="preserve"> when irradiated as any stage infesting fresh commodities.</w:t>
      </w:r>
    </w:p>
    <w:p w14:paraId="3127CEB5" w14:textId="77777777" w:rsidR="00CD1B35" w:rsidRPr="00CD1B35" w:rsidRDefault="006E3A9D" w:rsidP="00984BEF">
      <w:pPr>
        <w:pStyle w:val="IPPParagraphnumbering"/>
        <w:widowControl w:val="0"/>
        <w:autoSpaceDE w:val="0"/>
        <w:autoSpaceDN w:val="0"/>
        <w:adjustRightInd w:val="0"/>
        <w:jc w:val="left"/>
        <w:rPr>
          <w:lang w:val="en-GB"/>
        </w:rPr>
      </w:pPr>
      <w:r>
        <w:rPr>
          <w:lang w:eastAsia="zh-CN"/>
        </w:rPr>
        <w:t>This treatment should be applied in accordance with the requirements of ISPM 18 (</w:t>
      </w:r>
      <w:r w:rsidRPr="00CD1B35">
        <w:rPr>
          <w:i/>
          <w:iCs/>
          <w:lang w:eastAsia="zh-CN"/>
        </w:rPr>
        <w:t>Guidelines for the</w:t>
      </w:r>
      <w:r w:rsidR="00CD1B35" w:rsidRPr="00CD1B35">
        <w:rPr>
          <w:i/>
          <w:iCs/>
          <w:lang w:eastAsia="zh-CN"/>
        </w:rPr>
        <w:t xml:space="preserve"> </w:t>
      </w:r>
      <w:r w:rsidRPr="00CD1B35">
        <w:rPr>
          <w:rFonts w:eastAsia="SimSun"/>
          <w:i/>
          <w:iCs/>
          <w:szCs w:val="22"/>
          <w:lang w:eastAsia="zh-CN"/>
        </w:rPr>
        <w:t>use of irradiation as a phytosanitary measure</w:t>
      </w:r>
      <w:r w:rsidRPr="00CD1B35">
        <w:rPr>
          <w:rFonts w:eastAsia="SimSun"/>
          <w:szCs w:val="22"/>
          <w:lang w:eastAsia="zh-CN"/>
        </w:rPr>
        <w:t>).</w:t>
      </w:r>
    </w:p>
    <w:p w14:paraId="3127CEB6" w14:textId="77777777" w:rsidR="00F47096" w:rsidRPr="00CD1B35" w:rsidRDefault="00F47096" w:rsidP="00984BEF">
      <w:pPr>
        <w:pStyle w:val="IPPParagraphnumbering"/>
        <w:widowControl w:val="0"/>
        <w:autoSpaceDE w:val="0"/>
        <w:autoSpaceDN w:val="0"/>
        <w:adjustRightInd w:val="0"/>
        <w:jc w:val="left"/>
        <w:rPr>
          <w:lang w:val="en-GB"/>
        </w:rPr>
      </w:pPr>
      <w:r w:rsidRPr="00CD1B35">
        <w:rPr>
          <w:lang w:val="en-GB"/>
        </w:rPr>
        <w:t>This irradiation treatment should not be applied to fruits and vegetables stored in modified atmospheres.</w:t>
      </w:r>
    </w:p>
    <w:p w14:paraId="3127CEB7" w14:textId="77777777" w:rsidR="00F47096" w:rsidRPr="001C6A1A" w:rsidRDefault="00F47096" w:rsidP="00F47096">
      <w:pPr>
        <w:pStyle w:val="IPPHeading1"/>
      </w:pPr>
      <w:r w:rsidRPr="001C6A1A">
        <w:t>Other relevant information</w:t>
      </w:r>
    </w:p>
    <w:p w14:paraId="3127CEB8" w14:textId="77777777" w:rsidR="00651547" w:rsidRPr="00A22BBF" w:rsidRDefault="00804E8D" w:rsidP="00CD1B35">
      <w:pPr>
        <w:pStyle w:val="IPPParagraphnumbering"/>
        <w:rPr>
          <w:lang w:eastAsia="zh-CN"/>
        </w:rPr>
      </w:pPr>
      <w:r w:rsidRPr="00651547">
        <w:rPr>
          <w:lang w:eastAsia="zh-CN"/>
        </w:rPr>
        <w:t xml:space="preserve">This treatment schedule was based on the work of </w:t>
      </w:r>
      <w:r w:rsidRPr="00651547">
        <w:rPr>
          <w:rFonts w:cs="Calibri"/>
        </w:rPr>
        <w:t>Hofmeyr</w:t>
      </w:r>
      <w:r w:rsidRPr="00651547">
        <w:rPr>
          <w:lang w:eastAsia="zh-CN"/>
        </w:rPr>
        <w:t xml:space="preserve"> </w:t>
      </w:r>
      <w:r w:rsidRPr="00651547">
        <w:rPr>
          <w:i/>
          <w:iCs/>
          <w:lang w:eastAsia="zh-CN"/>
        </w:rPr>
        <w:t xml:space="preserve">et al. </w:t>
      </w:r>
      <w:r w:rsidRPr="00651547">
        <w:rPr>
          <w:lang w:eastAsia="zh-CN"/>
        </w:rPr>
        <w:t>(201</w:t>
      </w:r>
      <w:r w:rsidR="00FC6F33" w:rsidRPr="00651547">
        <w:rPr>
          <w:rFonts w:hint="eastAsia"/>
          <w:lang w:eastAsia="zh-CN"/>
        </w:rPr>
        <w:t>6a</w:t>
      </w:r>
      <w:r w:rsidRPr="00651547">
        <w:rPr>
          <w:lang w:eastAsia="zh-CN"/>
        </w:rPr>
        <w:t>).</w:t>
      </w:r>
      <w:r w:rsidR="00651547" w:rsidRPr="00651547">
        <w:rPr>
          <w:rFonts w:hint="eastAsia"/>
          <w:lang w:eastAsia="zh-CN"/>
        </w:rPr>
        <w:t xml:space="preserve"> </w:t>
      </w:r>
      <w:r w:rsidR="00825C56" w:rsidRPr="00651547">
        <w:rPr>
          <w:rFonts w:hint="eastAsia"/>
          <w:lang w:eastAsia="zh-CN"/>
        </w:rPr>
        <w:t>Dose of 250 Gy produced complete sterility in 13</w:t>
      </w:r>
      <w:r w:rsidR="00454EC7">
        <w:rPr>
          <w:lang w:eastAsia="zh-CN"/>
        </w:rPr>
        <w:t xml:space="preserve"> </w:t>
      </w:r>
      <w:r w:rsidR="00825C56" w:rsidRPr="00651547">
        <w:rPr>
          <w:rFonts w:hint="eastAsia"/>
          <w:lang w:eastAsia="zh-CN"/>
        </w:rPr>
        <w:t>824 eggs ovipo</w:t>
      </w:r>
      <w:r w:rsidR="00454EC7">
        <w:rPr>
          <w:rFonts w:hint="eastAsia"/>
          <w:lang w:eastAsia="zh-CN"/>
        </w:rPr>
        <w:t>sited by 3093 treated adults of</w:t>
      </w:r>
      <w:r w:rsidR="00825C56" w:rsidRPr="00651547">
        <w:rPr>
          <w:rFonts w:hint="eastAsia"/>
          <w:i/>
          <w:lang w:eastAsia="zh-CN"/>
        </w:rPr>
        <w:t xml:space="preserve"> </w:t>
      </w:r>
      <w:proofErr w:type="spellStart"/>
      <w:r w:rsidR="00825C56" w:rsidRPr="00651547">
        <w:rPr>
          <w:rFonts w:hint="eastAsia"/>
          <w:i/>
          <w:lang w:eastAsia="zh-CN"/>
        </w:rPr>
        <w:t>Maconellicoccus</w:t>
      </w:r>
      <w:proofErr w:type="spellEnd"/>
      <w:r w:rsidR="00825C56" w:rsidRPr="00651547">
        <w:rPr>
          <w:rFonts w:hint="eastAsia"/>
          <w:i/>
          <w:lang w:eastAsia="zh-CN"/>
        </w:rPr>
        <w:t xml:space="preserve"> </w:t>
      </w:r>
      <w:proofErr w:type="spellStart"/>
      <w:r w:rsidR="00825C56" w:rsidRPr="00651547">
        <w:rPr>
          <w:rFonts w:hint="eastAsia"/>
          <w:i/>
          <w:lang w:eastAsia="zh-CN"/>
        </w:rPr>
        <w:t>hirsutus</w:t>
      </w:r>
      <w:proofErr w:type="spellEnd"/>
      <w:r w:rsidR="00651547">
        <w:rPr>
          <w:rFonts w:hint="eastAsia"/>
          <w:i/>
          <w:lang w:eastAsia="zh-CN"/>
        </w:rPr>
        <w:t xml:space="preserve"> </w:t>
      </w:r>
      <w:r w:rsidR="00825C56" w:rsidRPr="00651547">
        <w:rPr>
          <w:rFonts w:hint="eastAsia"/>
          <w:lang w:eastAsia="zh-CN"/>
        </w:rPr>
        <w:t>(Jacobsen and Hara 2003).</w:t>
      </w:r>
      <w:r w:rsidR="00651547" w:rsidRPr="00651547">
        <w:rPr>
          <w:rFonts w:hint="eastAsia"/>
          <w:lang w:eastAsia="zh-CN"/>
        </w:rPr>
        <w:t xml:space="preserve"> 165-258 Gy induce lethality in developing stages,</w:t>
      </w:r>
      <w:r w:rsidR="00454EC7">
        <w:rPr>
          <w:lang w:eastAsia="zh-CN"/>
        </w:rPr>
        <w:t xml:space="preserve"> </w:t>
      </w:r>
      <w:r w:rsidR="00651547" w:rsidRPr="00651547">
        <w:rPr>
          <w:rFonts w:hint="eastAsia"/>
          <w:lang w:eastAsia="zh-CN"/>
        </w:rPr>
        <w:t>sterility in adults of</w:t>
      </w:r>
      <w:r w:rsidR="00651547" w:rsidRPr="00651547">
        <w:rPr>
          <w:rFonts w:hint="eastAsia"/>
          <w:i/>
          <w:lang w:eastAsia="zh-CN"/>
        </w:rPr>
        <w:t xml:space="preserve"> </w:t>
      </w:r>
      <w:proofErr w:type="spellStart"/>
      <w:r w:rsidR="00651547" w:rsidRPr="00651547">
        <w:rPr>
          <w:rFonts w:hint="eastAsia"/>
          <w:i/>
          <w:lang w:eastAsia="zh-CN"/>
        </w:rPr>
        <w:t>Paracooccus</w:t>
      </w:r>
      <w:proofErr w:type="spellEnd"/>
      <w:r w:rsidR="00651547" w:rsidRPr="00651547">
        <w:rPr>
          <w:rFonts w:hint="eastAsia"/>
          <w:i/>
          <w:lang w:eastAsia="zh-CN"/>
        </w:rPr>
        <w:t xml:space="preserve"> </w:t>
      </w:r>
      <w:proofErr w:type="spellStart"/>
      <w:r w:rsidR="00651547" w:rsidRPr="00651547">
        <w:rPr>
          <w:rFonts w:hint="eastAsia"/>
          <w:i/>
          <w:lang w:eastAsia="zh-CN"/>
        </w:rPr>
        <w:t>marginatus</w:t>
      </w:r>
      <w:proofErr w:type="spellEnd"/>
      <w:r w:rsidR="00454EC7">
        <w:rPr>
          <w:i/>
          <w:lang w:eastAsia="zh-CN"/>
        </w:rPr>
        <w:t xml:space="preserve"> </w:t>
      </w:r>
      <w:r w:rsidR="00651547" w:rsidRPr="00651547">
        <w:rPr>
          <w:rFonts w:hint="eastAsia"/>
          <w:lang w:eastAsia="zh-CN"/>
        </w:rPr>
        <w:t>(Seth e al., 2016c).</w:t>
      </w:r>
      <w:r w:rsidR="00454EC7">
        <w:rPr>
          <w:lang w:eastAsia="zh-CN"/>
        </w:rPr>
        <w:t xml:space="preserve"> </w:t>
      </w:r>
      <w:r w:rsidR="00651547" w:rsidRPr="00651547">
        <w:rPr>
          <w:rFonts w:hint="eastAsia"/>
          <w:lang w:eastAsia="zh-CN"/>
        </w:rPr>
        <w:t>A</w:t>
      </w:r>
      <w:r w:rsidR="00FC6F33" w:rsidRPr="00651547">
        <w:rPr>
          <w:rFonts w:hint="eastAsia"/>
          <w:lang w:eastAsia="zh-CN"/>
        </w:rPr>
        <w:t xml:space="preserve"> dose of 150 Gy prevents the development of egg laid of up to </w:t>
      </w:r>
      <w:r w:rsidR="00FC6F33" w:rsidRPr="00651547">
        <w:rPr>
          <w:lang w:eastAsia="zh-CN"/>
        </w:rPr>
        <w:t>99.99</w:t>
      </w:r>
      <w:r w:rsidR="00FC6F33" w:rsidRPr="00651547">
        <w:rPr>
          <w:rFonts w:hint="eastAsia"/>
          <w:lang w:eastAsia="zh-CN"/>
        </w:rPr>
        <w:t>64</w:t>
      </w:r>
      <w:r w:rsidR="00FC6F33" w:rsidRPr="00651547">
        <w:rPr>
          <w:lang w:eastAsia="zh-CN"/>
        </w:rPr>
        <w:t>%</w:t>
      </w:r>
      <w:r w:rsidR="00FC6F33" w:rsidRPr="00651547">
        <w:rPr>
          <w:rFonts w:hint="eastAsia"/>
          <w:lang w:eastAsia="zh-CN"/>
        </w:rPr>
        <w:t xml:space="preserve"> of</w:t>
      </w:r>
      <w:r w:rsidR="00FC6F33" w:rsidRPr="00651547">
        <w:rPr>
          <w:i/>
          <w:lang w:eastAsia="zh-CN"/>
        </w:rPr>
        <w:t xml:space="preserve"> </w:t>
      </w:r>
      <w:proofErr w:type="spellStart"/>
      <w:r w:rsidR="00FC6F33" w:rsidRPr="00651547">
        <w:rPr>
          <w:i/>
          <w:lang w:eastAsia="zh-CN"/>
        </w:rPr>
        <w:t>Planococcus</w:t>
      </w:r>
      <w:proofErr w:type="spellEnd"/>
      <w:r w:rsidR="00FC6F33" w:rsidRPr="00651547">
        <w:rPr>
          <w:i/>
          <w:lang w:eastAsia="zh-CN"/>
        </w:rPr>
        <w:t xml:space="preserve"> </w:t>
      </w:r>
      <w:proofErr w:type="spellStart"/>
      <w:r w:rsidR="00FC6F33" w:rsidRPr="00651547">
        <w:rPr>
          <w:i/>
          <w:lang w:eastAsia="zh-CN"/>
        </w:rPr>
        <w:t>citri</w:t>
      </w:r>
      <w:proofErr w:type="spellEnd"/>
      <w:r w:rsidR="00FC6F33" w:rsidRPr="00651547">
        <w:rPr>
          <w:rFonts w:hint="eastAsia"/>
          <w:i/>
          <w:lang w:eastAsia="zh-CN"/>
        </w:rPr>
        <w:t xml:space="preserve"> </w:t>
      </w:r>
      <w:r w:rsidR="00FC6F33" w:rsidRPr="00651547">
        <w:rPr>
          <w:lang w:eastAsia="zh-CN"/>
        </w:rPr>
        <w:t>and 99.9</w:t>
      </w:r>
      <w:r w:rsidR="00FC6F33" w:rsidRPr="00651547">
        <w:rPr>
          <w:rFonts w:hint="eastAsia"/>
          <w:lang w:eastAsia="zh-CN"/>
        </w:rPr>
        <w:t>709</w:t>
      </w:r>
      <w:r w:rsidR="00FC6F33" w:rsidRPr="00651547">
        <w:rPr>
          <w:lang w:eastAsia="zh-CN"/>
        </w:rPr>
        <w:t xml:space="preserve">% </w:t>
      </w:r>
      <w:r w:rsidR="00FC6F33" w:rsidRPr="00651547">
        <w:rPr>
          <w:rFonts w:hint="eastAsia"/>
          <w:lang w:eastAsia="zh-CN"/>
        </w:rPr>
        <w:t>of</w:t>
      </w:r>
      <w:r w:rsidR="00FC6F33" w:rsidRPr="00651547">
        <w:rPr>
          <w:rFonts w:hint="eastAsia"/>
          <w:i/>
          <w:lang w:eastAsia="zh-CN"/>
        </w:rPr>
        <w:t xml:space="preserve"> </w:t>
      </w:r>
      <w:proofErr w:type="spellStart"/>
      <w:r w:rsidR="00FC6F33" w:rsidRPr="00651547">
        <w:rPr>
          <w:i/>
          <w:lang w:eastAsia="zh-CN"/>
        </w:rPr>
        <w:t>Planococcus</w:t>
      </w:r>
      <w:proofErr w:type="spellEnd"/>
      <w:r w:rsidR="00FC6F33" w:rsidRPr="00651547">
        <w:rPr>
          <w:rFonts w:cs="Calibri"/>
          <w:i/>
          <w:sz w:val="24"/>
        </w:rPr>
        <w:t xml:space="preserve"> </w:t>
      </w:r>
      <w:proofErr w:type="spellStart"/>
      <w:r w:rsidR="00FC6F33" w:rsidRPr="00651547">
        <w:rPr>
          <w:rFonts w:cs="Calibri"/>
          <w:i/>
          <w:sz w:val="24"/>
        </w:rPr>
        <w:t>ficus</w:t>
      </w:r>
      <w:proofErr w:type="spellEnd"/>
      <w:r w:rsidR="00FC6F33" w:rsidRPr="00651547">
        <w:rPr>
          <w:lang w:eastAsia="zh-CN"/>
        </w:rPr>
        <w:t xml:space="preserve"> </w:t>
      </w:r>
      <w:r w:rsidR="00FC6F33" w:rsidRPr="00651547">
        <w:rPr>
          <w:rFonts w:hint="eastAsia"/>
          <w:lang w:eastAsia="zh-CN"/>
        </w:rPr>
        <w:t>(</w:t>
      </w:r>
      <w:r w:rsidR="00FC6F33" w:rsidRPr="00651547">
        <w:rPr>
          <w:rFonts w:cs="Calibri"/>
        </w:rPr>
        <w:t>Hofmeyr</w:t>
      </w:r>
      <w:r w:rsidR="00FC6F33" w:rsidRPr="00651547">
        <w:rPr>
          <w:lang w:eastAsia="zh-CN"/>
        </w:rPr>
        <w:t xml:space="preserve"> </w:t>
      </w:r>
      <w:r w:rsidR="00FC6F33" w:rsidRPr="00651547">
        <w:rPr>
          <w:i/>
          <w:iCs/>
          <w:lang w:eastAsia="zh-CN"/>
        </w:rPr>
        <w:t xml:space="preserve">et al. </w:t>
      </w:r>
      <w:r w:rsidR="00FC6F33" w:rsidRPr="00651547">
        <w:rPr>
          <w:lang w:eastAsia="zh-CN"/>
        </w:rPr>
        <w:t>201</w:t>
      </w:r>
      <w:r w:rsidR="00FC6F33" w:rsidRPr="00651547">
        <w:rPr>
          <w:rFonts w:hint="eastAsia"/>
          <w:lang w:eastAsia="zh-CN"/>
        </w:rPr>
        <w:t>6b).</w:t>
      </w:r>
      <w:r w:rsidR="00651547" w:rsidRPr="00651547">
        <w:rPr>
          <w:rFonts w:hint="eastAsia"/>
          <w:lang w:eastAsia="zh-CN"/>
        </w:rPr>
        <w:t xml:space="preserve"> </w:t>
      </w:r>
      <w:r w:rsidR="00A22BBF" w:rsidRPr="00A22BBF">
        <w:rPr>
          <w:rFonts w:hint="eastAsia"/>
          <w:lang w:eastAsia="zh-CN"/>
        </w:rPr>
        <w:t>Dose of 166</w:t>
      </w:r>
      <w:r w:rsidR="00A22BBF" w:rsidRPr="00A22BBF">
        <w:rPr>
          <w:lang w:eastAsia="zh-CN"/>
        </w:rPr>
        <w:t xml:space="preserve"> </w:t>
      </w:r>
      <w:r w:rsidR="00A22BBF" w:rsidRPr="00A22BBF">
        <w:rPr>
          <w:rFonts w:hint="eastAsia"/>
          <w:lang w:eastAsia="zh-CN"/>
        </w:rPr>
        <w:t xml:space="preserve">Gy prevents no development </w:t>
      </w:r>
      <w:r w:rsidR="00A22BBF" w:rsidRPr="00A22BBF">
        <w:rPr>
          <w:lang w:eastAsia="zh-CN"/>
        </w:rPr>
        <w:t>beyond</w:t>
      </w:r>
      <w:r w:rsidR="00A22BBF" w:rsidRPr="00A22BBF">
        <w:rPr>
          <w:rFonts w:hint="eastAsia"/>
          <w:lang w:eastAsia="zh-CN"/>
        </w:rPr>
        <w:t xml:space="preserve"> </w:t>
      </w:r>
      <w:r w:rsidR="00A22BBF" w:rsidRPr="00A22BBF">
        <w:rPr>
          <w:lang w:eastAsia="zh-CN"/>
        </w:rPr>
        <w:t xml:space="preserve">F1 </w:t>
      </w:r>
      <w:r w:rsidR="00A22BBF" w:rsidRPr="00A22BBF">
        <w:rPr>
          <w:rFonts w:hint="eastAsia"/>
          <w:lang w:eastAsia="zh-CN"/>
        </w:rPr>
        <w:t>1</w:t>
      </w:r>
      <w:r w:rsidR="00A22BBF" w:rsidRPr="00A22BBF">
        <w:rPr>
          <w:rFonts w:hint="eastAsia"/>
          <w:vertAlign w:val="superscript"/>
          <w:lang w:eastAsia="zh-CN"/>
        </w:rPr>
        <w:t>st</w:t>
      </w:r>
      <w:r w:rsidR="00A22BBF" w:rsidRPr="00A22BBF">
        <w:rPr>
          <w:rFonts w:hint="eastAsia"/>
          <w:lang w:eastAsia="zh-CN"/>
        </w:rPr>
        <w:t xml:space="preserve"> instar of up to </w:t>
      </w:r>
      <w:r w:rsidR="00A22BBF" w:rsidRPr="00A22BBF">
        <w:rPr>
          <w:lang w:eastAsia="zh-CN"/>
        </w:rPr>
        <w:t>99.9975%</w:t>
      </w:r>
      <w:r w:rsidR="00A22BBF" w:rsidRPr="00A22BBF">
        <w:rPr>
          <w:rFonts w:hint="eastAsia"/>
          <w:lang w:eastAsia="zh-CN"/>
        </w:rPr>
        <w:t xml:space="preserve"> on </w:t>
      </w:r>
      <w:r w:rsidR="00A22BBF" w:rsidRPr="00A22BBF">
        <w:rPr>
          <w:i/>
          <w:lang w:eastAsia="zh-CN"/>
        </w:rPr>
        <w:t>Solanum tuberosum</w:t>
      </w:r>
      <w:r w:rsidR="00A22BBF" w:rsidRPr="00A22BBF">
        <w:rPr>
          <w:lang w:eastAsia="zh-CN"/>
        </w:rPr>
        <w:t xml:space="preserve"> and 99.9939%</w:t>
      </w:r>
      <w:r w:rsidR="00A22BBF" w:rsidRPr="00A22BBF">
        <w:rPr>
          <w:rFonts w:hint="eastAsia"/>
          <w:lang w:eastAsia="zh-CN"/>
        </w:rPr>
        <w:t xml:space="preserve"> on</w:t>
      </w:r>
      <w:r w:rsidR="00A22BBF" w:rsidRPr="00A22BBF">
        <w:rPr>
          <w:lang w:eastAsia="zh-CN"/>
        </w:rPr>
        <w:t xml:space="preserve"> </w:t>
      </w:r>
      <w:r w:rsidR="00A22BBF" w:rsidRPr="00A22BBF">
        <w:rPr>
          <w:i/>
          <w:lang w:eastAsia="zh-CN"/>
        </w:rPr>
        <w:t>Cucurbita</w:t>
      </w:r>
      <w:r w:rsidR="00A22BBF" w:rsidRPr="00A22BBF">
        <w:rPr>
          <w:lang w:eastAsia="zh-CN"/>
        </w:rPr>
        <w:t xml:space="preserve"> sp.</w:t>
      </w:r>
      <w:r w:rsidR="00A22BBF" w:rsidRPr="00A22BBF">
        <w:rPr>
          <w:rFonts w:hint="eastAsia"/>
          <w:lang w:eastAsia="zh-CN"/>
        </w:rPr>
        <w:t xml:space="preserve"> </w:t>
      </w:r>
      <w:r w:rsidR="00A22BBF" w:rsidRPr="00A22BBF">
        <w:rPr>
          <w:lang w:eastAsia="zh-CN"/>
        </w:rPr>
        <w:t xml:space="preserve">and 99.9982% (all females) </w:t>
      </w:r>
      <w:r w:rsidR="00A22BBF" w:rsidRPr="00A22BBF">
        <w:rPr>
          <w:rFonts w:hint="eastAsia"/>
          <w:lang w:eastAsia="zh-CN"/>
        </w:rPr>
        <w:t>of</w:t>
      </w:r>
      <w:r w:rsidR="00A22BBF" w:rsidRPr="00A22BBF">
        <w:rPr>
          <w:rFonts w:hint="eastAsia"/>
          <w:i/>
          <w:lang w:eastAsia="zh-CN"/>
        </w:rPr>
        <w:t xml:space="preserve"> </w:t>
      </w:r>
      <w:r w:rsidR="00A22BBF" w:rsidRPr="00A22BBF">
        <w:rPr>
          <w:i/>
          <w:lang w:eastAsia="zh-CN"/>
        </w:rPr>
        <w:t xml:space="preserve">Pseudococcus </w:t>
      </w:r>
      <w:proofErr w:type="spellStart"/>
      <w:r w:rsidR="00A22BBF" w:rsidRPr="00A22BBF">
        <w:rPr>
          <w:i/>
          <w:lang w:eastAsia="zh-CN"/>
        </w:rPr>
        <w:t>jackbeardsleyi</w:t>
      </w:r>
      <w:proofErr w:type="spellEnd"/>
      <w:r w:rsidR="00A22BBF" w:rsidRPr="00A22BBF">
        <w:rPr>
          <w:rFonts w:hint="eastAsia"/>
          <w:lang w:eastAsia="zh-CN"/>
        </w:rPr>
        <w:t xml:space="preserve"> (Zhan et al.,</w:t>
      </w:r>
      <w:r w:rsidR="00052AD9">
        <w:rPr>
          <w:rFonts w:hint="eastAsia"/>
          <w:lang w:eastAsia="zh-CN"/>
        </w:rPr>
        <w:t xml:space="preserve"> </w:t>
      </w:r>
      <w:r w:rsidR="00A22BBF" w:rsidRPr="00A22BBF">
        <w:rPr>
          <w:rFonts w:hint="eastAsia"/>
          <w:lang w:eastAsia="zh-CN"/>
        </w:rPr>
        <w:t>2016)</w:t>
      </w:r>
      <w:r w:rsidR="00B41A94" w:rsidRPr="00A22BBF">
        <w:rPr>
          <w:rFonts w:hint="eastAsia"/>
          <w:lang w:eastAsia="zh-CN"/>
        </w:rPr>
        <w:t>.</w:t>
      </w:r>
      <w:r w:rsidR="00A22BBF" w:rsidRPr="00A22BBF">
        <w:rPr>
          <w:rFonts w:hint="eastAsia"/>
          <w:lang w:eastAsia="zh-CN"/>
        </w:rPr>
        <w:t xml:space="preserve"> Dose of </w:t>
      </w:r>
      <w:r w:rsidR="00A22BBF" w:rsidRPr="00A22BBF">
        <w:rPr>
          <w:lang w:eastAsia="zh-CN"/>
        </w:rPr>
        <w:t xml:space="preserve">231 </w:t>
      </w:r>
      <w:r w:rsidR="00A22BBF" w:rsidRPr="00A22BBF">
        <w:rPr>
          <w:rFonts w:hint="eastAsia"/>
          <w:lang w:eastAsia="zh-CN"/>
        </w:rPr>
        <w:t xml:space="preserve">Gy prevents no development </w:t>
      </w:r>
      <w:r w:rsidR="00A22BBF" w:rsidRPr="00A22BBF">
        <w:rPr>
          <w:lang w:eastAsia="zh-CN"/>
        </w:rPr>
        <w:t>beyond</w:t>
      </w:r>
      <w:r w:rsidR="00A22BBF" w:rsidRPr="00A22BBF">
        <w:rPr>
          <w:rFonts w:hint="eastAsia"/>
          <w:lang w:eastAsia="zh-CN"/>
        </w:rPr>
        <w:t xml:space="preserve"> </w:t>
      </w:r>
      <w:r w:rsidR="00A22BBF" w:rsidRPr="00A22BBF">
        <w:rPr>
          <w:lang w:eastAsia="zh-CN"/>
        </w:rPr>
        <w:t xml:space="preserve">F1 </w:t>
      </w:r>
      <w:r w:rsidR="00A22BBF" w:rsidRPr="00A22BBF">
        <w:rPr>
          <w:rFonts w:hint="eastAsia"/>
          <w:lang w:eastAsia="zh-CN"/>
        </w:rPr>
        <w:t>1</w:t>
      </w:r>
      <w:r w:rsidR="00A22BBF" w:rsidRPr="00A22BBF">
        <w:rPr>
          <w:rFonts w:hint="eastAsia"/>
          <w:vertAlign w:val="superscript"/>
          <w:lang w:eastAsia="zh-CN"/>
        </w:rPr>
        <w:t>st</w:t>
      </w:r>
      <w:r w:rsidR="00A22BBF" w:rsidRPr="00A22BBF">
        <w:rPr>
          <w:rFonts w:hint="eastAsia"/>
          <w:lang w:eastAsia="zh-CN"/>
        </w:rPr>
        <w:t xml:space="preserve"> instar of up to </w:t>
      </w:r>
      <w:r w:rsidR="00A22BBF" w:rsidRPr="00A22BBF">
        <w:rPr>
          <w:lang w:eastAsia="zh-CN"/>
        </w:rPr>
        <w:t xml:space="preserve">99.99023 % of adult females of </w:t>
      </w:r>
      <w:proofErr w:type="spellStart"/>
      <w:r w:rsidR="00A22BBF" w:rsidRPr="00A22BBF">
        <w:rPr>
          <w:i/>
          <w:iCs/>
          <w:lang w:eastAsia="zh-CN"/>
        </w:rPr>
        <w:t>Dysmicoccus</w:t>
      </w:r>
      <w:proofErr w:type="spellEnd"/>
      <w:r w:rsidR="00A22BBF" w:rsidRPr="00A22BBF">
        <w:rPr>
          <w:i/>
          <w:iCs/>
          <w:lang w:eastAsia="zh-CN"/>
        </w:rPr>
        <w:t xml:space="preserve"> </w:t>
      </w:r>
      <w:proofErr w:type="spellStart"/>
      <w:r w:rsidR="00A22BBF" w:rsidRPr="00A22BBF">
        <w:rPr>
          <w:i/>
          <w:iCs/>
          <w:lang w:eastAsia="zh-CN"/>
        </w:rPr>
        <w:t>neobrevipes</w:t>
      </w:r>
      <w:proofErr w:type="spellEnd"/>
      <w:r w:rsidR="00A22BBF" w:rsidRPr="00A22BBF">
        <w:rPr>
          <w:iCs/>
          <w:lang w:eastAsia="zh-CN"/>
        </w:rPr>
        <w:t xml:space="preserve">, (which is much tolerance than </w:t>
      </w:r>
      <w:proofErr w:type="spellStart"/>
      <w:r w:rsidR="00A22BBF" w:rsidRPr="00A22BBF">
        <w:rPr>
          <w:i/>
          <w:iCs/>
          <w:lang w:eastAsia="zh-CN"/>
        </w:rPr>
        <w:t>Planococcus</w:t>
      </w:r>
      <w:proofErr w:type="spellEnd"/>
      <w:r w:rsidR="00A22BBF" w:rsidRPr="00A22BBF">
        <w:rPr>
          <w:i/>
          <w:iCs/>
          <w:lang w:eastAsia="zh-CN"/>
        </w:rPr>
        <w:t xml:space="preserve"> </w:t>
      </w:r>
      <w:proofErr w:type="spellStart"/>
      <w:r w:rsidR="00A22BBF" w:rsidRPr="00A22BBF">
        <w:rPr>
          <w:i/>
          <w:iCs/>
          <w:lang w:eastAsia="zh-CN"/>
        </w:rPr>
        <w:t>lilacinus</w:t>
      </w:r>
      <w:proofErr w:type="spellEnd"/>
      <w:r w:rsidR="00A22BBF" w:rsidRPr="00A22BBF">
        <w:rPr>
          <w:i/>
          <w:iCs/>
          <w:lang w:eastAsia="zh-CN"/>
        </w:rPr>
        <w:t xml:space="preserve"> </w:t>
      </w:r>
      <w:r w:rsidR="00A22BBF" w:rsidRPr="00A22BBF">
        <w:rPr>
          <w:lang w:eastAsia="zh-CN"/>
        </w:rPr>
        <w:t>and</w:t>
      </w:r>
      <w:r w:rsidR="00A22BBF" w:rsidRPr="00A22BBF">
        <w:rPr>
          <w:rFonts w:hint="eastAsia"/>
          <w:lang w:eastAsia="zh-CN"/>
        </w:rPr>
        <w:t xml:space="preserve"> </w:t>
      </w:r>
      <w:proofErr w:type="spellStart"/>
      <w:r w:rsidR="00A22BBF" w:rsidRPr="00A22BBF">
        <w:rPr>
          <w:i/>
          <w:iCs/>
          <w:lang w:eastAsia="zh-CN"/>
        </w:rPr>
        <w:t>Planococcus</w:t>
      </w:r>
      <w:proofErr w:type="spellEnd"/>
      <w:r w:rsidR="00A22BBF" w:rsidRPr="00A22BBF">
        <w:rPr>
          <w:iCs/>
          <w:lang w:eastAsia="zh-CN"/>
        </w:rPr>
        <w:t>)</w:t>
      </w:r>
      <w:r w:rsidR="00A22BBF" w:rsidRPr="00A22BBF">
        <w:rPr>
          <w:rFonts w:hint="eastAsia"/>
          <w:lang w:eastAsia="zh-CN"/>
        </w:rPr>
        <w:t xml:space="preserve"> </w:t>
      </w:r>
      <w:r w:rsidR="00651547" w:rsidRPr="00A22BBF">
        <w:rPr>
          <w:rFonts w:hint="eastAsia"/>
          <w:lang w:eastAsia="zh-CN"/>
        </w:rPr>
        <w:t>(Doan et al.,</w:t>
      </w:r>
      <w:r w:rsidR="00454EC7">
        <w:rPr>
          <w:lang w:eastAsia="zh-CN"/>
        </w:rPr>
        <w:t xml:space="preserve"> </w:t>
      </w:r>
      <w:r w:rsidR="00651547" w:rsidRPr="00A22BBF">
        <w:rPr>
          <w:rFonts w:hint="eastAsia"/>
          <w:lang w:eastAsia="zh-CN"/>
        </w:rPr>
        <w:t>2016, ISPM 28 PT 19).</w:t>
      </w:r>
    </w:p>
    <w:p w14:paraId="3127CEB9" w14:textId="77777777" w:rsidR="004E576C" w:rsidRPr="00CD1B35" w:rsidRDefault="004E576C" w:rsidP="00B951E7">
      <w:pPr>
        <w:pStyle w:val="IPPParagraphnumbering"/>
        <w:widowControl w:val="0"/>
        <w:autoSpaceDE w:val="0"/>
        <w:autoSpaceDN w:val="0"/>
        <w:adjustRightInd w:val="0"/>
        <w:jc w:val="left"/>
        <w:rPr>
          <w:b/>
          <w:sz w:val="24"/>
        </w:rPr>
      </w:pPr>
      <w:r w:rsidRPr="00651547">
        <w:rPr>
          <w:lang w:eastAsia="zh-CN"/>
        </w:rPr>
        <w:t xml:space="preserve">Very little data is available for other members of the </w:t>
      </w:r>
      <w:proofErr w:type="spellStart"/>
      <w:r w:rsidRPr="00651547">
        <w:rPr>
          <w:lang w:eastAsia="zh-CN"/>
        </w:rPr>
        <w:t>Pseudococcidae</w:t>
      </w:r>
      <w:proofErr w:type="spellEnd"/>
      <w:r w:rsidRPr="00651547">
        <w:rPr>
          <w:lang w:eastAsia="zh-CN"/>
        </w:rPr>
        <w:t xml:space="preserve"> and all papers are listed in the</w:t>
      </w:r>
      <w:r w:rsidR="00CD1B35">
        <w:rPr>
          <w:lang w:eastAsia="zh-CN"/>
        </w:rPr>
        <w:t xml:space="preserve"> </w:t>
      </w:r>
      <w:r w:rsidR="00F121AA" w:rsidRPr="00CD1B35">
        <w:rPr>
          <w:rFonts w:eastAsia="SimSun" w:hint="eastAsia"/>
          <w:szCs w:val="22"/>
          <w:lang w:eastAsia="zh-CN"/>
        </w:rPr>
        <w:t>r</w:t>
      </w:r>
      <w:r w:rsidRPr="00CD1B35">
        <w:rPr>
          <w:rFonts w:eastAsia="SimSun"/>
          <w:szCs w:val="22"/>
          <w:lang w:eastAsia="zh-CN"/>
        </w:rPr>
        <w:t>eferences. In each case a dose near to or less than 200 Gy was sufficient to ensure no reproduction</w:t>
      </w:r>
      <w:r w:rsidR="00CD1B35">
        <w:rPr>
          <w:rFonts w:eastAsia="SimSun"/>
          <w:szCs w:val="22"/>
          <w:lang w:eastAsia="zh-CN"/>
        </w:rPr>
        <w:t xml:space="preserve"> </w:t>
      </w:r>
      <w:r w:rsidRPr="00CD1B35">
        <w:rPr>
          <w:rFonts w:eastAsia="SimSun"/>
          <w:szCs w:val="22"/>
          <w:lang w:eastAsia="zh-CN"/>
        </w:rPr>
        <w:t>providing additional confidence in the proposed dose.</w:t>
      </w:r>
    </w:p>
    <w:p w14:paraId="3127CEBA" w14:textId="77777777" w:rsidR="00E906D0" w:rsidRPr="00E906D0" w:rsidRDefault="00E906D0" w:rsidP="004E576C">
      <w:pPr>
        <w:pStyle w:val="IPPPargraphnumbering"/>
        <w:rPr>
          <w:b/>
          <w:sz w:val="24"/>
        </w:rPr>
      </w:pPr>
      <w:r w:rsidRPr="00E906D0">
        <w:rPr>
          <w:b/>
          <w:sz w:val="24"/>
        </w:rPr>
        <w:t>References</w:t>
      </w:r>
    </w:p>
    <w:p w14:paraId="3127CEBB" w14:textId="77777777" w:rsidR="004E576C" w:rsidRPr="00856562" w:rsidRDefault="004E576C" w:rsidP="00332697">
      <w:pPr>
        <w:pStyle w:val="IPPParagraphnumbering"/>
        <w:rPr>
          <w:rFonts w:cs="Calibri"/>
          <w:sz w:val="24"/>
        </w:rPr>
      </w:pPr>
      <w:r>
        <w:rPr>
          <w:lang w:eastAsia="zh-CN"/>
        </w:rPr>
        <w:t>The present standard refers to International Standards for Phytosanitary Measures (ISPMs). ISPMs are</w:t>
      </w:r>
      <w:r w:rsidR="0099665F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available on the International Phytosanitary Portal (IPP) at </w:t>
      </w:r>
      <w:r w:rsidRPr="00856562">
        <w:rPr>
          <w:color w:val="0000FF"/>
          <w:lang w:eastAsia="zh-CN"/>
        </w:rPr>
        <w:t>https://www.ippc.int/coreactivities/</w:t>
      </w:r>
      <w:r w:rsidRPr="00856562">
        <w:rPr>
          <w:rFonts w:eastAsia="SimSun"/>
          <w:color w:val="0000FF"/>
          <w:szCs w:val="22"/>
          <w:lang w:eastAsia="zh-CN"/>
        </w:rPr>
        <w:t>standards-setting/ispms</w:t>
      </w:r>
      <w:r w:rsidRPr="00856562">
        <w:rPr>
          <w:rFonts w:eastAsia="SimSun"/>
          <w:color w:val="000000"/>
          <w:szCs w:val="22"/>
          <w:lang w:eastAsia="zh-CN"/>
        </w:rPr>
        <w:t>.</w:t>
      </w:r>
    </w:p>
    <w:p w14:paraId="3127CEBC" w14:textId="77777777" w:rsidR="00801C4C" w:rsidRPr="00801C4C" w:rsidRDefault="004E576C" w:rsidP="00CD1B35">
      <w:pPr>
        <w:pStyle w:val="IPPReferences"/>
      </w:pPr>
      <w:r w:rsidRPr="00CD1B35">
        <w:rPr>
          <w:b/>
        </w:rPr>
        <w:t>Doan TT, Nguyen TK, Vo TKL, Nguyen TL, Cao VC, Tran TTA, Nguyen HHT</w:t>
      </w:r>
      <w:r w:rsidRPr="00801C4C">
        <w:t xml:space="preserve">. 2016. Phytosanitary irradiation against the mealybugs, </w:t>
      </w:r>
      <w:proofErr w:type="spellStart"/>
      <w:r w:rsidRPr="00801C4C">
        <w:rPr>
          <w:i/>
        </w:rPr>
        <w:t>Dysmicoccus</w:t>
      </w:r>
      <w:proofErr w:type="spellEnd"/>
      <w:r w:rsidRPr="00801C4C">
        <w:rPr>
          <w:i/>
        </w:rPr>
        <w:t xml:space="preserve"> </w:t>
      </w:r>
      <w:proofErr w:type="spellStart"/>
      <w:r w:rsidRPr="00801C4C">
        <w:rPr>
          <w:i/>
        </w:rPr>
        <w:t>neobrevipes</w:t>
      </w:r>
      <w:proofErr w:type="spellEnd"/>
      <w:r w:rsidRPr="00801C4C">
        <w:rPr>
          <w:i/>
        </w:rPr>
        <w:t xml:space="preserve">, </w:t>
      </w:r>
      <w:proofErr w:type="spellStart"/>
      <w:r w:rsidRPr="00801C4C">
        <w:rPr>
          <w:i/>
        </w:rPr>
        <w:t>Planococcus</w:t>
      </w:r>
      <w:proofErr w:type="spellEnd"/>
      <w:r w:rsidRPr="00801C4C">
        <w:rPr>
          <w:i/>
        </w:rPr>
        <w:t xml:space="preserve"> </w:t>
      </w:r>
      <w:proofErr w:type="spellStart"/>
      <w:r w:rsidRPr="00801C4C">
        <w:rPr>
          <w:i/>
        </w:rPr>
        <w:t>lilacinus</w:t>
      </w:r>
      <w:proofErr w:type="spellEnd"/>
      <w:r w:rsidRPr="00801C4C">
        <w:rPr>
          <w:i/>
        </w:rPr>
        <w:t xml:space="preserve"> </w:t>
      </w:r>
      <w:r w:rsidRPr="00801C4C">
        <w:t>and</w:t>
      </w:r>
      <w:r w:rsidRPr="00801C4C">
        <w:rPr>
          <w:i/>
        </w:rPr>
        <w:t xml:space="preserve"> </w:t>
      </w:r>
      <w:proofErr w:type="spellStart"/>
      <w:r w:rsidRPr="00801C4C">
        <w:rPr>
          <w:i/>
        </w:rPr>
        <w:t>Planococcus</w:t>
      </w:r>
      <w:proofErr w:type="spellEnd"/>
      <w:r w:rsidRPr="00801C4C">
        <w:rPr>
          <w:i/>
        </w:rPr>
        <w:t xml:space="preserve"> minor</w:t>
      </w:r>
      <w:r w:rsidRPr="00801C4C">
        <w:t xml:space="preserve"> (Hemiptera: </w:t>
      </w:r>
      <w:proofErr w:type="spellStart"/>
      <w:r w:rsidRPr="00801C4C">
        <w:t>Pseudococcidae</w:t>
      </w:r>
      <w:proofErr w:type="spellEnd"/>
      <w:r w:rsidRPr="00801C4C">
        <w:t>) infesting dragon fruit (Caryophyllales: Cactaceae) in Vietnam. Florida Entomologist 99</w:t>
      </w:r>
      <w:r w:rsidR="00804E8D" w:rsidRPr="00804E8D">
        <w:t>(special issue 2)</w:t>
      </w:r>
      <w:r w:rsidRPr="00801C4C">
        <w:t>: 159-165.</w:t>
      </w:r>
    </w:p>
    <w:p w14:paraId="3127CEBD" w14:textId="77777777" w:rsidR="004E576C" w:rsidRPr="00801C4C" w:rsidRDefault="004E576C" w:rsidP="00CD1B35">
      <w:pPr>
        <w:pStyle w:val="IPPReferences"/>
      </w:pPr>
      <w:proofErr w:type="spellStart"/>
      <w:r w:rsidRPr="00CD1B35">
        <w:rPr>
          <w:b/>
        </w:rPr>
        <w:t>Dohino</w:t>
      </w:r>
      <w:proofErr w:type="spellEnd"/>
      <w:r w:rsidRPr="00CD1B35">
        <w:rPr>
          <w:b/>
        </w:rPr>
        <w:t xml:space="preserve"> T, Masaki S</w:t>
      </w:r>
      <w:r w:rsidRPr="00801C4C">
        <w:t xml:space="preserve">. 1995. Effects of electron beam irradiation on Comstock mealybug, </w:t>
      </w:r>
      <w:r w:rsidRPr="00801C4C">
        <w:rPr>
          <w:i/>
        </w:rPr>
        <w:t xml:space="preserve">Pseudococcus </w:t>
      </w:r>
      <w:proofErr w:type="spellStart"/>
      <w:r w:rsidRPr="00801C4C">
        <w:rPr>
          <w:i/>
        </w:rPr>
        <w:t>comstocki</w:t>
      </w:r>
      <w:proofErr w:type="spellEnd"/>
      <w:r w:rsidRPr="00801C4C">
        <w:rPr>
          <w:i/>
        </w:rPr>
        <w:t xml:space="preserve"> </w:t>
      </w:r>
      <w:r w:rsidRPr="00801C4C">
        <w:t>(Kuwana) (</w:t>
      </w:r>
      <w:proofErr w:type="spellStart"/>
      <w:r w:rsidRPr="00801C4C">
        <w:t>Homoptera</w:t>
      </w:r>
      <w:proofErr w:type="spellEnd"/>
      <w:r w:rsidRPr="00801C4C">
        <w:t xml:space="preserve">: </w:t>
      </w:r>
      <w:proofErr w:type="spellStart"/>
      <w:r w:rsidRPr="00801C4C">
        <w:t>Pseudococcidae</w:t>
      </w:r>
      <w:proofErr w:type="spellEnd"/>
      <w:r w:rsidRPr="00801C4C">
        <w:t>). Research Bulletin of the Plant Protection Service Japan 31: 31-36.</w:t>
      </w:r>
    </w:p>
    <w:p w14:paraId="3127CEBE" w14:textId="77777777" w:rsidR="004E576C" w:rsidRPr="004E576C" w:rsidRDefault="004E576C" w:rsidP="00CD1B35">
      <w:pPr>
        <w:pStyle w:val="IPPReferences"/>
      </w:pPr>
      <w:proofErr w:type="spellStart"/>
      <w:r w:rsidRPr="00CD1B35">
        <w:rPr>
          <w:b/>
        </w:rPr>
        <w:t>Dohino</w:t>
      </w:r>
      <w:proofErr w:type="spellEnd"/>
      <w:r w:rsidRPr="00CD1B35">
        <w:rPr>
          <w:b/>
        </w:rPr>
        <w:t xml:space="preserve"> T, Masaki S, Takano T, Hayashi T</w:t>
      </w:r>
      <w:r w:rsidRPr="004E576C">
        <w:t xml:space="preserve">. 1997. Effects of electron beam irradiation on sterility of Comstock mealybug, </w:t>
      </w:r>
      <w:r w:rsidRPr="004E576C">
        <w:rPr>
          <w:i/>
        </w:rPr>
        <w:t xml:space="preserve">Pseudococcus </w:t>
      </w:r>
      <w:proofErr w:type="spellStart"/>
      <w:r w:rsidRPr="004E576C">
        <w:rPr>
          <w:i/>
        </w:rPr>
        <w:t>comstocki</w:t>
      </w:r>
      <w:proofErr w:type="spellEnd"/>
      <w:r w:rsidRPr="004E576C">
        <w:t xml:space="preserve"> (Kuwana) (</w:t>
      </w:r>
      <w:proofErr w:type="spellStart"/>
      <w:r w:rsidRPr="004E576C">
        <w:t>Homoptera</w:t>
      </w:r>
      <w:proofErr w:type="spellEnd"/>
      <w:r w:rsidRPr="004E576C">
        <w:t xml:space="preserve">: </w:t>
      </w:r>
      <w:proofErr w:type="spellStart"/>
      <w:r w:rsidRPr="004E576C">
        <w:t>Pseudococcidae</w:t>
      </w:r>
      <w:proofErr w:type="spellEnd"/>
      <w:r w:rsidRPr="004E576C">
        <w:t>). Research Bulletin of the Plant Protection Service Japan 33: 31-34.</w:t>
      </w:r>
    </w:p>
    <w:p w14:paraId="3127CEBF" w14:textId="77777777" w:rsidR="00FC6F33" w:rsidRPr="00804E8D" w:rsidRDefault="00FC6F33" w:rsidP="00CD1B35">
      <w:pPr>
        <w:pStyle w:val="IPPReferences"/>
      </w:pPr>
      <w:r w:rsidRPr="00CD1B35">
        <w:rPr>
          <w:b/>
        </w:rPr>
        <w:t xml:space="preserve">Hofmeyr H, Doan TT, </w:t>
      </w:r>
      <w:proofErr w:type="spellStart"/>
      <w:r w:rsidRPr="00CD1B35">
        <w:rPr>
          <w:b/>
        </w:rPr>
        <w:t>Indarwatmi</w:t>
      </w:r>
      <w:proofErr w:type="spellEnd"/>
      <w:r w:rsidRPr="00CD1B35">
        <w:rPr>
          <w:b/>
        </w:rPr>
        <w:t xml:space="preserve"> M, Seth R, Zhan GP.</w:t>
      </w:r>
      <w:r w:rsidRPr="00804E8D">
        <w:t xml:space="preserve"> 2016</w:t>
      </w:r>
      <w:r w:rsidRPr="00FC6F33">
        <w:rPr>
          <w:rFonts w:eastAsia="SimSun" w:hint="eastAsia"/>
          <w:lang w:eastAsia="zh-CN"/>
        </w:rPr>
        <w:t>a</w:t>
      </w:r>
      <w:r w:rsidRPr="00804E8D">
        <w:t xml:space="preserve">. Development of a generic radiation dose for the postharvest phytosanitary treatment of mealybug species (Hemiptera: </w:t>
      </w:r>
      <w:proofErr w:type="spellStart"/>
      <w:r w:rsidRPr="00804E8D">
        <w:t>Pseudococcidae</w:t>
      </w:r>
      <w:proofErr w:type="spellEnd"/>
      <w:r w:rsidRPr="00804E8D">
        <w:t>). Florida Entomologist 99(special issue 2): 191-196.</w:t>
      </w:r>
    </w:p>
    <w:p w14:paraId="3127CEC0" w14:textId="77777777" w:rsidR="004E576C" w:rsidRPr="00804E8D" w:rsidRDefault="004E576C" w:rsidP="00CD1B35">
      <w:pPr>
        <w:pStyle w:val="IPPReferences"/>
      </w:pPr>
      <w:r w:rsidRPr="00CD1B35">
        <w:rPr>
          <w:b/>
        </w:rPr>
        <w:t>Hofmeyr</w:t>
      </w:r>
      <w:r w:rsidR="00FC6F33" w:rsidRPr="00CD1B35">
        <w:rPr>
          <w:b/>
        </w:rPr>
        <w:t xml:space="preserve"> H, Hofmeyr M, Slabbert K.</w:t>
      </w:r>
      <w:r w:rsidR="00FC6F33">
        <w:t xml:space="preserve"> 2016</w:t>
      </w:r>
      <w:r w:rsidR="00FC6F33" w:rsidRPr="00F6378A">
        <w:rPr>
          <w:rFonts w:eastAsia="SimSun" w:hint="eastAsia"/>
          <w:lang w:eastAsia="zh-CN"/>
        </w:rPr>
        <w:t>b</w:t>
      </w:r>
      <w:r w:rsidRPr="004E576C">
        <w:t xml:space="preserve">. Postharvest phytosanitary irradiation disinfestation of </w:t>
      </w:r>
      <w:proofErr w:type="spellStart"/>
      <w:r w:rsidRPr="004E576C">
        <w:rPr>
          <w:i/>
        </w:rPr>
        <w:t>Planococcus</w:t>
      </w:r>
      <w:proofErr w:type="spellEnd"/>
      <w:r w:rsidRPr="004E576C">
        <w:rPr>
          <w:i/>
        </w:rPr>
        <w:t xml:space="preserve"> </w:t>
      </w:r>
      <w:proofErr w:type="spellStart"/>
      <w:r w:rsidRPr="004E576C">
        <w:rPr>
          <w:i/>
        </w:rPr>
        <w:t>citri</w:t>
      </w:r>
      <w:proofErr w:type="spellEnd"/>
      <w:r w:rsidRPr="004E576C">
        <w:rPr>
          <w:i/>
        </w:rPr>
        <w:t xml:space="preserve"> </w:t>
      </w:r>
      <w:r w:rsidRPr="004E576C">
        <w:t>and</w:t>
      </w:r>
      <w:r w:rsidRPr="004E576C">
        <w:rPr>
          <w:i/>
        </w:rPr>
        <w:t xml:space="preserve"> P. </w:t>
      </w:r>
      <w:proofErr w:type="spellStart"/>
      <w:r w:rsidRPr="004E576C">
        <w:rPr>
          <w:i/>
        </w:rPr>
        <w:t>ficus</w:t>
      </w:r>
      <w:proofErr w:type="spellEnd"/>
      <w:r w:rsidRPr="004E576C">
        <w:t xml:space="preserve"> (Hemiptera: </w:t>
      </w:r>
      <w:proofErr w:type="spellStart"/>
      <w:r w:rsidRPr="004E576C">
        <w:t>Pseudococcidae</w:t>
      </w:r>
      <w:proofErr w:type="spellEnd"/>
      <w:r w:rsidRPr="004E576C">
        <w:t>). Florida Entomologist 99</w:t>
      </w:r>
      <w:r w:rsidR="00804E8D" w:rsidRPr="00804E8D">
        <w:t>(special issue 2)</w:t>
      </w:r>
      <w:r w:rsidRPr="004E576C">
        <w:t>: 166-170.</w:t>
      </w:r>
    </w:p>
    <w:p w14:paraId="3127CEC1" w14:textId="77777777" w:rsidR="004E576C" w:rsidRPr="004E576C" w:rsidRDefault="004E576C" w:rsidP="00CD1B35">
      <w:pPr>
        <w:pStyle w:val="IPPReferences"/>
      </w:pPr>
      <w:proofErr w:type="spellStart"/>
      <w:r w:rsidRPr="00CD1B35">
        <w:rPr>
          <w:b/>
        </w:rPr>
        <w:lastRenderedPageBreak/>
        <w:t>Kuswadi</w:t>
      </w:r>
      <w:proofErr w:type="spellEnd"/>
      <w:r w:rsidRPr="00CD1B35">
        <w:rPr>
          <w:b/>
        </w:rPr>
        <w:t xml:space="preserve"> AN, </w:t>
      </w:r>
      <w:proofErr w:type="spellStart"/>
      <w:r w:rsidRPr="00CD1B35">
        <w:rPr>
          <w:b/>
        </w:rPr>
        <w:t>Indarwatmi</w:t>
      </w:r>
      <w:proofErr w:type="spellEnd"/>
      <w:r w:rsidRPr="00CD1B35">
        <w:rPr>
          <w:b/>
        </w:rPr>
        <w:t xml:space="preserve"> M, Nasution IA, Sasmita HI.</w:t>
      </w:r>
      <w:r w:rsidRPr="004E576C">
        <w:t xml:space="preserve"> 2016. Minimum gamma irradiation dose for phytosanitary treatment of the cacao mealybug, </w:t>
      </w:r>
      <w:proofErr w:type="spellStart"/>
      <w:r w:rsidRPr="004E576C">
        <w:rPr>
          <w:i/>
        </w:rPr>
        <w:t>Exallomochlus</w:t>
      </w:r>
      <w:proofErr w:type="spellEnd"/>
      <w:r w:rsidRPr="004E576C">
        <w:rPr>
          <w:i/>
        </w:rPr>
        <w:t xml:space="preserve"> </w:t>
      </w:r>
      <w:proofErr w:type="spellStart"/>
      <w:r w:rsidRPr="004E576C">
        <w:rPr>
          <w:i/>
        </w:rPr>
        <w:t>hispidus</w:t>
      </w:r>
      <w:proofErr w:type="spellEnd"/>
      <w:r w:rsidRPr="004E576C">
        <w:t xml:space="preserve"> (Hemiptera: </w:t>
      </w:r>
      <w:proofErr w:type="spellStart"/>
      <w:r w:rsidRPr="004E576C">
        <w:t>Pseudococcidae</w:t>
      </w:r>
      <w:proofErr w:type="spellEnd"/>
      <w:r w:rsidRPr="004E576C">
        <w:t>). Florida Entomologist 99</w:t>
      </w:r>
      <w:r w:rsidR="00804E8D" w:rsidRPr="00804E8D">
        <w:t>(special issue 2)</w:t>
      </w:r>
      <w:r w:rsidRPr="004E576C">
        <w:t>: 69-75.</w:t>
      </w:r>
    </w:p>
    <w:p w14:paraId="3127CEC2" w14:textId="77777777" w:rsidR="004E576C" w:rsidRPr="004E576C" w:rsidRDefault="004E576C" w:rsidP="00CD1B35">
      <w:pPr>
        <w:pStyle w:val="IPPReferences"/>
      </w:pPr>
      <w:r w:rsidRPr="00CD1B35">
        <w:rPr>
          <w:b/>
        </w:rPr>
        <w:t>Miller DR, Miller GL, Watson GW</w:t>
      </w:r>
      <w:r w:rsidRPr="004E576C">
        <w:t xml:space="preserve">. 2002. Invasive species of mealybugs (Hemiptera: </w:t>
      </w:r>
      <w:proofErr w:type="spellStart"/>
      <w:r w:rsidRPr="004E576C">
        <w:t>Pseudococcidae</w:t>
      </w:r>
      <w:proofErr w:type="spellEnd"/>
      <w:r w:rsidRPr="004E576C">
        <w:t>) and their threat to U.S. agriculture. Proceedings of the Entomological Society of Washington. 104: 825-836.</w:t>
      </w:r>
    </w:p>
    <w:p w14:paraId="3127CEC3" w14:textId="77777777" w:rsidR="004E576C" w:rsidRPr="004E576C" w:rsidRDefault="004E576C" w:rsidP="00CD1B35">
      <w:pPr>
        <w:pStyle w:val="IPPReferences"/>
      </w:pPr>
      <w:r w:rsidRPr="00CD1B35">
        <w:rPr>
          <w:b/>
        </w:rPr>
        <w:t>Seth RK, Zarin M, Khan Z, Seth R.</w:t>
      </w:r>
      <w:r w:rsidRPr="004E576C">
        <w:t xml:space="preserve"> 2016a. Efficacy of ionizing radiation as phytosanitary treatment against the various </w:t>
      </w:r>
      <w:proofErr w:type="spellStart"/>
      <w:r w:rsidRPr="004E576C">
        <w:t>ontogenic</w:t>
      </w:r>
      <w:proofErr w:type="spellEnd"/>
      <w:r w:rsidRPr="004E576C">
        <w:t xml:space="preserve"> stages of the </w:t>
      </w:r>
      <w:proofErr w:type="spellStart"/>
      <w:r w:rsidRPr="004E576C">
        <w:t>Solenopsis</w:t>
      </w:r>
      <w:proofErr w:type="spellEnd"/>
      <w:r w:rsidRPr="004E576C">
        <w:t xml:space="preserve"> mealybug, </w:t>
      </w:r>
      <w:proofErr w:type="spellStart"/>
      <w:r w:rsidRPr="004E576C">
        <w:rPr>
          <w:i/>
        </w:rPr>
        <w:t>Phenacoccus</w:t>
      </w:r>
      <w:proofErr w:type="spellEnd"/>
      <w:r w:rsidRPr="004E576C">
        <w:rPr>
          <w:i/>
        </w:rPr>
        <w:t xml:space="preserve"> </w:t>
      </w:r>
      <w:proofErr w:type="spellStart"/>
      <w:r w:rsidRPr="004E576C">
        <w:rPr>
          <w:i/>
        </w:rPr>
        <w:t>solenopsis</w:t>
      </w:r>
      <w:proofErr w:type="spellEnd"/>
      <w:r w:rsidRPr="004E576C">
        <w:t xml:space="preserve"> (Hemiptera: </w:t>
      </w:r>
      <w:proofErr w:type="spellStart"/>
      <w:r w:rsidRPr="004E576C">
        <w:t>Pseudococcidae</w:t>
      </w:r>
      <w:proofErr w:type="spellEnd"/>
      <w:r w:rsidRPr="004E576C">
        <w:t>). Florida Entomologist 99</w:t>
      </w:r>
      <w:r w:rsidR="00804E8D" w:rsidRPr="00804E8D">
        <w:t>(special issue 2)</w:t>
      </w:r>
      <w:r w:rsidRPr="004E576C">
        <w:t>: 76-87.</w:t>
      </w:r>
    </w:p>
    <w:p w14:paraId="3127CEC4" w14:textId="77777777" w:rsidR="004E576C" w:rsidRPr="004E576C" w:rsidRDefault="004E576C" w:rsidP="00CD1B35">
      <w:pPr>
        <w:pStyle w:val="IPPReferences"/>
      </w:pPr>
      <w:r w:rsidRPr="00CD1B35">
        <w:rPr>
          <w:b/>
        </w:rPr>
        <w:t>Seth R, Zarin M, Khan Z, Seth RK.</w:t>
      </w:r>
      <w:r w:rsidRPr="004E576C">
        <w:t xml:space="preserve"> 2016b. Effects of gamma radiation on metamorphic disruption and sterility in the pink hibiscus mealybug, </w:t>
      </w:r>
      <w:proofErr w:type="spellStart"/>
      <w:r w:rsidRPr="004E576C">
        <w:rPr>
          <w:i/>
        </w:rPr>
        <w:t>Maconellicoccus</w:t>
      </w:r>
      <w:proofErr w:type="spellEnd"/>
      <w:r w:rsidRPr="004E576C">
        <w:rPr>
          <w:i/>
        </w:rPr>
        <w:t xml:space="preserve"> </w:t>
      </w:r>
      <w:proofErr w:type="spellStart"/>
      <w:r w:rsidRPr="004E576C">
        <w:rPr>
          <w:i/>
        </w:rPr>
        <w:t>hirsutus</w:t>
      </w:r>
      <w:proofErr w:type="spellEnd"/>
      <w:r w:rsidRPr="004E576C">
        <w:t xml:space="preserve"> (Hemiptera: </w:t>
      </w:r>
      <w:proofErr w:type="spellStart"/>
      <w:r w:rsidRPr="004E576C">
        <w:t>Pseudococcidae</w:t>
      </w:r>
      <w:proofErr w:type="spellEnd"/>
      <w:r w:rsidRPr="004E576C">
        <w:t>), to establish phytosanitary irradiation against infested agro-commodities. Florida Entomologist 99: 107-113.</w:t>
      </w:r>
    </w:p>
    <w:p w14:paraId="3127CEC5" w14:textId="77777777" w:rsidR="004E576C" w:rsidRPr="004E576C" w:rsidRDefault="004E576C" w:rsidP="00CD1B35">
      <w:pPr>
        <w:pStyle w:val="IPPReferences"/>
      </w:pPr>
      <w:r w:rsidRPr="00CD1B35">
        <w:rPr>
          <w:b/>
        </w:rPr>
        <w:t>Seth R, Zarin M, Khan Z, Seth RK</w:t>
      </w:r>
      <w:r w:rsidRPr="004E576C">
        <w:t xml:space="preserve">. 2016c. Towards phytosanitary irradiation of </w:t>
      </w:r>
      <w:proofErr w:type="spellStart"/>
      <w:r w:rsidRPr="004E576C">
        <w:rPr>
          <w:i/>
        </w:rPr>
        <w:t>Paracoccus</w:t>
      </w:r>
      <w:proofErr w:type="spellEnd"/>
      <w:r w:rsidRPr="004E576C">
        <w:rPr>
          <w:i/>
        </w:rPr>
        <w:t xml:space="preserve"> </w:t>
      </w:r>
      <w:proofErr w:type="spellStart"/>
      <w:r w:rsidRPr="004E576C">
        <w:rPr>
          <w:i/>
        </w:rPr>
        <w:t>marginatus</w:t>
      </w:r>
      <w:proofErr w:type="spellEnd"/>
      <w:r w:rsidRPr="004E576C">
        <w:t xml:space="preserve"> (Hemiptera: </w:t>
      </w:r>
      <w:proofErr w:type="spellStart"/>
      <w:r w:rsidRPr="004E576C">
        <w:t>Pseudococcidae</w:t>
      </w:r>
      <w:proofErr w:type="spellEnd"/>
      <w:r w:rsidRPr="004E576C">
        <w:t xml:space="preserve">): Ascertaining the </w:t>
      </w:r>
      <w:proofErr w:type="spellStart"/>
      <w:r w:rsidRPr="004E576C">
        <w:t>radiosensitivities</w:t>
      </w:r>
      <w:proofErr w:type="spellEnd"/>
      <w:r w:rsidRPr="004E576C">
        <w:t xml:space="preserve"> of all life stages. Florida Entomologist 99</w:t>
      </w:r>
      <w:r w:rsidR="00804E8D" w:rsidRPr="00804E8D">
        <w:t>(special issue 2)</w:t>
      </w:r>
      <w:r w:rsidRPr="004E576C">
        <w:t>: 88-101.</w:t>
      </w:r>
    </w:p>
    <w:p w14:paraId="3127CEC6" w14:textId="77777777" w:rsidR="004E576C" w:rsidRPr="0099665F" w:rsidRDefault="004E576C" w:rsidP="00CD1B35">
      <w:pPr>
        <w:pStyle w:val="IPPReferences"/>
        <w:rPr>
          <w:rFonts w:eastAsia="SimSun"/>
          <w:szCs w:val="22"/>
          <w:lang w:eastAsia="zh-CN"/>
        </w:rPr>
      </w:pPr>
      <w:r w:rsidRPr="00CD1B35">
        <w:rPr>
          <w:b/>
        </w:rPr>
        <w:t>Zhan GP, Shao Y, Yu Q, Xu L, Liu B, Wang YJ, Wang QL,</w:t>
      </w:r>
      <w:r w:rsidRPr="004E576C">
        <w:t xml:space="preserve"> 2016. Phytosanitary irradiation of Jack Beardsley mealybug (Hemiptera: </w:t>
      </w:r>
      <w:proofErr w:type="spellStart"/>
      <w:r w:rsidRPr="004E576C">
        <w:t>Pseudococcidae</w:t>
      </w:r>
      <w:proofErr w:type="spellEnd"/>
      <w:r w:rsidRPr="004E576C">
        <w:t xml:space="preserve">) females on rambutan (Sapindales: </w:t>
      </w:r>
      <w:proofErr w:type="spellStart"/>
      <w:r w:rsidRPr="004E576C">
        <w:t>Sapindaceae</w:t>
      </w:r>
      <w:proofErr w:type="spellEnd"/>
      <w:r w:rsidRPr="004E576C">
        <w:t>) fruits. Florida Entomologist 99</w:t>
      </w:r>
      <w:r w:rsidR="00804E8D" w:rsidRPr="00804E8D">
        <w:t>(special issue 2)</w:t>
      </w:r>
      <w:r w:rsidRPr="004E576C">
        <w:t>: 114-120.</w:t>
      </w:r>
    </w:p>
    <w:sectPr w:rsidR="004E576C" w:rsidRPr="0099665F" w:rsidSect="00444C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559" w:right="1418" w:bottom="1418" w:left="1418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CEC9" w14:textId="77777777" w:rsidR="00E01042" w:rsidRDefault="00E01042" w:rsidP="00F47096">
      <w:r>
        <w:separator/>
      </w:r>
    </w:p>
  </w:endnote>
  <w:endnote w:type="continuationSeparator" w:id="0">
    <w:p w14:paraId="3127CECA" w14:textId="77777777" w:rsidR="00E01042" w:rsidRDefault="00E01042" w:rsidP="00F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CD" w14:textId="77777777" w:rsidR="001E045A" w:rsidRDefault="001E045A">
    <w:pPr>
      <w:pStyle w:val="IPPFooter"/>
      <w:jc w:val="both"/>
      <w:rPr>
        <w:i/>
        <w:sz w:val="20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3580">
      <w:rPr>
        <w:noProof/>
      </w:rPr>
      <w:t>2</w:t>
    </w:r>
    <w:r>
      <w:fldChar w:fldCharType="end"/>
    </w:r>
    <w:r>
      <w:t xml:space="preserve"> of </w:t>
    </w:r>
    <w:r w:rsidR="00CD1B35">
      <w:rPr>
        <w:noProof/>
      </w:rPr>
      <w:fldChar w:fldCharType="begin"/>
    </w:r>
    <w:r w:rsidR="00CD1B35">
      <w:rPr>
        <w:noProof/>
      </w:rPr>
      <w:instrText xml:space="preserve"> NUMPAGES  </w:instrText>
    </w:r>
    <w:r w:rsidR="00CD1B35">
      <w:rPr>
        <w:noProof/>
      </w:rPr>
      <w:fldChar w:fldCharType="separate"/>
    </w:r>
    <w:r w:rsidR="00DE3580">
      <w:rPr>
        <w:noProof/>
      </w:rPr>
      <w:t>3</w:t>
    </w:r>
    <w:r w:rsidR="00CD1B35">
      <w:rPr>
        <w:noProof/>
      </w:rPr>
      <w:fldChar w:fldCharType="end"/>
    </w:r>
    <w:r>
      <w:tab/>
    </w:r>
    <w:r w:rsidRPr="00112459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CE" w14:textId="77777777" w:rsidR="001E045A" w:rsidRPr="00F34C0C" w:rsidRDefault="001E045A" w:rsidP="001E045A">
    <w:pPr>
      <w:pStyle w:val="IPPFooter"/>
    </w:pPr>
    <w:r w:rsidRPr="00112459">
      <w:t>International Plant Protection Convention</w:t>
    </w:r>
    <w:r w:rsidRPr="00112459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3580">
      <w:rPr>
        <w:noProof/>
      </w:rPr>
      <w:t>3</w:t>
    </w:r>
    <w:r>
      <w:fldChar w:fldCharType="end"/>
    </w:r>
    <w:r w:rsidRPr="00112459">
      <w:t xml:space="preserve"> of </w:t>
    </w:r>
    <w:r w:rsidR="00CD1B35">
      <w:rPr>
        <w:noProof/>
      </w:rPr>
      <w:fldChar w:fldCharType="begin"/>
    </w:r>
    <w:r w:rsidR="00CD1B35">
      <w:rPr>
        <w:noProof/>
      </w:rPr>
      <w:instrText xml:space="preserve"> NUMPAGES  </w:instrText>
    </w:r>
    <w:r w:rsidR="00CD1B35">
      <w:rPr>
        <w:noProof/>
      </w:rPr>
      <w:fldChar w:fldCharType="separate"/>
    </w:r>
    <w:r w:rsidR="00DE3580">
      <w:rPr>
        <w:noProof/>
      </w:rPr>
      <w:t>3</w:t>
    </w:r>
    <w:r w:rsidR="00CD1B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D2" w14:textId="77777777" w:rsidR="001E045A" w:rsidRDefault="001E045A">
    <w:pPr>
      <w:pStyle w:val="IPPFooter"/>
      <w:jc w:val="both"/>
    </w:pPr>
    <w:r w:rsidRPr="00112459">
      <w:t>International Plant Protection Convention</w:t>
    </w:r>
    <w:r w:rsidRPr="00112459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3580">
      <w:rPr>
        <w:noProof/>
      </w:rPr>
      <w:t>1</w:t>
    </w:r>
    <w:r>
      <w:fldChar w:fldCharType="end"/>
    </w:r>
    <w:r w:rsidRPr="00112459">
      <w:t xml:space="preserve"> of </w:t>
    </w:r>
    <w:r w:rsidR="00CD1B35">
      <w:rPr>
        <w:noProof/>
      </w:rPr>
      <w:fldChar w:fldCharType="begin"/>
    </w:r>
    <w:r w:rsidR="00CD1B35">
      <w:rPr>
        <w:noProof/>
      </w:rPr>
      <w:instrText xml:space="preserve"> NUMPAGES  </w:instrText>
    </w:r>
    <w:r w:rsidR="00CD1B35">
      <w:rPr>
        <w:noProof/>
      </w:rPr>
      <w:fldChar w:fldCharType="separate"/>
    </w:r>
    <w:r w:rsidR="00DE3580">
      <w:rPr>
        <w:noProof/>
      </w:rPr>
      <w:t>3</w:t>
    </w:r>
    <w:r w:rsidR="00CD1B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CEC7" w14:textId="77777777" w:rsidR="00E01042" w:rsidRDefault="00E01042" w:rsidP="00F47096">
      <w:r>
        <w:separator/>
      </w:r>
    </w:p>
  </w:footnote>
  <w:footnote w:type="continuationSeparator" w:id="0">
    <w:p w14:paraId="3127CEC8" w14:textId="77777777" w:rsidR="00E01042" w:rsidRDefault="00E01042" w:rsidP="00F47096">
      <w:r>
        <w:continuationSeparator/>
      </w:r>
    </w:p>
  </w:footnote>
  <w:footnote w:id="1">
    <w:p w14:paraId="3127CED7" w14:textId="77777777" w:rsidR="00F47096" w:rsidRDefault="00F47096" w:rsidP="00F47096">
      <w:pPr>
        <w:pStyle w:val="IPPFootnote"/>
      </w:pPr>
      <w:r w:rsidRPr="000C28D8">
        <w:rPr>
          <w:rStyle w:val="FootnoteReference"/>
        </w:rPr>
        <w:footnoteRef/>
      </w:r>
      <w:r w:rsidRPr="000C28D8">
        <w:rPr>
          <w:vertAlign w:val="superscript"/>
        </w:rPr>
        <w:t xml:space="preserve"> </w:t>
      </w:r>
      <w:r w:rsidRPr="00B00488">
        <w:t xml:space="preserve">The scope of phytosanitary treatments does not include issues related to pesticide registration or other domestic requirements for </w:t>
      </w:r>
      <w:r w:rsidRPr="0011386F">
        <w:t>contracting parties’</w:t>
      </w:r>
      <w:r w:rsidRPr="00B00488">
        <w:rPr>
          <w:b/>
        </w:rPr>
        <w:t xml:space="preserve"> </w:t>
      </w:r>
      <w:r w:rsidRPr="00B00488">
        <w:t>approval of treatments</w:t>
      </w:r>
      <w:r w:rsidR="00147211" w:rsidRPr="009E6EF8">
        <w:rPr>
          <w:rFonts w:eastAsia="SimSun" w:hint="eastAsia"/>
          <w:lang w:eastAsia="zh-CN"/>
        </w:rPr>
        <w:t xml:space="preserve"> for use in their territory</w:t>
      </w:r>
      <w:r w:rsidRPr="003C3FB8">
        <w:t>.</w:t>
      </w:r>
      <w:r w:rsidR="00147211" w:rsidRPr="00147211">
        <w:rPr>
          <w:rFonts w:eastAsia="SimSun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Treatments adopted by the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CPM may not provide information on specific effects on human health or food safety, which should be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addressed using domestic procedures prior to contracting parties approving a treatment for use in its territory. In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addition, potential effects of treatments on product quality are considered for some host commodities before their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international adoption. However, evaluation of any effects of a treatment on the quality of commodities may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require additional consideration. There is no obligation for a contracting party to approve, register or adopt the</w:t>
      </w:r>
      <w:r w:rsidR="00147211">
        <w:rPr>
          <w:rFonts w:eastAsia="SimSun" w:hint="eastAsia"/>
          <w:szCs w:val="20"/>
          <w:lang w:val="en-US" w:eastAsia="zh-CN"/>
        </w:rPr>
        <w:t xml:space="preserve"> </w:t>
      </w:r>
      <w:r w:rsidR="00147211">
        <w:rPr>
          <w:rFonts w:eastAsia="SimSun"/>
          <w:szCs w:val="20"/>
          <w:lang w:val="en-US" w:eastAsia="zh-CN"/>
        </w:rPr>
        <w:t>treatments for use in its territory</w:t>
      </w:r>
      <w:r w:rsidRPr="00B0048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CB" w14:textId="1AC04F71" w:rsidR="00BC1E63" w:rsidRDefault="00BC1E63" w:rsidP="00BC1E63">
    <w:pPr>
      <w:pStyle w:val="IPPHeader"/>
    </w:pPr>
    <w:r w:rsidRPr="00001FB0">
      <w:t>201</w:t>
    </w:r>
    <w:r w:rsidRPr="00001FB0">
      <w:rPr>
        <w:rFonts w:hint="eastAsia"/>
      </w:rPr>
      <w:t>7</w:t>
    </w:r>
    <w:r w:rsidRPr="00001FB0">
      <w:t>-0</w:t>
    </w:r>
    <w:r w:rsidRPr="00001FB0">
      <w:rPr>
        <w:rFonts w:hint="eastAsia"/>
      </w:rPr>
      <w:t>12</w:t>
    </w:r>
    <w:r>
      <w:tab/>
    </w:r>
    <w:r w:rsidR="00F82D5B">
      <w:tab/>
    </w:r>
    <w:r w:rsidRPr="00001FB0">
      <w:t xml:space="preserve">Draft </w:t>
    </w:r>
    <w:r>
      <w:t xml:space="preserve">PT: </w:t>
    </w:r>
    <w:r w:rsidRPr="00001FB0">
      <w:rPr>
        <w:rFonts w:hint="eastAsia"/>
      </w:rPr>
      <w:t xml:space="preserve">Irradiation treatment against all stages of the family </w:t>
    </w:r>
    <w:proofErr w:type="spellStart"/>
    <w:r w:rsidRPr="00001FB0">
      <w:rPr>
        <w:rFonts w:hint="eastAsia"/>
      </w:rPr>
      <w:t>Pseudococcidae</w:t>
    </w:r>
    <w:proofErr w:type="spellEnd"/>
    <w:r>
      <w:t xml:space="preserve"> </w:t>
    </w:r>
    <w:r w:rsidRPr="00001FB0">
      <w:rPr>
        <w:rFonts w:hint="eastAsia"/>
      </w:rPr>
      <w:t>(Generic)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CC" w14:textId="7BCF273D" w:rsidR="001E045A" w:rsidRPr="00BC1E63" w:rsidRDefault="00BC1E63" w:rsidP="00BC1E63">
    <w:pPr>
      <w:pStyle w:val="IPPHeader"/>
      <w:tabs>
        <w:tab w:val="clear" w:pos="9072"/>
        <w:tab w:val="right" w:pos="9070"/>
      </w:tabs>
    </w:pPr>
    <w:r w:rsidRPr="00001FB0">
      <w:t xml:space="preserve">Draft </w:t>
    </w:r>
    <w:r>
      <w:t xml:space="preserve">PT: </w:t>
    </w:r>
    <w:r w:rsidRPr="00001FB0">
      <w:rPr>
        <w:rFonts w:hint="eastAsia"/>
      </w:rPr>
      <w:t xml:space="preserve">Irradiation treatment against all stages of the family </w:t>
    </w:r>
    <w:proofErr w:type="spellStart"/>
    <w:r w:rsidRPr="00001FB0">
      <w:rPr>
        <w:rFonts w:hint="eastAsia"/>
      </w:rPr>
      <w:t>Pseudococcidae</w:t>
    </w:r>
    <w:proofErr w:type="spellEnd"/>
    <w:r>
      <w:t xml:space="preserve"> </w:t>
    </w:r>
    <w:r w:rsidRPr="00001FB0">
      <w:rPr>
        <w:rFonts w:hint="eastAsia"/>
      </w:rPr>
      <w:t>(Generic)</w:t>
    </w:r>
    <w:r w:rsidR="00CD1B35" w:rsidRPr="00CD1B35">
      <w:t xml:space="preserve"> </w:t>
    </w:r>
    <w:r w:rsidR="00CD1B35">
      <w:tab/>
    </w:r>
    <w:r w:rsidR="00CD1B35" w:rsidRPr="00001FB0">
      <w:t>201</w:t>
    </w:r>
    <w:r w:rsidR="00CD1B35" w:rsidRPr="00001FB0">
      <w:rPr>
        <w:rFonts w:hint="eastAsia"/>
      </w:rPr>
      <w:t>7</w:t>
    </w:r>
    <w:r w:rsidR="00CD1B35" w:rsidRPr="00001FB0">
      <w:t>-0</w:t>
    </w:r>
    <w:r w:rsidR="00CD1B35" w:rsidRPr="00001FB0">
      <w:rPr>
        <w:rFonts w:hint="eastAsia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ED0" w14:textId="4B5967FA" w:rsidR="00304A6A" w:rsidRDefault="00304A6A" w:rsidP="009C79A1">
    <w:pPr>
      <w:pStyle w:val="IPPHeader"/>
      <w:spacing w:before="120" w:after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27CED3" wp14:editId="07A714FF">
          <wp:simplePos x="0" y="0"/>
          <wp:positionH relativeFrom="margin">
            <wp:posOffset>-766644</wp:posOffset>
          </wp:positionH>
          <wp:positionV relativeFrom="margin">
            <wp:posOffset>-466090</wp:posOffset>
          </wp:positionV>
          <wp:extent cx="636270" cy="335915"/>
          <wp:effectExtent l="0" t="0" r="0" b="6985"/>
          <wp:wrapSquare wrapText="bothSides"/>
          <wp:docPr id="2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127CED5" wp14:editId="477E9DB3">
          <wp:simplePos x="0" y="0"/>
          <wp:positionH relativeFrom="page">
            <wp:posOffset>-10160</wp:posOffset>
          </wp:positionH>
          <wp:positionV relativeFrom="paragraph">
            <wp:posOffset>-539115</wp:posOffset>
          </wp:positionV>
          <wp:extent cx="7600315" cy="4635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31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045A" w:rsidRPr="00001FB0">
      <w:t xml:space="preserve">International Plant Protection Convention </w:t>
    </w:r>
    <w:r w:rsidR="001E045A" w:rsidRPr="00001FB0">
      <w:tab/>
    </w:r>
    <w:r w:rsidRPr="00001FB0">
      <w:t>201</w:t>
    </w:r>
    <w:r w:rsidRPr="00001FB0">
      <w:rPr>
        <w:rFonts w:hint="eastAsia"/>
      </w:rPr>
      <w:t>7</w:t>
    </w:r>
    <w:r w:rsidRPr="00001FB0">
      <w:t>-0</w:t>
    </w:r>
    <w:r w:rsidRPr="00001FB0">
      <w:rPr>
        <w:rFonts w:hint="eastAsia"/>
      </w:rPr>
      <w:t>12</w:t>
    </w:r>
  </w:p>
  <w:p w14:paraId="3127CED1" w14:textId="31DA653F" w:rsidR="001E045A" w:rsidRPr="009C79A1" w:rsidRDefault="001E045A" w:rsidP="00304A6A">
    <w:pPr>
      <w:pStyle w:val="IPPHeader"/>
      <w:ind w:left="840" w:hanging="840"/>
      <w:contextualSpacing/>
      <w:rPr>
        <w:i/>
        <w:iCs/>
      </w:rPr>
    </w:pPr>
    <w:r w:rsidRPr="009C79A1">
      <w:rPr>
        <w:i/>
        <w:iCs/>
      </w:rPr>
      <w:t>D</w:t>
    </w:r>
    <w:r w:rsidR="000873C8" w:rsidRPr="009C79A1">
      <w:rPr>
        <w:i/>
        <w:iCs/>
      </w:rPr>
      <w:t xml:space="preserve">raft </w:t>
    </w:r>
    <w:r w:rsidR="00304A6A" w:rsidRPr="009C79A1">
      <w:rPr>
        <w:i/>
        <w:iCs/>
      </w:rPr>
      <w:t>PT:</w:t>
    </w:r>
    <w:r w:rsidR="00BC1E63" w:rsidRPr="009C79A1">
      <w:rPr>
        <w:i/>
        <w:iCs/>
      </w:rPr>
      <w:t xml:space="preserve"> </w:t>
    </w:r>
    <w:r w:rsidR="00A070E5" w:rsidRPr="009C79A1">
      <w:rPr>
        <w:rFonts w:hint="eastAsia"/>
        <w:i/>
        <w:iCs/>
      </w:rPr>
      <w:t xml:space="preserve">Irradiation treatment </w:t>
    </w:r>
    <w:r w:rsidR="00C722F4" w:rsidRPr="009C79A1">
      <w:rPr>
        <w:rFonts w:hint="eastAsia"/>
        <w:i/>
        <w:iCs/>
      </w:rPr>
      <w:t xml:space="preserve">against all stages of the family </w:t>
    </w:r>
    <w:proofErr w:type="spellStart"/>
    <w:r w:rsidR="00C722F4" w:rsidRPr="009C79A1">
      <w:rPr>
        <w:rFonts w:hint="eastAsia"/>
        <w:i/>
        <w:iCs/>
      </w:rPr>
      <w:t>Pseudococcidae</w:t>
    </w:r>
    <w:proofErr w:type="spellEnd"/>
    <w:r w:rsidR="00304A6A" w:rsidRPr="009C79A1">
      <w:rPr>
        <w:i/>
        <w:iCs/>
      </w:rPr>
      <w:t xml:space="preserve"> </w:t>
    </w:r>
    <w:r w:rsidR="00C722F4" w:rsidRPr="009C79A1">
      <w:rPr>
        <w:rFonts w:hint="eastAsia"/>
        <w:i/>
        <w:iCs/>
      </w:rPr>
      <w:t>(Generic)</w:t>
    </w:r>
    <w:r w:rsidR="00C314C4" w:rsidRPr="009C79A1">
      <w:rPr>
        <w:i/>
        <w:iCs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1626894">
    <w:abstractNumId w:val="10"/>
  </w:num>
  <w:num w:numId="2" w16cid:durableId="2096392680">
    <w:abstractNumId w:val="7"/>
  </w:num>
  <w:num w:numId="3" w16cid:durableId="349911077">
    <w:abstractNumId w:val="7"/>
  </w:num>
  <w:num w:numId="4" w16cid:durableId="1011953771">
    <w:abstractNumId w:val="8"/>
  </w:num>
  <w:num w:numId="5" w16cid:durableId="1261378918">
    <w:abstractNumId w:val="2"/>
  </w:num>
  <w:num w:numId="6" w16cid:durableId="2067560480">
    <w:abstractNumId w:val="5"/>
  </w:num>
  <w:num w:numId="7" w16cid:durableId="1093622164">
    <w:abstractNumId w:val="11"/>
  </w:num>
  <w:num w:numId="8" w16cid:durableId="2062634350">
    <w:abstractNumId w:val="0"/>
  </w:num>
  <w:num w:numId="9" w16cid:durableId="1654873634">
    <w:abstractNumId w:val="1"/>
  </w:num>
  <w:num w:numId="10" w16cid:durableId="657272885">
    <w:abstractNumId w:val="4"/>
  </w:num>
  <w:num w:numId="11" w16cid:durableId="1800561705">
    <w:abstractNumId w:val="3"/>
  </w:num>
  <w:num w:numId="12" w16cid:durableId="169294830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54109567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98678288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103246512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28146168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85630839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603686686">
    <w:abstractNumId w:val="6"/>
  </w:num>
  <w:num w:numId="19" w16cid:durableId="407266024">
    <w:abstractNumId w:val="9"/>
  </w:num>
  <w:num w:numId="20" w16cid:durableId="2911592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47619194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2099477189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115549274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 w16cid:durableId="127162389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155392702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6" w16cid:durableId="113248405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96"/>
    <w:rsid w:val="00001FB0"/>
    <w:rsid w:val="00003A61"/>
    <w:rsid w:val="000262F6"/>
    <w:rsid w:val="0003563D"/>
    <w:rsid w:val="00052AD9"/>
    <w:rsid w:val="000628A0"/>
    <w:rsid w:val="00077A23"/>
    <w:rsid w:val="000851EF"/>
    <w:rsid w:val="000873C8"/>
    <w:rsid w:val="00090415"/>
    <w:rsid w:val="000A2570"/>
    <w:rsid w:val="000B6EB7"/>
    <w:rsid w:val="000D2696"/>
    <w:rsid w:val="00102C46"/>
    <w:rsid w:val="00112FAE"/>
    <w:rsid w:val="0011386F"/>
    <w:rsid w:val="00117E7E"/>
    <w:rsid w:val="001337FE"/>
    <w:rsid w:val="00136E96"/>
    <w:rsid w:val="00147211"/>
    <w:rsid w:val="00150443"/>
    <w:rsid w:val="00151CE4"/>
    <w:rsid w:val="00156DF5"/>
    <w:rsid w:val="00160E3A"/>
    <w:rsid w:val="00170988"/>
    <w:rsid w:val="001826CB"/>
    <w:rsid w:val="00182F68"/>
    <w:rsid w:val="001A0CD1"/>
    <w:rsid w:val="001C3595"/>
    <w:rsid w:val="001C6A1A"/>
    <w:rsid w:val="001D59B0"/>
    <w:rsid w:val="001E045A"/>
    <w:rsid w:val="001F32C1"/>
    <w:rsid w:val="00213F98"/>
    <w:rsid w:val="00227D39"/>
    <w:rsid w:val="00244F40"/>
    <w:rsid w:val="00265FA7"/>
    <w:rsid w:val="00276880"/>
    <w:rsid w:val="00295854"/>
    <w:rsid w:val="002A6122"/>
    <w:rsid w:val="002B233E"/>
    <w:rsid w:val="002C28F8"/>
    <w:rsid w:val="002C4E39"/>
    <w:rsid w:val="002D0DD4"/>
    <w:rsid w:val="002D2708"/>
    <w:rsid w:val="002E1298"/>
    <w:rsid w:val="002E2EC7"/>
    <w:rsid w:val="002E5392"/>
    <w:rsid w:val="00304A6A"/>
    <w:rsid w:val="00311431"/>
    <w:rsid w:val="003441DB"/>
    <w:rsid w:val="003647F7"/>
    <w:rsid w:val="003711FB"/>
    <w:rsid w:val="00380167"/>
    <w:rsid w:val="00394F00"/>
    <w:rsid w:val="003969BB"/>
    <w:rsid w:val="003B108E"/>
    <w:rsid w:val="003C2810"/>
    <w:rsid w:val="003C2985"/>
    <w:rsid w:val="003C3FB8"/>
    <w:rsid w:val="003C5A27"/>
    <w:rsid w:val="003E3F2C"/>
    <w:rsid w:val="003F098D"/>
    <w:rsid w:val="0041727E"/>
    <w:rsid w:val="00417EBF"/>
    <w:rsid w:val="00444C86"/>
    <w:rsid w:val="00454EC7"/>
    <w:rsid w:val="00470D71"/>
    <w:rsid w:val="00470DCC"/>
    <w:rsid w:val="00492BB7"/>
    <w:rsid w:val="004A40D7"/>
    <w:rsid w:val="004A4392"/>
    <w:rsid w:val="004B27BD"/>
    <w:rsid w:val="004C65E6"/>
    <w:rsid w:val="004D092D"/>
    <w:rsid w:val="004E576C"/>
    <w:rsid w:val="0050028B"/>
    <w:rsid w:val="00522D99"/>
    <w:rsid w:val="00536C41"/>
    <w:rsid w:val="00540BA3"/>
    <w:rsid w:val="005828EA"/>
    <w:rsid w:val="00595EEE"/>
    <w:rsid w:val="005B12A4"/>
    <w:rsid w:val="005B7B1C"/>
    <w:rsid w:val="005C11EC"/>
    <w:rsid w:val="005E1505"/>
    <w:rsid w:val="005F06ED"/>
    <w:rsid w:val="005F23B6"/>
    <w:rsid w:val="00623159"/>
    <w:rsid w:val="00634A05"/>
    <w:rsid w:val="00634B62"/>
    <w:rsid w:val="006404EB"/>
    <w:rsid w:val="006479EE"/>
    <w:rsid w:val="00651547"/>
    <w:rsid w:val="0066323A"/>
    <w:rsid w:val="00667C53"/>
    <w:rsid w:val="00680DEB"/>
    <w:rsid w:val="006D1779"/>
    <w:rsid w:val="006E3A9D"/>
    <w:rsid w:val="006E4924"/>
    <w:rsid w:val="006E7C4A"/>
    <w:rsid w:val="007127BD"/>
    <w:rsid w:val="007150A3"/>
    <w:rsid w:val="00740075"/>
    <w:rsid w:val="00750665"/>
    <w:rsid w:val="00760AE0"/>
    <w:rsid w:val="00771A8F"/>
    <w:rsid w:val="00771CE0"/>
    <w:rsid w:val="0077219D"/>
    <w:rsid w:val="007B18D3"/>
    <w:rsid w:val="007B505D"/>
    <w:rsid w:val="007B6E13"/>
    <w:rsid w:val="007C63A5"/>
    <w:rsid w:val="007C72EC"/>
    <w:rsid w:val="007D20CF"/>
    <w:rsid w:val="007E7A31"/>
    <w:rsid w:val="00801C4C"/>
    <w:rsid w:val="00804E8D"/>
    <w:rsid w:val="008132E9"/>
    <w:rsid w:val="00813A73"/>
    <w:rsid w:val="008142AB"/>
    <w:rsid w:val="0082022B"/>
    <w:rsid w:val="00825C56"/>
    <w:rsid w:val="008453E0"/>
    <w:rsid w:val="00856562"/>
    <w:rsid w:val="00861FF3"/>
    <w:rsid w:val="008640E6"/>
    <w:rsid w:val="0086722B"/>
    <w:rsid w:val="008840B7"/>
    <w:rsid w:val="0089396A"/>
    <w:rsid w:val="008A3200"/>
    <w:rsid w:val="008C0C54"/>
    <w:rsid w:val="008D01E5"/>
    <w:rsid w:val="008E0D1C"/>
    <w:rsid w:val="008F0CDA"/>
    <w:rsid w:val="008F608C"/>
    <w:rsid w:val="00906F8A"/>
    <w:rsid w:val="009242BE"/>
    <w:rsid w:val="009350D2"/>
    <w:rsid w:val="00954468"/>
    <w:rsid w:val="00971976"/>
    <w:rsid w:val="00972296"/>
    <w:rsid w:val="009738C6"/>
    <w:rsid w:val="0099501E"/>
    <w:rsid w:val="0099665F"/>
    <w:rsid w:val="009B02EB"/>
    <w:rsid w:val="009B604B"/>
    <w:rsid w:val="009C2322"/>
    <w:rsid w:val="009C79A1"/>
    <w:rsid w:val="009D25AC"/>
    <w:rsid w:val="009E6EF8"/>
    <w:rsid w:val="00A070E5"/>
    <w:rsid w:val="00A21694"/>
    <w:rsid w:val="00A22BBF"/>
    <w:rsid w:val="00A22CBF"/>
    <w:rsid w:val="00A26C2E"/>
    <w:rsid w:val="00A43950"/>
    <w:rsid w:val="00A54E6E"/>
    <w:rsid w:val="00A558D9"/>
    <w:rsid w:val="00A939D7"/>
    <w:rsid w:val="00AB64FB"/>
    <w:rsid w:val="00AE1BFE"/>
    <w:rsid w:val="00AF2110"/>
    <w:rsid w:val="00B35F71"/>
    <w:rsid w:val="00B41A94"/>
    <w:rsid w:val="00B5275E"/>
    <w:rsid w:val="00B77933"/>
    <w:rsid w:val="00B844FC"/>
    <w:rsid w:val="00B92D9F"/>
    <w:rsid w:val="00BA12BD"/>
    <w:rsid w:val="00BB10FF"/>
    <w:rsid w:val="00BB20E1"/>
    <w:rsid w:val="00BB2518"/>
    <w:rsid w:val="00BC1E63"/>
    <w:rsid w:val="00BC7B12"/>
    <w:rsid w:val="00BE3769"/>
    <w:rsid w:val="00BF0F3B"/>
    <w:rsid w:val="00BF4E67"/>
    <w:rsid w:val="00C03CED"/>
    <w:rsid w:val="00C04E55"/>
    <w:rsid w:val="00C2768C"/>
    <w:rsid w:val="00C314C4"/>
    <w:rsid w:val="00C52041"/>
    <w:rsid w:val="00C722F4"/>
    <w:rsid w:val="00C82725"/>
    <w:rsid w:val="00C93B69"/>
    <w:rsid w:val="00CA575E"/>
    <w:rsid w:val="00CB3664"/>
    <w:rsid w:val="00CD1B35"/>
    <w:rsid w:val="00CD7D79"/>
    <w:rsid w:val="00D022D4"/>
    <w:rsid w:val="00D25203"/>
    <w:rsid w:val="00D47035"/>
    <w:rsid w:val="00D80180"/>
    <w:rsid w:val="00DB3306"/>
    <w:rsid w:val="00DE3580"/>
    <w:rsid w:val="00E01042"/>
    <w:rsid w:val="00E05F78"/>
    <w:rsid w:val="00E35009"/>
    <w:rsid w:val="00E36489"/>
    <w:rsid w:val="00E55F7D"/>
    <w:rsid w:val="00E72C2B"/>
    <w:rsid w:val="00E7418F"/>
    <w:rsid w:val="00E85B05"/>
    <w:rsid w:val="00E906D0"/>
    <w:rsid w:val="00EB2B97"/>
    <w:rsid w:val="00EB46F4"/>
    <w:rsid w:val="00ED6CD3"/>
    <w:rsid w:val="00EF0AB8"/>
    <w:rsid w:val="00F00747"/>
    <w:rsid w:val="00F121AA"/>
    <w:rsid w:val="00F35759"/>
    <w:rsid w:val="00F47096"/>
    <w:rsid w:val="00F56B3D"/>
    <w:rsid w:val="00F6378A"/>
    <w:rsid w:val="00F73FF2"/>
    <w:rsid w:val="00F7491D"/>
    <w:rsid w:val="00F82D5B"/>
    <w:rsid w:val="00FB07AA"/>
    <w:rsid w:val="00FC1EBC"/>
    <w:rsid w:val="00FC4031"/>
    <w:rsid w:val="00FC5F0E"/>
    <w:rsid w:val="00FC6F33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127CE91"/>
  <w15:chartTrackingRefBased/>
  <w15:docId w15:val="{52828AB8-B114-4F59-A7E1-819A425C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62"/>
    <w:pPr>
      <w:jc w:val="both"/>
    </w:pPr>
    <w:rPr>
      <w:rFonts w:eastAsia="MS Mincho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5656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56562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6562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562"/>
    <w:rPr>
      <w:rFonts w:eastAsia="MS Mincho"/>
      <w:sz w:val="22"/>
      <w:szCs w:val="24"/>
      <w:lang w:val="en-GB"/>
    </w:rPr>
  </w:style>
  <w:style w:type="paragraph" w:styleId="Footer">
    <w:name w:val="footer"/>
    <w:basedOn w:val="Normal"/>
    <w:link w:val="FooterChar"/>
    <w:rsid w:val="00856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562"/>
    <w:rPr>
      <w:rFonts w:eastAsia="MS Mincho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56562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56562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56562"/>
    <w:rPr>
      <w:rFonts w:ascii="Calibri" w:eastAsia="MS Mincho" w:hAnsi="Calibri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856562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856562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856562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856562"/>
    <w:pPr>
      <w:numPr>
        <w:numId w:val="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856562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856562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856562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856562"/>
    <w:pPr>
      <w:spacing w:after="180"/>
    </w:pPr>
  </w:style>
  <w:style w:type="paragraph" w:customStyle="1" w:styleId="IPPFootnote">
    <w:name w:val="IPP Footnote"/>
    <w:basedOn w:val="IPPArialFootnote"/>
    <w:qFormat/>
    <w:rsid w:val="00856562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D092D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Section">
    <w:name w:val="IPP HeadSection"/>
    <w:basedOn w:val="Normal"/>
    <w:next w:val="Normal"/>
    <w:qFormat/>
    <w:rsid w:val="00856562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856562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856562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856562"/>
    <w:pPr>
      <w:numPr>
        <w:numId w:val="19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856562"/>
    <w:pPr>
      <w:numPr>
        <w:numId w:val="2"/>
      </w:numPr>
    </w:pPr>
  </w:style>
  <w:style w:type="paragraph" w:customStyle="1" w:styleId="IPPTitle16pt">
    <w:name w:val="IPP Title16pt"/>
    <w:basedOn w:val="Normal"/>
    <w:qFormat/>
    <w:rsid w:val="00856562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856562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856562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856562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856562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856562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856562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856562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56562"/>
    <w:rPr>
      <w:rFonts w:ascii="Courier" w:eastAsia="Times" w:hAnsi="Courier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856562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856562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856562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856562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856562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856562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856562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856562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856562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856562"/>
    <w:pPr>
      <w:numPr>
        <w:numId w:val="6"/>
      </w:numPr>
    </w:pPr>
  </w:style>
  <w:style w:type="paragraph" w:customStyle="1" w:styleId="IPPHdg2Num">
    <w:name w:val="IPP Hdg2Num"/>
    <w:basedOn w:val="IPPHeading2"/>
    <w:next w:val="IPPNormal"/>
    <w:qFormat/>
    <w:rsid w:val="00856562"/>
    <w:pPr>
      <w:numPr>
        <w:ilvl w:val="1"/>
        <w:numId w:val="7"/>
      </w:numPr>
    </w:pPr>
  </w:style>
  <w:style w:type="paragraph" w:customStyle="1" w:styleId="IPPNumberedList">
    <w:name w:val="IPP NumberedList"/>
    <w:basedOn w:val="IPPBullet1"/>
    <w:qFormat/>
    <w:rsid w:val="00856562"/>
    <w:pPr>
      <w:numPr>
        <w:numId w:val="8"/>
      </w:numPr>
    </w:pPr>
  </w:style>
  <w:style w:type="character" w:styleId="FootnoteReference">
    <w:name w:val="footnote reference"/>
    <w:basedOn w:val="DefaultParagraphFont"/>
    <w:semiHidden/>
    <w:rsid w:val="00856562"/>
    <w:rPr>
      <w:vertAlign w:val="superscript"/>
    </w:rPr>
  </w:style>
  <w:style w:type="paragraph" w:styleId="BalloonText">
    <w:name w:val="Balloon Text"/>
    <w:basedOn w:val="Normal"/>
    <w:link w:val="BalloonTextChar"/>
    <w:rsid w:val="00856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562"/>
    <w:rPr>
      <w:rFonts w:ascii="Tahoma" w:eastAsia="MS Mincho" w:hAnsi="Tahoma" w:cs="Tahoma"/>
      <w:sz w:val="16"/>
      <w:szCs w:val="16"/>
      <w:lang w:val="en-GB"/>
    </w:rPr>
  </w:style>
  <w:style w:type="paragraph" w:customStyle="1" w:styleId="IPPPargraphnumbering">
    <w:name w:val="IPP Pargraph numbering"/>
    <w:basedOn w:val="IPPNormal"/>
    <w:qFormat/>
    <w:rsid w:val="00E906D0"/>
    <w:pPr>
      <w:tabs>
        <w:tab w:val="num" w:pos="0"/>
      </w:tabs>
      <w:ind w:hanging="482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856562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562"/>
    <w:rPr>
      <w:rFonts w:eastAsia="MS Mincho"/>
      <w:szCs w:val="24"/>
      <w:lang w:val="en-GB"/>
    </w:rPr>
  </w:style>
  <w:style w:type="character" w:styleId="PageNumber">
    <w:name w:val="page number"/>
    <w:rsid w:val="00856562"/>
    <w:rPr>
      <w:rFonts w:ascii="Arial" w:hAnsi="Arial"/>
      <w:b/>
      <w:sz w:val="18"/>
    </w:rPr>
  </w:style>
  <w:style w:type="table" w:styleId="TableGrid">
    <w:name w:val="Table Grid"/>
    <w:basedOn w:val="TableNormal"/>
    <w:rsid w:val="00856562"/>
    <w:rPr>
      <w:rFonts w:ascii="Cambria" w:eastAsia="MS Mincho" w:hAnsi="Cambr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Heading30">
    <w:name w:val="IPP Heading3"/>
    <w:basedOn w:val="IPPNormal"/>
    <w:qFormat/>
    <w:rsid w:val="0085656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856562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856562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856562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856562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856562"/>
    <w:pPr>
      <w:numPr>
        <w:numId w:val="10"/>
      </w:numPr>
    </w:pPr>
  </w:style>
  <w:style w:type="paragraph" w:styleId="TOC1">
    <w:name w:val="toc 1"/>
    <w:basedOn w:val="IPPNormalCloseSpace"/>
    <w:next w:val="Normal"/>
    <w:autoRedefine/>
    <w:uiPriority w:val="39"/>
    <w:rsid w:val="00856562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856562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856562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856562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856562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856562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856562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856562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856562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basedOn w:val="DefaultParagraphFont"/>
    <w:qFormat/>
    <w:rsid w:val="00856562"/>
    <w:rPr>
      <w:b/>
      <w:bCs/>
    </w:rPr>
  </w:style>
  <w:style w:type="paragraph" w:styleId="ListParagraph">
    <w:name w:val="List Paragraph"/>
    <w:basedOn w:val="Normal"/>
    <w:uiPriority w:val="34"/>
    <w:qFormat/>
    <w:rsid w:val="00856562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CommentReference">
    <w:name w:val="annotation reference"/>
    <w:uiPriority w:val="99"/>
    <w:semiHidden/>
    <w:unhideWhenUsed/>
    <w:rsid w:val="0039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0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4F00"/>
    <w:rPr>
      <w:rFonts w:eastAsia="MS Mincho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F00"/>
    <w:rPr>
      <w:rFonts w:eastAsia="MS Mincho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1A0CD1"/>
    <w:rPr>
      <w:sz w:val="24"/>
    </w:rPr>
  </w:style>
  <w:style w:type="paragraph" w:customStyle="1" w:styleId="Default">
    <w:name w:val="Default"/>
    <w:rsid w:val="00182F68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IPPParagraphnumbering">
    <w:name w:val="IPP Paragraph numbering"/>
    <w:basedOn w:val="IPPNormal"/>
    <w:qFormat/>
    <w:rsid w:val="00856562"/>
    <w:pPr>
      <w:numPr>
        <w:numId w:val="1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856562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856562"/>
    <w:pPr>
      <w:spacing w:after="180"/>
    </w:pPr>
  </w:style>
  <w:style w:type="character" w:customStyle="1" w:styleId="cf01">
    <w:name w:val="cf01"/>
    <w:basedOn w:val="DefaultParagraphFont"/>
    <w:rsid w:val="00680DE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Standard%20Setting%20Unit\07%20Procedures%20and%20Guides\Style%20Guide%20for%20Standard%20Sett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69AA4-CEFA-48A8-A32D-1B04D5074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2C7F-4DF1-442B-BE0C-2EBBDE230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6E60E-65DA-481E-A87E-1145B6518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FD59D-91F6-4731-B254-00B3D2A257FC}">
  <ds:schemaRefs>
    <ds:schemaRef ds:uri="a05d7f75-f42e-4288-8809-604fd4d9691f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a6feb38-a85a-45e8-92e9-814486bbe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10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Montuori (AGPM)</dc:creator>
  <cp:keywords/>
  <cp:lastModifiedBy>Shamilov, Artur (NSP)</cp:lastModifiedBy>
  <cp:revision>15</cp:revision>
  <cp:lastPrinted>2014-03-17T10:25:00Z</cp:lastPrinted>
  <dcterms:created xsi:type="dcterms:W3CDTF">2019-06-21T16:43:00Z</dcterms:created>
  <dcterms:modified xsi:type="dcterms:W3CDTF">2024-05-24T14:32:00Z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