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2024 Second consultation: Draft annex to ISPM 39 (International movement of wood)  . Document title: 2015-004_DraftAnnex_ISPM39_SysApprMovWood.DOCX]</w:t>
      </w:r>
    </w:p>
    <w:p w14:paraId="4DA3C68B" w14:textId="731B8D95">
      <w:pPr>
        <w:pStyle w:val="IPPAnnexHead"/>
      </w:pPr>
      <w:r>
        <w:rPr>
          <w:rStyle w:val="PleaseReviewParagraphId"/>
          <w:b w:val="off"/>
          <w:i w:val="off"/>
        </w:rPr>
        <w:t>[1]</w:t>
      </w:r>
      <w:r>
        <w:t>DRAFT ANNEX TO ISPM 39: Use of systems approaches in managing the pest risk associated with the movement of wood (2015-004)</w:t>
      </w:r>
    </w:p>
    <w:p w14:paraId="1F04ABC6" w14:textId="2023A33A">
      <w:pPr>
        <w:pStyle w:val="IPPArialTable"/>
        <w:rPr>
          <w:b/>
          <w:bCs/>
        </w:rPr>
      </w:pPr>
      <w:r>
        <w:rPr>
          <w:rStyle w:val="PleaseReviewParagraphId"/>
          <w:b w:val="off"/>
          <w:i w:val="off"/>
        </w:rPr>
        <w:t>[2]</w:t>
      </w:r>
      <w:r>
        <w:rPr>
          <w:b/>
          <w:bCs/>
        </w:rPr>
        <w:t>Status box</w:t>
      </w:r>
    </w:p>
    <w:tbl>
      <w:tblPr>
        <w:tblpPr w:leftFromText="180" w:rightFromText="180" w:vertAnchor="text" w:horzAnchor="margin" w:tblpXSpec="center" w:tblpY="128"/>
        <w:tblW w:w="5000" w:type="pct"/>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8"/>
        <w:gridCol w:w="6782"/>
      </w:tblGrid>
      <w:tr w14:paraId="26B1FFE0" w14:textId="77777777">
        <w:trPr>
          <w:trHeight w:val="286"/>
        </w:trPr>
        <w:tc xmlns:tara="kcentrix:tara" tara:rowspan="1" tara:colspan="2">
          <w:tcPr>
            <w:tcW w:w="5000" w:type="pct"/>
            <w:gridSpan w:val="2"/>
            <w:tcBorders>
              <w:top w:val="single" w:color="auto" w:sz="4" w:space="0"/>
              <w:left w:val="single" w:color="auto" w:sz="4" w:space="0"/>
              <w:right w:val="single" w:color="auto" w:sz="4" w:space="0"/>
            </w:tcBorders>
          </w:tcPr>
          <w:p w14:paraId="113E8647" w14:textId="0F70F5F3">
            <w:pPr>
              <w:pStyle w:val="IPPArialTable"/>
            </w:pPr>
            <w:r>
              <w:rPr>
                <w:rStyle w:val="PleaseReviewParagraphId"/>
                <w:b w:val="off"/>
                <w:i w:val="off"/>
              </w:rPr>
              <w:t>[3]</w:t>
            </w:r>
            <w:r>
              <w:t>This is not an official part of the standard and it will be modified by the IPPC Secretariat after adoption.</w:t>
            </w:r>
          </w:p>
        </w:tc>
      </w:tr>
      <w:tr w14:paraId="522DAF59" w14:textId="77777777">
        <w:trPr>
          <w:trHeight w:val="286"/>
        </w:trPr>
        <w:tc xmlns:tara="kcentrix:tara" tara:rowspan="1" tara:colspan="1">
          <w:tcPr>
            <w:tcW w:w="1257" w:type="pct"/>
            <w:tcBorders>
              <w:left w:val="single" w:color="auto" w:sz="4" w:space="0"/>
            </w:tcBorders>
          </w:tcPr>
          <w:p w14:paraId="15B2030D" w14:textId="05211F14">
            <w:pPr>
              <w:pStyle w:val="IPPArialTable"/>
              <w:rPr>
                <w:b/>
                <w:bCs/>
              </w:rPr>
            </w:pPr>
            <w:r>
              <w:rPr>
                <w:rStyle w:val="PleaseReviewParagraphId"/>
                <w:b w:val="off"/>
                <w:i w:val="off"/>
              </w:rPr>
              <w:t>[4]</w:t>
            </w:r>
            <w:r>
              <w:rPr>
                <w:b/>
                <w:bCs/>
              </w:rPr>
              <w:t>Date of this document</w:t>
            </w:r>
          </w:p>
        </w:tc>
        <w:tc xmlns:tara="kcentrix:tara" tara:rowspan="1" tara:colspan="1">
          <w:tcPr>
            <w:tcW w:w="3743" w:type="pct"/>
            <w:tcBorders>
              <w:right w:val="single" w:color="auto" w:sz="4" w:space="0"/>
            </w:tcBorders>
          </w:tcPr>
          <w:p w14:paraId="692BD8EB" w14:textId="6707B832">
            <w:pPr>
              <w:pStyle w:val="IPPArialTable"/>
            </w:pPr>
            <w:r>
              <w:rPr>
                <w:rStyle w:val="PleaseReviewParagraphId"/>
                <w:b w:val="off"/>
                <w:i w:val="off"/>
              </w:rPr>
              <w:t>[5]</w:t>
            </w:r>
            <w:r>
              <w:t>2024-06-07</w:t>
            </w:r>
          </w:p>
        </w:tc>
      </w:tr>
      <w:tr w14:paraId="328090DD" w14:textId="77777777">
        <w:trPr>
          <w:trHeight w:val="286"/>
        </w:trPr>
        <w:tc xmlns:tara="kcentrix:tara" tara:rowspan="1" tara:colspan="1">
          <w:tcPr>
            <w:tcW w:w="1257" w:type="pct"/>
            <w:tcBorders>
              <w:left w:val="single" w:color="auto" w:sz="4" w:space="0"/>
            </w:tcBorders>
          </w:tcPr>
          <w:p w14:paraId="3DACCC76" w14:textId="0240C648">
            <w:pPr>
              <w:pStyle w:val="IPPArialTable"/>
              <w:rPr>
                <w:b/>
                <w:bCs/>
              </w:rPr>
            </w:pPr>
            <w:r>
              <w:rPr>
                <w:rStyle w:val="PleaseReviewParagraphId"/>
                <w:b w:val="off"/>
                <w:i w:val="off"/>
              </w:rPr>
              <w:t>[6]</w:t>
            </w:r>
            <w:r>
              <w:rPr>
                <w:b/>
                <w:bCs/>
              </w:rPr>
              <w:t>Document category</w:t>
            </w:r>
          </w:p>
        </w:tc>
        <w:tc xmlns:tara="kcentrix:tara" tara:rowspan="1" tara:colspan="1">
          <w:tcPr>
            <w:tcW w:w="3743" w:type="pct"/>
            <w:tcBorders>
              <w:right w:val="single" w:color="auto" w:sz="4" w:space="0"/>
            </w:tcBorders>
          </w:tcPr>
          <w:p w14:paraId="292CB09F" w14:textId="5AD9B155">
            <w:pPr>
              <w:pStyle w:val="IPPArialTable"/>
            </w:pPr>
            <w:r>
              <w:rPr>
                <w:rStyle w:val="PleaseReviewParagraphId"/>
                <w:b w:val="off"/>
                <w:i w:val="off"/>
              </w:rPr>
              <w:t>[7]</w:t>
            </w:r>
            <w:r>
              <w:t>Draft annex to ISPM 39</w:t>
            </w:r>
          </w:p>
        </w:tc>
      </w:tr>
      <w:tr w14:paraId="3B115D23" w14:textId="77777777">
        <w:trPr>
          <w:trHeight w:val="299"/>
        </w:trPr>
        <w:tc xmlns:tara="kcentrix:tara" tara:rowspan="1" tara:colspan="1">
          <w:tcPr>
            <w:tcW w:w="1257" w:type="pct"/>
            <w:tcBorders>
              <w:left w:val="single" w:color="auto" w:sz="4" w:space="0"/>
            </w:tcBorders>
          </w:tcPr>
          <w:p w14:paraId="0942449B" w14:textId="46410131">
            <w:pPr>
              <w:pStyle w:val="IPPArialTable"/>
              <w:rPr>
                <w:b/>
                <w:bCs/>
              </w:rPr>
            </w:pPr>
            <w:r>
              <w:rPr>
                <w:rStyle w:val="PleaseReviewParagraphId"/>
                <w:b w:val="off"/>
                <w:i w:val="off"/>
              </w:rPr>
              <w:t>[8]</w:t>
            </w:r>
            <w:r>
              <w:rPr>
                <w:b/>
                <w:bCs/>
              </w:rPr>
              <w:t>Current document stage</w:t>
            </w:r>
          </w:p>
        </w:tc>
        <w:tc xmlns:tara="kcentrix:tara" tara:rowspan="1" tara:colspan="1">
          <w:tcPr>
            <w:tcW w:w="3743" w:type="pct"/>
            <w:tcBorders>
              <w:right w:val="single" w:color="auto" w:sz="4" w:space="0"/>
            </w:tcBorders>
          </w:tcPr>
          <w:p w14:paraId="4E4EAB60" w14:textId="0A5D91EB">
            <w:pPr>
              <w:pStyle w:val="IPPArialTable"/>
            </w:pPr>
            <w:r>
              <w:rPr>
                <w:rStyle w:val="PleaseReviewParagraphId"/>
                <w:b w:val="off"/>
                <w:i w:val="off"/>
              </w:rPr>
              <w:t>[9]</w:t>
            </w:r>
            <w:r>
              <w:rPr>
                <w:i/>
              </w:rPr>
              <w:t>To</w:t>
            </w:r>
            <w:r>
              <w:t xml:space="preserve"> second consultation</w:t>
            </w:r>
          </w:p>
        </w:tc>
      </w:tr>
      <w:tr w14:paraId="27ACAFCB" w14:textId="77777777">
        <w:trPr>
          <w:trHeight w:val="491"/>
        </w:trPr>
        <w:tc xmlns:tara="kcentrix:tara" tara:rowspan="1" tara:colspan="1">
          <w:tcPr>
            <w:tcW w:w="1257" w:type="pct"/>
            <w:tcBorders>
              <w:left w:val="single" w:color="auto" w:sz="4" w:space="0"/>
              <w:bottom w:val="single" w:color="7F7F7F" w:sz="2" w:space="0"/>
            </w:tcBorders>
          </w:tcPr>
          <w:p w14:paraId="242EEAB2" w14:textId="60C159C5">
            <w:pPr>
              <w:pStyle w:val="IPPArialTable"/>
              <w:rPr>
                <w:b/>
                <w:bCs/>
              </w:rPr>
            </w:pPr>
            <w:r>
              <w:rPr>
                <w:rStyle w:val="PleaseReviewParagraphId"/>
                <w:b w:val="off"/>
                <w:i w:val="off"/>
              </w:rPr>
              <w:t>[10]</w:t>
            </w:r>
            <w:r>
              <w:rPr>
                <w:b/>
                <w:bCs/>
              </w:rPr>
              <w:t>Major stages</w:t>
            </w:r>
          </w:p>
        </w:tc>
        <w:tc xmlns:tara="kcentrix:tara" tara:rowspan="1" tara:colspan="1">
          <w:tcPr>
            <w:tcW w:w="3743" w:type="pct"/>
            <w:tcBorders>
              <w:bottom w:val="single" w:color="7F7F7F" w:sz="2" w:space="0"/>
              <w:right w:val="single" w:color="auto" w:sz="4" w:space="0"/>
            </w:tcBorders>
          </w:tcPr>
          <w:p w14:paraId="36EE867B" w14:textId="4C05821E">
            <w:pPr>
              <w:pStyle w:val="IPPArialTable"/>
              <w:jc w:val="both"/>
            </w:pPr>
            <w:r>
              <w:rPr>
                <w:rStyle w:val="PleaseReviewParagraphId"/>
                <w:b w:val="off"/>
                <w:i w:val="off"/>
              </w:rPr>
              <w:t>[11]</w:t>
            </w:r>
            <w:r>
              <w:t xml:space="preserve">2017-04 CPM-12 added topic </w:t>
            </w:r>
            <w:r>
              <w:rPr>
                <w:i/>
                <w:iCs/>
              </w:rPr>
              <w:t>Use of systems approaches in managing risks associated with the movement of wood commodities</w:t>
            </w:r>
            <w:r>
              <w:t xml:space="preserve"> (2015-004), priority 3.</w:t>
            </w:r>
          </w:p>
          <w:p w14:paraId="77A9F206" w14:textId="4E244F10">
            <w:pPr>
              <w:pStyle w:val="IPPArialTable"/>
              <w:jc w:val="both"/>
            </w:pPr>
            <w:r>
              <w:rPr>
                <w:rStyle w:val="PleaseReviewParagraphId"/>
                <w:b w:val="off"/>
                <w:i w:val="off"/>
              </w:rPr>
              <w:t>[12]</w:t>
            </w:r>
            <w:r>
              <w:t>2018-11 Standards Committee (SC) approved Specification 69 (</w:t>
            </w:r>
            <w:r>
              <w:rPr>
                <w:i/>
                <w:iCs/>
              </w:rPr>
              <w:t>Use of systems approaches in managing the pest risks associated with the movement of wood</w:t>
            </w:r>
            <w:r>
              <w:t>).</w:t>
            </w:r>
          </w:p>
          <w:p w14:paraId="4DB6CC1C" w14:textId="32C314E5">
            <w:pPr>
              <w:pStyle w:val="IPPArialTable"/>
              <w:jc w:val="both"/>
            </w:pPr>
            <w:r>
              <w:rPr>
                <w:rStyle w:val="PleaseReviewParagraphId"/>
                <w:b w:val="off"/>
                <w:i w:val="off"/>
              </w:rPr>
              <w:t>[13]</w:t>
            </w:r>
            <w:r>
              <w:t>2022-06 Expert working group drafted the annex.</w:t>
            </w:r>
          </w:p>
          <w:p w14:paraId="40203578" w14:textId="7BC2ACA3">
            <w:pPr>
              <w:pStyle w:val="IPPArialTable"/>
              <w:jc w:val="both"/>
            </w:pPr>
            <w:r>
              <w:rPr>
                <w:rStyle w:val="PleaseReviewParagraphId"/>
                <w:b w:val="off"/>
                <w:i w:val="off"/>
              </w:rPr>
              <w:t>[14]</w:t>
            </w:r>
            <w:r>
              <w:t>2023-05 SC revised and approved for consultation.</w:t>
            </w:r>
          </w:p>
          <w:p w14:paraId="0B4C6EDA" w14:textId="52D501B8">
            <w:pPr>
              <w:pStyle w:val="IPPArialTable"/>
              <w:jc w:val="both"/>
            </w:pPr>
            <w:r>
              <w:rPr>
                <w:rStyle w:val="PleaseReviewParagraphId"/>
                <w:b w:val="off"/>
                <w:i w:val="off"/>
              </w:rPr>
              <w:t>[15]</w:t>
            </w:r>
            <w:r>
              <w:t>2023-07 First consultation.</w:t>
            </w:r>
          </w:p>
          <w:p w14:paraId="78C138CB" w14:textId="2676600A">
            <w:pPr>
              <w:pStyle w:val="IPPArialTable"/>
            </w:pPr>
            <w:r>
              <w:rPr>
                <w:rStyle w:val="PleaseReviewParagraphId"/>
                <w:b w:val="off"/>
                <w:i w:val="off"/>
              </w:rPr>
              <w:t>[16]</w:t>
            </w:r>
            <w:r>
              <w:t>2024-05 SC-7 revised and approved for second consultation.</w:t>
            </w:r>
          </w:p>
        </w:tc>
      </w:tr>
      <w:tr w14:paraId="1825373E" w14:textId="77777777">
        <w:trPr>
          <w:trHeight w:val="491"/>
        </w:trPr>
        <w:tc xmlns:tara="kcentrix:tara" tara:rowspan="1" tara:colspan="1">
          <w:tcPr>
            <w:tcW w:w="1257" w:type="pct"/>
            <w:tcBorders>
              <w:left w:val="single" w:color="auto" w:sz="4" w:space="0"/>
              <w:bottom w:val="single" w:color="auto" w:sz="4" w:space="0"/>
            </w:tcBorders>
          </w:tcPr>
          <w:p w14:paraId="26E0D5E4" w14:textId="1C123199">
            <w:pPr>
              <w:pStyle w:val="IPPArialTable"/>
              <w:rPr>
                <w:b/>
                <w:bCs/>
              </w:rPr>
            </w:pPr>
            <w:r>
              <w:rPr>
                <w:rStyle w:val="PleaseReviewParagraphId"/>
                <w:b w:val="off"/>
                <w:i w:val="off"/>
              </w:rPr>
              <w:t>[17]</w:t>
            </w:r>
            <w:r>
              <w:rPr>
                <w:b/>
                <w:bCs/>
              </w:rPr>
              <w:t>Steward history</w:t>
            </w:r>
          </w:p>
        </w:tc>
        <w:tc xmlns:tara="kcentrix:tara" tara:rowspan="1" tara:colspan="1">
          <w:tcPr>
            <w:tcW w:w="3743" w:type="pct"/>
            <w:tcBorders>
              <w:bottom w:val="single" w:color="auto" w:sz="4" w:space="0"/>
              <w:right w:val="single" w:color="auto" w:sz="4" w:space="0"/>
            </w:tcBorders>
          </w:tcPr>
          <w:p w14:paraId="1A7A48D3" w14:textId="12DE468F">
            <w:pPr>
              <w:pStyle w:val="IPPArialTable"/>
            </w:pPr>
            <w:r>
              <w:rPr>
                <w:rStyle w:val="PleaseReviewParagraphId"/>
                <w:b w:val="off"/>
                <w:i w:val="off"/>
              </w:rPr>
              <w:t>[18]</w:t>
            </w:r>
            <w:r>
              <w:t>2021-11 SC Steve CÔTÉ (CA, Lead Steward)</w:t>
            </w:r>
          </w:p>
          <w:p w14:paraId="60487495" w14:textId="2C5411FF">
            <w:pPr>
              <w:pStyle w:val="IPPArialTable"/>
            </w:pPr>
            <w:r>
              <w:rPr>
                <w:rStyle w:val="PleaseReviewParagraphId"/>
                <w:b w:val="off"/>
                <w:i w:val="off"/>
              </w:rPr>
              <w:t>[19]</w:t>
            </w:r>
            <w:r>
              <w:t>2022-05 SC Harry ARIJS (EU, Assistant Steward)</w:t>
            </w:r>
          </w:p>
          <w:p w14:paraId="56AD5F3B" w14:textId="6AB5ED15">
            <w:pPr>
              <w:pStyle w:val="IPPArialTable"/>
              <w:rPr>
                <w:lang w:val="fr-CA"/>
              </w:rPr>
            </w:pPr>
            <w:r>
              <w:rPr>
                <w:rStyle w:val="PleaseReviewParagraphId"/>
                <w:b w:val="off"/>
                <w:i w:val="off"/>
              </w:rPr>
              <w:t>[20]</w:t>
            </w:r>
            <w:r>
              <w:rPr>
                <w:lang w:val="fr-CA"/>
              </w:rPr>
              <w:t>2021-11 SC Sophie PETERSON (AU, Assistant Steward)</w:t>
            </w:r>
          </w:p>
          <w:p w14:paraId="542B31E0" w14:textId="5B1F553D">
            <w:pPr>
              <w:pStyle w:val="IPPArialTable"/>
            </w:pPr>
            <w:r>
              <w:rPr>
                <w:rStyle w:val="PleaseReviewParagraphId"/>
                <w:b w:val="off"/>
                <w:i w:val="off"/>
              </w:rPr>
              <w:t>[21]</w:t>
            </w:r>
            <w:r>
              <w:t>2019-05 SC Rajesh RAMARATHNAM (CA, Lead Steward)</w:t>
            </w:r>
          </w:p>
        </w:tc>
      </w:tr>
      <w:tr w14:paraId="448A64CE" w14:textId="77777777">
        <w:trPr>
          <w:trHeight w:val="491"/>
        </w:trPr>
        <w:tc xmlns:tara="kcentrix:tara" tara:rowspan="1" tara:colspan="1">
          <w:tcPr>
            <w:tcW w:w="1257" w:type="pct"/>
            <w:tcBorders>
              <w:top w:val="single" w:color="auto" w:sz="4" w:space="0"/>
            </w:tcBorders>
          </w:tcPr>
          <w:p w14:paraId="66C50955" w14:textId="580013B2">
            <w:pPr>
              <w:pStyle w:val="IPPArialTable"/>
              <w:rPr>
                <w:b/>
                <w:bCs/>
              </w:rPr>
            </w:pPr>
            <w:r>
              <w:rPr>
                <w:rStyle w:val="PleaseReviewParagraphId"/>
                <w:b w:val="off"/>
                <w:i w:val="off"/>
              </w:rPr>
              <w:t>[22]</w:t>
            </w:r>
            <w:r>
              <w:rPr>
                <w:b/>
                <w:bCs/>
              </w:rPr>
              <w:t>Notes</w:t>
            </w:r>
          </w:p>
        </w:tc>
        <w:tc xmlns:tara="kcentrix:tara" tara:rowspan="1" tara:colspan="1">
          <w:tcPr>
            <w:tcW w:w="3743" w:type="pct"/>
            <w:tcBorders>
              <w:top w:val="single" w:color="auto" w:sz="4" w:space="0"/>
            </w:tcBorders>
          </w:tcPr>
          <w:p w14:paraId="3003EA7B" w14:textId="2597A189">
            <w:pPr>
              <w:pStyle w:val="IPPArialTable"/>
            </w:pPr>
            <w:r>
              <w:rPr>
                <w:rStyle w:val="PleaseReviewParagraphId"/>
                <w:b w:val="off"/>
                <w:i w:val="off"/>
              </w:rPr>
              <w:t>[23]</w:t>
            </w:r>
            <w:r>
              <w:t>2022-07 Edited</w:t>
            </w:r>
          </w:p>
          <w:p w14:paraId="0C998FE2" w14:textId="268A9094">
            <w:pPr>
              <w:pStyle w:val="IPPArialTable"/>
            </w:pPr>
            <w:r>
              <w:rPr>
                <w:rStyle w:val="PleaseReviewParagraphId"/>
                <w:b w:val="off"/>
                <w:i w:val="off"/>
              </w:rPr>
              <w:t>[24]</w:t>
            </w:r>
            <w:r>
              <w:t>2023-05 Edited</w:t>
            </w:r>
          </w:p>
          <w:p w14:paraId="21473A0A" w14:textId="3A2A5192">
            <w:pPr>
              <w:pStyle w:val="IPPArialTable"/>
            </w:pPr>
            <w:r>
              <w:rPr>
                <w:rStyle w:val="PleaseReviewParagraphId"/>
                <w:b w:val="off"/>
                <w:i w:val="off"/>
              </w:rPr>
              <w:t>[25]</w:t>
            </w:r>
            <w:r>
              <w:t>2024-06 Edited</w:t>
            </w:r>
          </w:p>
        </w:tc>
      </w:tr>
    </w:tbl>
    <w:p w14:paraId="0DA7739D" w14:textId="016FD34B">
      <w:pPr>
        <w:pStyle w:val="IPPNormal"/>
        <w:rPr>
          <w:sz w:val="18"/>
          <w:szCs w:val="18"/>
        </w:rPr>
      </w:pPr>
      <w:r>
        <w:rPr>
          <w:rStyle w:val="PleaseReviewParagraphId"/>
          <w:b w:val="off"/>
          <w:i w:val="off"/>
        </w:rPr>
        <w:t>[26]</w:t>
      </w:r>
      <w:r>
        <w:rPr>
          <w:sz w:val="18"/>
          <w:szCs w:val="18"/>
        </w:rPr>
        <w:t>This annex was adopted by the XXX Session of the Commission on Phytosanitary Measures in XXX 20XX.</w:t>
      </w:r>
    </w:p>
    <w:p w14:paraId="6C0AFAEA" w14:textId="0B67BAB3">
      <w:pPr>
        <w:pStyle w:val="IPPNormal"/>
        <w:jc w:val="center"/>
        <w:rPr>
          <w:sz w:val="18"/>
          <w:szCs w:val="18"/>
        </w:rPr>
      </w:pPr>
      <w:r>
        <w:rPr>
          <w:rStyle w:val="PleaseReviewParagraphId"/>
          <w:b w:val="off"/>
          <w:i w:val="off"/>
        </w:rPr>
        <w:t>[27]</w:t>
      </w:r>
      <w:r>
        <w:rPr>
          <w:sz w:val="18"/>
          <w:szCs w:val="18"/>
        </w:rPr>
        <w:t>The annex is a prescriptive part of the standard.</w:t>
      </w:r>
    </w:p>
    <w:p w14:paraId="7C48DBA4" w14:textId="45DF2444">
      <w:pPr>
        <w:pStyle w:val="IPPHeadSection"/>
      </w:pPr>
      <w:r>
        <w:rPr>
          <w:rStyle w:val="PleaseReviewParagraphId"/>
          <w:b w:val="off"/>
          <w:i w:val="off"/>
        </w:rPr>
        <w:t>[28]</w:t>
      </w:r>
      <w:r>
        <w:t>INTRODUCTION</w:t>
      </w:r>
    </w:p>
    <w:p w14:paraId="121F0D81" w14:textId="58B26383">
      <w:pPr>
        <w:pStyle w:val="IPPHeading1"/>
      </w:pPr>
      <w:r>
        <w:rPr>
          <w:rStyle w:val="PleaseReviewParagraphId"/>
          <w:b w:val="off"/>
          <w:i w:val="off"/>
        </w:rPr>
        <w:t>[29]</w:t>
      </w:r>
      <w:r>
        <w:t>Scope</w:t>
      </w:r>
    </w:p>
    <w:p w14:paraId="4C55C922" w14:textId="33BBACB2">
      <w:pPr>
        <w:pStyle w:val="IPPParagraphnumbering"/>
        <w:tabs>
          <w:tab w:val="clear" w:pos="0"/>
        </w:tabs>
        <w:ind w:firstLine="0"/>
        <w:rPr>
          <w:lang w:val="en-GB"/>
        </w:rPr>
      </w:pPr>
      <w:r>
        <w:rPr>
          <w:rStyle w:val="PleaseReviewParagraphId"/>
          <w:b w:val="off"/>
          <w:i w:val="off"/>
        </w:rPr>
        <w:t>[30]</w:t>
      </w:r>
      <w:r>
        <w:rPr>
          <w:lang w:val="en-GB"/>
        </w:rPr>
        <w:t xml:space="preserve">This annex provides guidance to national plant protection organizations (NPPOs) on the use, within the context of a </w:t>
      </w:r>
      <w:bookmarkStart w:name="_Hlk135300871" w:id="1"/>
      <w:r>
        <w:rPr>
          <w:lang w:val="en-GB"/>
        </w:rPr>
        <w:t>wood-commodities</w:t>
      </w:r>
      <w:bookmarkEnd w:id="1"/>
      <w:r>
        <w:rPr>
          <w:lang w:val="en-GB"/>
        </w:rPr>
        <w:t xml:space="preserve"> systems approach, of specific integrated measures that, when applied together, reduce the pest risk posed by quarantine pests associated with the international movement of wood. This annex applies to the wood of gymnosperms and angiosperms as described in the core text of this standard. </w:t>
      </w:r>
    </w:p>
    <w:p w14:paraId="546A99CF" w14:textId="4A861280">
      <w:pPr>
        <w:pStyle w:val="IPPParagraphnumbering"/>
        <w:tabs>
          <w:tab w:val="clear" w:pos="0"/>
        </w:tabs>
        <w:ind w:firstLine="0"/>
        <w:rPr>
          <w:lang w:val="en-GB"/>
        </w:rPr>
      </w:pPr>
      <w:r>
        <w:rPr>
          <w:rStyle w:val="PleaseReviewParagraphId"/>
          <w:b w:val="off"/>
          <w:i w:val="off"/>
        </w:rPr>
        <w:t>[31]</w:t>
      </w:r>
      <w:r>
        <w:rPr>
          <w:lang w:val="en-GB"/>
        </w:rPr>
        <w:t>This annex relates to quarantine pests associated with wood and to specific locations within the wood. It identifies examples of specific practices, procedures and regulatory actions that may be applied as integrated measures in a systems approach, from pre-planting to post-import of wood, to meet phytosanitary import requirements. It also details the documentation required to demonstrate that measures have been applied. The responsibilities of NPPOs and participating entities in developing the systems approach, implementing the systems approach and supervising the implementation are described.</w:t>
      </w:r>
    </w:p>
    <w:p w14:paraId="189B8F64" w14:textId="773ECF27">
      <w:pPr>
        <w:pStyle w:val="IPPHeading1"/>
      </w:pPr>
      <w:r>
        <w:rPr>
          <w:rStyle w:val="PleaseReviewParagraphId"/>
          <w:b w:val="off"/>
          <w:i w:val="off"/>
        </w:rPr>
        <w:t>[32]</w:t>
      </w:r>
      <w:r>
        <w:t>Background</w:t>
      </w:r>
    </w:p>
    <w:p w14:paraId="22D8A61A" w14:textId="665A8E67">
      <w:pPr>
        <w:pStyle w:val="IPPParagraphnumbering"/>
        <w:tabs>
          <w:tab w:val="clear" w:pos="0"/>
        </w:tabs>
        <w:ind w:firstLine="0"/>
        <w:rPr>
          <w:lang w:val="en-GB"/>
        </w:rPr>
      </w:pPr>
      <w:r>
        <w:rPr>
          <w:rStyle w:val="PleaseReviewParagraphId"/>
          <w:b w:val="off"/>
          <w:i w:val="off"/>
        </w:rPr>
        <w:t>[33]</w:t>
      </w:r>
      <w:r>
        <w:rPr>
          <w:lang w:val="en-GB"/>
        </w:rPr>
        <w:t xml:space="preserve">Countries predominantly rely on treatments and processing to manage the pest risk associated with the movement of wood commodities across their borders. A systems approach is an alternative to a single phytosanitary measure, such as a treatment, or can replace more restrictive phytosanitary measures, such as prohibition. </w:t>
      </w:r>
      <w:bookmarkStart w:name="_Hlk107425615" w:id="2"/>
      <w:r>
        <w:rPr>
          <w:lang w:val="en-GB"/>
        </w:rPr>
        <w:t>A systems approach may also provide countries with additional opportunities to facilitate or expand trade while effectively managing pest risk</w:t>
      </w:r>
      <w:bookmarkEnd w:id="2"/>
      <w:r>
        <w:rPr>
          <w:lang w:val="en-GB"/>
        </w:rPr>
        <w:t>.</w:t>
      </w:r>
    </w:p>
    <w:p w14:paraId="13EAA9CF" w14:textId="183B0050">
      <w:pPr>
        <w:pStyle w:val="IPPParagraphnumbering"/>
        <w:tabs>
          <w:tab w:val="clear" w:pos="0"/>
        </w:tabs>
        <w:ind w:firstLine="0"/>
        <w:rPr>
          <w:lang w:val="en-GB"/>
        </w:rPr>
      </w:pPr>
      <w:r>
        <w:rPr>
          <w:rStyle w:val="PleaseReviewParagraphId"/>
          <w:b w:val="off"/>
          <w:i w:val="off"/>
        </w:rPr>
        <w:t>[34]</w:t>
      </w:r>
      <w:r>
        <w:rPr>
          <w:lang w:val="en-GB"/>
        </w:rPr>
        <w:lastRenderedPageBreak/>
        <w:t>Any systems approach for wood should be developed in accordance with ISPM 14 (</w:t>
      </w:r>
      <w:r>
        <w:rPr>
          <w:i/>
          <w:iCs/>
          <w:lang w:val="en-GB"/>
        </w:rPr>
        <w:t>The use of integrated measures in a systems approach for pest risk management</w:t>
      </w:r>
      <w:r>
        <w:rPr>
          <w:lang w:val="en-GB"/>
        </w:rPr>
        <w:t xml:space="preserve">). </w:t>
      </w:r>
    </w:p>
    <w:p w14:paraId="2C81229F" w14:textId="505D0A62">
      <w:pPr>
        <w:pStyle w:val="IPPHeadSection"/>
      </w:pPr>
      <w:r>
        <w:rPr>
          <w:rStyle w:val="PleaseReviewParagraphId"/>
          <w:b w:val="off"/>
          <w:i w:val="off"/>
        </w:rPr>
        <w:t>[35]</w:t>
      </w:r>
      <w:r>
        <w:t>REQUIREMENTS</w:t>
      </w:r>
    </w:p>
    <w:p w14:paraId="7119FEFB" w14:textId="2492F04C">
      <w:pPr>
        <w:pStyle w:val="IPPHeading1"/>
      </w:pPr>
      <w:r>
        <w:rPr>
          <w:rStyle w:val="PleaseReviewParagraphId"/>
          <w:b w:val="off"/>
          <w:i w:val="off"/>
        </w:rPr>
        <w:t>[36]</w:t>
      </w:r>
      <w:r>
        <w:t>1.</w:t>
        <w:tab/>
        <w:t>Developing a wood-commodities systems approach</w:t>
      </w:r>
    </w:p>
    <w:p w14:paraId="0D57DF7E" w14:textId="38DB338B">
      <w:pPr>
        <w:pStyle w:val="IPPParagraphnumbering"/>
        <w:tabs>
          <w:tab w:val="clear" w:pos="0"/>
        </w:tabs>
        <w:ind w:firstLine="0"/>
        <w:rPr>
          <w:lang w:val="en-GB"/>
        </w:rPr>
      </w:pPr>
      <w:r>
        <w:rPr>
          <w:rStyle w:val="PleaseReviewParagraphId"/>
          <w:b w:val="off"/>
          <w:i w:val="off"/>
        </w:rPr>
        <w:t>[37]</w:t>
      </w:r>
      <w:r>
        <w:rPr>
          <w:lang w:val="en-GB"/>
        </w:rPr>
        <w:t xml:space="preserve">Development of a wood-commodities systems approach requires knowledge of the biology of the pest or pests associated with the wood commodity or commodities (Appendix 1 to this annex), the production chain of the commodity or commodities, any post-harvest treatments or processing that have been applied, and the associated pest risk. Specific practices, procedures and regulatory actions to be included as measures in the systems approach should be effective and feasible. The selection of the measures in the systems approach should be agreed between the NPPO of the importing country and the NPPO of the exporting country. </w:t>
      </w:r>
    </w:p>
    <w:p w14:paraId="168928E2" w14:textId="4C2A494D">
      <w:pPr>
        <w:pStyle w:val="IPPParagraphnumbering"/>
        <w:tabs>
          <w:tab w:val="clear" w:pos="0"/>
        </w:tabs>
        <w:ind w:firstLine="0"/>
        <w:rPr>
          <w:lang w:val="en-GB"/>
        </w:rPr>
      </w:pPr>
      <w:r>
        <w:rPr>
          <w:rStyle w:val="PleaseReviewParagraphId"/>
          <w:b w:val="off"/>
          <w:i w:val="off"/>
        </w:rPr>
        <w:t>[38]</w:t>
      </w:r>
      <w:r>
        <w:rPr>
          <w:lang w:val="en-GB"/>
        </w:rPr>
        <w:t>During the long production cycle of wood, the pest status of the relevant area can change. This means that some measures (e.g. those applied before planting or during a plant’s early growth) may be less relevant in a systems approach for wood commodities than in systems approaches for other commodities. Therefore, good forestry practice should be one of the basic requirements for implementing a wood-commodities systems approach. Pest free areas established to manage one pest on the pathway may not manage all pests for which the pest risk needs to be reduced. However, pest free areas may be components of a wood-commodities systems approach (see also ISPM 14) to meet the phytosanitary import requirements of an importing country.</w:t>
      </w:r>
    </w:p>
    <w:p w14:paraId="13E92409" w14:textId="42A75100">
      <w:pPr>
        <w:pStyle w:val="IPPHeading1"/>
      </w:pPr>
      <w:r>
        <w:rPr>
          <w:rStyle w:val="PleaseReviewParagraphId"/>
          <w:b w:val="off"/>
          <w:i w:val="off"/>
        </w:rPr>
        <w:t>[39]</w:t>
      </w:r>
      <w:bookmarkStart w:name="_Hlk107493996" w:id="3"/>
      <w:r>
        <w:t>2.</w:t>
        <w:tab/>
        <w:t>Practices, procedures and regulatory actions that can reduce pest risk</w:t>
      </w:r>
      <w:bookmarkEnd w:id="3"/>
    </w:p>
    <w:p w14:paraId="72181847" w14:textId="038ADE7E">
      <w:pPr>
        <w:pStyle w:val="IPPParagraphnumbering"/>
        <w:tabs>
          <w:tab w:val="clear" w:pos="0"/>
        </w:tabs>
        <w:ind w:firstLine="0"/>
        <w:rPr>
          <w:lang w:val="en-GB"/>
        </w:rPr>
      </w:pPr>
      <w:r>
        <w:rPr>
          <w:rStyle w:val="PleaseReviewParagraphId"/>
          <w:b w:val="off"/>
          <w:i w:val="off"/>
        </w:rPr>
        <w:t>[40]</w:t>
      </w:r>
      <w:r>
        <w:rPr>
          <w:lang w:val="en-GB"/>
        </w:rPr>
        <w:t>Practices, procedures and regulatory actions that can reduce pest risk, relating to activities in an exporting country from pre-planting to transport, are described in Table 1. These may be included in a systems approach.</w:t>
      </w:r>
    </w:p>
    <w:p w14:paraId="375F8845" w14:textId="1D5AE0D4">
      <w:pPr>
        <w:pStyle w:val="IPPArial"/>
        <w:keepNext/>
        <w:spacing w:after="120"/>
      </w:pPr>
      <w:r>
        <w:rPr>
          <w:rStyle w:val="PleaseReviewParagraphId"/>
          <w:b w:val="off"/>
          <w:i w:val="off"/>
        </w:rPr>
        <w:t>[41]</w:t>
      </w:r>
      <w:r>
        <w:rPr>
          <w:rStyle w:val="PleaseReviewParagraphId"/>
          <w:strike/>
        </w:rPr>
        <w:t xml:space="preserve"> </w:t>
      </w:r>
      <w:r>
        <w:rPr>
          <w:b/>
          <w:bCs/>
        </w:rPr>
        <w:t>Table 1.</w:t>
      </w:r>
      <w:r>
        <w:t xml:space="preserve"> Examples of pre-import practices, procedures and regulatory actions that may be used in a wood-commodities systems approach</w:t>
      </w:r>
    </w:p>
    <w:tbl>
      <w:tblPr>
        <w:tblStyle w:val="TableGrid"/>
        <w:tblW w:w="0" w:type="auto"/>
        <w:tblLook w:val="04A0" w:firstRow="1" w:lastRow="0" w:firstColumn="1" w:lastColumn="0" w:noHBand="0" w:noVBand="1"/>
      </w:tblPr>
      <w:tblGrid>
        <w:gridCol w:w="2337"/>
        <w:gridCol w:w="6723"/>
      </w:tblGrid>
      <w:tr w14:paraId="5BDB3CD3" w14:textId="77777777">
        <w:tc xmlns:tara="kcentrix:tara" tara:rowspan="1" tara:colspan="2">
          <w:tcPr>
            <w:tcW w:w="9060" w:type="dxa"/>
            <w:gridSpan w:val="2"/>
            <w:shd w:val="clear" w:color="auto" w:fill="D9D9D9" w:themeFill="background1" w:themeFillShade="D9"/>
          </w:tcPr>
          <w:p w14:paraId="66FB9049" w14:textId="531EAADB">
            <w:pPr>
              <w:pStyle w:val="IPPArialTable"/>
              <w:jc w:val="center"/>
              <w:rPr>
                <w:b/>
                <w:bCs/>
              </w:rPr>
            </w:pPr>
            <w:r>
              <w:rPr>
                <w:rStyle w:val="PleaseReviewParagraphId"/>
                <w:b w:val="off"/>
                <w:i w:val="off"/>
              </w:rPr>
              <w:t>[42]</w:t>
            </w:r>
            <w:r>
              <w:rPr>
                <w:b/>
                <w:bCs/>
              </w:rPr>
              <w:t>Pre-planting</w:t>
            </w:r>
          </w:p>
        </w:tc>
      </w:tr>
      <w:tr w14:paraId="5BA5554D" w14:textId="77777777">
        <w:trPr>
          <w:trHeight w:val="185"/>
        </w:trPr>
        <w:tc xmlns:tara="kcentrix:tara" tara:rowspan="1" tara:colspan="1">
          <w:tcPr>
            <w:tcW w:w="2337" w:type="dxa"/>
          </w:tcPr>
          <w:p w14:paraId="04B9519C" w14:textId="7B726C26">
            <w:pPr>
              <w:pStyle w:val="IPPArialTable"/>
              <w:rPr>
                <w:rStyle w:val="PleaseReviewParagraphId"/>
              </w:rPr>
            </w:pPr>
            <w:r>
              <w:rPr>
                <w:rStyle w:val="PleaseReviewParagraphId"/>
                <w:b w:val="off"/>
                <w:i w:val="off"/>
              </w:rPr>
              <w:t>[43]</w:t>
            </w:r>
            <w:r>
              <w:rPr>
                <w:b/>
                <w:bCs/>
              </w:rPr>
              <w:t>Site selection</w:t>
            </w:r>
          </w:p>
        </w:tc>
        <w:tc xmlns:tara="kcentrix:tara" tara:rowspan="1" tara:colspan="1">
          <w:tcPr>
            <w:tcW w:w="6723" w:type="dxa"/>
          </w:tcPr>
          <w:p w14:paraId="547C70D0" w14:textId="4962A82A">
            <w:pPr>
              <w:pStyle w:val="IPPArialTable"/>
              <w:jc w:val="both"/>
              <w:rPr>
                <w:rStyle w:val="PleaseReviewParagraphId"/>
              </w:rPr>
            </w:pPr>
            <w:r>
              <w:rPr>
                <w:rStyle w:val="PleaseReviewParagraphId"/>
                <w:b w:val="off"/>
                <w:i w:val="off"/>
              </w:rPr>
              <w:t>[44]</w:t>
            </w:r>
            <w:r>
              <w:t>Pre-planting assessments, including determining the site suitability for the host species and pests of concern, may be used to avoid planting in unsuitable conditions.</w:t>
            </w:r>
          </w:p>
        </w:tc>
      </w:tr>
      <w:tr w14:paraId="48C63108" w14:textId="77777777">
        <w:trPr>
          <w:trHeight w:val="185"/>
        </w:trPr>
        <w:tc xmlns:tara="kcentrix:tara" tara:rowspan="1" tara:colspan="1">
          <w:tcPr>
            <w:tcW w:w="2337" w:type="dxa"/>
          </w:tcPr>
          <w:p w14:paraId="4852D58C" w14:textId="73B4C4CF">
            <w:pPr>
              <w:pStyle w:val="IPPArialTable"/>
              <w:rPr>
                <w:rStyle w:val="PleaseReviewParagraphId"/>
              </w:rPr>
            </w:pPr>
            <w:r>
              <w:rPr>
                <w:rStyle w:val="PleaseReviewParagraphId"/>
                <w:b w:val="off"/>
                <w:i w:val="off"/>
              </w:rPr>
              <w:t>[45]</w:t>
            </w:r>
            <w:r>
              <w:rPr>
                <w:b/>
                <w:bCs/>
              </w:rPr>
              <w:t>Drainage</w:t>
            </w:r>
          </w:p>
        </w:tc>
        <w:tc xmlns:tara="kcentrix:tara" tara:rowspan="1" tara:colspan="1">
          <w:tcPr>
            <w:tcW w:w="6723" w:type="dxa"/>
          </w:tcPr>
          <w:p w14:paraId="2CD72524" w14:textId="3144FE38">
            <w:pPr>
              <w:pStyle w:val="IPPArialTable"/>
              <w:jc w:val="both"/>
              <w:rPr>
                <w:rStyle w:val="PleaseReviewParagraphId"/>
              </w:rPr>
            </w:pPr>
            <w:r>
              <w:rPr>
                <w:rStyle w:val="PleaseReviewParagraphId"/>
                <w:b w:val="off"/>
                <w:i w:val="off"/>
              </w:rPr>
              <w:t>[46]</w:t>
            </w:r>
            <w:r>
              <w:t>Tillage to improve drainage before planting can reduce pest populations and soil-borne diseases.</w:t>
            </w:r>
          </w:p>
        </w:tc>
      </w:tr>
      <w:tr w14:paraId="33E6D1BF" w14:textId="77777777">
        <w:trPr>
          <w:trHeight w:val="185"/>
        </w:trPr>
        <w:tc xmlns:tara="kcentrix:tara" tara:rowspan="1" tara:colspan="1">
          <w:tcPr>
            <w:tcW w:w="2337" w:type="dxa"/>
          </w:tcPr>
          <w:p w14:paraId="4A367394" w14:textId="6FEE2133">
            <w:pPr>
              <w:pStyle w:val="IPPArialTable"/>
              <w:rPr>
                <w:rStyle w:val="PleaseReviewParagraphId"/>
              </w:rPr>
            </w:pPr>
            <w:r>
              <w:rPr>
                <w:rStyle w:val="PleaseReviewParagraphId"/>
                <w:b w:val="off"/>
                <w:i w:val="off"/>
              </w:rPr>
              <w:t>[47]</w:t>
            </w:r>
            <w:r>
              <w:rPr>
                <w:b/>
                <w:bCs/>
              </w:rPr>
              <w:t>Species selection</w:t>
            </w:r>
          </w:p>
        </w:tc>
        <w:tc xmlns:tara="kcentrix:tara" tara:rowspan="1" tara:colspan="1">
          <w:tcPr>
            <w:tcW w:w="6723" w:type="dxa"/>
          </w:tcPr>
          <w:p w14:paraId="25FCE349" w14:textId="1BC6F79C">
            <w:pPr>
              <w:pStyle w:val="IPPArialTable"/>
              <w:jc w:val="both"/>
              <w:rPr>
                <w:rStyle w:val="PleaseReviewParagraphId"/>
              </w:rPr>
            </w:pPr>
            <w:r>
              <w:rPr>
                <w:rStyle w:val="PleaseReviewParagraphId"/>
                <w:b w:val="off"/>
                <w:i w:val="off"/>
              </w:rPr>
              <w:t>[48]</w:t>
            </w:r>
            <w:r>
              <w:t>Planting species and cultivars of trees that are appropriate for the particular geographical region, soil and climatic conditions can reduce plant stress and susceptibility to pests. Planting forests with mixed species rather than using pure stands or clonal trees can reduce the vulnerability of forests to pests.</w:t>
            </w:r>
          </w:p>
        </w:tc>
      </w:tr>
      <w:tr w14:paraId="292469F5" w14:textId="77777777">
        <w:trPr>
          <w:trHeight w:val="185"/>
        </w:trPr>
        <w:tc xmlns:tara="kcentrix:tara" tara:rowspan="1" tara:colspan="1">
          <w:tcPr>
            <w:tcW w:w="2337" w:type="dxa"/>
          </w:tcPr>
          <w:p w14:paraId="5E6A5D65" w14:textId="6AC25F90">
            <w:pPr>
              <w:pStyle w:val="IPPArialTable"/>
              <w:rPr>
                <w:b/>
                <w:bCs/>
              </w:rPr>
            </w:pPr>
            <w:r>
              <w:rPr>
                <w:rStyle w:val="PleaseReviewParagraphId"/>
                <w:b w:val="off"/>
                <w:i w:val="off"/>
              </w:rPr>
              <w:t>[49]</w:t>
            </w:r>
            <w:r>
              <w:rPr>
                <w:b/>
                <w:bCs/>
              </w:rPr>
              <w:t>Use of resistant genotypes</w:t>
            </w:r>
          </w:p>
        </w:tc>
        <w:tc xmlns:tara="kcentrix:tara" tara:rowspan="1" tara:colspan="1">
          <w:tcPr>
            <w:tcW w:w="6723" w:type="dxa"/>
          </w:tcPr>
          <w:p w14:paraId="318DD4AB" w14:textId="63820571">
            <w:pPr>
              <w:pStyle w:val="IPPArialTable"/>
              <w:jc w:val="both"/>
            </w:pPr>
            <w:r>
              <w:rPr>
                <w:rStyle w:val="PleaseReviewParagraphId"/>
                <w:b w:val="off"/>
                <w:i w:val="off"/>
              </w:rPr>
              <w:t>[50]</w:t>
            </w:r>
            <w:r>
              <w:t xml:space="preserve">Planting genotypes that are resistant to certain pests, selected for the environmental conditions of the planting location, can reduce infestation. </w:t>
            </w:r>
          </w:p>
        </w:tc>
      </w:tr>
      <w:tr w14:paraId="31597468" w14:textId="77777777">
        <w:trPr>
          <w:trHeight w:val="371"/>
        </w:trPr>
        <w:tc xmlns:tara="kcentrix:tara" tara:rowspan="1" tara:colspan="1">
          <w:tcPr>
            <w:tcW w:w="2337" w:type="dxa"/>
          </w:tcPr>
          <w:p w14:paraId="261365D5" w14:textId="62EC1122">
            <w:pPr>
              <w:pStyle w:val="IPPArialTable"/>
              <w:rPr>
                <w:b/>
                <w:bCs/>
              </w:rPr>
            </w:pPr>
            <w:r>
              <w:rPr>
                <w:rStyle w:val="PleaseReviewParagraphId"/>
                <w:b w:val="off"/>
                <w:i w:val="off"/>
              </w:rPr>
              <w:t>[51]</w:t>
            </w:r>
            <w:bookmarkStart w:name="_Hlk134691909" w:id="4"/>
            <w:r>
              <w:rPr>
                <w:b/>
                <w:bCs/>
              </w:rPr>
              <w:t>Pest free areas or areas of low pest prevalence (section 2.5 of this standard)</w:t>
            </w:r>
          </w:p>
        </w:tc>
        <w:tc xmlns:tara="kcentrix:tara" tara:rowspan="1" tara:colspan="1">
          <w:tcPr>
            <w:tcW w:w="6723" w:type="dxa"/>
          </w:tcPr>
          <w:p w14:paraId="513675FE" w14:textId="02501C71">
            <w:pPr>
              <w:pStyle w:val="IPPArialTable"/>
              <w:jc w:val="both"/>
            </w:pPr>
            <w:r>
              <w:rPr>
                <w:rStyle w:val="PleaseReviewParagraphId"/>
                <w:b w:val="off"/>
                <w:i w:val="off"/>
              </w:rPr>
              <w:t>[52]</w:t>
            </w:r>
            <w:r>
              <w:t>Pest risk can be reduced by establishing pest free areas or areas of low pest prevalence as described in ISPM 4 (</w:t>
            </w:r>
            <w:r>
              <w:rPr>
                <w:i/>
                <w:iCs/>
              </w:rPr>
              <w:t>Requirements for the establishment of pest free areas</w:t>
            </w:r>
            <w:r>
              <w:t>), ISPM 10 (</w:t>
            </w:r>
            <w:r>
              <w:rPr>
                <w:i/>
                <w:iCs/>
              </w:rPr>
              <w:t>Requirements for the establishment of pest free places of production and pest free production sites</w:t>
            </w:r>
            <w:r>
              <w:t>) and ISPM 22 (</w:t>
            </w:r>
            <w:r>
              <w:rPr>
                <w:i/>
                <w:iCs/>
              </w:rPr>
              <w:t>Requirements for the establishment of areas of low pest prevalence</w:t>
            </w:r>
            <w:r>
              <w:t xml:space="preserve">). </w:t>
            </w:r>
          </w:p>
        </w:tc>
      </w:tr>
      <w:bookmarkEnd w:id="4"/>
      <w:tr w14:paraId="7EDC5A15" w14:textId="77777777">
        <w:tc xmlns:tara="kcentrix:tara" tara:rowspan="1" tara:colspan="2">
          <w:tcPr>
            <w:tcW w:w="9060" w:type="dxa"/>
            <w:gridSpan w:val="2"/>
            <w:shd w:val="clear" w:color="auto" w:fill="D9D9D9" w:themeFill="background1" w:themeFillShade="D9"/>
          </w:tcPr>
          <w:p w14:paraId="4FD3792C" w14:textId="292CAA71">
            <w:pPr>
              <w:pStyle w:val="IPPArialTable"/>
              <w:jc w:val="center"/>
              <w:rPr>
                <w:b/>
                <w:bCs/>
              </w:rPr>
            </w:pPr>
            <w:r>
              <w:rPr>
                <w:rStyle w:val="PleaseReviewParagraphId"/>
                <w:b w:val="off"/>
                <w:i w:val="off"/>
              </w:rPr>
              <w:t>[53]</w:t>
            </w:r>
            <w:r>
              <w:rPr>
                <w:b/>
                <w:bCs/>
              </w:rPr>
              <w:t>Pre-harvest</w:t>
            </w:r>
          </w:p>
        </w:tc>
      </w:tr>
      <w:tr w14:paraId="740BD340" w14:textId="77777777">
        <w:tc xmlns:tara="kcentrix:tara" tara:rowspan="1" tara:colspan="1">
          <w:tcPr>
            <w:tcW w:w="2337" w:type="dxa"/>
          </w:tcPr>
          <w:p w14:paraId="6678D44F" w14:textId="00BFD197">
            <w:pPr>
              <w:pStyle w:val="IPPArialTable"/>
              <w:rPr>
                <w:b/>
                <w:bCs/>
              </w:rPr>
            </w:pPr>
            <w:r>
              <w:rPr>
                <w:rStyle w:val="PleaseReviewParagraphId"/>
                <w:b w:val="off"/>
                <w:i w:val="off"/>
              </w:rPr>
              <w:t>[54]</w:t>
            </w:r>
            <w:r>
              <w:rPr>
                <w:b/>
                <w:bCs/>
              </w:rPr>
              <w:t>Silvicultural practices</w:t>
            </w:r>
          </w:p>
        </w:tc>
        <w:tc xmlns:tara="kcentrix:tara" tara:rowspan="1" tara:colspan="1">
          <w:tcPr>
            <w:tcW w:w="6723" w:type="dxa"/>
          </w:tcPr>
          <w:p w14:paraId="4475BE21" w14:textId="485EF03B">
            <w:pPr>
              <w:pStyle w:val="IPPArialTable"/>
              <w:jc w:val="both"/>
            </w:pPr>
            <w:r>
              <w:rPr>
                <w:rStyle w:val="PleaseReviewParagraphId"/>
                <w:b w:val="off"/>
                <w:i w:val="off"/>
              </w:rPr>
              <w:t>[55]</w:t>
            </w:r>
            <w:r>
              <w:t xml:space="preserve">Planning and operational practices that can result in pest risk reduction may be applied to both planted and naturally </w:t>
            </w:r>
            <w:bookmarkStart w:name="_Hlk135320523" w:id="5"/>
            <w:r>
              <w:t>regenerated</w:t>
            </w:r>
            <w:bookmarkEnd w:id="5"/>
            <w:r>
              <w:t xml:space="preserve"> forests. Post-planting assessments may be conducted to regularly review the progress of planted seedlings. Pruning may be carried out to remove unhealthy or infested branches. Thinning may be used to improve spacing, reduce competition and improve plant health. Similarly, roguing (routine removal of trees that exhibit evidence of pest </w:t>
              <w:lastRenderedPageBreak/>
              <w:t xml:space="preserve">infestation, </w:t>
            </w:r>
            <w:bookmarkStart w:name="_Hlk135320580" w:id="6"/>
            <w:r>
              <w:t xml:space="preserve">off-type </w:t>
            </w:r>
            <w:bookmarkEnd w:id="6"/>
            <w:r>
              <w:t xml:space="preserve">characteristics or undesirable traits) reduces pest levels, improves harvest quality and reduces the risk of exporting infested wood. Well-planned and managed forests provide an opportunity to improve and monitor tree health while optimizing timber production. </w:t>
            </w:r>
          </w:p>
        </w:tc>
      </w:tr>
      <w:tr w14:paraId="76BEC876" w14:textId="77777777">
        <w:tc xmlns:tara="kcentrix:tara" tara:rowspan="1" tara:colspan="1">
          <w:tcPr>
            <w:tcW w:w="2337" w:type="dxa"/>
          </w:tcPr>
          <w:p w14:paraId="04B4213C" w14:textId="0BFC7C06">
            <w:pPr>
              <w:pStyle w:val="IPPArialTable"/>
              <w:rPr>
                <w:rStyle w:val="PleaseReviewParagraphId"/>
                <w:b/>
                <w:bCs/>
                <w:color w:val="auto"/>
                <w:sz w:val="18"/>
              </w:rPr>
            </w:pPr>
            <w:r>
              <w:rPr>
                <w:rStyle w:val="PleaseReviewParagraphId"/>
                <w:b w:val="off"/>
                <w:i w:val="off"/>
              </w:rPr>
              <w:t>[56]</w:t>
            </w:r>
            <w:r>
              <w:rPr>
                <w:rStyle w:val="PleaseReviewParagraphId"/>
                <w:b/>
                <w:bCs/>
                <w:color w:val="auto"/>
                <w:sz w:val="18"/>
              </w:rPr>
              <w:lastRenderedPageBreak/>
              <w:t xml:space="preserve">Field inspection </w:t>
            </w:r>
            <w:r>
              <w:rPr>
                <w:b/>
                <w:bCs/>
              </w:rPr>
              <w:t>(section 2.4 of this standard)</w:t>
            </w:r>
          </w:p>
        </w:tc>
        <w:tc xmlns:tara="kcentrix:tara" tara:rowspan="1" tara:colspan="1">
          <w:tcPr>
            <w:tcW w:w="6723" w:type="dxa"/>
          </w:tcPr>
          <w:p w14:paraId="0D6BAC54" w14:textId="76C08400">
            <w:pPr>
              <w:pStyle w:val="IPPArial"/>
              <w:rPr>
                <w:rStyle w:val="PleaseReviewParagraphId"/>
              </w:rPr>
            </w:pPr>
            <w:r>
              <w:rPr>
                <w:rStyle w:val="PleaseReviewParagraphId"/>
                <w:b w:val="off"/>
                <w:i w:val="off"/>
              </w:rPr>
              <w:t>[57]</w:t>
            </w:r>
            <w:r>
              <w:t xml:space="preserve">Data from field inspections (e.g. observations of pests or signs of pests) may be used to identify infested trees and guide </w:t>
            </w:r>
            <w:bookmarkStart w:name="_Hlk135320688" w:id="7"/>
            <w:r>
              <w:t xml:space="preserve">harvest-planning </w:t>
            </w:r>
            <w:bookmarkEnd w:id="7"/>
            <w:r>
              <w:t xml:space="preserve">decisions and to help ensure that infested trees are not selected for export. </w:t>
            </w:r>
          </w:p>
        </w:tc>
      </w:tr>
      <w:tr w14:paraId="37C8C020" w14:textId="77777777">
        <w:tc xmlns:tara="kcentrix:tara" tara:rowspan="1" tara:colspan="1">
          <w:tcPr>
            <w:tcW w:w="2337" w:type="dxa"/>
          </w:tcPr>
          <w:p w14:paraId="101D4EAE" w14:textId="67F02949">
            <w:pPr>
              <w:pStyle w:val="IPPArialTable"/>
              <w:rPr>
                <w:b/>
                <w:bCs/>
              </w:rPr>
            </w:pPr>
            <w:r>
              <w:rPr>
                <w:rStyle w:val="PleaseReviewParagraphId"/>
                <w:b w:val="off"/>
                <w:i w:val="off"/>
              </w:rPr>
              <w:t>[58]</w:t>
            </w:r>
            <w:r>
              <w:rPr>
                <w:b/>
                <w:bCs/>
              </w:rPr>
              <w:t>Surveillance</w:t>
            </w:r>
          </w:p>
        </w:tc>
        <w:tc xmlns:tara="kcentrix:tara" tara:rowspan="1" tara:colspan="1">
          <w:tcPr>
            <w:tcW w:w="6723" w:type="dxa"/>
          </w:tcPr>
          <w:p w14:paraId="4F602DC5" w14:textId="3E6147C3">
            <w:pPr>
              <w:pStyle w:val="IPPArial"/>
            </w:pPr>
            <w:r>
              <w:rPr>
                <w:rStyle w:val="PleaseReviewParagraphId"/>
                <w:b w:val="off"/>
                <w:i w:val="off"/>
              </w:rPr>
              <w:t>[59]</w:t>
            </w:r>
            <w:r>
              <w:t>Surveillance may be used in the establishment and recognition of pest free areas and allows for early detection and intervention in case of an event of pest outbreak. Surveillance should be conducted in accordance with ISPM 6 (</w:t>
            </w:r>
            <w:r>
              <w:rPr>
                <w:i/>
                <w:iCs/>
              </w:rPr>
              <w:t>Surveillance</w:t>
            </w:r>
            <w:r>
              <w:t>).</w:t>
            </w:r>
          </w:p>
        </w:tc>
      </w:tr>
      <w:tr w14:paraId="6E965A84" w14:textId="77777777">
        <w:tc xmlns:tara="kcentrix:tara" tara:rowspan="1" tara:colspan="1">
          <w:tcPr>
            <w:tcW w:w="2337" w:type="dxa"/>
          </w:tcPr>
          <w:p w14:paraId="2B7F5222" w14:textId="6050FC82">
            <w:pPr>
              <w:pStyle w:val="IPPArialTable"/>
              <w:rPr>
                <w:b/>
                <w:bCs/>
              </w:rPr>
            </w:pPr>
            <w:r>
              <w:rPr>
                <w:rStyle w:val="PleaseReviewParagraphId"/>
                <w:b w:val="off"/>
                <w:i w:val="off"/>
              </w:rPr>
              <w:t>[60]</w:t>
            </w:r>
            <w:r>
              <w:rPr>
                <w:b/>
                <w:bCs/>
              </w:rPr>
              <w:t>Application of semiochemicals</w:t>
            </w:r>
          </w:p>
        </w:tc>
        <w:tc xmlns:tara="kcentrix:tara" tara:rowspan="1" tara:colspan="1">
          <w:tcPr>
            <w:tcW w:w="6723" w:type="dxa"/>
          </w:tcPr>
          <w:p w14:paraId="4E7EB945" w14:textId="4293D663">
            <w:pPr>
              <w:pStyle w:val="IPPArialTable"/>
              <w:jc w:val="both"/>
            </w:pPr>
            <w:r>
              <w:rPr>
                <w:rStyle w:val="PleaseReviewParagraphId"/>
                <w:b w:val="off"/>
                <w:i w:val="off"/>
              </w:rPr>
              <w:t>[61]</w:t>
            </w:r>
            <w:r>
              <w:t xml:space="preserve">Semiochemicals may be used to reduce pest populations (via techniques such as </w:t>
            </w:r>
            <w:bookmarkStart w:name="_Hlk135321016" w:id="8"/>
            <w:r>
              <w:t xml:space="preserve">trapping as well as pest-mating </w:t>
            </w:r>
            <w:bookmarkEnd w:id="8"/>
            <w:r>
              <w:t xml:space="preserve">disruption) or to check for pest presence to ensure early detection. </w:t>
            </w:r>
            <w:bookmarkStart w:name="_Hlk135321060" w:id="9"/>
            <w:r>
              <w:t xml:space="preserve">Anti-aggregation </w:t>
            </w:r>
            <w:bookmarkEnd w:id="9"/>
            <w:r>
              <w:t>pheromones (chemical substances that interrupt pest aggregation on a host) may be used to reduce pest populations or protect healthy tree stands that may be susceptible to pests.</w:t>
            </w:r>
          </w:p>
        </w:tc>
      </w:tr>
      <w:tr w14:paraId="67A89A0D" w14:textId="77777777">
        <w:tc xmlns:tara="kcentrix:tara" tara:rowspan="1" tara:colspan="1">
          <w:tcPr>
            <w:tcW w:w="2337" w:type="dxa"/>
          </w:tcPr>
          <w:p w14:paraId="191B5A9D" w14:textId="68FD2525">
            <w:pPr>
              <w:pStyle w:val="IPPArialTable"/>
              <w:rPr>
                <w:b/>
                <w:bCs/>
              </w:rPr>
            </w:pPr>
            <w:r>
              <w:rPr>
                <w:rStyle w:val="PleaseReviewParagraphId"/>
                <w:b w:val="off"/>
                <w:i w:val="off"/>
              </w:rPr>
              <w:t>[62]</w:t>
            </w:r>
            <w:r>
              <w:rPr>
                <w:b/>
                <w:bCs/>
              </w:rPr>
              <w:t>Pesticides</w:t>
            </w:r>
          </w:p>
        </w:tc>
        <w:tc xmlns:tara="kcentrix:tara" tara:rowspan="1" tara:colspan="1">
          <w:tcPr>
            <w:tcW w:w="6723" w:type="dxa"/>
          </w:tcPr>
          <w:p w14:paraId="496FF8CD" w14:textId="0FEC5BFD">
            <w:pPr>
              <w:pStyle w:val="IPPArialTable"/>
              <w:jc w:val="both"/>
            </w:pPr>
            <w:r>
              <w:rPr>
                <w:rStyle w:val="PleaseReviewParagraphId"/>
                <w:b w:val="off"/>
                <w:i w:val="off"/>
              </w:rPr>
              <w:t>[63]</w:t>
            </w:r>
            <w:r>
              <w:t xml:space="preserve">Pesticides may be used to reduce </w:t>
            </w:r>
            <w:bookmarkStart w:name="_Hlk135321104" w:id="10"/>
            <w:r>
              <w:t xml:space="preserve">pest-population </w:t>
            </w:r>
            <w:bookmarkEnd w:id="10"/>
            <w:r>
              <w:t xml:space="preserve">density. </w:t>
            </w:r>
          </w:p>
        </w:tc>
      </w:tr>
      <w:tr w14:paraId="75C71329" w14:textId="77777777">
        <w:tc xmlns:tara="kcentrix:tara" tara:rowspan="1" tara:colspan="1">
          <w:tcPr>
            <w:tcW w:w="2337" w:type="dxa"/>
          </w:tcPr>
          <w:p w14:paraId="4A2ACCCC" w14:textId="75217EF9">
            <w:pPr>
              <w:pStyle w:val="IPPArialTable"/>
              <w:rPr>
                <w:rStyle w:val="PleaseReviewParagraphId"/>
                <w:b/>
                <w:bCs/>
              </w:rPr>
            </w:pPr>
            <w:r>
              <w:rPr>
                <w:rStyle w:val="PleaseReviewParagraphId"/>
                <w:b w:val="off"/>
                <w:i w:val="off"/>
              </w:rPr>
              <w:t>[64]</w:t>
            </w:r>
            <w:r>
              <w:rPr>
                <w:b/>
                <w:bCs/>
              </w:rPr>
              <w:t>Biological control</w:t>
            </w:r>
          </w:p>
        </w:tc>
        <w:tc xmlns:tara="kcentrix:tara" tara:rowspan="1" tara:colspan="1">
          <w:tcPr>
            <w:tcW w:w="6723" w:type="dxa"/>
          </w:tcPr>
          <w:p w14:paraId="66FF9369" w14:textId="3E592956">
            <w:pPr>
              <w:pStyle w:val="IPPArialTable"/>
              <w:jc w:val="both"/>
              <w:rPr>
                <w:rStyle w:val="PleaseReviewParagraphId"/>
              </w:rPr>
            </w:pPr>
            <w:r>
              <w:rPr>
                <w:rStyle w:val="PleaseReviewParagraphId"/>
                <w:b w:val="off"/>
                <w:i w:val="off"/>
              </w:rPr>
              <w:t>[65]</w:t>
            </w:r>
            <w:r>
              <w:t>Biological control agents may be used to reduce pest-population density.</w:t>
            </w:r>
          </w:p>
        </w:tc>
      </w:tr>
      <w:tr w14:paraId="3CAB885C" w14:textId="77777777">
        <w:trPr>
          <w:trHeight w:val="371"/>
        </w:trPr>
        <w:tc xmlns:tara="kcentrix:tara" tara:rowspan="1" tara:colspan="1">
          <w:tcPr>
            <w:tcW w:w="2337" w:type="dxa"/>
          </w:tcPr>
          <w:p w14:paraId="7136FAF0" w14:textId="272D2538">
            <w:pPr>
              <w:pStyle w:val="IPPArialTable"/>
              <w:rPr>
                <w:b/>
                <w:bCs/>
              </w:rPr>
            </w:pPr>
            <w:r>
              <w:rPr>
                <w:rStyle w:val="PleaseReviewParagraphId"/>
                <w:b w:val="off"/>
                <w:i w:val="off"/>
              </w:rPr>
              <w:t>[66]</w:t>
            </w:r>
            <w:r>
              <w:rPr>
                <w:b/>
                <w:bCs/>
              </w:rPr>
              <w:t>Pest free areas or areas of low pest prevalence (section 2.5 of this standard)</w:t>
            </w:r>
          </w:p>
        </w:tc>
        <w:tc xmlns:tara="kcentrix:tara" tara:rowspan="1" tara:colspan="1">
          <w:tcPr>
            <w:tcW w:w="6723" w:type="dxa"/>
          </w:tcPr>
          <w:p w14:paraId="6545AA84" w14:textId="7169472C">
            <w:pPr>
              <w:pStyle w:val="IPPArialTable"/>
              <w:jc w:val="both"/>
            </w:pPr>
            <w:r>
              <w:rPr>
                <w:rStyle w:val="PleaseReviewParagraphId"/>
                <w:b w:val="off"/>
                <w:i w:val="off"/>
              </w:rPr>
              <w:t>[67]</w:t>
            </w:r>
            <w:r>
              <w:t>To confirm the maintenance of a pest free area or area of low pest prevalence, the pest status in the area should be verified in accordance with ISPM 4 (for pest free areas), ISPM 10 (for pest free places of production and pest free production sites) or ISPM 22 (for areas of low pest prevalence).</w:t>
            </w:r>
          </w:p>
        </w:tc>
      </w:tr>
      <w:tr w14:paraId="22C1A0E8" w14:textId="77777777">
        <w:tc xmlns:tara="kcentrix:tara" tara:rowspan="1" tara:colspan="2">
          <w:tcPr>
            <w:tcW w:w="9060" w:type="dxa"/>
            <w:gridSpan w:val="2"/>
            <w:shd w:val="clear" w:color="auto" w:fill="D9D9D9" w:themeFill="background1" w:themeFillShade="D9"/>
          </w:tcPr>
          <w:p w14:paraId="1B9AF54F" w14:textId="2B243F02">
            <w:pPr>
              <w:pStyle w:val="IPPArialTable"/>
              <w:jc w:val="center"/>
              <w:rPr>
                <w:b/>
                <w:bCs/>
              </w:rPr>
            </w:pPr>
            <w:r>
              <w:rPr>
                <w:rStyle w:val="PleaseReviewParagraphId"/>
                <w:b w:val="off"/>
                <w:i w:val="off"/>
              </w:rPr>
              <w:t>[68]</w:t>
            </w:r>
            <w:r>
              <w:rPr>
                <w:b/>
                <w:bCs/>
              </w:rPr>
              <w:t>Harvest</w:t>
            </w:r>
          </w:p>
        </w:tc>
      </w:tr>
      <w:tr w14:paraId="4739F65B" w14:textId="77777777">
        <w:tc xmlns:tara="kcentrix:tara" tara:rowspan="1" tara:colspan="1">
          <w:tcPr>
            <w:tcW w:w="2337" w:type="dxa"/>
          </w:tcPr>
          <w:p w14:paraId="7946A983" w14:textId="71A5795A">
            <w:pPr>
              <w:pStyle w:val="IPPArialTable"/>
              <w:rPr>
                <w:b/>
                <w:bCs/>
              </w:rPr>
            </w:pPr>
            <w:r>
              <w:rPr>
                <w:rStyle w:val="PleaseReviewParagraphId"/>
                <w:b w:val="off"/>
                <w:i w:val="off"/>
              </w:rPr>
              <w:t>[69]</w:t>
            </w:r>
            <w:r>
              <w:rPr>
                <w:b/>
                <w:bCs/>
              </w:rPr>
              <w:t>Timing of harvest</w:t>
            </w:r>
          </w:p>
        </w:tc>
        <w:tc xmlns:tara="kcentrix:tara" tara:rowspan="1" tara:colspan="1">
          <w:tcPr>
            <w:tcW w:w="6723" w:type="dxa"/>
          </w:tcPr>
          <w:p w14:paraId="26E20080" w14:textId="66D75130">
            <w:pPr>
              <w:pStyle w:val="IPPArialTable"/>
              <w:jc w:val="both"/>
            </w:pPr>
            <w:r>
              <w:rPr>
                <w:rStyle w:val="PleaseReviewParagraphId"/>
                <w:b w:val="off"/>
                <w:i w:val="off"/>
              </w:rPr>
              <w:t>[70]</w:t>
            </w:r>
            <w:bookmarkStart w:name="_Hlk107563329" w:id="11"/>
            <w:r>
              <w:t>In some situations, infestation by a particular pest can be reduced by altering the timing of the harvest. To find out whether this is possible, the risk analyst needs to understand the biology of the pest. Some pests, such as bark beetles and ambrosia beetles, are seasonal in temperate forests. For a seasonal pest, it may be feasible to identify the ideal timing of harvest to reduce levels of attack by the pest and therefore infestation. This may not be possible in tropical forests. In tropical forests, pests can have multiple overlapping generations throughout the year or year-round activity with peak levels of activity in the dry or wet season. The age of the trees at harvest can also be a factor that affects pest levels.</w:t>
            </w:r>
            <w:bookmarkEnd w:id="11"/>
          </w:p>
        </w:tc>
      </w:tr>
      <w:tr w14:paraId="4E78D814" w14:textId="77777777">
        <w:tc xmlns:tara="kcentrix:tara" tara:rowspan="1" tara:colspan="2">
          <w:tcPr>
            <w:tcW w:w="9060" w:type="dxa"/>
            <w:gridSpan w:val="2"/>
            <w:shd w:val="clear" w:color="auto" w:fill="D9D9D9" w:themeFill="background1" w:themeFillShade="D9"/>
          </w:tcPr>
          <w:p w14:paraId="47A6362B" w14:textId="4D16054B">
            <w:pPr>
              <w:pStyle w:val="IPPArialTable"/>
              <w:jc w:val="center"/>
              <w:rPr>
                <w:b/>
                <w:bCs/>
              </w:rPr>
            </w:pPr>
            <w:r>
              <w:rPr>
                <w:rStyle w:val="PleaseReviewParagraphId"/>
                <w:b w:val="off"/>
                <w:i w:val="off"/>
              </w:rPr>
              <w:t>[71]</w:t>
            </w:r>
            <w:r>
              <w:rPr>
                <w:b/>
                <w:bCs/>
              </w:rPr>
              <w:t>Post-harvest</w:t>
            </w:r>
          </w:p>
        </w:tc>
      </w:tr>
      <w:tr w14:paraId="4C074BDD" w14:textId="77777777">
        <w:tc xmlns:tara="kcentrix:tara" tara:rowspan="1" tara:colspan="1">
          <w:tcPr>
            <w:tcW w:w="2337" w:type="dxa"/>
          </w:tcPr>
          <w:p w14:paraId="0D06438C" w14:textId="2B21C1DC">
            <w:pPr>
              <w:pStyle w:val="IPPArialTable"/>
              <w:rPr>
                <w:b/>
                <w:bCs/>
              </w:rPr>
            </w:pPr>
            <w:r>
              <w:rPr>
                <w:rStyle w:val="PleaseReviewParagraphId"/>
                <w:b w:val="off"/>
                <w:i w:val="off"/>
              </w:rPr>
              <w:t>[72]</w:t>
            </w:r>
            <w:r>
              <w:rPr>
                <w:b/>
                <w:bCs/>
              </w:rPr>
              <w:t>Rapid removal and timely transport of harvested round wood</w:t>
            </w:r>
          </w:p>
        </w:tc>
        <w:tc xmlns:tara="kcentrix:tara" tara:rowspan="1" tara:colspan="1">
          <w:tcPr>
            <w:tcW w:w="6723" w:type="dxa"/>
          </w:tcPr>
          <w:p w14:paraId="445A01E3" w14:textId="1391A833">
            <w:pPr>
              <w:pStyle w:val="IPPArialTable"/>
              <w:jc w:val="both"/>
            </w:pPr>
            <w:r>
              <w:rPr>
                <w:rStyle w:val="PleaseReviewParagraphId"/>
                <w:b w:val="off"/>
                <w:i w:val="off"/>
              </w:rPr>
              <w:t>[73]</w:t>
            </w:r>
            <w:bookmarkStart w:name="_Hlk107826610" w:id="12"/>
            <w:r>
              <w:t xml:space="preserve">Round wood can be susceptible to infestation after it has been harvested. The season of harvest, the length of time that the round wood remains in the forest after harvesting, and the length of time that it takes to transport the wood to the processing facility or holding yard can influence post-harvest infestation. Rapid removal and timely transport can therefore reduce infestation. </w:t>
            </w:r>
            <w:bookmarkEnd w:id="12"/>
            <w:r>
              <w:t>In geographical regions where the temperature during harvest, post-harvest, transport and storage is below −15 °C, the cold temperature may reduce the pest risk. This may be considered a treatment during storage.</w:t>
            </w:r>
          </w:p>
        </w:tc>
      </w:tr>
      <w:tr w14:paraId="5AD190EF" w14:textId="77777777">
        <w:tc xmlns:tara="kcentrix:tara" tara:rowspan="1" tara:colspan="1">
          <w:tcPr>
            <w:tcW w:w="2337" w:type="dxa"/>
          </w:tcPr>
          <w:p w14:paraId="4EF6346D" w14:textId="262C4867">
            <w:pPr>
              <w:pStyle w:val="IPPArialTable"/>
              <w:rPr>
                <w:b/>
                <w:bCs/>
              </w:rPr>
            </w:pPr>
            <w:r>
              <w:rPr>
                <w:rStyle w:val="PleaseReviewParagraphId"/>
                <w:b w:val="off"/>
                <w:i w:val="off"/>
              </w:rPr>
              <w:t>[74]</w:t>
            </w:r>
            <w:r>
              <w:rPr>
                <w:b/>
                <w:bCs/>
              </w:rPr>
              <w:t>Examination for pests during volume and quality determination</w:t>
            </w:r>
          </w:p>
        </w:tc>
        <w:tc xmlns:tara="kcentrix:tara" tara:rowspan="1" tara:colspan="1">
          <w:tcPr>
            <w:tcW w:w="6723" w:type="dxa"/>
          </w:tcPr>
          <w:p w14:paraId="56461CF4" w14:textId="530FF9DD">
            <w:pPr>
              <w:pStyle w:val="IPPArialTable"/>
              <w:jc w:val="both"/>
            </w:pPr>
            <w:r>
              <w:rPr>
                <w:rStyle w:val="PleaseReviewParagraphId"/>
                <w:b w:val="off"/>
                <w:i w:val="off"/>
              </w:rPr>
              <w:t>[75]</w:t>
            </w:r>
            <w:bookmarkStart w:name="_Hlk107565619" w:id="13"/>
            <w:r>
              <w:t>To reduce the quantity of infested wood entering the production chain, round wood may be examined for evidence of pests during the process of scaling and grading</w:t>
            </w:r>
            <w:bookmarkEnd w:id="13"/>
            <w:r>
              <w:t xml:space="preserve">. </w:t>
            </w:r>
          </w:p>
        </w:tc>
      </w:tr>
      <w:tr w14:paraId="31271500" w14:textId="77777777">
        <w:tc xmlns:tara="kcentrix:tara" tara:rowspan="1" tara:colspan="1">
          <w:tcPr>
            <w:tcW w:w="2337" w:type="dxa"/>
          </w:tcPr>
          <w:p w14:paraId="34B207ED" w14:textId="306701AD">
            <w:pPr>
              <w:pStyle w:val="IPPArialTable"/>
              <w:rPr>
                <w:b/>
                <w:bCs/>
              </w:rPr>
            </w:pPr>
            <w:r>
              <w:rPr>
                <w:rStyle w:val="PleaseReviewParagraphId"/>
                <w:b w:val="off"/>
                <w:i w:val="off"/>
              </w:rPr>
              <w:t>[76]</w:t>
            </w:r>
            <w:r>
              <w:rPr>
                <w:b/>
                <w:bCs/>
              </w:rPr>
              <w:t>Application of semiochemicals</w:t>
            </w:r>
          </w:p>
        </w:tc>
        <w:tc xmlns:tara="kcentrix:tara" tara:rowspan="1" tara:colspan="1">
          <w:tcPr>
            <w:tcW w:w="6723" w:type="dxa"/>
          </w:tcPr>
          <w:p w14:paraId="2CE6E68A" w14:textId="40DE3316">
            <w:pPr>
              <w:pStyle w:val="IPPArialTable"/>
              <w:jc w:val="both"/>
            </w:pPr>
            <w:r>
              <w:rPr>
                <w:rStyle w:val="PleaseReviewParagraphId"/>
                <w:b w:val="off"/>
                <w:i w:val="off"/>
              </w:rPr>
              <w:t>[77]</w:t>
            </w:r>
            <w:r>
              <w:t xml:space="preserve">Anti-aggregation pheromones, if available, may be used to repel pests from places of natural disturbance (e.g. windthrows) or logging and storage areas. </w:t>
            </w:r>
          </w:p>
        </w:tc>
      </w:tr>
      <w:tr w14:paraId="72761ED3" w14:textId="77777777">
        <w:trPr>
          <w:trHeight w:val="46"/>
        </w:trPr>
        <w:tc xmlns:tara="kcentrix:tara" tara:rowspan="1" tara:colspan="1">
          <w:tcPr>
            <w:tcW w:w="2337" w:type="dxa"/>
          </w:tcPr>
          <w:p w14:paraId="435D64CF" w14:textId="23F48418">
            <w:pPr>
              <w:pStyle w:val="IPPArialTable"/>
              <w:rPr>
                <w:b/>
                <w:bCs/>
              </w:rPr>
            </w:pPr>
            <w:r>
              <w:rPr>
                <w:rStyle w:val="PleaseReviewParagraphId"/>
                <w:b w:val="off"/>
                <w:i w:val="off"/>
              </w:rPr>
              <w:t>[78]</w:t>
            </w:r>
            <w:r>
              <w:rPr>
                <w:b/>
                <w:bCs/>
              </w:rPr>
              <w:t>Protection of round wood after harvest</w:t>
            </w:r>
          </w:p>
        </w:tc>
        <w:tc xmlns:tara="kcentrix:tara" tara:rowspan="1" tara:colspan="1">
          <w:tcPr>
            <w:tcW w:w="6723" w:type="dxa"/>
          </w:tcPr>
          <w:p w14:paraId="70F141CC" w14:textId="6910C818">
            <w:pPr>
              <w:pStyle w:val="IPPArialTable"/>
              <w:jc w:val="both"/>
            </w:pPr>
            <w:r>
              <w:rPr>
                <w:rStyle w:val="PleaseReviewParagraphId"/>
                <w:b w:val="off"/>
                <w:i w:val="off"/>
              </w:rPr>
              <w:t>[79]</w:t>
            </w:r>
            <w:r>
              <w:t>Protection of round wood after harvest (e.g. storing in water, sprinkling with water, insect nets) may be used to prevent post-harvest infestations by bark beetles and wood borers.</w:t>
            </w:r>
          </w:p>
        </w:tc>
      </w:tr>
      <w:tr w14:paraId="138AC99F" w14:textId="77777777">
        <w:trPr>
          <w:trHeight w:val="46"/>
        </w:trPr>
        <w:tc xmlns:tara="kcentrix:tara" tara:rowspan="1" tara:colspan="1">
          <w:tcPr>
            <w:tcW w:w="2337" w:type="dxa"/>
          </w:tcPr>
          <w:p w14:paraId="38897E43" w14:textId="5B4BB803">
            <w:pPr>
              <w:pStyle w:val="IPPArialTable"/>
              <w:rPr>
                <w:rStyle w:val="PleaseReviewParagraphId"/>
              </w:rPr>
            </w:pPr>
            <w:r>
              <w:rPr>
                <w:rStyle w:val="PleaseReviewParagraphId"/>
                <w:b w:val="off"/>
                <w:i w:val="off"/>
              </w:rPr>
              <w:t>[80]</w:t>
            </w:r>
            <w:r>
              <w:rPr>
                <w:b/>
                <w:bCs/>
              </w:rPr>
              <w:t>Removal of bark (section 2.1 of this standard)</w:t>
            </w:r>
          </w:p>
        </w:tc>
        <w:tc xmlns:tara="kcentrix:tara" tara:rowspan="1" tara:colspan="1">
          <w:tcPr>
            <w:tcW w:w="6723" w:type="dxa"/>
          </w:tcPr>
          <w:p w14:paraId="0DBDA2B0" w14:textId="65680809">
            <w:pPr>
              <w:pStyle w:val="IPPArialTable"/>
              <w:jc w:val="both"/>
              <w:rPr>
                <w:rStyle w:val="PleaseReviewParagraphId"/>
              </w:rPr>
            </w:pPr>
            <w:r>
              <w:rPr>
                <w:rStyle w:val="PleaseReviewParagraphId"/>
                <w:b w:val="off"/>
                <w:i w:val="off"/>
              </w:rPr>
              <w:t>[81]</w:t>
            </w:r>
            <w:r>
              <w:t>Removal of bark substantially reduces the number of pests inhabiting the outer surface and those found directly beneath the bark. Bark removal can prevent post-harvest infestation by some wood-pest species.</w:t>
            </w:r>
          </w:p>
        </w:tc>
      </w:tr>
      <w:tr w14:paraId="3D909F5A" w14:textId="77777777">
        <w:tc xmlns:tara="kcentrix:tara" tara:rowspan="1" tara:colspan="1">
          <w:tcPr>
            <w:tcW w:w="2337" w:type="dxa"/>
          </w:tcPr>
          <w:p w14:paraId="7133C3EC" w14:textId="3C98DE3A">
            <w:pPr>
              <w:pStyle w:val="IPPArialTable"/>
              <w:rPr>
                <w:b/>
                <w:bCs/>
              </w:rPr>
            </w:pPr>
            <w:r>
              <w:rPr>
                <w:rStyle w:val="PleaseReviewParagraphId"/>
                <w:b w:val="off"/>
                <w:i w:val="off"/>
              </w:rPr>
              <w:t>[82]</w:t>
            </w:r>
            <w:r>
              <w:rPr>
                <w:b/>
                <w:bCs/>
              </w:rPr>
              <w:t>Removal of branches (or boughs)</w:t>
            </w:r>
          </w:p>
        </w:tc>
        <w:tc xmlns:tara="kcentrix:tara" tara:rowspan="1" tara:colspan="1">
          <w:tcPr>
            <w:tcW w:w="6723" w:type="dxa"/>
          </w:tcPr>
          <w:p w14:paraId="69F02A38" w14:textId="3FD4B90F">
            <w:pPr>
              <w:pStyle w:val="IPPArialTable"/>
              <w:jc w:val="both"/>
            </w:pPr>
            <w:r>
              <w:rPr>
                <w:rStyle w:val="PleaseReviewParagraphId"/>
                <w:b w:val="off"/>
                <w:i w:val="off"/>
              </w:rPr>
              <w:t>[83]</w:t>
            </w:r>
            <w:r>
              <w:t xml:space="preserve">Branch (or bough) removal can be an effective method to reduce infestation by pests of foliage and twigs, preventing the movement of those pests. </w:t>
            </w:r>
          </w:p>
        </w:tc>
      </w:tr>
      <w:tr w14:paraId="411C1C86" w14:textId="77777777">
        <w:tc xmlns:tara="kcentrix:tara" tara:rowspan="1" tara:colspan="1">
          <w:tcPr>
            <w:tcW w:w="2337" w:type="dxa"/>
          </w:tcPr>
          <w:p w14:paraId="703E26F2" w14:textId="35E9D1EE">
            <w:pPr>
              <w:pStyle w:val="Normal1350"/>
              <w:jc w:val="left"/>
              <w:rPr>
                <w:rStyle w:val="PleaseReviewParagraphId"/>
                <w:rFonts w:ascii="Times New Roman" w:hAnsi="Times New Roman" w:cs="Times New Roman"/>
                <w:color w:val="auto"/>
                <w:sz w:val="22"/>
                <w:lang w:eastAsia="en-US"/>
              </w:rPr>
            </w:pPr>
            <w:r>
              <w:rPr>
                <w:rStyle w:val="PleaseReviewParagraphId"/>
                <w:b w:val="off"/>
                <w:i w:val="off"/>
              </w:rPr>
              <w:t>[84]</w:t>
            </w:r>
            <w:r>
              <w:rPr>
                <w:rFonts w:ascii="Arial" w:hAnsi="Arial" w:cs="Arial"/>
                <w:b/>
                <w:bCs/>
                <w:sz w:val="18"/>
                <w:szCs w:val="18"/>
              </w:rPr>
              <w:t>Washing or water-blasting</w:t>
            </w:r>
          </w:p>
        </w:tc>
        <w:tc xmlns:tara="kcentrix:tara" tara:rowspan="1" tara:colspan="1">
          <w:tcPr>
            <w:tcW w:w="6723" w:type="dxa"/>
          </w:tcPr>
          <w:p w14:paraId="1B68F74B" w14:textId="41265D16">
            <w:pPr>
              <w:pStyle w:val="IPPArialTable"/>
              <w:jc w:val="both"/>
              <w:rPr>
                <w:rStyle w:val="PleaseReviewParagraphId"/>
                <w:color w:val="auto"/>
              </w:rPr>
            </w:pPr>
            <w:r>
              <w:rPr>
                <w:rStyle w:val="PleaseReviewParagraphId"/>
                <w:b w:val="off"/>
                <w:i w:val="off"/>
              </w:rPr>
              <w:t>[85]</w:t>
            </w:r>
            <w:r>
              <w:rPr>
                <w:rFonts w:cs="Arial"/>
                <w:szCs w:val="18"/>
              </w:rPr>
              <w:t>Washing or water-blasting can remove pests and soil.</w:t>
            </w:r>
          </w:p>
        </w:tc>
      </w:tr>
      <w:tr w14:paraId="1DAA477D" w14:textId="77777777">
        <w:trPr>
          <w:trHeight w:val="46"/>
        </w:trPr>
        <w:tc xmlns:tara="kcentrix:tara" tara:rowspan="1" tara:colspan="2">
          <w:tcPr>
            <w:tcW w:w="9060" w:type="dxa"/>
            <w:gridSpan w:val="2"/>
            <w:shd w:val="clear" w:color="auto" w:fill="D9D9D9" w:themeFill="background1" w:themeFillShade="D9"/>
          </w:tcPr>
          <w:p w14:paraId="51A0B771" w14:textId="6329B98B">
            <w:pPr>
              <w:pStyle w:val="IPPArialTable"/>
              <w:jc w:val="center"/>
              <w:rPr>
                <w:b/>
                <w:bCs/>
              </w:rPr>
            </w:pPr>
            <w:r>
              <w:rPr>
                <w:rStyle w:val="PleaseReviewParagraphId"/>
                <w:b w:val="off"/>
                <w:i w:val="off"/>
              </w:rPr>
              <w:t>[86]</w:t>
            </w:r>
            <w:r>
              <w:rPr>
                <w:b/>
                <w:bCs/>
              </w:rPr>
              <w:t xml:space="preserve">Processing and treatment </w:t>
            </w:r>
          </w:p>
        </w:tc>
      </w:tr>
      <w:tr w14:paraId="32C5B8CA" w14:textId="77777777">
        <w:tc xmlns:tara="kcentrix:tara" tara:rowspan="1" tara:colspan="1">
          <w:tcPr>
            <w:tcW w:w="2337" w:type="dxa"/>
          </w:tcPr>
          <w:p w14:paraId="28854D4B" w14:textId="43706156">
            <w:pPr>
              <w:pStyle w:val="IPPArialTable"/>
              <w:rPr>
                <w:b/>
                <w:bCs/>
              </w:rPr>
            </w:pPr>
            <w:r>
              <w:rPr>
                <w:rStyle w:val="PleaseReviewParagraphId"/>
                <w:b w:val="off"/>
                <w:i w:val="off"/>
              </w:rPr>
              <w:t>[87]</w:t>
            </w:r>
            <w:r>
              <w:rPr>
                <w:b/>
                <w:bCs/>
              </w:rPr>
              <w:lastRenderedPageBreak/>
              <w:t xml:space="preserve">Rapid processing of round wood </w:t>
            </w:r>
          </w:p>
        </w:tc>
        <w:tc xmlns:tara="kcentrix:tara" tara:rowspan="1" tara:colspan="1">
          <w:tcPr>
            <w:tcW w:w="6723" w:type="dxa"/>
          </w:tcPr>
          <w:p w14:paraId="1CF309A5" w14:textId="1896012D">
            <w:pPr>
              <w:pStyle w:val="IPPArialTable"/>
              <w:jc w:val="both"/>
            </w:pPr>
            <w:r>
              <w:rPr>
                <w:rStyle w:val="PleaseReviewParagraphId"/>
                <w:b w:val="off"/>
                <w:i w:val="off"/>
              </w:rPr>
              <w:t>[88]</w:t>
            </w:r>
            <w:r>
              <w:t>Rapid processing of wood after harvest can reduce infestation.</w:t>
            </w:r>
          </w:p>
        </w:tc>
      </w:tr>
      <w:tr w14:paraId="71F4F0EC" w14:textId="77777777">
        <w:tc xmlns:tara="kcentrix:tara" tara:rowspan="1" tara:colspan="1">
          <w:tcPr>
            <w:tcW w:w="2337" w:type="dxa"/>
          </w:tcPr>
          <w:p w14:paraId="664ED98C" w14:textId="1D04443C">
            <w:pPr>
              <w:pStyle w:val="IPPArialTable"/>
              <w:rPr>
                <w:b/>
                <w:bCs/>
              </w:rPr>
            </w:pPr>
            <w:r>
              <w:rPr>
                <w:rStyle w:val="PleaseReviewParagraphId"/>
                <w:b w:val="off"/>
                <w:i w:val="off"/>
              </w:rPr>
              <w:t>[89]</w:t>
            </w:r>
            <w:r>
              <w:rPr>
                <w:b/>
                <w:bCs/>
              </w:rPr>
              <w:t>Removal of bark (section 2.1 of this standard)</w:t>
            </w:r>
          </w:p>
        </w:tc>
        <w:tc xmlns:tara="kcentrix:tara" tara:rowspan="1" tara:colspan="1">
          <w:tcPr>
            <w:tcW w:w="6723" w:type="dxa"/>
          </w:tcPr>
          <w:p w14:paraId="79FCCA97" w14:textId="15935D17">
            <w:pPr>
              <w:pStyle w:val="IPPArialTable"/>
              <w:jc w:val="both"/>
            </w:pPr>
            <w:r>
              <w:rPr>
                <w:rStyle w:val="PleaseReviewParagraphId"/>
                <w:b w:val="off"/>
                <w:i w:val="off"/>
              </w:rPr>
              <w:t>[90]</w:t>
            </w:r>
            <w:r>
              <w:t>Removal of bark substantially reduces the number of pests inhabiting the outer surface and those found directly beneath the bark. Bark removal can also prevent post-harvest infestation by some wood-pest species.</w:t>
            </w:r>
          </w:p>
        </w:tc>
      </w:tr>
      <w:tr w14:paraId="03DC7B97" w14:textId="77777777">
        <w:tc xmlns:tara="kcentrix:tara" tara:rowspan="1" tara:colspan="1">
          <w:tcPr>
            <w:tcW w:w="2337" w:type="dxa"/>
          </w:tcPr>
          <w:p w14:paraId="5CCB877E" w14:textId="6168B5FE">
            <w:pPr>
              <w:pStyle w:val="IPPArialTable"/>
              <w:rPr>
                <w:b/>
                <w:bCs/>
              </w:rPr>
            </w:pPr>
            <w:r>
              <w:rPr>
                <w:rStyle w:val="PleaseReviewParagraphId"/>
                <w:b w:val="off"/>
                <w:i w:val="off"/>
              </w:rPr>
              <w:t>[91]</w:t>
            </w:r>
            <w:r>
              <w:rPr>
                <w:b/>
                <w:bCs/>
              </w:rPr>
              <w:t>Sawing and planing wood (section 1.2 of this standard)</w:t>
            </w:r>
          </w:p>
        </w:tc>
        <w:tc xmlns:tara="kcentrix:tara" tara:rowspan="1" tara:colspan="1">
          <w:tcPr>
            <w:tcW w:w="6723" w:type="dxa"/>
          </w:tcPr>
          <w:p w14:paraId="0719CD0F" w14:textId="49434D50">
            <w:pPr>
              <w:pStyle w:val="IPPArialTable"/>
              <w:jc w:val="both"/>
            </w:pPr>
            <w:r>
              <w:rPr>
                <w:rStyle w:val="PleaseReviewParagraphId"/>
                <w:b w:val="off"/>
                <w:i w:val="off"/>
              </w:rPr>
              <w:t>[92]</w:t>
            </w:r>
            <w:r>
              <w:t>Sawing removes most of the bark as well as some of the outer wood, eliminating pests living in or just under the bark. Sawn wood with rounded edges resulting from</w:t>
            </w:r>
            <w:r>
              <w:rPr>
                <w:rFonts w:cs="Arial"/>
                <w:color w:val="800080"/>
                <w:szCs w:val="18"/>
                <w:u w:val="single"/>
              </w:rPr>
              <w:t xml:space="preserve"> </w:t>
            </w:r>
            <w:r>
              <w:rPr>
                <w:rFonts w:cs="Arial"/>
                <w:szCs w:val="18"/>
              </w:rPr>
              <w:t xml:space="preserve">the curvature of the round wood </w:t>
            </w:r>
            <w:r>
              <w:t xml:space="preserve">poses a greater pest risk than square-edged sawn wood, as a larger percentage of the wood just below the surface of the bark is included. The process of sawing wood can destroy insect pests present in the wood and render it less suitable for pest survival. The presence or absence of bark and the thickness of a piece of sawn wood affect pest risk. Planing reduces the dimensions of sawn wood and may be used to remove residual bark. </w:t>
            </w:r>
          </w:p>
        </w:tc>
      </w:tr>
      <w:tr w14:paraId="5F70F99B" w14:textId="77777777">
        <w:trPr>
          <w:trHeight w:val="80"/>
        </w:trPr>
        <w:tc xmlns:tara="kcentrix:tara" tara:rowspan="1" tara:colspan="1">
          <w:tcPr>
            <w:tcW w:w="2337" w:type="dxa"/>
          </w:tcPr>
          <w:p w14:paraId="3C7DF9BE" w14:textId="62120FEF">
            <w:pPr>
              <w:pStyle w:val="IPPArialTable"/>
              <w:rPr>
                <w:b/>
                <w:bCs/>
                <w:i/>
              </w:rPr>
            </w:pPr>
            <w:r>
              <w:rPr>
                <w:rStyle w:val="PleaseReviewParagraphId"/>
                <w:b w:val="off"/>
                <w:i w:val="off"/>
              </w:rPr>
              <w:t>[93]</w:t>
            </w:r>
            <w:r>
              <w:rPr>
                <w:b/>
                <w:bCs/>
              </w:rPr>
              <w:t>Quality control of sawn wood</w:t>
            </w:r>
          </w:p>
        </w:tc>
        <w:tc xmlns:tara="kcentrix:tara" tara:rowspan="1" tara:colspan="1">
          <w:tcPr>
            <w:tcW w:w="6723" w:type="dxa"/>
          </w:tcPr>
          <w:p w14:paraId="47E2B61B" w14:textId="39ECE35C">
            <w:pPr>
              <w:pStyle w:val="IPPArialTable"/>
              <w:jc w:val="both"/>
            </w:pPr>
            <w:r>
              <w:rPr>
                <w:rStyle w:val="PleaseReviewParagraphId"/>
                <w:b w:val="off"/>
                <w:i w:val="off"/>
              </w:rPr>
              <w:t>[94]</w:t>
            </w:r>
            <w:r>
              <w:t xml:space="preserve">During grading of sawn wood and quality control, wood with insect galleries or fungal infection may be removed from the production chain or marked for treatment. </w:t>
            </w:r>
          </w:p>
        </w:tc>
      </w:tr>
      <w:tr w14:paraId="0E1C02AD" w14:textId="77777777">
        <w:tc xmlns:tara="kcentrix:tara" tara:rowspan="1" tara:colspan="1">
          <w:tcPr>
            <w:tcW w:w="2337" w:type="dxa"/>
          </w:tcPr>
          <w:p w14:paraId="0C249A4F" w14:textId="04CA7FAA">
            <w:pPr>
              <w:pStyle w:val="IPPArialTable"/>
              <w:rPr>
                <w:b/>
                <w:bCs/>
              </w:rPr>
            </w:pPr>
            <w:r>
              <w:rPr>
                <w:rStyle w:val="PleaseReviewParagraphId"/>
                <w:b w:val="off"/>
                <w:i w:val="off"/>
              </w:rPr>
              <w:t>[95]</w:t>
            </w:r>
            <w:r>
              <w:rPr>
                <w:b/>
                <w:bCs/>
              </w:rPr>
              <w:t>Inventory and contamination management</w:t>
            </w:r>
          </w:p>
        </w:tc>
        <w:tc xmlns:tara="kcentrix:tara" tara:rowspan="1" tara:colspan="1">
          <w:tcPr>
            <w:tcW w:w="6723" w:type="dxa"/>
          </w:tcPr>
          <w:p w14:paraId="73408ADC" w14:textId="243F226D">
            <w:pPr>
              <w:pStyle w:val="IPPArialTable"/>
              <w:jc w:val="both"/>
            </w:pPr>
            <w:r>
              <w:rPr>
                <w:rStyle w:val="PleaseReviewParagraphId"/>
                <w:b w:val="off"/>
                <w:i w:val="off"/>
              </w:rPr>
              <w:t>[96]</w:t>
            </w:r>
            <w:r>
              <w:t>Post-harvest inventory management and keeping storage and processing areas free of pests, wood debris and soil play an important role in reducing infestation. Segregation of wood into different pest risk categories at appropriate stages of the production chain may be an important component of a systems approach.</w:t>
            </w:r>
          </w:p>
        </w:tc>
      </w:tr>
      <w:tr w14:paraId="6DC1828A" w14:textId="77777777">
        <w:trPr>
          <w:trHeight w:val="371"/>
        </w:trPr>
        <w:tc xmlns:tara="kcentrix:tara" tara:rowspan="1" tara:colspan="1">
          <w:tcPr>
            <w:tcW w:w="2337" w:type="dxa"/>
          </w:tcPr>
          <w:p w14:paraId="639F57ED" w14:textId="495B2917">
            <w:pPr>
              <w:pStyle w:val="IPPArialTable"/>
              <w:rPr>
                <w:b/>
                <w:bCs/>
              </w:rPr>
            </w:pPr>
            <w:r>
              <w:rPr>
                <w:rStyle w:val="PleaseReviewParagraphId"/>
                <w:b w:val="off"/>
                <w:i w:val="off"/>
              </w:rPr>
              <w:t>[97]</w:t>
            </w:r>
            <w:r>
              <w:rPr>
                <w:b/>
                <w:bCs/>
              </w:rPr>
              <w:t>Pest free areas or areas of low pest prevalence (section 2.5 of this standard)</w:t>
            </w:r>
          </w:p>
        </w:tc>
        <w:tc xmlns:tara="kcentrix:tara" tara:rowspan="1" tara:colspan="1">
          <w:tcPr>
            <w:tcW w:w="6723" w:type="dxa"/>
          </w:tcPr>
          <w:p w14:paraId="72FCF7F6" w14:textId="0F32B4F4">
            <w:pPr>
              <w:pStyle w:val="IPPArialTable"/>
              <w:jc w:val="both"/>
            </w:pPr>
            <w:r>
              <w:rPr>
                <w:rStyle w:val="PleaseReviewParagraphId"/>
                <w:b w:val="off"/>
                <w:i w:val="off"/>
              </w:rPr>
              <w:t>[98]</w:t>
            </w:r>
            <w:r>
              <w:rPr>
                <w:rFonts w:cs="Arial"/>
                <w:szCs w:val="18"/>
              </w:rPr>
              <w:t xml:space="preserve">Pest risk can be reduced by processing wood commodities in pest free areas or areas of low pest prevalence. </w:t>
            </w:r>
            <w:r>
              <w:t>To confirm the maintenance of a pest free area or an area of low pest prevalence, the pest status in the area should be verified in accordance with ISPM 4 (for pest free areas), ISPM 10 (for pest free places of production and pest free production sites)</w:t>
            </w:r>
            <w:r>
              <w:rPr>
                <w:i/>
              </w:rPr>
              <w:t xml:space="preserve"> </w:t>
            </w:r>
            <w:r>
              <w:t xml:space="preserve">or ISPM 22 (for areas of low pest prevalence). </w:t>
            </w:r>
          </w:p>
        </w:tc>
      </w:tr>
      <w:tr w14:paraId="77227499" w14:textId="77777777">
        <w:tc xmlns:tara="kcentrix:tara" tara:rowspan="1" tara:colspan="1">
          <w:tcPr>
            <w:tcW w:w="2337" w:type="dxa"/>
          </w:tcPr>
          <w:p w14:paraId="33B9D0CF" w14:textId="113B9589">
            <w:pPr>
              <w:pStyle w:val="IPPArialTable"/>
              <w:rPr>
                <w:b/>
                <w:bCs/>
              </w:rPr>
            </w:pPr>
            <w:r>
              <w:rPr>
                <w:rStyle w:val="PleaseReviewParagraphId"/>
                <w:b w:val="off"/>
                <w:i w:val="off"/>
              </w:rPr>
              <w:t>[99]</w:t>
            </w:r>
            <w:r>
              <w:rPr>
                <w:b/>
                <w:bCs/>
              </w:rPr>
              <w:t>Surveillance</w:t>
            </w:r>
          </w:p>
        </w:tc>
        <w:tc xmlns:tara="kcentrix:tara" tara:rowspan="1" tara:colspan="1">
          <w:tcPr>
            <w:tcW w:w="6723" w:type="dxa"/>
          </w:tcPr>
          <w:p w14:paraId="7A8C6598" w14:textId="4397ED41">
            <w:pPr>
              <w:pStyle w:val="IPPArialTable"/>
              <w:jc w:val="both"/>
            </w:pPr>
            <w:r>
              <w:rPr>
                <w:rStyle w:val="PleaseReviewParagraphId"/>
                <w:b w:val="off"/>
                <w:i w:val="off"/>
              </w:rPr>
              <w:t>[100]</w:t>
            </w:r>
            <w:r>
              <w:t>Surveillance using traps may be conducted within and around a storage and processing facility. Surveillance should be conducted in accordance with ISPM 6.</w:t>
            </w:r>
          </w:p>
        </w:tc>
      </w:tr>
      <w:tr w14:paraId="084E1D4B" w14:textId="77777777">
        <w:tc xmlns:tara="kcentrix:tara" tara:rowspan="1" tara:colspan="1">
          <w:tcPr>
            <w:tcW w:w="2337" w:type="dxa"/>
          </w:tcPr>
          <w:p w14:paraId="02E966B3" w14:textId="4B6CFE1F">
            <w:pPr>
              <w:pStyle w:val="IPPArialTable"/>
              <w:rPr>
                <w:rStyle w:val="PleaseReviewParagraphId"/>
                <w:b/>
                <w:bCs/>
              </w:rPr>
            </w:pPr>
            <w:r>
              <w:rPr>
                <w:rStyle w:val="PleaseReviewParagraphId"/>
                <w:b w:val="off"/>
                <w:i w:val="off"/>
              </w:rPr>
              <w:t>[101]</w:t>
            </w:r>
            <w:r>
              <w:rPr>
                <w:b/>
                <w:bCs/>
              </w:rPr>
              <w:t>Lighting</w:t>
            </w:r>
          </w:p>
        </w:tc>
        <w:tc xmlns:tara="kcentrix:tara" tara:rowspan="1" tara:colspan="1">
          <w:tcPr>
            <w:tcW w:w="6723" w:type="dxa"/>
          </w:tcPr>
          <w:p w14:paraId="4F1589A3" w14:textId="03B18074">
            <w:pPr>
              <w:pStyle w:val="IPPArialTable"/>
              <w:jc w:val="both"/>
              <w:rPr>
                <w:rStyle w:val="PleaseReviewParagraphId"/>
                <w:color w:val="auto"/>
                <w:sz w:val="18"/>
              </w:rPr>
            </w:pPr>
            <w:r>
              <w:rPr>
                <w:rStyle w:val="PleaseReviewParagraphId"/>
                <w:b w:val="off"/>
                <w:i w:val="off"/>
              </w:rPr>
              <w:t>[102]</w:t>
            </w:r>
            <w:r>
              <w:t>Lighting used in storage areas can be very attractive to wood pests. Use of lighting frequencies that are less attractive to wood pests or push–pull lighting to divert pests can reduce infestation.</w:t>
            </w:r>
          </w:p>
        </w:tc>
      </w:tr>
      <w:tr w14:paraId="40C0DB50" w14:textId="77777777">
        <w:tc xmlns:tara="kcentrix:tara" tara:rowspan="1" tara:colspan="1">
          <w:tcPr>
            <w:tcW w:w="2337" w:type="dxa"/>
          </w:tcPr>
          <w:p w14:paraId="7FDFFF80" w14:textId="16DB658C">
            <w:pPr>
              <w:pStyle w:val="IPPArialTable"/>
              <w:rPr>
                <w:b/>
                <w:bCs/>
              </w:rPr>
            </w:pPr>
            <w:r>
              <w:rPr>
                <w:rStyle w:val="PleaseReviewParagraphId"/>
                <w:b w:val="off"/>
                <w:i w:val="off"/>
              </w:rPr>
              <w:t>[103]</w:t>
            </w:r>
            <w:r>
              <w:rPr>
                <w:b/>
                <w:bCs/>
              </w:rPr>
              <w:t>Visual examination of wood commodities</w:t>
            </w:r>
          </w:p>
        </w:tc>
        <w:tc xmlns:tara="kcentrix:tara" tara:rowspan="1" tara:colspan="1">
          <w:tcPr>
            <w:tcW w:w="6723" w:type="dxa"/>
          </w:tcPr>
          <w:p w14:paraId="4F59BD52" w14:textId="5F7FA031">
            <w:pPr>
              <w:pStyle w:val="IPPArialTable"/>
              <w:jc w:val="both"/>
            </w:pPr>
            <w:r>
              <w:rPr>
                <w:rStyle w:val="PleaseReviewParagraphId"/>
                <w:b w:val="off"/>
                <w:i w:val="off"/>
              </w:rPr>
              <w:t>[104]</w:t>
            </w:r>
            <w:r>
              <w:t>Visual examination may be used to identify specific signs or symptoms of pests and determine if measures applied have been effective. The size and disposition of the wood commodities and the cryptic nature of some pests can, however, make visual examination challenging.</w:t>
            </w:r>
          </w:p>
        </w:tc>
      </w:tr>
      <w:tr w14:paraId="1FD50977" w14:textId="77777777">
        <w:tc xmlns:tara="kcentrix:tara" tara:rowspan="1" tara:colspan="1">
          <w:tcPr>
            <w:tcW w:w="2337" w:type="dxa"/>
          </w:tcPr>
          <w:p w14:paraId="41AA74D0" w14:textId="236F7481">
            <w:pPr>
              <w:pStyle w:val="IPPArialTable"/>
              <w:rPr>
                <w:b/>
                <w:bCs/>
              </w:rPr>
            </w:pPr>
            <w:r>
              <w:rPr>
                <w:rStyle w:val="PleaseReviewParagraphId"/>
                <w:b w:val="off"/>
                <w:i w:val="off"/>
              </w:rPr>
              <w:t>[105]</w:t>
            </w:r>
            <w:r>
              <w:rPr>
                <w:b/>
                <w:bCs/>
              </w:rPr>
              <w:t>Chipping (section 1.3.1 and section 2.3 of this standard)</w:t>
            </w:r>
          </w:p>
        </w:tc>
        <w:tc xmlns:tara="kcentrix:tara" tara:rowspan="1" tara:colspan="1">
          <w:tcPr>
            <w:tcW w:w="6723" w:type="dxa"/>
          </w:tcPr>
          <w:p w14:paraId="435026DB" w14:textId="3335BBD0">
            <w:pPr>
              <w:pStyle w:val="IPPArialTable"/>
              <w:jc w:val="both"/>
            </w:pPr>
            <w:r>
              <w:rPr>
                <w:rStyle w:val="PleaseReviewParagraphId"/>
                <w:b w:val="off"/>
                <w:i w:val="off"/>
              </w:rPr>
              <w:t>[106]</w:t>
            </w:r>
            <w:r>
              <w:t>The pest risk associated with wood chips varies depending on the tree species, presence of pests in the original material, bark content, chip size and intended use (i.e. fuel, landscape mulch, or pulp for fibre production). Commercial specifications for chip quality related to specific intended uses may be used to reduce pest risk. For example, chips for fibre production have minimal bark, consistent moisture content and uniform shape and size, resulting in low pest risk for some pests compared with chips used as a bioenergy source that can have greater variation in size and can contain bark.</w:t>
            </w:r>
          </w:p>
          <w:p w14:paraId="74EF6A7C" w14:textId="2ACB660F">
            <w:pPr>
              <w:pStyle w:val="IPPArialTable"/>
              <w:jc w:val="both"/>
            </w:pPr>
            <w:r>
              <w:rPr>
                <w:rStyle w:val="PleaseReviewParagraphId"/>
                <w:b w:val="off"/>
                <w:i w:val="off"/>
              </w:rPr>
              <w:t>[107]</w:t>
            </w:r>
            <w:r>
              <w:t xml:space="preserve">The process of wood chipping or grinding is lethal to many insect pests; the process can destroy living organisms or disrupt the host material so that the insect cannot complete its life cycle. Chipping into small pieces is an effective method of reducing populations of wood borers (e.g. cerambycids) in wood chips. </w:t>
            </w:r>
            <w:r>
              <w:rPr>
                <w:rFonts w:cs="Arial"/>
                <w:szCs w:val="18"/>
              </w:rPr>
              <w:t>Chip piles can generate heat to destroy pests if managed correctly.</w:t>
            </w:r>
          </w:p>
        </w:tc>
      </w:tr>
      <w:tr w14:paraId="21588E55" w14:textId="77777777">
        <w:tc xmlns:tara="kcentrix:tara" tara:rowspan="1" tara:colspan="1">
          <w:tcPr>
            <w:tcW w:w="2337" w:type="dxa"/>
          </w:tcPr>
          <w:p w14:paraId="4AD8DBCB" w14:textId="56F17EF1">
            <w:pPr>
              <w:pStyle w:val="IPPArialTable"/>
              <w:rPr>
                <w:b/>
                <w:bCs/>
              </w:rPr>
            </w:pPr>
            <w:r>
              <w:rPr>
                <w:rStyle w:val="PleaseReviewParagraphId"/>
                <w:b w:val="off"/>
                <w:i w:val="off"/>
              </w:rPr>
              <w:t>[108]</w:t>
            </w:r>
            <w:r>
              <w:rPr>
                <w:b/>
                <w:bCs/>
              </w:rPr>
              <w:t>Heat treatment (section 2.2 of this standard)</w:t>
            </w:r>
          </w:p>
        </w:tc>
        <w:tc xmlns:tara="kcentrix:tara" tara:rowspan="1" tara:colspan="1">
          <w:tcPr>
            <w:tcW w:w="6723" w:type="dxa"/>
          </w:tcPr>
          <w:p w14:paraId="7C74D21C" w14:textId="5501D036">
            <w:pPr>
              <w:pStyle w:val="IPPArialTable"/>
              <w:jc w:val="both"/>
            </w:pPr>
            <w:r>
              <w:rPr>
                <w:rStyle w:val="PleaseReviewParagraphId"/>
                <w:b w:val="off"/>
                <w:i w:val="off"/>
              </w:rPr>
              <w:t>[109]</w:t>
            </w:r>
            <w:r>
              <w:t xml:space="preserve">Heat treatment involves heating wood to kill, or otherwise cause sublethal effects. Heat treatment does not necessarily involve moisture reduction. Types of heat treatments include, but are not limited to, steam, hot-water bath and vacuum-steam heating, kiln-heating, solar heating, joule heating and dielectric (microwave or radio-frequency) heating. </w:t>
            </w:r>
          </w:p>
          <w:p w14:paraId="28AD746F" w14:textId="76F0945C">
            <w:pPr>
              <w:pStyle w:val="IPPArialTable"/>
              <w:jc w:val="both"/>
            </w:pPr>
            <w:r>
              <w:rPr>
                <w:rStyle w:val="PleaseReviewParagraphId"/>
                <w:b w:val="off"/>
                <w:i w:val="off"/>
              </w:rPr>
              <w:t>[110]</w:t>
            </w:r>
            <w:r>
              <w:t xml:space="preserve">Technical standards for heat treatment schedules should be established and facilities approved by NPPOs </w:t>
            </w:r>
            <w:r>
              <w:rPr>
                <w:rFonts w:cs="Arial"/>
                <w:szCs w:val="18"/>
              </w:rPr>
              <w:t>in accordance with ISPM 42 (</w:t>
            </w:r>
            <w:r>
              <w:rPr>
                <w:rFonts w:cs="Arial"/>
                <w:i/>
                <w:szCs w:val="18"/>
              </w:rPr>
              <w:t>Requirements for the use of temperature treatments as phytosanitary measures</w:t>
            </w:r>
            <w:r>
              <w:rPr>
                <w:rFonts w:cs="Arial"/>
                <w:szCs w:val="18"/>
              </w:rPr>
              <w:t>).</w:t>
            </w:r>
            <w:r>
              <w:t xml:space="preserve"> </w:t>
            </w:r>
          </w:p>
        </w:tc>
      </w:tr>
      <w:tr w14:paraId="23B49C2A" w14:textId="77777777">
        <w:tc xmlns:tara="kcentrix:tara" tara:rowspan="1" tara:colspan="1">
          <w:tcPr>
            <w:tcW w:w="2337" w:type="dxa"/>
          </w:tcPr>
          <w:p w14:paraId="5D591BB5" w14:textId="3C3DACD1">
            <w:pPr>
              <w:pStyle w:val="IPPArialTable"/>
              <w:rPr>
                <w:b/>
                <w:bCs/>
              </w:rPr>
            </w:pPr>
            <w:r>
              <w:rPr>
                <w:rStyle w:val="PleaseReviewParagraphId"/>
                <w:b w:val="off"/>
                <w:i w:val="off"/>
              </w:rPr>
              <w:t>[111]</w:t>
            </w:r>
            <w:r>
              <w:rPr>
                <w:b/>
                <w:bCs/>
              </w:rPr>
              <w:lastRenderedPageBreak/>
              <w:t>Air-drying (section 2.2 of this standard)</w:t>
            </w:r>
          </w:p>
        </w:tc>
        <w:tc xmlns:tara="kcentrix:tara" tara:rowspan="1" tara:colspan="1">
          <w:tcPr>
            <w:tcW w:w="6723" w:type="dxa"/>
          </w:tcPr>
          <w:p w14:paraId="3E88DDDF" w14:textId="4F423A08">
            <w:pPr>
              <w:pStyle w:val="IPPArialTable"/>
              <w:jc w:val="both"/>
            </w:pPr>
            <w:r>
              <w:rPr>
                <w:rStyle w:val="PleaseReviewParagraphId"/>
                <w:b w:val="off"/>
                <w:i w:val="off"/>
              </w:rPr>
              <w:t>[112]</w:t>
            </w:r>
            <w:r>
              <w:t>Air-drying wood to the equilibrium moisture content can prevent some pests from completing their life cycle and make it unattractive for some pests, because of the reduction in moisture content.</w:t>
            </w:r>
          </w:p>
        </w:tc>
      </w:tr>
      <w:tr w14:paraId="30242796" w14:textId="77777777">
        <w:tc xmlns:tara="kcentrix:tara" tara:rowspan="1" tara:colspan="1">
          <w:tcPr>
            <w:tcW w:w="2337" w:type="dxa"/>
          </w:tcPr>
          <w:p w14:paraId="62D7BD2A" w14:textId="35EB9371">
            <w:pPr>
              <w:pStyle w:val="IPPArialTable"/>
              <w:rPr>
                <w:b/>
                <w:bCs/>
              </w:rPr>
            </w:pPr>
            <w:r>
              <w:rPr>
                <w:rStyle w:val="PleaseReviewParagraphId"/>
                <w:b w:val="off"/>
                <w:i w:val="off"/>
              </w:rPr>
              <w:t>[113]</w:t>
            </w:r>
            <w:r>
              <w:rPr>
                <w:b/>
                <w:bCs/>
              </w:rPr>
              <w:t>Kiln-drying (section 2.2 of this standard)</w:t>
            </w:r>
          </w:p>
        </w:tc>
        <w:tc xmlns:tara="kcentrix:tara" tara:rowspan="1" tara:colspan="1">
          <w:tcPr>
            <w:tcW w:w="6723" w:type="dxa"/>
          </w:tcPr>
          <w:p w14:paraId="0980E028" w14:textId="595C2CF5">
            <w:pPr>
              <w:pStyle w:val="IPPArialTable"/>
              <w:jc w:val="both"/>
            </w:pPr>
            <w:r>
              <w:rPr>
                <w:rStyle w:val="PleaseReviewParagraphId"/>
                <w:b w:val="off"/>
                <w:i w:val="off"/>
              </w:rPr>
              <w:t>[114]</w:t>
            </w:r>
            <w:r>
              <w:t xml:space="preserve">Kiln-drying can prevent some pests from completing their life cycle in wood commodities, because of the heat exposure and reduction in moisture content. </w:t>
            </w:r>
          </w:p>
        </w:tc>
      </w:tr>
      <w:tr w14:paraId="1A73601D" w14:textId="77777777">
        <w:tc xmlns:tara="kcentrix:tara" tara:rowspan="1" tara:colspan="1">
          <w:tcPr>
            <w:tcW w:w="2337" w:type="dxa"/>
          </w:tcPr>
          <w:p w14:paraId="760F8326" w14:textId="3759B646">
            <w:pPr>
              <w:pStyle w:val="IPPArialTable"/>
              <w:rPr>
                <w:b/>
                <w:bCs/>
              </w:rPr>
            </w:pPr>
            <w:r>
              <w:rPr>
                <w:rStyle w:val="PleaseReviewParagraphId"/>
                <w:b w:val="off"/>
                <w:i w:val="off"/>
              </w:rPr>
              <w:t>[115]</w:t>
            </w:r>
            <w:r>
              <w:rPr>
                <w:b/>
                <w:bCs/>
              </w:rPr>
              <w:t>Irradiation (section 2.2 of this standard)</w:t>
            </w:r>
          </w:p>
        </w:tc>
        <w:tc xmlns:tara="kcentrix:tara" tara:rowspan="1" tara:colspan="1">
          <w:tcPr>
            <w:tcW w:w="6723" w:type="dxa"/>
          </w:tcPr>
          <w:p w14:paraId="4C274AF4" w14:textId="332688F6">
            <w:pPr>
              <w:pStyle w:val="IPPArialTable"/>
              <w:jc w:val="both"/>
            </w:pPr>
            <w:r>
              <w:rPr>
                <w:rStyle w:val="PleaseReviewParagraphId"/>
                <w:b w:val="off"/>
                <w:i w:val="off"/>
              </w:rPr>
              <w:t>[116]</w:t>
            </w:r>
            <w:r>
              <w:t>Irradiation may be used as a pest risk reduction measure during or after processing of wood commodities. Irradiation should be applied in accordance with ISPM 18 (</w:t>
            </w:r>
            <w:r>
              <w:rPr>
                <w:i/>
                <w:iCs/>
              </w:rPr>
              <w:t>Requirements for the use of irradiation as a phytosanitary measure</w:t>
            </w:r>
            <w:r>
              <w:t>).</w:t>
            </w:r>
          </w:p>
        </w:tc>
      </w:tr>
      <w:tr w14:paraId="1BA8E721" w14:textId="77777777">
        <w:tc xmlns:tara="kcentrix:tara" tara:rowspan="1" tara:colspan="1">
          <w:tcPr>
            <w:tcW w:w="2337" w:type="dxa"/>
          </w:tcPr>
          <w:p w14:paraId="573AFA79" w14:textId="01F217B3">
            <w:pPr>
              <w:pStyle w:val="IPPArialTable"/>
              <w:rPr>
                <w:b/>
                <w:bCs/>
              </w:rPr>
            </w:pPr>
            <w:r>
              <w:rPr>
                <w:rStyle w:val="PleaseReviewParagraphId"/>
                <w:b w:val="off"/>
                <w:i w:val="off"/>
              </w:rPr>
              <w:t>[117]</w:t>
            </w:r>
            <w:r>
              <w:rPr>
                <w:b/>
                <w:bCs/>
              </w:rPr>
              <w:t>Fumigation (section 2.2 of this standard)</w:t>
            </w:r>
          </w:p>
        </w:tc>
        <w:tc xmlns:tara="kcentrix:tara" tara:rowspan="1" tara:colspan="1">
          <w:tcPr>
            <w:tcW w:w="6723" w:type="dxa"/>
          </w:tcPr>
          <w:p w14:paraId="0CA7C7CE" w14:textId="031029DD">
            <w:pPr>
              <w:pStyle w:val="IPPArialTable"/>
              <w:jc w:val="both"/>
            </w:pPr>
            <w:r>
              <w:rPr>
                <w:rStyle w:val="PleaseReviewParagraphId"/>
                <w:b w:val="off"/>
                <w:i w:val="off"/>
              </w:rPr>
              <w:t>[118]</w:t>
            </w:r>
            <w:r>
              <w:t>Fumigation may be used as a pest risk reduction measure to treat wood commodities. Some phytosanitary treatments using fumigants are described in ISPM 28 (</w:t>
            </w:r>
            <w:r>
              <w:rPr>
                <w:i/>
                <w:iCs/>
              </w:rPr>
              <w:t>Phytosanitary treatments for regulated pests</w:t>
            </w:r>
            <w:r>
              <w:t xml:space="preserve">) </w:t>
            </w:r>
            <w:r>
              <w:rPr>
                <w:rFonts w:cs="Arial"/>
                <w:szCs w:val="18"/>
              </w:rPr>
              <w:t>and some are described in ISPM 15 (</w:t>
            </w:r>
            <w:r>
              <w:rPr>
                <w:rFonts w:cs="Arial"/>
                <w:i/>
                <w:iCs/>
                <w:szCs w:val="18"/>
              </w:rPr>
              <w:t>Regulation of wood packaging material in international trade</w:t>
            </w:r>
            <w:r>
              <w:rPr>
                <w:rFonts w:cs="Arial"/>
                <w:szCs w:val="18"/>
              </w:rPr>
              <w:t>)</w:t>
            </w:r>
            <w:r>
              <w:t>. Fumigation should be applied in accordance with ISPM 43 (</w:t>
            </w:r>
            <w:r>
              <w:rPr>
                <w:i/>
                <w:iCs/>
              </w:rPr>
              <w:t>Requirements for the use of fumigation as a phytosanitary measure</w:t>
            </w:r>
            <w:r>
              <w:t>).</w:t>
            </w:r>
          </w:p>
        </w:tc>
      </w:tr>
      <w:tr w14:paraId="265D18BA" w14:textId="77777777">
        <w:tc xmlns:tara="kcentrix:tara" tara:rowspan="1" tara:colspan="1">
          <w:tcPr>
            <w:tcW w:w="2337" w:type="dxa"/>
          </w:tcPr>
          <w:p w14:paraId="39B7A6CB" w14:textId="210E49F1">
            <w:pPr>
              <w:pStyle w:val="IPPArialTable"/>
              <w:rPr>
                <w:b/>
                <w:bCs/>
              </w:rPr>
            </w:pPr>
            <w:r>
              <w:rPr>
                <w:rStyle w:val="PleaseReviewParagraphId"/>
                <w:b w:val="off"/>
                <w:i w:val="off"/>
              </w:rPr>
              <w:t>[119]</w:t>
            </w:r>
            <w:r>
              <w:rPr>
                <w:b/>
                <w:bCs/>
              </w:rPr>
              <w:t>Spraying or dipping</w:t>
            </w:r>
          </w:p>
        </w:tc>
        <w:tc xmlns:tara="kcentrix:tara" tara:rowspan="1" tara:colspan="1">
          <w:tcPr>
            <w:tcW w:w="6723" w:type="dxa"/>
          </w:tcPr>
          <w:p w14:paraId="5586905D" w14:textId="767C6F7A">
            <w:pPr>
              <w:pStyle w:val="IPPArialTable"/>
              <w:jc w:val="both"/>
            </w:pPr>
            <w:r>
              <w:rPr>
                <w:rStyle w:val="PleaseReviewParagraphId"/>
                <w:b w:val="off"/>
                <w:i w:val="off"/>
              </w:rPr>
              <w:t>[120]</w:t>
            </w:r>
            <w:r>
              <w:t xml:space="preserve">Wood commodities may be treated with anti-fungal sap-stain chemical spray or dips to prevent the growth of stain fungi on logs or sawn wood (see Appendix 2 of this standard). </w:t>
            </w:r>
          </w:p>
        </w:tc>
      </w:tr>
      <w:tr w14:paraId="494FF94B" w14:textId="77777777">
        <w:tc xmlns:tara="kcentrix:tara" tara:rowspan="1" tara:colspan="1">
          <w:tcPr>
            <w:tcW w:w="2337" w:type="dxa"/>
          </w:tcPr>
          <w:p w14:paraId="5C8A6259" w14:textId="7B0FA103">
            <w:pPr>
              <w:pStyle w:val="IPPArialTable"/>
              <w:rPr>
                <w:b/>
                <w:bCs/>
              </w:rPr>
            </w:pPr>
            <w:r>
              <w:rPr>
                <w:rStyle w:val="PleaseReviewParagraphId"/>
                <w:b w:val="off"/>
                <w:i w:val="off"/>
              </w:rPr>
              <w:t>[121]</w:t>
            </w:r>
            <w:r>
              <w:rPr>
                <w:b/>
                <w:bCs/>
              </w:rPr>
              <w:t>Modified atmosphere treatment (section 2.2 of this standard)</w:t>
            </w:r>
          </w:p>
        </w:tc>
        <w:tc xmlns:tara="kcentrix:tara" tara:rowspan="1" tara:colspan="1">
          <w:tcPr>
            <w:tcW w:w="6723" w:type="dxa"/>
          </w:tcPr>
          <w:p w14:paraId="43EBD4D0" w14:textId="5E81F63F">
            <w:pPr>
              <w:pStyle w:val="IPPArialTable"/>
              <w:jc w:val="both"/>
            </w:pPr>
            <w:r>
              <w:rPr>
                <w:rStyle w:val="PleaseReviewParagraphId"/>
                <w:b w:val="off"/>
                <w:i w:val="off"/>
              </w:rPr>
              <w:t>[122]</w:t>
            </w:r>
            <w:r>
              <w:t>Wood commodities may be exposed to a modified atmosphere as a pest risk reduction measure (see Appendix 2 of this standard). Modified atmosphere treatment should be applied in accordance with ISPM 44 (</w:t>
            </w:r>
            <w:r>
              <w:rPr>
                <w:i/>
                <w:iCs/>
              </w:rPr>
              <w:t>Requirements for the use of modified atmosphere treatments as phytosanitary measures</w:t>
            </w:r>
            <w:r>
              <w:t xml:space="preserve">). </w:t>
            </w:r>
          </w:p>
        </w:tc>
      </w:tr>
      <w:tr w14:paraId="66530B40" w14:textId="77777777">
        <w:tc xmlns:tara="kcentrix:tara" tara:rowspan="1" tara:colspan="2">
          <w:tcPr>
            <w:tcW w:w="9060" w:type="dxa"/>
            <w:gridSpan w:val="2"/>
            <w:shd w:val="clear" w:color="auto" w:fill="D9D9D9" w:themeFill="background1" w:themeFillShade="D9"/>
          </w:tcPr>
          <w:p w14:paraId="1C1B81E6" w14:textId="5BD99BEF">
            <w:pPr>
              <w:pStyle w:val="IPPArialTable"/>
              <w:jc w:val="center"/>
              <w:rPr>
                <w:b/>
                <w:bCs/>
              </w:rPr>
            </w:pPr>
            <w:r>
              <w:rPr>
                <w:rStyle w:val="PleaseReviewParagraphId"/>
                <w:b w:val="off"/>
                <w:i w:val="off"/>
              </w:rPr>
              <w:t>[123]</w:t>
            </w:r>
            <w:r>
              <w:rPr>
                <w:b/>
                <w:bCs/>
              </w:rPr>
              <w:t>Pre-dispatch</w:t>
            </w:r>
          </w:p>
        </w:tc>
      </w:tr>
      <w:tr w14:paraId="407C1C7A" w14:textId="77777777">
        <w:tc xmlns:tara="kcentrix:tara" tara:rowspan="1" tara:colspan="1">
          <w:tcPr>
            <w:tcW w:w="2337" w:type="dxa"/>
          </w:tcPr>
          <w:p w14:paraId="1AE38705" w14:textId="23F3A752">
            <w:pPr>
              <w:pStyle w:val="IPPArialTable"/>
              <w:rPr>
                <w:b/>
                <w:bCs/>
              </w:rPr>
            </w:pPr>
            <w:r>
              <w:rPr>
                <w:rStyle w:val="PleaseReviewParagraphId"/>
                <w:b w:val="off"/>
                <w:i w:val="off"/>
              </w:rPr>
              <w:t>[124]</w:t>
            </w:r>
            <w:r>
              <w:rPr>
                <w:b/>
                <w:bCs/>
              </w:rPr>
              <w:t>Limiting the storage time</w:t>
            </w:r>
          </w:p>
        </w:tc>
        <w:tc xmlns:tara="kcentrix:tara" tara:rowspan="1" tara:colspan="1">
          <w:tcPr>
            <w:tcW w:w="6723" w:type="dxa"/>
          </w:tcPr>
          <w:p w14:paraId="25BF8C75" w14:textId="495E4AE2">
            <w:pPr>
              <w:pStyle w:val="IPPArialTable"/>
              <w:jc w:val="both"/>
            </w:pPr>
            <w:r>
              <w:rPr>
                <w:rStyle w:val="PleaseReviewParagraphId"/>
                <w:b w:val="off"/>
                <w:i w:val="off"/>
              </w:rPr>
              <w:t>[125]</w:t>
            </w:r>
            <w:r>
              <w:t xml:space="preserve">Dispatching wood commodities within a specified time frame that limits the storage time reduces opportunities for post-harvest infestation. </w:t>
            </w:r>
          </w:p>
        </w:tc>
      </w:tr>
      <w:tr w14:paraId="20FDA93B" w14:textId="77777777">
        <w:tc xmlns:tara="kcentrix:tara" tara:rowspan="1" tara:colspan="1">
          <w:tcPr>
            <w:tcW w:w="2337" w:type="dxa"/>
          </w:tcPr>
          <w:p w14:paraId="45DF39A0" w14:textId="2D5594E3">
            <w:pPr>
              <w:pStyle w:val="IPPArialTable"/>
              <w:rPr>
                <w:b/>
                <w:bCs/>
              </w:rPr>
            </w:pPr>
            <w:r>
              <w:rPr>
                <w:rStyle w:val="PleaseReviewParagraphId"/>
                <w:b w:val="off"/>
                <w:i w:val="off"/>
              </w:rPr>
              <w:t>[126]</w:t>
            </w:r>
            <w:r>
              <w:rPr>
                <w:b/>
                <w:bCs/>
              </w:rPr>
              <w:t>Storage-area segregation</w:t>
            </w:r>
          </w:p>
        </w:tc>
        <w:tc xmlns:tara="kcentrix:tara" tara:rowspan="1" tara:colspan="1">
          <w:tcPr>
            <w:tcW w:w="6723" w:type="dxa"/>
          </w:tcPr>
          <w:p w14:paraId="1FB294A8" w14:textId="47E346B2">
            <w:pPr>
              <w:pStyle w:val="IPPArialTable"/>
              <w:jc w:val="both"/>
            </w:pPr>
            <w:r>
              <w:rPr>
                <w:rStyle w:val="PleaseReviewParagraphId"/>
                <w:b w:val="off"/>
                <w:i w:val="off"/>
              </w:rPr>
              <w:t>[127]</w:t>
            </w:r>
            <w:r>
              <w:t xml:space="preserve">Wood commodities may be segregated or stored in a manner designed to prevent infestation. This may be achieved by covering, </w:t>
            </w:r>
            <w:bookmarkStart w:name="_Hlk135387979" w:id="14"/>
            <w:r>
              <w:t>containerizing</w:t>
            </w:r>
            <w:bookmarkEnd w:id="14"/>
            <w:r>
              <w:t xml:space="preserve">, or storing in buildings where pheromone traps are deployed. </w:t>
            </w:r>
          </w:p>
        </w:tc>
      </w:tr>
      <w:tr w14:paraId="2294BEEA" w14:textId="77777777">
        <w:tc xmlns:tara="kcentrix:tara" tara:rowspan="1" tara:colspan="1">
          <w:tcPr>
            <w:tcW w:w="2337" w:type="dxa"/>
          </w:tcPr>
          <w:p w14:paraId="3E51F8C0" w14:textId="1DD4AE1C">
            <w:pPr>
              <w:pStyle w:val="IPPArialTable"/>
              <w:rPr>
                <w:b/>
                <w:bCs/>
              </w:rPr>
            </w:pPr>
            <w:r>
              <w:rPr>
                <w:rStyle w:val="PleaseReviewParagraphId"/>
                <w:b w:val="off"/>
                <w:i w:val="off"/>
              </w:rPr>
              <w:t>[128]</w:t>
            </w:r>
            <w:bookmarkStart w:name="_Hlk135338200" w:id="15"/>
            <w:r>
              <w:rPr>
                <w:b/>
                <w:bCs/>
              </w:rPr>
              <w:t xml:space="preserve">Storage-area </w:t>
            </w:r>
            <w:bookmarkEnd w:id="15"/>
            <w:r>
              <w:rPr>
                <w:b/>
                <w:bCs/>
              </w:rPr>
              <w:t xml:space="preserve">cleanliness </w:t>
            </w:r>
          </w:p>
        </w:tc>
        <w:tc xmlns:tara="kcentrix:tara" tara:rowspan="1" tara:colspan="1">
          <w:tcPr>
            <w:tcW w:w="6723" w:type="dxa"/>
          </w:tcPr>
          <w:p w14:paraId="69C0C00E" w14:textId="7D68D7AA">
            <w:pPr>
              <w:pStyle w:val="IPPArialTable"/>
              <w:jc w:val="both"/>
            </w:pPr>
            <w:r>
              <w:rPr>
                <w:rStyle w:val="PleaseReviewParagraphId"/>
                <w:b w:val="off"/>
                <w:i w:val="off"/>
              </w:rPr>
              <w:t>[129]</w:t>
            </w:r>
            <w:r>
              <w:t xml:space="preserve">Keeping storage areas free from pests, wood debris and soil can help to prevent infestation of commodities and may therefore be included as a component of a systems approach. </w:t>
            </w:r>
          </w:p>
        </w:tc>
      </w:tr>
      <w:tr w14:paraId="53E702AC" w14:textId="77777777">
        <w:tc xmlns:tara="kcentrix:tara" tara:rowspan="1" tara:colspan="1">
          <w:tcPr>
            <w:tcW w:w="2337" w:type="dxa"/>
          </w:tcPr>
          <w:p w14:paraId="3F6CEB14" w14:textId="4D5D972B">
            <w:pPr>
              <w:pStyle w:val="IPPArialTable"/>
              <w:rPr>
                <w:b/>
                <w:bCs/>
              </w:rPr>
            </w:pPr>
            <w:r>
              <w:rPr>
                <w:rStyle w:val="PleaseReviewParagraphId"/>
                <w:b w:val="off"/>
                <w:i w:val="off"/>
              </w:rPr>
              <w:t>[130]</w:t>
            </w:r>
            <w:r>
              <w:rPr>
                <w:b/>
                <w:bCs/>
              </w:rPr>
              <w:t>Pre-dispatch protection</w:t>
            </w:r>
          </w:p>
        </w:tc>
        <w:tc xmlns:tara="kcentrix:tara" tara:rowspan="1" tara:colspan="1">
          <w:tcPr>
            <w:tcW w:w="6723" w:type="dxa"/>
          </w:tcPr>
          <w:p w14:paraId="50833076" w14:textId="6799FD8D">
            <w:pPr>
              <w:pStyle w:val="IPPArialTable"/>
              <w:jc w:val="both"/>
            </w:pPr>
            <w:r>
              <w:rPr>
                <w:rStyle w:val="PleaseReviewParagraphId"/>
                <w:b w:val="off"/>
                <w:i w:val="off"/>
              </w:rPr>
              <w:t>[131]</w:t>
            </w:r>
            <w:r>
              <w:t>A storage enclosure can be very effective at protecting wood commodities from infestation before dispatch. As contact with the ground can risk commodities becoming infested with soil-borne pests, storing commodities on cement pads or raised platforms can be beneficial. Surveillance, or regular checks for pests combined with measures to prevent or deter pests (e.g. host removal, reduction or altering of facility lighting, pesticide application, use of nets (including those treated with insecticide), wrapping in protective material), may be used to protect wood commodities during storage and loading.</w:t>
            </w:r>
          </w:p>
        </w:tc>
      </w:tr>
      <w:tr w14:paraId="1BD22A1B" w14:textId="77777777">
        <w:tc xmlns:tara="kcentrix:tara" tara:rowspan="1" tara:colspan="1">
          <w:tcPr>
            <w:tcW w:w="2337" w:type="dxa"/>
          </w:tcPr>
          <w:p w14:paraId="605E5839" w14:textId="719FC054">
            <w:pPr>
              <w:pStyle w:val="IPPArialTable"/>
              <w:rPr>
                <w:b/>
                <w:bCs/>
              </w:rPr>
            </w:pPr>
            <w:r>
              <w:rPr>
                <w:rStyle w:val="PleaseReviewParagraphId"/>
                <w:b w:val="off"/>
                <w:i w:val="off"/>
              </w:rPr>
              <w:t>[132]</w:t>
            </w:r>
            <w:r>
              <w:rPr>
                <w:b/>
                <w:bCs/>
              </w:rPr>
              <w:t>Water application</w:t>
            </w:r>
          </w:p>
        </w:tc>
        <w:tc xmlns:tara="kcentrix:tara" tara:rowspan="1" tara:colspan="1">
          <w:tcPr>
            <w:tcW w:w="6723" w:type="dxa"/>
          </w:tcPr>
          <w:p w14:paraId="1E6B7773" w14:textId="2B7884B1">
            <w:pPr>
              <w:pStyle w:val="IPPArialTable"/>
              <w:jc w:val="both"/>
            </w:pPr>
            <w:r>
              <w:rPr>
                <w:rStyle w:val="PleaseReviewParagraphId"/>
                <w:b w:val="off"/>
                <w:i w:val="off"/>
              </w:rPr>
              <w:t>[133]</w:t>
            </w:r>
            <w:r>
              <w:t xml:space="preserve">Round wood may be sprinkled with water in storage areas (where appropriate) to reduce insect infestation and water </w:t>
            </w:r>
            <w:bookmarkStart w:name="_Hlk135338576" w:id="16"/>
            <w:r>
              <w:t>pressure-washing</w:t>
            </w:r>
            <w:bookmarkEnd w:id="16"/>
            <w:r>
              <w:t xml:space="preserve"> may be used to remove pests, soil and debris. </w:t>
            </w:r>
          </w:p>
        </w:tc>
      </w:tr>
      <w:tr w14:paraId="2F7ACA7F" w14:textId="77777777">
        <w:tc xmlns:tara="kcentrix:tara" tara:rowspan="1" tara:colspan="1">
          <w:tcPr>
            <w:tcW w:w="2337" w:type="dxa"/>
          </w:tcPr>
          <w:p w14:paraId="5DEAEF7E" w14:textId="23426230">
            <w:pPr>
              <w:pStyle w:val="IPPArialTable"/>
              <w:rPr>
                <w:rStyle w:val="PleaseReviewParagraphId"/>
              </w:rPr>
            </w:pPr>
            <w:r>
              <w:rPr>
                <w:rStyle w:val="PleaseReviewParagraphId"/>
                <w:b w:val="off"/>
                <w:i w:val="off"/>
              </w:rPr>
              <w:t>[134]</w:t>
            </w:r>
            <w:r>
              <w:rPr>
                <w:b/>
                <w:bCs/>
              </w:rPr>
              <w:t>Timing of dispatch</w:t>
            </w:r>
          </w:p>
        </w:tc>
        <w:tc xmlns:tara="kcentrix:tara" tara:rowspan="1" tara:colspan="1">
          <w:tcPr>
            <w:tcW w:w="6723" w:type="dxa"/>
          </w:tcPr>
          <w:p w14:paraId="18F2A398" w14:textId="15663A6B">
            <w:pPr>
              <w:pStyle w:val="IPPArialTable"/>
              <w:jc w:val="both"/>
              <w:rPr>
                <w:rStyle w:val="PleaseReviewParagraphId"/>
              </w:rPr>
            </w:pPr>
            <w:r>
              <w:rPr>
                <w:rStyle w:val="PleaseReviewParagraphId"/>
                <w:b w:val="off"/>
                <w:i w:val="off"/>
              </w:rPr>
              <w:t>[135]</w:t>
            </w:r>
            <w:r>
              <w:t>Dispatching wood commodities only when pests are inactive and applying a pest risk reduction measure upon arrival in the importing country can be effective in reducing pest risk. The timing of dispatch should be based on biological data and technical justification.</w:t>
            </w:r>
          </w:p>
        </w:tc>
      </w:tr>
      <w:tr w14:paraId="6B453676" w14:textId="77777777">
        <w:tc xmlns:tara="kcentrix:tara" tara:rowspan="1" tara:colspan="1">
          <w:tcPr>
            <w:tcW w:w="2337" w:type="dxa"/>
          </w:tcPr>
          <w:p w14:paraId="68A6118B" w14:textId="68EBD96A">
            <w:pPr>
              <w:pStyle w:val="IPPArialTable"/>
              <w:rPr>
                <w:b/>
                <w:bCs/>
              </w:rPr>
            </w:pPr>
            <w:r>
              <w:rPr>
                <w:rStyle w:val="PleaseReviewParagraphId"/>
                <w:b w:val="off"/>
                <w:i w:val="off"/>
              </w:rPr>
              <w:t>[136]</w:t>
            </w:r>
            <w:r>
              <w:rPr>
                <w:b/>
                <w:bCs/>
              </w:rPr>
              <w:t xml:space="preserve">Verification of pest presence or absence </w:t>
            </w:r>
          </w:p>
        </w:tc>
        <w:tc xmlns:tara="kcentrix:tara" tara:rowspan="1" tara:colspan="1">
          <w:tcPr>
            <w:tcW w:w="6723" w:type="dxa"/>
          </w:tcPr>
          <w:p w14:paraId="45FBE321" w14:textId="7F0785C3">
            <w:pPr>
              <w:pStyle w:val="IPPArialTable"/>
              <w:jc w:val="both"/>
            </w:pPr>
            <w:r>
              <w:rPr>
                <w:rStyle w:val="PleaseReviewParagraphId"/>
                <w:b w:val="off"/>
                <w:i w:val="off"/>
              </w:rPr>
              <w:t>[137]</w:t>
            </w:r>
            <w:r>
              <w:t>Outer perimeter push</w:t>
            </w:r>
            <w:r>
              <w:rPr>
                <w:rFonts w:cs="Arial"/>
              </w:rPr>
              <w:t>–</w:t>
            </w:r>
            <w:r>
              <w:t>pull systems with anti-aggregation and aggregation pheromones and traps may be used to verify pest presence or absence in a storage area and to manage some insect pests. With NPPO oversight, this may be considered surveillance and should be conducted in accordance with ISPM 6.</w:t>
            </w:r>
          </w:p>
        </w:tc>
      </w:tr>
      <w:tr w14:paraId="464AACB4" w14:textId="77777777">
        <w:tc xmlns:tara="kcentrix:tara" tara:rowspan="1" tara:colspan="1">
          <w:tcPr>
            <w:tcW w:w="2337" w:type="dxa"/>
          </w:tcPr>
          <w:p w14:paraId="5EDEC3C8" w14:textId="5EDA1D3D">
            <w:pPr>
              <w:pStyle w:val="IPPArialTable"/>
              <w:rPr>
                <w:b/>
                <w:bCs/>
              </w:rPr>
            </w:pPr>
            <w:r>
              <w:rPr>
                <w:rStyle w:val="PleaseReviewParagraphId"/>
                <w:b w:val="off"/>
                <w:i w:val="off"/>
              </w:rPr>
              <w:t>[138]</w:t>
            </w:r>
            <w:r>
              <w:rPr>
                <w:b/>
                <w:bCs/>
              </w:rPr>
              <w:t>Packaging</w:t>
            </w:r>
          </w:p>
        </w:tc>
        <w:tc xmlns:tara="kcentrix:tara" tara:rowspan="1" tara:colspan="1">
          <w:tcPr>
            <w:tcW w:w="6723" w:type="dxa"/>
          </w:tcPr>
          <w:p w14:paraId="2309B3FD" w14:textId="69FF1AE2">
            <w:pPr>
              <w:pStyle w:val="IPPArialTable"/>
              <w:jc w:val="both"/>
            </w:pPr>
            <w:r>
              <w:rPr>
                <w:rStyle w:val="PleaseReviewParagraphId"/>
                <w:b w:val="off"/>
                <w:i w:val="off"/>
              </w:rPr>
              <w:t>[139]</w:t>
            </w:r>
            <w:r>
              <w:t xml:space="preserve">Packaging (including wrapping) may be used to prevent infestation, contamination and damage by the weather before and during transport. </w:t>
            </w:r>
          </w:p>
        </w:tc>
      </w:tr>
      <w:tr w14:paraId="15BF900B" w14:textId="77777777">
        <w:tc xmlns:tara="kcentrix:tara" tara:rowspan="1" tara:colspan="1">
          <w:tcPr>
            <w:tcW w:w="2337" w:type="dxa"/>
          </w:tcPr>
          <w:p w14:paraId="39D04D48" w14:textId="19A0781A">
            <w:pPr>
              <w:pStyle w:val="IPPArialTable"/>
              <w:rPr>
                <w:b/>
                <w:bCs/>
              </w:rPr>
            </w:pPr>
            <w:r>
              <w:rPr>
                <w:rStyle w:val="PleaseReviewParagraphId"/>
                <w:b w:val="off"/>
                <w:i w:val="off"/>
              </w:rPr>
              <w:t>[140]</w:t>
            </w:r>
            <w:r>
              <w:rPr>
                <w:b/>
                <w:bCs/>
              </w:rPr>
              <w:t xml:space="preserve">Pre-dispatch sampling and inspection (section 2.4 of this standard) </w:t>
            </w:r>
          </w:p>
        </w:tc>
        <w:tc xmlns:tara="kcentrix:tara" tara:rowspan="1" tara:colspan="1">
          <w:tcPr>
            <w:tcW w:w="6723" w:type="dxa"/>
          </w:tcPr>
          <w:p w14:paraId="07319F79" w14:textId="5B0225C3">
            <w:pPr>
              <w:pStyle w:val="IPPArialTable"/>
              <w:jc w:val="both"/>
            </w:pPr>
            <w:r>
              <w:rPr>
                <w:rStyle w:val="PleaseReviewParagraphId"/>
                <w:b w:val="off"/>
                <w:i w:val="off"/>
              </w:rPr>
              <w:t>[141]</w:t>
            </w:r>
            <w:r>
              <w:t xml:space="preserve">To ensure that the phytosanitary import requirements of the importing country are met, sampling and inspection may be conducted at various points within a systems approach. </w:t>
            </w:r>
          </w:p>
        </w:tc>
      </w:tr>
      <w:tr w14:paraId="21CDF9AE" w14:textId="77777777">
        <w:tc xmlns:tara="kcentrix:tara" tara:rowspan="1" tara:colspan="1">
          <w:tcPr>
            <w:tcW w:w="2337" w:type="dxa"/>
          </w:tcPr>
          <w:p w14:paraId="2101B2ED" w14:textId="7F7699AA">
            <w:pPr>
              <w:pStyle w:val="IPPArialTable"/>
              <w:rPr>
                <w:rStyle w:val="PleaseReviewParagraphId"/>
              </w:rPr>
            </w:pPr>
            <w:r>
              <w:rPr>
                <w:rStyle w:val="PleaseReviewParagraphId"/>
                <w:b w:val="off"/>
                <w:i w:val="off"/>
              </w:rPr>
              <w:t>[142]</w:t>
            </w:r>
            <w:r>
              <w:rPr>
                <w:b/>
                <w:bCs/>
              </w:rPr>
              <w:lastRenderedPageBreak/>
              <w:t>Chemical treatment</w:t>
            </w:r>
          </w:p>
        </w:tc>
        <w:tc xmlns:tara="kcentrix:tara" tara:rowspan="1" tara:colspan="1">
          <w:tcPr>
            <w:tcW w:w="6723" w:type="dxa"/>
          </w:tcPr>
          <w:p w14:paraId="593A0490" w14:textId="1A105A42">
            <w:pPr>
              <w:pStyle w:val="IPPArialTable"/>
              <w:jc w:val="both"/>
              <w:rPr>
                <w:rStyle w:val="PleaseReviewParagraphId"/>
              </w:rPr>
            </w:pPr>
            <w:r>
              <w:rPr>
                <w:rStyle w:val="PleaseReviewParagraphId"/>
                <w:b w:val="off"/>
                <w:i w:val="off"/>
              </w:rPr>
              <w:t>[143]</w:t>
            </w:r>
            <w:r>
              <w:t>To prevent pests from infesting processed wood commodities, chemical treatments may be applied.</w:t>
            </w:r>
          </w:p>
        </w:tc>
      </w:tr>
      <w:tr w14:paraId="581BD722" w14:textId="77777777">
        <w:tc xmlns:tara="kcentrix:tara" tara:rowspan="1" tara:colspan="1">
          <w:tcPr>
            <w:tcW w:w="2337" w:type="dxa"/>
          </w:tcPr>
          <w:p w14:paraId="7105BA7A" w14:textId="767AD053">
            <w:pPr>
              <w:pStyle w:val="IPPArialTable"/>
              <w:rPr>
                <w:b/>
                <w:bCs/>
              </w:rPr>
            </w:pPr>
            <w:r>
              <w:rPr>
                <w:rStyle w:val="PleaseReviewParagraphId"/>
                <w:b w:val="off"/>
                <w:i w:val="off"/>
              </w:rPr>
              <w:t>[144]</w:t>
            </w:r>
            <w:r>
              <w:rPr>
                <w:b/>
                <w:bCs/>
              </w:rPr>
              <w:t>Sampling and laboratory testing (section 2.4 of this standard)</w:t>
            </w:r>
          </w:p>
        </w:tc>
        <w:tc xmlns:tara="kcentrix:tara" tara:rowspan="1" tara:colspan="1">
          <w:tcPr>
            <w:tcW w:w="6723" w:type="dxa"/>
          </w:tcPr>
          <w:p w14:paraId="03CFDB47" w14:textId="1594C598">
            <w:pPr>
              <w:pStyle w:val="IPPArialTable"/>
              <w:jc w:val="both"/>
            </w:pPr>
            <w:r>
              <w:rPr>
                <w:rStyle w:val="PleaseReviewParagraphId"/>
                <w:b w:val="off"/>
                <w:i w:val="off"/>
              </w:rPr>
              <w:t>[145]</w:t>
            </w:r>
            <w:bookmarkStart w:name="_Hlk107946118" w:id="17"/>
            <w:r>
              <w:t>When the identity of microscopic organisms such as fungi and nematodes on the outer surfaces of wood, or within the wood, cannot be confirmed through inspection,</w:t>
            </w:r>
            <w:bookmarkEnd w:id="17"/>
            <w:r>
              <w:t xml:space="preserve"> wood tissues may be collected according to methods approved by NPPOs and the pest species determined in the laboratory.</w:t>
            </w:r>
          </w:p>
        </w:tc>
      </w:tr>
      <w:tr w14:paraId="538003C8" w14:textId="77777777">
        <w:tc xmlns:tara="kcentrix:tara" tara:rowspan="1" tara:colspan="2">
          <w:tcPr>
            <w:tcW w:w="9060" w:type="dxa"/>
            <w:gridSpan w:val="2"/>
            <w:shd w:val="clear" w:color="auto" w:fill="D9D9D9" w:themeFill="background1" w:themeFillShade="D9"/>
          </w:tcPr>
          <w:p w14:paraId="70F71F7D" w14:textId="49D5A7C0">
            <w:pPr>
              <w:pStyle w:val="IPPArialTable"/>
              <w:jc w:val="center"/>
              <w:rPr>
                <w:b/>
                <w:bCs/>
              </w:rPr>
            </w:pPr>
            <w:r>
              <w:rPr>
                <w:rStyle w:val="PleaseReviewParagraphId"/>
                <w:b w:val="off"/>
                <w:i w:val="off"/>
              </w:rPr>
              <w:t>[146]</w:t>
            </w:r>
            <w:r>
              <w:rPr>
                <w:b/>
                <w:bCs/>
              </w:rPr>
              <w:t>Transport</w:t>
            </w:r>
          </w:p>
        </w:tc>
      </w:tr>
      <w:tr w14:paraId="11907ACF" w14:textId="77777777">
        <w:tc xmlns:tara="kcentrix:tara" tara:rowspan="1" tara:colspan="1">
          <w:tcPr>
            <w:tcW w:w="2337" w:type="dxa"/>
          </w:tcPr>
          <w:p w14:paraId="711DF5C8" w14:textId="62107C51">
            <w:pPr>
              <w:pStyle w:val="IPPArialTable"/>
              <w:rPr>
                <w:b/>
                <w:bCs/>
              </w:rPr>
            </w:pPr>
            <w:r>
              <w:rPr>
                <w:rStyle w:val="PleaseReviewParagraphId"/>
                <w:b w:val="off"/>
                <w:i w:val="off"/>
              </w:rPr>
              <w:t>[147]</w:t>
            </w:r>
            <w:r>
              <w:rPr>
                <w:b/>
                <w:bCs/>
              </w:rPr>
              <w:t>Protection during transport</w:t>
            </w:r>
          </w:p>
        </w:tc>
        <w:tc xmlns:tara="kcentrix:tara" tara:rowspan="1" tara:colspan="1">
          <w:tcPr>
            <w:tcW w:w="6723" w:type="dxa"/>
          </w:tcPr>
          <w:p w14:paraId="256AE99A" w14:textId="290C7DB9">
            <w:pPr>
              <w:pStyle w:val="IPPArialTable"/>
              <w:jc w:val="both"/>
            </w:pPr>
            <w:r>
              <w:rPr>
                <w:rStyle w:val="PleaseReviewParagraphId"/>
                <w:b w:val="off"/>
                <w:i w:val="off"/>
              </w:rPr>
              <w:t>[148]</w:t>
            </w:r>
            <w:r>
              <w:t>Wood commodities may be protected during transport (e.g. by covering them, wrapping them, or sealing them in closed containers) to reduce infestation by pests during transport.</w:t>
            </w:r>
          </w:p>
        </w:tc>
      </w:tr>
      <w:tr w14:paraId="68F3E0B7" w14:textId="77777777">
        <w:tc xmlns:tara="kcentrix:tara" tara:rowspan="1" tara:colspan="1">
          <w:tcPr>
            <w:tcW w:w="2337" w:type="dxa"/>
          </w:tcPr>
          <w:p w14:paraId="6EC42413" w14:textId="768DE286">
            <w:pPr>
              <w:pStyle w:val="IPPArialTable"/>
              <w:rPr>
                <w:b/>
                <w:bCs/>
              </w:rPr>
            </w:pPr>
            <w:r>
              <w:rPr>
                <w:rStyle w:val="PleaseReviewParagraphId"/>
                <w:b w:val="off"/>
                <w:i w:val="off"/>
              </w:rPr>
              <w:t>[149]</w:t>
            </w:r>
            <w:r>
              <w:rPr>
                <w:b/>
                <w:bCs/>
              </w:rPr>
              <w:t>Phytosanitary treatment during transport</w:t>
            </w:r>
          </w:p>
        </w:tc>
        <w:tc xmlns:tara="kcentrix:tara" tara:rowspan="1" tara:colspan="1">
          <w:tcPr>
            <w:tcW w:w="6723" w:type="dxa"/>
          </w:tcPr>
          <w:p w14:paraId="75A8D4AD" w14:textId="37313BBA">
            <w:pPr>
              <w:pStyle w:val="IPPArialTable"/>
              <w:jc w:val="both"/>
            </w:pPr>
            <w:r>
              <w:rPr>
                <w:rStyle w:val="PleaseReviewParagraphId"/>
                <w:b w:val="off"/>
                <w:i w:val="off"/>
              </w:rPr>
              <w:t>[150]</w:t>
            </w:r>
            <w:r>
              <w:t>Wood commodities may be treated in either containers or ship holds while in transit. The type of treatment that is appropriate depends on the type of container required or available, the expertise needed, shipping laws (including occupational and health requirements), the wood commodities being transported and the importing country’s phytosanitary import requirements.</w:t>
            </w:r>
          </w:p>
        </w:tc>
      </w:tr>
      <w:tr w14:paraId="6044368A" w14:textId="77777777">
        <w:tc xmlns:tara="kcentrix:tara" tara:rowspan="1" tara:colspan="1">
          <w:tcPr>
            <w:tcW w:w="2337" w:type="dxa"/>
          </w:tcPr>
          <w:p w14:paraId="6F00ADA9" w14:textId="4250878B">
            <w:pPr>
              <w:pStyle w:val="IPPArialTable"/>
              <w:rPr>
                <w:b/>
                <w:bCs/>
              </w:rPr>
            </w:pPr>
            <w:r>
              <w:rPr>
                <w:rStyle w:val="PleaseReviewParagraphId"/>
                <w:b w:val="off"/>
                <w:i w:val="off"/>
              </w:rPr>
              <w:t>[151]</w:t>
            </w:r>
            <w:r>
              <w:rPr>
                <w:b/>
                <w:bCs/>
              </w:rPr>
              <w:t>Planned transport routes</w:t>
            </w:r>
          </w:p>
        </w:tc>
        <w:tc xmlns:tara="kcentrix:tara" tara:rowspan="1" tara:colspan="1">
          <w:tcPr>
            <w:tcW w:w="6723" w:type="dxa"/>
          </w:tcPr>
          <w:p w14:paraId="08131CCA" w14:textId="7AB991CA">
            <w:pPr>
              <w:pStyle w:val="IPPArialTable"/>
              <w:jc w:val="both"/>
            </w:pPr>
            <w:r>
              <w:rPr>
                <w:rStyle w:val="PleaseReviewParagraphId"/>
                <w:b w:val="off"/>
                <w:i w:val="off"/>
              </w:rPr>
              <w:t>[152]</w:t>
            </w:r>
            <w:r>
              <w:t xml:space="preserve">The choice of transport route can affect pest risk. Pest risk may be reduced by choosing a route based on the known distribution and phenology of pests associated with the wood commodities being transported and the weather and climatic conditions during transit. </w:t>
            </w:r>
          </w:p>
        </w:tc>
      </w:tr>
      <w:tr w14:paraId="2FFBC3C0" w14:textId="77777777">
        <w:tc xmlns:tara="kcentrix:tara" tara:rowspan="1" tara:colspan="1">
          <w:tcPr>
            <w:tcW w:w="2337" w:type="dxa"/>
          </w:tcPr>
          <w:p w14:paraId="33ED3F13" w14:textId="22A1BA1B">
            <w:pPr>
              <w:pStyle w:val="IPPArialTable"/>
              <w:rPr>
                <w:b/>
                <w:bCs/>
              </w:rPr>
            </w:pPr>
            <w:r>
              <w:rPr>
                <w:rStyle w:val="PleaseReviewParagraphId"/>
                <w:b w:val="off"/>
                <w:i w:val="off"/>
              </w:rPr>
              <w:t>[153]</w:t>
            </w:r>
            <w:r>
              <w:rPr>
                <w:b/>
                <w:bCs/>
              </w:rPr>
              <w:t>Cleaning conveyances</w:t>
            </w:r>
          </w:p>
        </w:tc>
        <w:tc xmlns:tara="kcentrix:tara" tara:rowspan="1" tara:colspan="1">
          <w:tcPr>
            <w:tcW w:w="6723" w:type="dxa"/>
          </w:tcPr>
          <w:p w14:paraId="2F9987CE" w14:textId="778BC95F">
            <w:pPr>
              <w:pStyle w:val="IPPArialTable"/>
              <w:jc w:val="both"/>
            </w:pPr>
            <w:r>
              <w:rPr>
                <w:rStyle w:val="PleaseReviewParagraphId"/>
                <w:b w:val="off"/>
                <w:i w:val="off"/>
              </w:rPr>
              <w:t>[154]</w:t>
            </w:r>
            <w:r>
              <w:t>Conveyances may be cleaned before loading or after unloading to reduce infestation of wood commodities by pests from previous cargoes.</w:t>
            </w:r>
          </w:p>
        </w:tc>
      </w:tr>
    </w:tbl>
    <w:p w14:paraId="68917563" w14:textId="4D8CFFE8">
      <w:pPr>
        <w:pStyle w:val="IPPArialFootnote"/>
      </w:pPr>
      <w:r>
        <w:rPr>
          <w:rStyle w:val="PleaseReviewParagraphId"/>
          <w:b w:val="off"/>
          <w:i w:val="off"/>
        </w:rPr>
        <w:t>[155]</w:t>
      </w:r>
      <w:r>
        <w:rPr>
          <w:i/>
          <w:iCs/>
        </w:rPr>
        <w:t xml:space="preserve">Notes: </w:t>
      </w:r>
      <w:r>
        <w:t>NPPO, national plant protection organization.</w:t>
      </w:r>
    </w:p>
    <w:p w14:paraId="2F515299" w14:textId="69CBF9FC">
      <w:pPr>
        <w:pStyle w:val="IPPArialFootnote"/>
        <w:spacing w:after="180"/>
      </w:pPr>
      <w:r>
        <w:rPr>
          <w:rStyle w:val="PleaseReviewParagraphId"/>
          <w:b w:val="off"/>
          <w:i w:val="off"/>
        </w:rPr>
        <w:t>[156]</w:t>
      </w:r>
      <w:r>
        <w:t xml:space="preserve">ISPMs are available at </w:t>
      </w:r>
      <w:hyperlink w:history="1" r:id="rId11">
        <w:r>
          <w:rPr>
            <w:rStyle w:val="Hyperlink"/>
          </w:rPr>
          <w:t>https://www.ippc.int/core-activities/standards-setting/ispms</w:t>
        </w:r>
      </w:hyperlink>
      <w:r>
        <w:t>.</w:t>
      </w:r>
    </w:p>
    <w:p w14:paraId="30819C4C" w14:textId="39B15A7B">
      <w:pPr>
        <w:pStyle w:val="IPPParagraphnumbering"/>
        <w:tabs>
          <w:tab w:val="clear" w:pos="0"/>
        </w:tabs>
        <w:ind w:firstLine="0"/>
        <w:rPr>
          <w:rStyle w:val="PleaseReviewParagraphId"/>
          <w:lang w:val="en-GB"/>
        </w:rPr>
      </w:pPr>
      <w:r>
        <w:rPr>
          <w:rStyle w:val="PleaseReviewParagraphId"/>
          <w:b w:val="off"/>
          <w:i w:val="off"/>
        </w:rPr>
        <w:t>[157]</w:t>
      </w:r>
      <w:r>
        <w:rPr>
          <w:lang w:val="en-GB"/>
        </w:rPr>
        <w:t>When applicable and feasible, some of the practices, procedures or regulatory actions described in Table 1 may be applied as post-import measures. In addition, practices, procedures or regulatory actions that are specific to the post-import part of the production chain may be employed as components of the systems approach, if agreed by the NPPO of the importing country and the NPPO of the exporting country (Table 2).</w:t>
      </w:r>
    </w:p>
    <w:p w14:paraId="5DDA862E" w14:textId="237C5356">
      <w:pPr>
        <w:pStyle w:val="IPPArial"/>
        <w:keepNext/>
        <w:spacing w:after="120"/>
      </w:pPr>
      <w:r>
        <w:rPr>
          <w:rStyle w:val="PleaseReviewParagraphId"/>
          <w:b w:val="off"/>
          <w:i w:val="off"/>
        </w:rPr>
        <w:t>[158]</w:t>
      </w:r>
      <w:r>
        <w:rPr>
          <w:b/>
          <w:bCs/>
        </w:rPr>
        <w:t>Table 2.</w:t>
      </w:r>
      <w:r>
        <w:t xml:space="preserve"> Examples of post-import practices, procedures and regulatory actions that may be used in a wood-commodities systems approach</w:t>
      </w:r>
    </w:p>
    <w:tbl>
      <w:tblPr>
        <w:tblStyle w:val="TableGrid"/>
        <w:tblW w:w="0" w:type="auto"/>
        <w:tblLook w:val="04A0" w:firstRow="1" w:lastRow="0" w:firstColumn="1" w:lastColumn="0" w:noHBand="0" w:noVBand="1"/>
      </w:tblPr>
      <w:tblGrid>
        <w:gridCol w:w="1835"/>
        <w:gridCol w:w="7225"/>
      </w:tblGrid>
      <w:tr w14:paraId="6A5B744B" w14:textId="77777777">
        <w:tc xmlns:tara="kcentrix:tara" tara:rowspan="1" tara:colspan="1">
          <w:tcPr>
            <w:tcW w:w="1835" w:type="dxa"/>
          </w:tcPr>
          <w:p w14:paraId="235A814F" w14:textId="60828F4F">
            <w:pPr>
              <w:pStyle w:val="IPPArialTable"/>
              <w:rPr>
                <w:b/>
                <w:bCs/>
              </w:rPr>
            </w:pPr>
            <w:r>
              <w:rPr>
                <w:rStyle w:val="PleaseReviewParagraphId"/>
                <w:b w:val="off"/>
                <w:i w:val="off"/>
              </w:rPr>
              <w:t>[159]</w:t>
            </w:r>
            <w:r>
              <w:rPr>
                <w:b/>
                <w:bCs/>
              </w:rPr>
              <w:t>Storage in an importing country</w:t>
            </w:r>
          </w:p>
        </w:tc>
        <w:tc xmlns:tara="kcentrix:tara" tara:rowspan="1" tara:colspan="1">
          <w:tcPr>
            <w:tcW w:w="7225" w:type="dxa"/>
          </w:tcPr>
          <w:p w14:paraId="621F6B12" w14:textId="1552565B">
            <w:pPr>
              <w:pStyle w:val="IPPArialTable"/>
              <w:jc w:val="both"/>
            </w:pPr>
            <w:r>
              <w:rPr>
                <w:rStyle w:val="PleaseReviewParagraphId"/>
                <w:b w:val="off"/>
                <w:i w:val="off"/>
              </w:rPr>
              <w:t>[160]</w:t>
            </w:r>
            <w:r>
              <w:t>A systems approach may include provisions for wood-commodity storage that are designed to prevent pest escape, infestation, and contamination of storage areas.</w:t>
            </w:r>
          </w:p>
        </w:tc>
      </w:tr>
      <w:tr w14:paraId="52D674CD" w14:textId="77777777">
        <w:tc xmlns:tara="kcentrix:tara" tara:rowspan="1" tara:colspan="1">
          <w:tcPr>
            <w:tcW w:w="1835" w:type="dxa"/>
          </w:tcPr>
          <w:p w14:paraId="0429F68F" w14:textId="2A6D06CC">
            <w:pPr>
              <w:pStyle w:val="IPPArialTable"/>
              <w:rPr>
                <w:b/>
                <w:bCs/>
              </w:rPr>
            </w:pPr>
            <w:r>
              <w:rPr>
                <w:rStyle w:val="PleaseReviewParagraphId"/>
                <w:b w:val="off"/>
                <w:i w:val="off"/>
              </w:rPr>
              <w:t>[161]</w:t>
            </w:r>
            <w:r>
              <w:rPr>
                <w:b/>
                <w:bCs/>
              </w:rPr>
              <w:t>Treatment on arrival</w:t>
            </w:r>
          </w:p>
        </w:tc>
        <w:tc xmlns:tara="kcentrix:tara" tara:rowspan="1" tara:colspan="1">
          <w:tcPr>
            <w:tcW w:w="7225" w:type="dxa"/>
          </w:tcPr>
          <w:p w14:paraId="58E48BDD" w14:textId="1F88C596">
            <w:pPr>
              <w:pStyle w:val="IPPArialTable"/>
              <w:jc w:val="both"/>
            </w:pPr>
            <w:r>
              <w:rPr>
                <w:rStyle w:val="PleaseReviewParagraphId"/>
                <w:b w:val="off"/>
                <w:i w:val="off"/>
              </w:rPr>
              <w:t>[162]</w:t>
            </w:r>
            <w:r>
              <w:t xml:space="preserve">Treatment on arrival may be included as part of a systems approach. </w:t>
            </w:r>
          </w:p>
        </w:tc>
      </w:tr>
      <w:tr w14:paraId="6B46649F" w14:textId="77777777">
        <w:tc xmlns:tara="kcentrix:tara" tara:rowspan="1" tara:colspan="1">
          <w:tcPr>
            <w:tcW w:w="1835" w:type="dxa"/>
          </w:tcPr>
          <w:p w14:paraId="51894A85" w14:textId="6F144149">
            <w:pPr>
              <w:pStyle w:val="IPPArialTable"/>
              <w:rPr>
                <w:b/>
                <w:bCs/>
              </w:rPr>
            </w:pPr>
            <w:r>
              <w:rPr>
                <w:rStyle w:val="PleaseReviewParagraphId"/>
                <w:b w:val="off"/>
                <w:i w:val="off"/>
              </w:rPr>
              <w:t>[163]</w:t>
            </w:r>
            <w:r>
              <w:rPr>
                <w:b/>
                <w:bCs/>
              </w:rPr>
              <w:t>Inspection on arrival</w:t>
            </w:r>
          </w:p>
        </w:tc>
        <w:tc xmlns:tara="kcentrix:tara" tara:rowspan="1" tara:colspan="1">
          <w:tcPr>
            <w:tcW w:w="7225" w:type="dxa"/>
          </w:tcPr>
          <w:p w14:paraId="1AFCB207" w14:textId="6BB2AC37">
            <w:pPr>
              <w:pStyle w:val="IPPArialTable"/>
              <w:jc w:val="both"/>
            </w:pPr>
            <w:r>
              <w:rPr>
                <w:rStyle w:val="PleaseReviewParagraphId"/>
                <w:b w:val="off"/>
                <w:i w:val="off"/>
              </w:rPr>
              <w:t>[164]</w:t>
            </w:r>
            <w:r>
              <w:t>Inspection on arrival may be used to verify that wood commodities meet the phytosanitary import requirements of the importing country. Inspections should be conducted in accordance with ISPM 23 (</w:t>
            </w:r>
            <w:r>
              <w:rPr>
                <w:i/>
                <w:iCs/>
              </w:rPr>
              <w:t>Guidelines for inspection</w:t>
            </w:r>
            <w:r>
              <w:t>).</w:t>
            </w:r>
          </w:p>
        </w:tc>
      </w:tr>
      <w:tr w14:paraId="220F66D8" w14:textId="77777777">
        <w:tc xmlns:tara="kcentrix:tara" tara:rowspan="1" tara:colspan="1">
          <w:tcPr>
            <w:tcW w:w="1835" w:type="dxa"/>
          </w:tcPr>
          <w:p w14:paraId="068F1CCE" w14:textId="5C768249">
            <w:pPr>
              <w:pStyle w:val="IPPArialTable"/>
              <w:rPr>
                <w:b/>
                <w:bCs/>
              </w:rPr>
            </w:pPr>
            <w:r>
              <w:rPr>
                <w:rStyle w:val="PleaseReviewParagraphId"/>
                <w:b w:val="off"/>
                <w:i w:val="off"/>
              </w:rPr>
              <w:t>[165]</w:t>
            </w:r>
            <w:r>
              <w:rPr>
                <w:b/>
                <w:bCs/>
              </w:rPr>
              <w:t>Limiting intended use (section 3 of this standard)</w:t>
            </w:r>
          </w:p>
        </w:tc>
        <w:tc xmlns:tara="kcentrix:tara" tara:rowspan="1" tara:colspan="1">
          <w:tcPr>
            <w:tcW w:w="7225" w:type="dxa"/>
          </w:tcPr>
          <w:p w14:paraId="09BAD1CE" w14:textId="6811BC4B">
            <w:pPr>
              <w:pStyle w:val="IPPArialTable"/>
              <w:jc w:val="both"/>
            </w:pPr>
            <w:r>
              <w:rPr>
                <w:rStyle w:val="PleaseReviewParagraphId"/>
                <w:b w:val="off"/>
                <w:i w:val="off"/>
              </w:rPr>
              <w:t>[166]</w:t>
            </w:r>
            <w:r>
              <w:t xml:space="preserve">The intended uses of the wood commodities being imported may be stipulated in a systems approach. The systems approach may be set up for a particular intended use, such as wood chipping (as wood chipping effectively reduces potential infestation by wood borers), and this intended use may determine the measures to be applied along the production chain and result in a different pest risk compared to other intended uses. </w:t>
            </w:r>
          </w:p>
          <w:p w14:paraId="3B50B3D3" w14:textId="34A549D3">
            <w:pPr>
              <w:pStyle w:val="IPPArialTable"/>
              <w:jc w:val="both"/>
            </w:pPr>
            <w:r>
              <w:rPr>
                <w:rStyle w:val="PleaseReviewParagraphId"/>
                <w:b w:val="off"/>
                <w:i w:val="off"/>
              </w:rPr>
              <w:t>[167]</w:t>
            </w:r>
            <w:r>
              <w:t>The wood commodity may be suitable for storage and processing within a certain time frame on arrival via an NPPO-approved system for a particular pest (e.g. chipping and pelleting of wood on arrival).</w:t>
            </w:r>
          </w:p>
        </w:tc>
      </w:tr>
      <w:tr w14:paraId="5BDC1659" w14:textId="77777777">
        <w:tc xmlns:tara="kcentrix:tara" tara:rowspan="1" tara:colspan="1">
          <w:tcPr>
            <w:tcW w:w="1835" w:type="dxa"/>
          </w:tcPr>
          <w:p w14:paraId="43E920FE" w14:textId="6A9ACC96">
            <w:pPr>
              <w:pStyle w:val="IPPArialTable"/>
              <w:rPr>
                <w:b/>
                <w:bCs/>
              </w:rPr>
            </w:pPr>
            <w:r>
              <w:rPr>
                <w:rStyle w:val="PleaseReviewParagraphId"/>
                <w:b w:val="off"/>
                <w:i w:val="off"/>
              </w:rPr>
              <w:t>[168]</w:t>
            </w:r>
            <w:r>
              <w:rPr>
                <w:b/>
                <w:bCs/>
              </w:rPr>
              <w:t>Limiting points of entry and distribution</w:t>
            </w:r>
          </w:p>
        </w:tc>
        <w:tc xmlns:tara="kcentrix:tara" tara:rowspan="1" tara:colspan="1">
          <w:tcPr>
            <w:tcW w:w="7225" w:type="dxa"/>
          </w:tcPr>
          <w:p w14:paraId="61A396C6" w14:textId="128755F7">
            <w:pPr>
              <w:pStyle w:val="IPPArialTable"/>
              <w:jc w:val="both"/>
            </w:pPr>
            <w:r>
              <w:rPr>
                <w:rStyle w:val="PleaseReviewParagraphId"/>
                <w:b w:val="off"/>
                <w:i w:val="off"/>
              </w:rPr>
              <w:t>[169]</w:t>
            </w:r>
            <w:r>
              <w:t xml:space="preserve">Specific points of entry or restrictions on the distribution of wood commodities after import (e.g. permitting initial movement only to a treatment facility) may be stipulated in a systems approach. </w:t>
            </w:r>
            <w:r>
              <w:rPr>
                <w:rFonts w:cs="Arial"/>
                <w:szCs w:val="18"/>
              </w:rPr>
              <w:t>The importing country shall publish a list of such points of entry (Article VII.2(d) of the IPPC).</w:t>
            </w:r>
          </w:p>
        </w:tc>
      </w:tr>
    </w:tbl>
    <w:p w14:paraId="618D886F" w14:textId="40290C0B">
      <w:pPr>
        <w:pStyle w:val="IPPHeading1"/>
        <w:ind w:left="0" w:firstLine="0"/>
      </w:pPr>
      <w:r>
        <w:rPr>
          <w:rStyle w:val="PleaseReviewParagraphId"/>
          <w:b w:val="off"/>
          <w:i w:val="off"/>
        </w:rPr>
        <w:t>[170]</w:t>
      </w:r>
      <w:r>
        <w:t>3.</w:t>
        <w:tab/>
        <w:t>Designing a wood-commodities systems approach</w:t>
      </w:r>
    </w:p>
    <w:p w14:paraId="0DB7E8BD" w14:textId="6E271920">
      <w:pPr>
        <w:pStyle w:val="IPPParagraphnumbering"/>
        <w:tabs>
          <w:tab w:val="clear" w:pos="0"/>
        </w:tabs>
        <w:ind w:firstLine="0"/>
        <w:rPr>
          <w:lang w:val="en-GB"/>
        </w:rPr>
      </w:pPr>
      <w:r>
        <w:rPr>
          <w:rStyle w:val="PleaseReviewParagraphId"/>
          <w:b w:val="off"/>
          <w:i w:val="off"/>
        </w:rPr>
        <w:t>[171]</w:t>
      </w:r>
      <w:bookmarkStart w:name="_Hlk107670351" w:id="18"/>
      <w:bookmarkStart w:name="_Hlk107673896" w:id="19"/>
      <w:r>
        <w:rPr>
          <w:lang w:val="en-GB"/>
        </w:rPr>
        <w:t xml:space="preserve">When designing a systems approach, the NPPO of the exporting country should select appropriate practices, procedures and regulatory actions, for example from those described in Table 1 and Table 2, </w:t>
        <w:lastRenderedPageBreak/>
        <w:t>and propose these to the NPPO of the importing country along with an explanation of how these practices, procedures and regulatory actions would reduce the pest risk associated with wood commodities to meet the phytosanitary import requirements of the importing country</w:t>
      </w:r>
      <w:bookmarkEnd w:id="18"/>
      <w:r>
        <w:rPr>
          <w:lang w:val="en-GB"/>
        </w:rPr>
        <w:t xml:space="preserve">. The NPPO of the importing country should evaluate whether the proposed measures meet their phytosanitary import requirements. The NPPO of the importing country may request scientific evidence from the NPPO of the exporting country regarding the effectiveness and feasibility of the proposed measures. </w:t>
      </w:r>
    </w:p>
    <w:p w14:paraId="6368490A" w14:textId="2900BEB2">
      <w:pPr>
        <w:pStyle w:val="IPPParagraphnumbering"/>
        <w:tabs>
          <w:tab w:val="clear" w:pos="0"/>
        </w:tabs>
        <w:ind w:firstLine="0"/>
        <w:rPr>
          <w:lang w:val="en-GB"/>
        </w:rPr>
      </w:pPr>
      <w:r>
        <w:rPr>
          <w:rStyle w:val="PleaseReviewParagraphId"/>
          <w:b w:val="off"/>
          <w:i w:val="off"/>
        </w:rPr>
        <w:t>[172]</w:t>
      </w:r>
      <w:bookmarkStart w:name="_Hlk107671077" w:id="20"/>
      <w:r>
        <w:rPr>
          <w:lang w:val="en-GB"/>
        </w:rPr>
        <w:t xml:space="preserve">Consideration of best practices and standards used by industry to produce wood commodities may promote the development of the systems approach in a way that is feasible for, and acceptable to, both the exporting and the importing country. </w:t>
      </w:r>
      <w:bookmarkStart w:name="_Hlk107671103" w:id="21"/>
      <w:bookmarkEnd w:id="20"/>
      <w:r>
        <w:rPr>
          <w:lang w:val="en-GB"/>
        </w:rPr>
        <w:t>Industry has experience and an in-depth understanding of the wood production chain, and NPPOs are encouraged to engage industry in the early stages of the development of the systems approach.</w:t>
      </w:r>
      <w:bookmarkEnd w:id="21"/>
      <w:r>
        <w:rPr>
          <w:lang w:val="en-GB"/>
        </w:rPr>
        <w:t xml:space="preserve"> </w:t>
      </w:r>
    </w:p>
    <w:bookmarkEnd w:id="19"/>
    <w:p w14:paraId="14D29CCB" w14:textId="577EF329">
      <w:pPr>
        <w:pStyle w:val="IPPHeading1"/>
      </w:pPr>
      <w:r>
        <w:rPr>
          <w:rStyle w:val="PleaseReviewParagraphId"/>
          <w:b w:val="off"/>
          <w:i w:val="off"/>
        </w:rPr>
        <w:t>[173]</w:t>
      </w:r>
      <w:r>
        <w:t>4.</w:t>
        <w:tab/>
        <w:t>Responsibilities for implementation of a wood-commodities systems approach</w:t>
      </w:r>
    </w:p>
    <w:p w14:paraId="6ED5CC7E" w14:textId="0466197D">
      <w:pPr>
        <w:pStyle w:val="IPPHeading2"/>
      </w:pPr>
      <w:r>
        <w:rPr>
          <w:rStyle w:val="PleaseReviewParagraphId"/>
          <w:b w:val="off"/>
          <w:i w:val="off"/>
        </w:rPr>
        <w:t>[174]</w:t>
      </w:r>
      <w:r>
        <w:t>4.1</w:t>
        <w:tab/>
        <w:t>Responsibilities of NPPOs</w:t>
      </w:r>
    </w:p>
    <w:p w14:paraId="1B12F92F" w14:textId="1EE7FDF2">
      <w:pPr>
        <w:pStyle w:val="IPPParagraphnumberingclose"/>
        <w:tabs>
          <w:tab w:val="clear" w:pos="0"/>
        </w:tabs>
        <w:ind w:firstLine="0"/>
        <w:rPr>
          <w:lang w:val="en-GB"/>
        </w:rPr>
      </w:pPr>
      <w:r>
        <w:rPr>
          <w:rStyle w:val="PleaseReviewParagraphId"/>
          <w:b w:val="off"/>
          <w:i w:val="off"/>
        </w:rPr>
        <w:t>[175]</w:t>
      </w:r>
      <w:r>
        <w:rPr>
          <w:lang w:val="en-GB"/>
        </w:rPr>
        <w:t>The responsibilities of the NPPOs participating in a systems approach are described in ISPM 14. In addition, for a wood-commodities systems approach the responsibilities should include, but are not limited to, the following:</w:t>
      </w:r>
    </w:p>
    <w:p w14:paraId="41EE39D8" w14:textId="61F28290">
      <w:pPr>
        <w:pStyle w:val="IPPBullet1"/>
        <w:rPr>
          <w:lang w:val="en-GB"/>
        </w:rPr>
      </w:pPr>
      <w:r>
        <w:rPr>
          <w:rStyle w:val="PleaseReviewParagraphId"/>
          <w:b w:val="off"/>
          <w:i w:val="off"/>
        </w:rPr>
        <w:t>[176]</w:t>
      </w:r>
      <w:r>
        <w:rPr>
          <w:lang w:val="en-GB"/>
        </w:rPr>
        <w:t>communicating the phytosanitary import requirements of the importing country and the requirements, specifically, of the wood-commodities systems approach, to all participating entities;</w:t>
      </w:r>
    </w:p>
    <w:p w14:paraId="6B2DEF07" w14:textId="7C1A0151">
      <w:pPr>
        <w:pStyle w:val="IPPBullet1"/>
        <w:rPr>
          <w:lang w:val="en-GB"/>
        </w:rPr>
      </w:pPr>
      <w:r>
        <w:rPr>
          <w:rStyle w:val="PleaseReviewParagraphId"/>
          <w:b w:val="off"/>
          <w:i w:val="off"/>
        </w:rPr>
        <w:t>[177]</w:t>
      </w:r>
      <w:r>
        <w:rPr>
          <w:lang w:val="en-GB"/>
        </w:rPr>
        <w:t>documenting and agreeing to compliance procedures;</w:t>
      </w:r>
    </w:p>
    <w:p w14:paraId="5C37DE65" w14:textId="56C2214D">
      <w:pPr>
        <w:pStyle w:val="IPPBullet1"/>
        <w:rPr>
          <w:lang w:val="en-GB"/>
        </w:rPr>
      </w:pPr>
      <w:r>
        <w:rPr>
          <w:rStyle w:val="PleaseReviewParagraphId"/>
          <w:b w:val="off"/>
          <w:i w:val="off"/>
        </w:rPr>
        <w:t>[178]</w:t>
      </w:r>
      <w:r>
        <w:rPr>
          <w:lang w:val="en-GB"/>
        </w:rPr>
        <w:t>determining the necessary corrective actions and conducting follow-up audits when nonconformities have been detected;</w:t>
      </w:r>
    </w:p>
    <w:p w14:paraId="665BB676" w14:textId="522CA036">
      <w:pPr>
        <w:pStyle w:val="IPPBullet1"/>
        <w:rPr>
          <w:lang w:val="en-GB"/>
        </w:rPr>
      </w:pPr>
      <w:r>
        <w:rPr>
          <w:rStyle w:val="PleaseReviewParagraphId"/>
          <w:b w:val="off"/>
          <w:i w:val="off"/>
        </w:rPr>
        <w:t>[179]</w:t>
      </w:r>
      <w:r>
        <w:rPr>
          <w:lang w:val="en-GB"/>
        </w:rPr>
        <w:t>reviewing the requirements or the design of the systems approach to address nonconformities, in order to prevent recurrence of the failures identified;</w:t>
      </w:r>
    </w:p>
    <w:p w14:paraId="236D861E" w14:textId="40BD3795">
      <w:pPr>
        <w:pStyle w:val="IPPBullet1"/>
        <w:rPr>
          <w:lang w:val="en-GB"/>
        </w:rPr>
      </w:pPr>
      <w:r>
        <w:rPr>
          <w:rStyle w:val="PleaseReviewParagraphId"/>
          <w:b w:val="off"/>
          <w:i w:val="off"/>
        </w:rPr>
        <w:t>[180]</w:t>
      </w:r>
      <w:r>
        <w:rPr>
          <w:lang w:val="en-GB"/>
        </w:rPr>
        <w:t xml:space="preserve">confirming whether the importing country requires entities to be authorized to participate in the systems approach; </w:t>
      </w:r>
    </w:p>
    <w:p w14:paraId="6773AAAD" w14:textId="407195DC">
      <w:pPr>
        <w:pStyle w:val="IPPBullet1"/>
        <w:rPr>
          <w:lang w:val="en-GB"/>
        </w:rPr>
      </w:pPr>
      <w:r>
        <w:rPr>
          <w:rStyle w:val="PleaseReviewParagraphId"/>
          <w:b w:val="off"/>
          <w:i w:val="off"/>
        </w:rPr>
        <w:t>[181]</w:t>
      </w:r>
      <w:r>
        <w:rPr>
          <w:lang w:val="en-GB"/>
        </w:rPr>
        <w:t>ensuring that entities participating in the systems approach are authorized in accordance with ISPM 45 (</w:t>
      </w:r>
      <w:r>
        <w:rPr>
          <w:i/>
          <w:lang w:val="en-GB"/>
        </w:rPr>
        <w:t>Requirements for national plant protection organizations if authorizing entities to perform phytosanitary actions</w:t>
      </w:r>
      <w:r>
        <w:rPr>
          <w:lang w:val="en-GB"/>
        </w:rPr>
        <w:t>), if authorization is required by the importing country; and</w:t>
      </w:r>
    </w:p>
    <w:p w14:paraId="5B679892" w14:textId="4360697A">
      <w:pPr>
        <w:pStyle w:val="IPPBullet1Last"/>
      </w:pPr>
      <w:r>
        <w:rPr>
          <w:rStyle w:val="PleaseReviewParagraphId"/>
          <w:b w:val="off"/>
          <w:i w:val="off"/>
        </w:rPr>
        <w:t>[182]</w:t>
      </w:r>
      <w:r>
        <w:t>ensuring that the systems approach is audited in accordance with ISPM 47 (</w:t>
      </w:r>
      <w:r>
        <w:rPr>
          <w:i/>
          <w:iCs/>
        </w:rPr>
        <w:t>Audit in the phytosanitary context</w:t>
      </w:r>
      <w:r>
        <w:t>).</w:t>
      </w:r>
    </w:p>
    <w:p w14:paraId="3054FE32" w14:textId="192AD084">
      <w:pPr>
        <w:pStyle w:val="IPPHeading2"/>
      </w:pPr>
      <w:r>
        <w:rPr>
          <w:rStyle w:val="PleaseReviewParagraphId"/>
          <w:b w:val="off"/>
          <w:i w:val="off"/>
        </w:rPr>
        <w:t>[183]</w:t>
      </w:r>
      <w:r>
        <w:t>4.2</w:t>
        <w:tab/>
        <w:t>Responsibilities of entities participating in the systems approach</w:t>
      </w:r>
    </w:p>
    <w:p w14:paraId="47A87FE2" w14:textId="0147A041">
      <w:pPr>
        <w:pStyle w:val="IPPParagraphnumberingclose"/>
        <w:tabs>
          <w:tab w:val="clear" w:pos="0"/>
        </w:tabs>
        <w:ind w:firstLine="0"/>
        <w:rPr>
          <w:lang w:val="en-GB"/>
        </w:rPr>
      </w:pPr>
      <w:r>
        <w:rPr>
          <w:rStyle w:val="PleaseReviewParagraphId"/>
          <w:b w:val="off"/>
          <w:i w:val="off"/>
        </w:rPr>
        <w:t>[184]</w:t>
      </w:r>
      <w:r>
        <w:rPr>
          <w:lang w:val="en-GB"/>
        </w:rPr>
        <w:t>The authorized entities participating in the systems approach, whether in the importing or exporting country, should conform with the requirements of ISPM 45.</w:t>
      </w:r>
    </w:p>
    <w:p w14:paraId="263ED207" w14:textId="5C484564">
      <w:pPr>
        <w:pStyle w:val="IPPHeading1"/>
      </w:pPr>
      <w:r>
        <w:rPr>
          <w:rStyle w:val="PleaseReviewParagraphId"/>
          <w:b w:val="off"/>
          <w:i w:val="off"/>
        </w:rPr>
        <w:t>[185]</w:t>
      </w:r>
      <w:r>
        <w:t>5.</w:t>
        <w:tab/>
        <w:t>Documentation</w:t>
      </w:r>
    </w:p>
    <w:p w14:paraId="530C109D" w14:textId="5D6C17E8">
      <w:pPr>
        <w:pStyle w:val="IPPParagraphnumbering"/>
        <w:tabs>
          <w:tab w:val="clear" w:pos="0"/>
        </w:tabs>
        <w:ind w:firstLine="0"/>
        <w:rPr>
          <w:lang w:val="en-GB"/>
        </w:rPr>
      </w:pPr>
      <w:r>
        <w:rPr>
          <w:rStyle w:val="PleaseReviewParagraphId"/>
          <w:b w:val="off"/>
          <w:i w:val="off"/>
        </w:rPr>
        <w:t>[186]</w:t>
      </w:r>
      <w:r>
        <w:rPr>
          <w:lang w:val="en-GB"/>
        </w:rPr>
        <w:t>To facilitate the successful implementation and effective communication of a wood-commodities systems approach, documents should include a description of the NPPOs’ requirements for the systems approach, the procedures for implementing the systems approach and the records of its implementation.</w:t>
      </w:r>
    </w:p>
    <w:p w14:paraId="10E6281C" w14:textId="7473B8DC">
      <w:pPr>
        <w:pStyle w:val="IPPHeading2"/>
      </w:pPr>
      <w:r>
        <w:rPr>
          <w:rStyle w:val="PleaseReviewParagraphId"/>
          <w:b w:val="off"/>
          <w:i w:val="off"/>
        </w:rPr>
        <w:t>[187]</w:t>
      </w:r>
      <w:r>
        <w:t>5.1</w:t>
        <w:tab/>
        <w:t>Description of systems approach requirements</w:t>
      </w:r>
    </w:p>
    <w:p w14:paraId="689D822D" w14:textId="66283706">
      <w:pPr>
        <w:pStyle w:val="IPPParagraphnumberingclose"/>
        <w:tabs>
          <w:tab w:val="clear" w:pos="0"/>
        </w:tabs>
        <w:ind w:firstLine="0"/>
        <w:rPr>
          <w:lang w:val="en-GB"/>
        </w:rPr>
      </w:pPr>
      <w:r>
        <w:rPr>
          <w:rStyle w:val="PleaseReviewParagraphId"/>
          <w:b w:val="off"/>
          <w:i w:val="off"/>
        </w:rPr>
        <w:t>[188]</w:t>
      </w:r>
      <w:r>
        <w:rPr>
          <w:lang w:val="en-GB"/>
        </w:rPr>
        <w:t>National plant protection organizations should produce a description of the requirements for the systems approach. This description should cover aspects including, but not limited to:</w:t>
      </w:r>
    </w:p>
    <w:p w14:paraId="7D97E78A" w14:textId="6CB2C590">
      <w:pPr>
        <w:pStyle w:val="IPPBullet1"/>
        <w:rPr>
          <w:lang w:val="en-GB"/>
        </w:rPr>
      </w:pPr>
      <w:r>
        <w:rPr>
          <w:rStyle w:val="PleaseReviewParagraphId"/>
          <w:b w:val="off"/>
          <w:i w:val="off"/>
        </w:rPr>
        <w:t>[189]</w:t>
      </w:r>
      <w:r>
        <w:rPr>
          <w:lang w:val="en-GB"/>
        </w:rPr>
        <w:t>the scope and purpose of the systems approach;</w:t>
      </w:r>
    </w:p>
    <w:p w14:paraId="479A8840" w14:textId="1EF7F5FB">
      <w:pPr>
        <w:pStyle w:val="IPPBullet1"/>
        <w:rPr>
          <w:lang w:val="en-GB"/>
        </w:rPr>
      </w:pPr>
      <w:r>
        <w:rPr>
          <w:rStyle w:val="PleaseReviewParagraphId"/>
          <w:b w:val="off"/>
          <w:i w:val="off"/>
        </w:rPr>
        <w:t>[190]</w:t>
      </w:r>
      <w:r>
        <w:rPr>
          <w:lang w:val="en-GB"/>
        </w:rPr>
        <w:t>the measures to be applied;</w:t>
      </w:r>
    </w:p>
    <w:p w14:paraId="0E69E77B" w14:textId="33877D82">
      <w:pPr>
        <w:pStyle w:val="IPPBullet1"/>
        <w:rPr>
          <w:lang w:val="en-GB"/>
        </w:rPr>
      </w:pPr>
      <w:r>
        <w:rPr>
          <w:rStyle w:val="PleaseReviewParagraphId"/>
          <w:b w:val="off"/>
          <w:i w:val="off"/>
        </w:rPr>
        <w:t>[191]</w:t>
      </w:r>
      <w:r>
        <w:rPr>
          <w:lang w:val="en-GB"/>
        </w:rPr>
        <w:t>the responsibilities of the NPPOs and participating entities; and</w:t>
      </w:r>
    </w:p>
    <w:p w14:paraId="0FE20033" w14:textId="16AC611F">
      <w:pPr>
        <w:pStyle w:val="IPPBullet1Last"/>
      </w:pPr>
      <w:r>
        <w:rPr>
          <w:rStyle w:val="PleaseReviewParagraphId"/>
          <w:b w:val="off"/>
          <w:i w:val="off"/>
        </w:rPr>
        <w:t>[192]</w:t>
      </w:r>
      <w:r>
        <w:t>traceability.</w:t>
      </w:r>
    </w:p>
    <w:p w14:paraId="6C2E65F0" w14:textId="6688FFCD">
      <w:pPr>
        <w:pStyle w:val="IPPHeading2"/>
      </w:pPr>
      <w:r>
        <w:rPr>
          <w:rStyle w:val="PleaseReviewParagraphId"/>
          <w:b w:val="off"/>
          <w:i w:val="off"/>
        </w:rPr>
        <w:t>[193]</w:t>
      </w:r>
      <w:r>
        <w:lastRenderedPageBreak/>
        <w:t>5.2</w:t>
        <w:tab/>
        <w:t>Implementation procedures documented by participating entities and NPPOs</w:t>
      </w:r>
    </w:p>
    <w:p w14:paraId="4B0997FB" w14:textId="2CD8DF11">
      <w:pPr>
        <w:pStyle w:val="IPPParagraphnumberingclose"/>
        <w:tabs>
          <w:tab w:val="clear" w:pos="0"/>
        </w:tabs>
        <w:ind w:firstLine="0"/>
        <w:rPr>
          <w:lang w:val="en-GB"/>
        </w:rPr>
      </w:pPr>
      <w:r>
        <w:rPr>
          <w:rStyle w:val="PleaseReviewParagraphId"/>
          <w:b w:val="off"/>
          <w:i w:val="off"/>
        </w:rPr>
        <w:t>[194]</w:t>
      </w:r>
      <w:r>
        <w:rPr>
          <w:lang w:val="en-GB"/>
        </w:rPr>
        <w:t>Documented procedures, for example production manuals or standard operating procedures, should describe the actions, elements, processes and operational systems that make up the measures applied by participating entities and NPPOs. The documented procedures should include:</w:t>
      </w:r>
    </w:p>
    <w:p w14:paraId="4A185252" w14:textId="773D0FD5">
      <w:pPr>
        <w:pStyle w:val="IPPBullet1"/>
        <w:rPr>
          <w:lang w:val="en-GB"/>
        </w:rPr>
      </w:pPr>
      <w:r>
        <w:rPr>
          <w:rStyle w:val="PleaseReviewParagraphId"/>
          <w:b w:val="off"/>
          <w:i w:val="off"/>
        </w:rPr>
        <w:t>[195]</w:t>
      </w:r>
      <w:r>
        <w:rPr>
          <w:lang w:val="en-GB"/>
        </w:rPr>
        <w:t>a description of the organizational structure and responsibilities of the personnel involved in implementing the systems approach;</w:t>
      </w:r>
    </w:p>
    <w:p w14:paraId="221B0156" w14:textId="52F3A9E4">
      <w:pPr>
        <w:pStyle w:val="IPPBullet1"/>
        <w:rPr>
          <w:lang w:val="en-GB"/>
        </w:rPr>
      </w:pPr>
      <w:r>
        <w:rPr>
          <w:rStyle w:val="PleaseReviewParagraphId"/>
          <w:b w:val="off"/>
          <w:i w:val="off"/>
        </w:rPr>
        <w:t>[196]</w:t>
      </w:r>
      <w:r>
        <w:rPr>
          <w:szCs w:val="22"/>
          <w:lang w:val="en-GB"/>
        </w:rPr>
        <w:t>training</w:t>
      </w:r>
      <w:r>
        <w:rPr>
          <w:sz w:val="14"/>
          <w:szCs w:val="14"/>
          <w:lang w:val="en-GB"/>
        </w:rPr>
        <w:t xml:space="preserve"> </w:t>
      </w:r>
      <w:r>
        <w:rPr>
          <w:lang w:val="en-GB"/>
        </w:rPr>
        <w:t>procedures used to ensure the competency of personnel responsible for implementing the systems approach;</w:t>
      </w:r>
    </w:p>
    <w:p w14:paraId="39C963A6" w14:textId="530B9367">
      <w:pPr>
        <w:pStyle w:val="IPPBullet1"/>
      </w:pPr>
      <w:r>
        <w:rPr>
          <w:rStyle w:val="PleaseReviewParagraphId"/>
          <w:b w:val="off"/>
          <w:i w:val="off"/>
        </w:rPr>
        <w:t>[197]</w:t>
      </w:r>
      <w:r>
        <w:rPr>
          <w:lang w:val="en-GB"/>
        </w:rPr>
        <w:t xml:space="preserve">a description of the measures (e.g. measures selected from Table 1 and Table 2), how they will be applied as part of the systems approach, and how they meet the phytosanitary import requirements of the importing country; </w:t>
      </w:r>
    </w:p>
    <w:p w14:paraId="7E00B7A9" w14:textId="32339EFD">
      <w:pPr>
        <w:pStyle w:val="IPPBullet1"/>
        <w:rPr>
          <w:lang w:val="en-GB"/>
        </w:rPr>
      </w:pPr>
      <w:r>
        <w:rPr>
          <w:rStyle w:val="PleaseReviewParagraphId"/>
          <w:b w:val="off"/>
          <w:i w:val="off"/>
        </w:rPr>
        <w:t>[198]</w:t>
      </w:r>
      <w:r>
        <w:rPr>
          <w:lang w:val="en-GB"/>
        </w:rPr>
        <w:t>procedures associated with maintaining records of the measures applied in the systems approach and ensuring traceability; and</w:t>
      </w:r>
    </w:p>
    <w:p w14:paraId="7C92BEDC" w14:textId="2F9D64FA">
      <w:pPr>
        <w:pStyle w:val="IPPBullet1Last"/>
      </w:pPr>
      <w:r>
        <w:rPr>
          <w:rStyle w:val="PleaseReviewParagraphId"/>
          <w:b w:val="off"/>
          <w:i w:val="off"/>
        </w:rPr>
        <w:t>[199]</w:t>
      </w:r>
      <w:r>
        <w:t>procedures used to record, address and correct nonconformities that may occur (</w:t>
      </w:r>
      <w:r>
        <w:rPr>
          <w:szCs w:val="22"/>
        </w:rPr>
        <w:t>e.g. corrective actions)</w:t>
      </w:r>
      <w:r>
        <w:t>.</w:t>
      </w:r>
    </w:p>
    <w:p w14:paraId="24B0F07D" w14:textId="3B1D5277">
      <w:pPr>
        <w:pStyle w:val="IPPHeading2"/>
      </w:pPr>
      <w:r>
        <w:rPr>
          <w:rStyle w:val="PleaseReviewParagraphId"/>
          <w:b w:val="off"/>
          <w:i w:val="off"/>
        </w:rPr>
        <w:t>[200]</w:t>
      </w:r>
      <w:r>
        <w:t>5.3</w:t>
        <w:tab/>
        <w:t>Records that demonstrate implementation</w:t>
      </w:r>
    </w:p>
    <w:p w14:paraId="3306BAE9" w14:textId="3CF5F091">
      <w:pPr>
        <w:pStyle w:val="IPPParagraphnumbering"/>
        <w:tabs>
          <w:tab w:val="clear" w:pos="0"/>
        </w:tabs>
        <w:ind w:firstLine="0"/>
        <w:rPr>
          <w:lang w:val="en-GB"/>
        </w:rPr>
      </w:pPr>
      <w:r>
        <w:rPr>
          <w:rStyle w:val="PleaseReviewParagraphId"/>
          <w:b w:val="off"/>
          <w:i w:val="off"/>
        </w:rPr>
        <w:t>[201]</w:t>
      </w:r>
      <w:r>
        <w:rPr>
          <w:lang w:val="en-GB"/>
        </w:rPr>
        <w:t>National plant protection organizations and participating entities should record the measures that have been applied in implementing the systems approach and should retain these records to demonstrate the implementation of the systems approach. The retention time of these records should be agreed between the NPPO of the importing country and the NPPO of the exporting country.</w:t>
      </w:r>
    </w:p>
    <w:p w14:paraId="243D4BC5" w14:textId="2EF9DBB5">
      <w:pPr>
        <w:pStyle w:val="IPPHeading1"/>
      </w:pPr>
      <w:r>
        <w:rPr>
          <w:rStyle w:val="PleaseReviewParagraphId"/>
          <w:b w:val="off"/>
          <w:i w:val="off"/>
        </w:rPr>
        <w:t>[202]</w:t>
      </w:r>
      <w:r>
        <w:t>6.</w:t>
        <w:tab/>
        <w:t>Traceability</w:t>
      </w:r>
    </w:p>
    <w:p w14:paraId="5E909736" w14:textId="4B850B30">
      <w:pPr>
        <w:pStyle w:val="IPPParagraphnumbering"/>
        <w:tabs>
          <w:tab w:val="clear" w:pos="0"/>
        </w:tabs>
        <w:ind w:firstLine="0"/>
        <w:rPr>
          <w:lang w:val="en-GB"/>
        </w:rPr>
      </w:pPr>
      <w:r>
        <w:rPr>
          <w:rStyle w:val="PleaseReviewParagraphId"/>
          <w:b w:val="off"/>
          <w:i w:val="off"/>
        </w:rPr>
        <w:t>[203]</w:t>
      </w:r>
      <w:r>
        <w:rPr>
          <w:lang w:val="en-GB"/>
        </w:rPr>
        <w:t>Participating entities in a systems approach should ensure that adequate records are retained to allow traceability in relation to all critical control points along the wood-commodities production chain. These records should be retained in the exporting country for those measures that are applied pre-export or during transit, and in the importing country for the measures undertaken in the importing country.</w:t>
      </w:r>
    </w:p>
    <w:p w14:paraId="6C05D9DE" w14:textId="7BB00F6B">
      <w:pPr>
        <w:pStyle w:val="IPPHeading1"/>
      </w:pPr>
      <w:r>
        <w:rPr>
          <w:rStyle w:val="PleaseReviewParagraphId"/>
          <w:b w:val="off"/>
          <w:i w:val="off"/>
        </w:rPr>
        <w:t>[204]</w:t>
      </w:r>
      <w:r>
        <w:t>7.</w:t>
        <w:tab/>
        <w:t xml:space="preserve">Evaluating the effectiveness of a wood-commodities systems approach and its component measures </w:t>
      </w:r>
    </w:p>
    <w:p w14:paraId="3783FF07" w14:textId="3E5B1697">
      <w:pPr>
        <w:pStyle w:val="IPPParagraphnumbering"/>
        <w:tabs>
          <w:tab w:val="clear" w:pos="0"/>
          <w:tab w:val="num" w:pos="1134"/>
        </w:tabs>
        <w:ind w:firstLine="0"/>
        <w:rPr>
          <w:lang w:val="en-GB"/>
        </w:rPr>
      </w:pPr>
      <w:r>
        <w:rPr>
          <w:rStyle w:val="PleaseReviewParagraphId"/>
          <w:b w:val="off"/>
          <w:i w:val="off"/>
        </w:rPr>
        <w:t>[205]</w:t>
      </w:r>
      <w:r>
        <w:rPr>
          <w:lang w:val="en-GB"/>
        </w:rPr>
        <w:t xml:space="preserve">Guidance on evaluation methods can be found in ISPM 14. </w:t>
      </w:r>
    </w:p>
    <w:p w14:paraId="453BFE40" w14:textId="3390FC4F">
      <w:pPr>
        <w:pStyle w:val="IPPHeading1"/>
        <w:rPr>
          <w:rStyle w:val="PleaseReviewParagraphId"/>
          <w:rFonts w:ascii="Times New Roman" w:hAnsi="Times New Roman"/>
          <w:color w:val="auto"/>
          <w:sz w:val="24"/>
        </w:rPr>
      </w:pPr>
      <w:r>
        <w:rPr>
          <w:rStyle w:val="PleaseReviewParagraphId"/>
          <w:b w:val="off"/>
          <w:i w:val="off"/>
        </w:rPr>
        <w:t>[206]</w:t>
      </w:r>
      <w:r>
        <w:rPr>
          <w:rStyle w:val="PleaseReviewParagraphId"/>
          <w:rFonts w:ascii="Times New Roman" w:hAnsi="Times New Roman"/>
          <w:color w:val="auto"/>
          <w:sz w:val="24"/>
        </w:rPr>
        <w:t>8.</w:t>
        <w:tab/>
        <w:t>Further reading</w:t>
      </w:r>
    </w:p>
    <w:p w14:paraId="00410AB4" w14:textId="61380CD9">
      <w:pPr>
        <w:pStyle w:val="IPPParagraphnumbering"/>
        <w:tabs>
          <w:tab w:val="clear" w:pos="0"/>
        </w:tabs>
        <w:ind w:firstLine="0"/>
        <w:rPr>
          <w:lang w:val="en-GB"/>
        </w:rPr>
      </w:pPr>
      <w:r>
        <w:rPr>
          <w:rStyle w:val="PleaseReviewParagraphId"/>
          <w:b w:val="off"/>
          <w:i w:val="off"/>
        </w:rPr>
        <w:t>[207]</w:t>
      </w:r>
      <w:r>
        <w:rPr>
          <w:lang w:val="en-GB"/>
        </w:rPr>
        <w:t xml:space="preserve">Information to support the implementation of this standard may be available on the IPP at </w:t>
      </w:r>
      <w:hyperlink w:history="1" r:id="rId12">
        <w:r>
          <w:rPr>
            <w:rStyle w:val="Hyperlink"/>
            <w:lang w:val="en-GB"/>
          </w:rPr>
          <w:t>https://www.ippc.int/en/about/core-activities/capacity-development/guides-and-training-materials/</w:t>
        </w:r>
      </w:hyperlink>
      <w:r>
        <w:rPr>
          <w:lang w:val="en-GB"/>
        </w:rPr>
        <w:t>.</w:t>
      </w:r>
    </w:p>
    <w:p w14:paraId="5DDB803D" w14:textId="030B4589">
      <w:pPr>
        <w:pStyle w:val="IPPParagraphnumbering"/>
        <w:tabs>
          <w:tab w:val="clear" w:pos="0"/>
        </w:tabs>
        <w:ind w:firstLine="0"/>
        <w:rPr>
          <w:lang w:val="en-GB"/>
        </w:rPr>
        <w:sectPr>
          <w:pgSz w:w="11906" w:h="16838" w:code="9"/>
          <w:pgMar w:top="1559" w:right="1418" w:bottom="1418" w:left="1418" w:header="851" w:footer="851" w:gutter="0"/>
          <w:pgNumType w:start="1"/>
          <w:cols w:space="720"/>
          <w:titlePg/>
          <w:docGrid w:linePitch="299"/>
        </w:sectPr>
      </w:pPr>
      <w:r>
        <w:rPr>
          <w:rStyle w:val="PleaseReviewParagraphId"/>
          <w:b w:val="off"/>
          <w:i w:val="off"/>
        </w:rPr>
        <w:t>[208]</w:t>
      </w:r>
      <w:r>
        <w:rPr>
          <w:b/>
          <w:bCs/>
          <w:lang w:val="en-GB"/>
        </w:rPr>
        <w:t>NAPPO (North American Plant Protection Organization)</w:t>
      </w:r>
      <w:r>
        <w:rPr>
          <w:lang w:val="en-GB"/>
        </w:rPr>
        <w:t xml:space="preserve">. 2018. </w:t>
      </w:r>
      <w:r>
        <w:rPr>
          <w:i/>
          <w:iCs/>
          <w:lang w:val="en-GB"/>
        </w:rPr>
        <w:t>Use of systems approaches to manage pest risks associated with the movement of forest products</w:t>
      </w:r>
      <w:r>
        <w:rPr>
          <w:lang w:val="en-GB"/>
        </w:rPr>
        <w:t xml:space="preserve">. Regional Standard for Phytosanitary Measures (RSPM) No. 41. Raleigh, USA, NAPPO Secretariat. 54 pp. </w:t>
      </w:r>
      <w:hyperlink w:history="1" r:id="rId13">
        <w:r>
          <w:rPr>
            <w:rStyle w:val="Hyperlink"/>
            <w:lang w:val="en-GB"/>
          </w:rPr>
          <w:t>https://nappo.org/application/files/8715/8352/3001/RSPM_41-10-22-18-e.pdf</w:t>
        </w:r>
      </w:hyperlink>
    </w:p>
    <w:p w14:paraId="48D3960D" w14:textId="1C7E0048">
      <w:pPr>
        <w:pStyle w:val="IPPNormal"/>
        <w:jc w:val="center"/>
        <w:rPr>
          <w:sz w:val="18"/>
          <w:szCs w:val="18"/>
        </w:rPr>
      </w:pPr>
      <w:r>
        <w:rPr>
          <w:rStyle w:val="PleaseReviewParagraphId"/>
          <w:b w:val="off"/>
          <w:i w:val="off"/>
        </w:rPr>
        <w:t>[209]</w:t>
      </w:r>
      <w:r>
        <w:rPr>
          <w:sz w:val="18"/>
          <w:szCs w:val="18"/>
        </w:rPr>
        <w:lastRenderedPageBreak/>
        <w:t>This appendix is for reference purposes only and is not a prescriptive part of the standard</w:t>
      </w:r>
      <w:r>
        <w:rPr>
          <w:b/>
          <w:sz w:val="18"/>
          <w:szCs w:val="18"/>
        </w:rPr>
        <w:t>.</w:t>
      </w:r>
    </w:p>
    <w:p w14:paraId="78304E28" w14:textId="7E5D8533">
      <w:pPr>
        <w:pStyle w:val="IPPAnnexHead"/>
      </w:pPr>
      <w:r>
        <w:rPr>
          <w:rStyle w:val="PleaseReviewParagraphId"/>
          <w:b w:val="off"/>
          <w:i w:val="off"/>
        </w:rPr>
        <w:t>[210]</w:t>
      </w:r>
      <w:r>
        <w:t>APPENDIX 1 TO ANNEX [X]: Major wood pests grouped according to where they live and reproduce</w:t>
      </w:r>
    </w:p>
    <w:p w14:paraId="703341C6" w14:textId="70AC8144">
      <w:pPr>
        <w:pStyle w:val="IPPParagraphnumbering"/>
        <w:tabs>
          <w:tab w:val="clear" w:pos="0"/>
        </w:tabs>
        <w:ind w:firstLine="0"/>
        <w:rPr>
          <w:lang w:val="en-GB"/>
        </w:rPr>
      </w:pPr>
      <w:r>
        <w:rPr>
          <w:rStyle w:val="PleaseReviewParagraphId"/>
          <w:b w:val="off"/>
          <w:i w:val="off"/>
        </w:rPr>
        <w:t>[211]</w:t>
      </w:r>
      <w:r>
        <w:rPr>
          <w:lang w:val="en-GB"/>
        </w:rPr>
        <w:t>Pests associated with trees can be grouped according to the plant tissues they use to live and reproduce. They include pests that live and reproduce in the following locations: on, in or just under the surface bark; in wood tissue under the bark; and in foliage and twigs.</w:t>
      </w:r>
    </w:p>
    <w:p w14:paraId="796F42D6" w14:textId="33CCB287">
      <w:pPr>
        <w:pStyle w:val="IPPSubheadSpace"/>
      </w:pPr>
      <w:r>
        <w:rPr>
          <w:rStyle w:val="PleaseReviewParagraphId"/>
          <w:b w:val="off"/>
          <w:i w:val="off"/>
        </w:rPr>
        <w:t>[212]</w:t>
      </w:r>
      <w:r>
        <w:t xml:space="preserve">Pests on or in the bark or just under the bark in the cambium </w:t>
      </w:r>
    </w:p>
    <w:p w14:paraId="3C63F9F6" w14:textId="67AE9A2E">
      <w:pPr>
        <w:pStyle w:val="IPPParagraphnumberingclose"/>
        <w:tabs>
          <w:tab w:val="clear" w:pos="0"/>
        </w:tabs>
        <w:ind w:firstLine="0"/>
        <w:rPr>
          <w:lang w:val="en-GB"/>
        </w:rPr>
      </w:pPr>
      <w:r>
        <w:rPr>
          <w:rStyle w:val="PleaseReviewParagraphId"/>
          <w:b w:val="off"/>
          <w:i w:val="off"/>
        </w:rPr>
        <w:t>[213]</w:t>
      </w:r>
      <w:r>
        <w:rPr>
          <w:lang w:val="en-GB"/>
        </w:rPr>
        <w:t>Certain species of insects, fungi and nematodes live on or in the bark or immediately under the bark in the cambium:</w:t>
      </w:r>
    </w:p>
    <w:p w14:paraId="627933B2" w14:textId="5ECC54CF">
      <w:pPr>
        <w:pStyle w:val="IPPBullet1"/>
        <w:rPr>
          <w:lang w:val="en-GB"/>
        </w:rPr>
      </w:pPr>
      <w:r>
        <w:rPr>
          <w:rStyle w:val="PleaseReviewParagraphId"/>
          <w:b w:val="off"/>
          <w:i w:val="off"/>
        </w:rPr>
        <w:t>[214]</w:t>
      </w:r>
      <w:r>
        <w:rPr>
          <w:b/>
          <w:lang w:val="en-GB"/>
        </w:rPr>
        <w:t>Bark beetles</w:t>
      </w:r>
      <w:r>
        <w:rPr>
          <w:lang w:val="en-GB"/>
        </w:rPr>
        <w:t xml:space="preserve"> (Coleoptera: Curculionidae: Scolytinae, except Corthylini, Xyleborini and Xyloterini) – The members of this highly diverse subfamily spend most of their life cycle under the bark of their host trees, foraging on the inner bark and phloem. </w:t>
      </w:r>
    </w:p>
    <w:p w14:paraId="22795C9A" w14:textId="467BAB63">
      <w:pPr>
        <w:pStyle w:val="IPPBullet1"/>
      </w:pPr>
      <w:r>
        <w:rPr>
          <w:rStyle w:val="PleaseReviewParagraphId"/>
          <w:b w:val="off"/>
          <w:i w:val="off"/>
        </w:rPr>
        <w:t>[215]</w:t>
      </w:r>
      <w:r>
        <w:rPr>
          <w:b/>
          <w:bCs/>
        </w:rPr>
        <w:t>Scale insects, mites, aphids, adelgids, non-woodboring moths and wasps</w:t>
      </w:r>
      <w:r>
        <w:t xml:space="preserve"> – </w:t>
      </w:r>
      <w:r>
        <w:rPr>
          <w:lang w:val="en-GB"/>
        </w:rPr>
        <w:t>These pests may be present on or in the bark or immediately under the bark in the cambium</w:t>
      </w:r>
      <w:r>
        <w:t xml:space="preserve">. </w:t>
      </w:r>
    </w:p>
    <w:p w14:paraId="34A7C08E" w14:textId="140C55C7">
      <w:pPr>
        <w:pStyle w:val="IPPBullet1"/>
        <w:rPr>
          <w:lang w:val="en-GB"/>
        </w:rPr>
      </w:pPr>
      <w:r>
        <w:rPr>
          <w:rStyle w:val="PleaseReviewParagraphId"/>
          <w:b w:val="off"/>
          <w:i w:val="off"/>
        </w:rPr>
        <w:t>[216]</w:t>
      </w:r>
      <w:r>
        <w:rPr>
          <w:b/>
          <w:lang w:val="en-GB"/>
        </w:rPr>
        <w:t>Fungi and oomycetes</w:t>
      </w:r>
      <w:r>
        <w:rPr>
          <w:lang w:val="en-GB"/>
        </w:rPr>
        <w:t>(e.g. </w:t>
      </w:r>
      <w:r>
        <w:rPr>
          <w:i/>
          <w:lang w:val="en-GB"/>
        </w:rPr>
        <w:t xml:space="preserve">Phytophthora </w:t>
      </w:r>
      <w:r>
        <w:rPr>
          <w:lang w:val="en-GB"/>
        </w:rPr>
        <w:t>species) – Many fungal pests, including stem rusts and canker fungi, grow and sporulate in close association with bark and phloem tissues. These pests may be present on the outer surfaces of some wood commodities.</w:t>
      </w:r>
    </w:p>
    <w:p w14:paraId="091307E8" w14:textId="6F1FAB0B">
      <w:pPr>
        <w:pStyle w:val="IPPBullet1Last"/>
      </w:pPr>
      <w:r>
        <w:rPr>
          <w:rStyle w:val="PleaseReviewParagraphId"/>
          <w:b w:val="off"/>
          <w:i w:val="off"/>
        </w:rPr>
        <w:t>[217]</w:t>
      </w:r>
      <w:r>
        <w:rPr>
          <w:b/>
        </w:rPr>
        <w:t>Nematodes</w:t>
      </w:r>
      <w:r>
        <w:t xml:space="preserve"> – Pathogenic nematodes may be found just under the bark (e.g. phoretic nematodes associated with beetles may be found in the inner bark layer).</w:t>
      </w:r>
    </w:p>
    <w:p w14:paraId="2292D4EA" w14:textId="061EC5C1">
      <w:pPr>
        <w:pStyle w:val="IPPSubheadSpace"/>
      </w:pPr>
      <w:r>
        <w:rPr>
          <w:rStyle w:val="PleaseReviewParagraphId"/>
          <w:b w:val="off"/>
          <w:i w:val="off"/>
        </w:rPr>
        <w:t>[218]</w:t>
      </w:r>
      <w:r>
        <w:t>Pests associated primarily with wood tissue under the bark</w:t>
      </w:r>
    </w:p>
    <w:p w14:paraId="75FED9DD" w14:textId="29F72D51">
      <w:pPr>
        <w:pStyle w:val="IPPParagraphnumberingclose"/>
        <w:tabs>
          <w:tab w:val="clear" w:pos="0"/>
        </w:tabs>
        <w:ind w:firstLine="0"/>
        <w:rPr>
          <w:lang w:val="en-GB"/>
        </w:rPr>
      </w:pPr>
      <w:r>
        <w:rPr>
          <w:rStyle w:val="PleaseReviewParagraphId"/>
          <w:b w:val="off"/>
          <w:i w:val="off"/>
        </w:rPr>
        <w:t>[219]</w:t>
      </w:r>
      <w:r>
        <w:rPr>
          <w:lang w:val="en-GB"/>
        </w:rPr>
        <w:t>Certain species of insects, fungi and nematodes live primarily in wood tissue under the bark:</w:t>
      </w:r>
    </w:p>
    <w:p w14:paraId="4CF8F0B7" w14:textId="517EE9AB">
      <w:pPr>
        <w:pStyle w:val="IPPBullet1"/>
        <w:rPr>
          <w:lang w:val="en-GB"/>
        </w:rPr>
      </w:pPr>
      <w:r>
        <w:rPr>
          <w:rStyle w:val="PleaseReviewParagraphId"/>
          <w:b w:val="off"/>
          <w:i w:val="off"/>
        </w:rPr>
        <w:t>[220]</w:t>
      </w:r>
      <w:r>
        <w:rPr>
          <w:b/>
          <w:lang w:val="en-GB"/>
        </w:rPr>
        <w:t>Ambrosia beetles</w:t>
      </w:r>
      <w:r>
        <w:rPr>
          <w:lang w:val="en-GB"/>
        </w:rPr>
        <w:t xml:space="preserve"> (Coleoptera: Curculionidae: Scolytinae (Corthylini, Xyleborini, Xyloterini) and Platypodinae) – These beetles may be found in the inner bark, phloem and xylem.</w:t>
      </w:r>
    </w:p>
    <w:p w14:paraId="05377905" w14:textId="320D4801">
      <w:pPr>
        <w:pStyle w:val="IPPBullet1"/>
        <w:rPr>
          <w:lang w:val="en-GB"/>
        </w:rPr>
      </w:pPr>
      <w:r>
        <w:rPr>
          <w:rStyle w:val="PleaseReviewParagraphId"/>
          <w:b w:val="off"/>
          <w:i w:val="off"/>
        </w:rPr>
        <w:t>[221]</w:t>
      </w:r>
      <w:r>
        <w:rPr>
          <w:b/>
          <w:lang w:val="en-GB"/>
        </w:rPr>
        <w:t>Wood borers</w:t>
      </w:r>
      <w:r>
        <w:rPr>
          <w:lang w:val="en-GB"/>
        </w:rPr>
        <w:t xml:space="preserve"> (Coleoptera: Cerambycidae, Curculionidae, Buprestidae; Diptera: Pantophthalmidae; Hymenoptera: Siricidae; Lepidoptera: Cossidae and Sesiidae; and Isoptera) – Most of the life stages of these insects occur in the phloem and xylem. </w:t>
      </w:r>
    </w:p>
    <w:p w14:paraId="3C2A74CE" w14:textId="174B3294">
      <w:pPr>
        <w:pStyle w:val="IPPBullet1"/>
        <w:rPr>
          <w:lang w:val="en-GB"/>
        </w:rPr>
      </w:pPr>
      <w:r>
        <w:rPr>
          <w:rStyle w:val="PleaseReviewParagraphId"/>
          <w:b w:val="off"/>
          <w:i w:val="off"/>
        </w:rPr>
        <w:t>[222]</w:t>
      </w:r>
      <w:r>
        <w:rPr>
          <w:b/>
          <w:lang w:val="en-GB"/>
        </w:rPr>
        <w:t>Fungi</w:t>
      </w:r>
      <w:r>
        <w:rPr>
          <w:lang w:val="en-GB"/>
        </w:rPr>
        <w:t xml:space="preserve"> – Many species of fungi inhabit the woody portion (xylem) of tree stems. The success, location and extent of fungal colonization is largely governed by the nutritional requirements of the fungi, the physical characteristics of the wood (chemical composition, cell structure, etc.), the wood moisture, the temperature and the presence of competing organisms. Decay fungi and vascular wilt fungi may be present throughout the xylem or, depending on the species, may be restricted to the sapwood or heartwood. Most canker and rust infections of stem wood are restricted to the outer several centimetres of wood.</w:t>
      </w:r>
    </w:p>
    <w:p w14:paraId="43CFE152" w14:textId="1E7D45E5">
      <w:pPr>
        <w:pStyle w:val="IPPBullet1Last"/>
      </w:pPr>
      <w:r>
        <w:rPr>
          <w:rStyle w:val="PleaseReviewParagraphId"/>
          <w:b w:val="off"/>
          <w:i w:val="off"/>
        </w:rPr>
        <w:t>[223]</w:t>
      </w:r>
      <w:r>
        <w:rPr>
          <w:b/>
        </w:rPr>
        <w:t>Nematodes</w:t>
      </w:r>
      <w:r>
        <w:t xml:space="preserve"> – Pathogenic nematodes </w:t>
      </w:r>
      <w:r>
        <w:rPr>
          <w:iCs/>
        </w:rPr>
        <w:t>(Nematoda:</w:t>
      </w:r>
      <w:r>
        <w:rPr>
          <w:i/>
        </w:rPr>
        <w:t xml:space="preserve"> </w:t>
      </w:r>
      <w:r>
        <w:rPr>
          <w:iCs/>
        </w:rPr>
        <w:t>e.g. </w:t>
      </w:r>
      <w:r>
        <w:rPr>
          <w:i/>
        </w:rPr>
        <w:t xml:space="preserve">Bursaphelenchus cocophilus </w:t>
      </w:r>
      <w:r>
        <w:rPr>
          <w:iCs/>
        </w:rPr>
        <w:t>(Cobb, 1919) Baujard, 1989,</w:t>
      </w:r>
      <w:r>
        <w:rPr>
          <w:i/>
        </w:rPr>
        <w:t xml:space="preserve"> Bursaphelenchus xylophilus </w:t>
      </w:r>
      <w:r>
        <w:rPr>
          <w:iCs/>
        </w:rPr>
        <w:t>(Steiner &amp; Bührer, 1934) Nickle, 1970)</w:t>
      </w:r>
      <w:r>
        <w:rPr>
          <w:i/>
        </w:rPr>
        <w:t xml:space="preserve"> </w:t>
      </w:r>
      <w:r>
        <w:t>live primarily in the sapwood, specifically in the xylem.</w:t>
      </w:r>
    </w:p>
    <w:p w14:paraId="1903E281" w14:textId="6FCCBEBE">
      <w:pPr>
        <w:pStyle w:val="IPPSubheadSpace"/>
      </w:pPr>
      <w:r>
        <w:rPr>
          <w:rStyle w:val="PleaseReviewParagraphId"/>
          <w:b w:val="off"/>
          <w:i w:val="off"/>
        </w:rPr>
        <w:t>[224]</w:t>
      </w:r>
      <w:r>
        <w:t>Pests primarily associated with foliage and twigs</w:t>
      </w:r>
    </w:p>
    <w:p w14:paraId="45152EED" w14:textId="140A7413">
      <w:pPr>
        <w:pStyle w:val="IPPParagraphnumberingclose"/>
        <w:tabs>
          <w:tab w:val="clear" w:pos="0"/>
        </w:tabs>
        <w:ind w:firstLine="0"/>
        <w:rPr>
          <w:lang w:val="en-GB"/>
        </w:rPr>
      </w:pPr>
      <w:r>
        <w:rPr>
          <w:rStyle w:val="PleaseReviewParagraphId"/>
          <w:b w:val="off"/>
          <w:i w:val="off"/>
        </w:rPr>
        <w:t>[225]</w:t>
      </w:r>
      <w:r>
        <w:rPr>
          <w:lang w:val="en-GB"/>
        </w:rPr>
        <w:t>Although foliage and twigs are not a major wood commodity, many forest pests live and reproduce in these plant tissues, either exclusively or at certain points in their life cycle:</w:t>
      </w:r>
    </w:p>
    <w:p w14:paraId="58B61F8D" w14:textId="32B8CDA0">
      <w:pPr>
        <w:pStyle w:val="IPPBullet1"/>
        <w:rPr>
          <w:lang w:val="en-GB"/>
        </w:rPr>
      </w:pPr>
      <w:r>
        <w:rPr>
          <w:rStyle w:val="PleaseReviewParagraphId"/>
          <w:b w:val="off"/>
          <w:i w:val="off"/>
        </w:rPr>
        <w:t>[226]</w:t>
      </w:r>
      <w:r>
        <w:rPr>
          <w:lang w:val="en-GB"/>
        </w:rPr>
        <w:t>Pests that live in and on foliage may include, but are not limited to, adelgids, ants, aphids, flies, moths, nematodes, scale insects and wasps.</w:t>
      </w:r>
    </w:p>
    <w:p w14:paraId="670E2871" w14:textId="1DB3C6CD">
      <w:pPr>
        <w:pStyle w:val="IPPBullet1"/>
        <w:rPr>
          <w:lang w:val="en-GB"/>
        </w:rPr>
      </w:pPr>
      <w:r>
        <w:rPr>
          <w:rStyle w:val="PleaseReviewParagraphId"/>
          <w:b w:val="off"/>
          <w:i w:val="off"/>
        </w:rPr>
        <w:t>[227]</w:t>
      </w:r>
      <w:r>
        <w:rPr>
          <w:lang w:val="en-GB"/>
        </w:rPr>
        <w:t>Twig borers may be found in small branches that are large enough to allow these pests to complete their life cycle.</w:t>
      </w:r>
    </w:p>
    <w:p w14:paraId="3E34815D" w14:textId="04CCB311">
      <w:pPr>
        <w:pStyle w:val="IPPBullet1Last"/>
      </w:pPr>
      <w:r>
        <w:rPr>
          <w:rStyle w:val="PleaseReviewParagraphId"/>
          <w:b w:val="off"/>
          <w:i w:val="off"/>
        </w:rPr>
        <w:t>[228]</w:t>
      </w:r>
      <w:r>
        <w:t>Spores of fungi and fungus-like organisms may be present on outer surfaces, as on all other forest commodities.</w:t>
      </w:r>
    </w:p>
    <w:p w14:paraId="7F53AEB7" w14:textId="3E2D08E5">
      <w:pPr>
        <w:pStyle w:val="IPPHeading1"/>
      </w:pPr>
      <w:r>
        <w:rPr>
          <w:rStyle w:val="PleaseReviewParagraphId"/>
          <w:b w:val="off"/>
          <w:i w:val="off"/>
        </w:rPr>
        <w:t>[229]</w:t>
      </w:r>
      <w:r>
        <w:lastRenderedPageBreak/>
        <w:t>Potential implementation issues</w:t>
      </w:r>
    </w:p>
    <w:p w14:paraId="48628BD4" w14:textId="177470A4">
      <w:pPr>
        <w:pStyle w:val="IPPParagraphnumbering"/>
        <w:tabs>
          <w:tab w:val="clear" w:pos="0"/>
        </w:tabs>
        <w:ind w:firstLine="0"/>
      </w:pPr>
      <w:r>
        <w:rPr>
          <w:rStyle w:val="PleaseReviewParagraphId"/>
          <w:b w:val="off"/>
          <w:i w:val="off"/>
        </w:rPr>
        <w:t>[230]</w:t>
      </w:r>
      <w:r>
        <w:t>This section is not part of the standard. The Standards Committee in May 2016 requested the secretariat to gather information on any potential implementation issues related to this draft. Please provide details and proposals on how to address these potential implementation issues.</w:t>
      </w:r>
    </w:p>
    <w:sectPr>
      <w:pgSz w:w="11906" w:h="16838" w:code="9"/>
      <w:pgMar w:top="1559" w:right="1418" w:bottom="1418" w:left="1418" w:header="851" w:footer="851" w:gutter="0"/>
      <w:pgNumType w:start="1"/>
      <w:cols w:space="720"/>
      <w:titlePg/>
      <w:docGrid w:linePitch="299"/>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31C77" w14:textId="77777777">
      <w:r>
        <w:rPr>
          <w:rStyle w:val="PleaseReviewParagraphId"/>
          <w:b w:val="off"/>
          <w:i w:val="off"/>
        </w:rPr>
        <w:t>[]</w:t>
      </w:r>
      <w:r>
        <w:rPr>
          <w:rStyle w:val="PleaseReviewParagraphId"/>
        </w:rPr>
        <w:t>[]</w:t>
      </w:r>
      <w:r>
        <w:separator/>
      </w:r>
    </w:p>
    <w:p w14:paraId="2D37D72D" w14:textId="77777777">
      <w:r>
        <w:rPr>
          <w:rStyle w:val="PleaseReviewParagraphId"/>
          <w:b w:val="off"/>
          <w:i w:val="off"/>
        </w:rPr>
        <w:t>[]</w:t>
      </w:r>
      <w:r>
        <w:rPr>
          <w:rStyle w:val="PleaseReviewParagraphId"/>
        </w:rPr>
        <w:t>[]</w:t>
      </w:r>
    </w:p>
  </w:endnote>
  <w:endnote w:type="continuationSeparator" w:id="0">
    <w:p w14:paraId="798C55B0" w14:textId="77777777">
      <w:r>
        <w:rPr>
          <w:rStyle w:val="PleaseReviewParagraphId"/>
          <w:b w:val="off"/>
          <w:i w:val="off"/>
        </w:rPr>
        <w:t>[]</w:t>
      </w:r>
      <w:r>
        <w:rPr>
          <w:rStyle w:val="PleaseReviewParagraphId"/>
        </w:rPr>
        <w:t>[]</w:t>
      </w:r>
      <w:r>
        <w:continuationSeparator/>
      </w:r>
    </w:p>
    <w:p w14:paraId="17C04869" w14:textId="77777777">
      <w:r>
        <w:rPr>
          <w:rStyle w:val="PleaseReviewParagraphId"/>
          <w:b w:val="off"/>
          <w:i w:val="off"/>
        </w:rPr>
        <w:t>[]</w:t>
      </w:r>
      <w:r>
        <w:rPr>
          <w:rStyle w:val="PleaseReviewParagraphId"/>
        </w:rPr>
        <w:t>[]</w:t>
      </w:r>
    </w:p>
  </w:endnote>
  <w:endnote w:type="continuationNotice" w:id="1">
    <w:p w14:paraId="0269658A"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80D62" w14:textId="77777777">
      <w:r>
        <w:rPr>
          <w:rStyle w:val="PleaseReviewParagraphId"/>
          <w:b w:val="off"/>
          <w:i w:val="off"/>
        </w:rPr>
        <w:t>[]</w:t>
      </w:r>
      <w:r>
        <w:rPr>
          <w:rStyle w:val="PleaseReviewParagraphId"/>
        </w:rPr>
        <w:t>[]</w:t>
      </w:r>
      <w:r>
        <w:separator/>
      </w:r>
    </w:p>
    <w:p w14:paraId="1A062E37" w14:textId="77777777">
      <w:r>
        <w:rPr>
          <w:rStyle w:val="PleaseReviewParagraphId"/>
          <w:b w:val="off"/>
          <w:i w:val="off"/>
        </w:rPr>
        <w:t>[]</w:t>
      </w:r>
      <w:r>
        <w:rPr>
          <w:rStyle w:val="PleaseReviewParagraphId"/>
        </w:rPr>
        <w:t>[]</w:t>
      </w:r>
    </w:p>
  </w:footnote>
  <w:footnote w:type="continuationSeparator" w:id="0">
    <w:p w14:paraId="6049EE6A" w14:textId="77777777">
      <w:r>
        <w:rPr>
          <w:rStyle w:val="PleaseReviewParagraphId"/>
          <w:b w:val="off"/>
          <w:i w:val="off"/>
        </w:rPr>
        <w:t>[]</w:t>
      </w:r>
      <w:r>
        <w:rPr>
          <w:rStyle w:val="PleaseReviewParagraphId"/>
        </w:rPr>
        <w:t>[]</w:t>
      </w:r>
      <w:r>
        <w:continuationSeparator/>
      </w:r>
    </w:p>
    <w:p w14:paraId="0F4C35A6" w14:textId="77777777">
      <w:r>
        <w:rPr>
          <w:rStyle w:val="PleaseReviewParagraphId"/>
          <w:b w:val="off"/>
          <w:i w:val="off"/>
        </w:rPr>
        <w:t>[]</w:t>
      </w:r>
      <w:r>
        <w:rPr>
          <w:rStyle w:val="PleaseReviewParagraphId"/>
        </w:rPr>
        <w:t>[]</w:t>
      </w:r>
    </w:p>
  </w:footnote>
  <w:footnote w:type="continuationNotice" w:id="1">
    <w:p w14:paraId="5B54FCF1" w14:textId="77777777">
      <w:r>
        <w:rPr>
          <w:rStyle w:val="PleaseReviewParagraphId"/>
          <w:b w:val="off"/>
          <w:i w:val="off"/>
        </w:rPr>
        <w:t>[]</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CCC1B6D"/>
    <w:multiLevelType w:val="hybridMultilevel"/>
    <w:tmpl w:val="35A66FEA"/>
    <w:lvl w:ilvl="0" w:tplc="9C16729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EA6B64"/>
    <w:multiLevelType w:val="hybridMultilevel"/>
    <w:tmpl w:val="4B0C8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218D5377"/>
    <w:multiLevelType w:val="hybridMultilevel"/>
    <w:tmpl w:val="05BC4076"/>
    <w:lvl w:ilvl="0" w:tplc="51A47C1E">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6164C"/>
    <w:multiLevelType w:val="multilevel"/>
    <w:tmpl w:val="4210B418"/>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834557"/>
    <w:multiLevelType w:val="multilevel"/>
    <w:tmpl w:val="4CDCE530"/>
    <w:lvl w:ilvl="0">
      <w:start w:val="1"/>
      <w:numFmt w:val="decimal"/>
      <w:lvlText w:val="%1"/>
      <w:lvlJc w:val="left"/>
      <w:pPr>
        <w:ind w:left="360" w:hanging="360"/>
      </w:pPr>
      <w:rPr>
        <w:rFonts w:hint="default"/>
      </w:rPr>
    </w:lvl>
    <w:lvl w:ilvl="1">
      <w:start w:val="1"/>
      <w:numFmt w:val="none"/>
      <w:lvlText w:val="4.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0" w15:restartNumberingAfterBreak="0">
    <w:nsid w:val="3AAF0CBC"/>
    <w:multiLevelType w:val="hybridMultilevel"/>
    <w:tmpl w:val="CC741888"/>
    <w:lvl w:ilvl="0" w:tplc="56A8E05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DA3C5E"/>
    <w:multiLevelType w:val="multilevel"/>
    <w:tmpl w:val="27FC4F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2AB4A91"/>
    <w:multiLevelType w:val="multilevel"/>
    <w:tmpl w:val="7EDEAF5C"/>
    <w:lvl w:ilvl="0">
      <w:start w:val="1"/>
      <w:numFmt w:val="decimal"/>
      <w:lvlText w:val="%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4A2E70"/>
    <w:multiLevelType w:val="multilevel"/>
    <w:tmpl w:val="18720AE0"/>
    <w:lvl w:ilvl="0">
      <w:start w:val="1"/>
      <w:numFmt w:val="none"/>
      <w:lvlText w:val="5.3."/>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5A4F53BC"/>
    <w:multiLevelType w:val="multilevel"/>
    <w:tmpl w:val="4FCA71A2"/>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none"/>
      <w:isLgl/>
      <w:lvlText w:val="4.2."/>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F4584F"/>
    <w:multiLevelType w:val="hybridMultilevel"/>
    <w:tmpl w:val="2C66AA72"/>
    <w:lvl w:ilvl="0" w:tplc="86363146">
      <w:start w:val="1"/>
      <w:numFmt w:val="decimal"/>
      <w:lvlText w:val="%1."/>
      <w:lvlJc w:val="left"/>
      <w:pPr>
        <w:ind w:left="1080" w:hanging="360"/>
      </w:pPr>
    </w:lvl>
    <w:lvl w:ilvl="1" w:tplc="9DCAE4E4">
      <w:start w:val="1"/>
      <w:numFmt w:val="decimal"/>
      <w:lvlText w:val="%2."/>
      <w:lvlJc w:val="left"/>
      <w:pPr>
        <w:ind w:left="1080" w:hanging="360"/>
      </w:pPr>
    </w:lvl>
    <w:lvl w:ilvl="2" w:tplc="924295B4">
      <w:start w:val="1"/>
      <w:numFmt w:val="decimal"/>
      <w:lvlText w:val="%3."/>
      <w:lvlJc w:val="left"/>
      <w:pPr>
        <w:ind w:left="1080" w:hanging="360"/>
      </w:pPr>
    </w:lvl>
    <w:lvl w:ilvl="3" w:tplc="858E1EB8">
      <w:start w:val="1"/>
      <w:numFmt w:val="decimal"/>
      <w:lvlText w:val="%4."/>
      <w:lvlJc w:val="left"/>
      <w:pPr>
        <w:ind w:left="1080" w:hanging="360"/>
      </w:pPr>
    </w:lvl>
    <w:lvl w:ilvl="4" w:tplc="F9EA0EFC">
      <w:start w:val="1"/>
      <w:numFmt w:val="decimal"/>
      <w:lvlText w:val="%5."/>
      <w:lvlJc w:val="left"/>
      <w:pPr>
        <w:ind w:left="1080" w:hanging="360"/>
      </w:pPr>
    </w:lvl>
    <w:lvl w:ilvl="5" w:tplc="5A40AB94">
      <w:start w:val="1"/>
      <w:numFmt w:val="decimal"/>
      <w:lvlText w:val="%6."/>
      <w:lvlJc w:val="left"/>
      <w:pPr>
        <w:ind w:left="1080" w:hanging="360"/>
      </w:pPr>
    </w:lvl>
    <w:lvl w:ilvl="6" w:tplc="FCBC459C">
      <w:start w:val="1"/>
      <w:numFmt w:val="decimal"/>
      <w:lvlText w:val="%7."/>
      <w:lvlJc w:val="left"/>
      <w:pPr>
        <w:ind w:left="1080" w:hanging="360"/>
      </w:pPr>
    </w:lvl>
    <w:lvl w:ilvl="7" w:tplc="FC2824A8">
      <w:start w:val="1"/>
      <w:numFmt w:val="decimal"/>
      <w:lvlText w:val="%8."/>
      <w:lvlJc w:val="left"/>
      <w:pPr>
        <w:ind w:left="1080" w:hanging="360"/>
      </w:pPr>
    </w:lvl>
    <w:lvl w:ilvl="8" w:tplc="BB342C86">
      <w:start w:val="1"/>
      <w:numFmt w:val="decimal"/>
      <w:lvlText w:val="%9."/>
      <w:lvlJc w:val="left"/>
      <w:pPr>
        <w:ind w:left="1080" w:hanging="360"/>
      </w:pPr>
    </w:lvl>
  </w:abstractNum>
  <w:abstractNum w:abstractNumId="2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F6593"/>
    <w:multiLevelType w:val="multilevel"/>
    <w:tmpl w:val="6D143B84"/>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none"/>
      <w:isLgl/>
      <w:lvlText w:val="5.2."/>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F32260A"/>
    <w:multiLevelType w:val="hybridMultilevel"/>
    <w:tmpl w:val="2B860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B1C2C"/>
    <w:multiLevelType w:val="hybridMultilevel"/>
    <w:tmpl w:val="C5B8D7B0"/>
    <w:lvl w:ilvl="0" w:tplc="241230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BC4E32"/>
    <w:multiLevelType w:val="hybridMultilevel"/>
    <w:tmpl w:val="97947138"/>
    <w:lvl w:ilvl="0" w:tplc="E1E0E592">
      <w:start w:val="2023"/>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74619"/>
    <w:multiLevelType w:val="hybridMultilevel"/>
    <w:tmpl w:val="ECB44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13"/>
  </w:num>
  <w:num w:numId="3">
    <w:abstractNumId w:val="22"/>
  </w:num>
  <w:num w:numId="4">
    <w:abstractNumId w:val="29"/>
  </w:num>
  <w:num w:numId="5">
    <w:abstractNumId w:val="12"/>
  </w:num>
  <w:num w:numId="6">
    <w:abstractNumId w:val="11"/>
  </w:num>
  <w:num w:numId="7">
    <w:abstractNumId w:val="19"/>
  </w:num>
  <w:num w:numId="8">
    <w:abstractNumId w:val="34"/>
  </w:num>
  <w:num w:numId="9">
    <w:abstractNumId w:val="26"/>
  </w:num>
  <w:num w:numId="10">
    <w:abstractNumId w:val="21"/>
  </w:num>
  <w:num w:numId="11">
    <w:abstractNumId w:val="37"/>
  </w:num>
  <w:num w:numId="12">
    <w:abstractNumId w:val="15"/>
  </w:num>
  <w:num w:numId="13">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0"/>
  </w:num>
  <w:num w:numId="20">
    <w:abstractNumId w:val="24"/>
  </w:num>
  <w:num w:numId="21">
    <w:abstractNumId w:val="30"/>
  </w:num>
  <w:num w:numId="22">
    <w:abstractNumId w:val="33"/>
  </w:num>
  <w:num w:numId="23">
    <w:abstractNumId w:val="20"/>
  </w:num>
  <w:num w:numId="24">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6"/>
  </w:num>
  <w:num w:numId="37">
    <w:abstractNumId w:val="11"/>
    <w:lvlOverride w:ilvl="0">
      <w:startOverride w:val="115"/>
      <w:lvl w:ilvl="0">
        <w:start w:val="115"/>
        <w:numFmt w:val="decimal"/>
        <w:lvlText w:val="[%1]"/>
        <w:lvlJc w:val="left"/>
        <w:pPr>
          <w:tabs>
            <w:tab w:val="num" w:pos="0"/>
          </w:tabs>
          <w:ind w:left="0" w:hanging="482"/>
        </w:pPr>
        <w:rPr>
          <w:rFonts w:ascii="Arial" w:hAnsi="Arial" w:hint="default"/>
          <w:b w:val="0"/>
          <w:i/>
          <w:color w:val="0000FF"/>
          <w:sz w:val="16"/>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 w:numId="38">
    <w:abstractNumId w:val="35"/>
  </w:num>
  <w:num w:numId="39">
    <w:abstractNumId w:val="32"/>
  </w:num>
  <w:num w:numId="40">
    <w:abstractNumId w:val="17"/>
  </w:num>
  <w:num w:numId="41">
    <w:abstractNumId w:val="18"/>
  </w:num>
  <w:num w:numId="42">
    <w:abstractNumId w:val="27"/>
  </w:num>
  <w:num w:numId="43">
    <w:abstractNumId w:val="23"/>
  </w:num>
  <w:num w:numId="44">
    <w:abstractNumId w:val="31"/>
  </w:num>
  <w:num w:numId="45">
    <w:abstractNumId w:val="25"/>
  </w:num>
  <w:num w:numId="46">
    <w:abstractNumId w:val="14"/>
  </w:num>
  <w:num w:numId="47">
    <w:abstractNumId w:val="11"/>
    <w:lvlOverride w:ilvl="0">
      <w:lvl w:ilvl="0">
        <w:start w:val="1"/>
        <w:numFmt w:val="decimal"/>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8">
    <w:abstractNumId w:val="11"/>
    <w:lvlOverride w:ilvl="0">
      <w:lvl w:ilvl="0">
        <w:start w:val="1"/>
        <w:numFmt w:val="decimal"/>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9">
    <w:abstractNumId w:val="11"/>
    <w:lvlOverride w:ilvl="0">
      <w:lvl w:ilvl="0">
        <w:start w:val="1"/>
        <w:numFmt w:val="decimal"/>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0">
    <w:abstractNumId w:val="28"/>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lang="fr-CA" w:vendorID="64" w:dllVersion="6" w:nlCheck="1" w:checkStyle="0" w:appName="MSWord"/>
  <w:activeWritingStyle w:lang="en-GB" w:vendorID="64" w:dllVersion="6" w:nlCheck="1" w:checkStyle="1" w:appName="MSWord"/>
  <w:activeWritingStyle w:lang="en-US" w:vendorID="64" w:dllVersion="6" w:nlCheck="1" w:checkStyle="1" w:appName="MSWord"/>
  <w:activeWritingStyle w:lang="en-GB" w:vendorID="64" w:dllVersion="0" w:nlCheck="1" w:checkStyle="0" w:appName="MSWord"/>
  <w:activeWritingStyle w:lang="fr-CA" w:vendorID="64" w:dllVersion="0" w:nlCheck="1" w:checkStyle="0" w:appName="MSWord"/>
  <w:activeWritingStyle w:lang="en-US" w:vendorID="64" w:dllVersion="0" w:nlCheck="1" w:checkStyle="0" w:appName="MSWord"/>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12"/>
    <w:rsid w:val="000006D4"/>
    <w:rsid w:val="00000C46"/>
    <w:rsid w:val="00000EB4"/>
    <w:rsid w:val="00001FD2"/>
    <w:rsid w:val="0000248B"/>
    <w:rsid w:val="000027C8"/>
    <w:rsid w:val="0000483E"/>
    <w:rsid w:val="00004C98"/>
    <w:rsid w:val="00005649"/>
    <w:rsid w:val="00006390"/>
    <w:rsid w:val="00006FAC"/>
    <w:rsid w:val="000073D5"/>
    <w:rsid w:val="00007732"/>
    <w:rsid w:val="00007EEC"/>
    <w:rsid w:val="0001012F"/>
    <w:rsid w:val="0001190E"/>
    <w:rsid w:val="000122A6"/>
    <w:rsid w:val="000128B2"/>
    <w:rsid w:val="00012A4D"/>
    <w:rsid w:val="00012EAB"/>
    <w:rsid w:val="00013BCF"/>
    <w:rsid w:val="0001458F"/>
    <w:rsid w:val="00014601"/>
    <w:rsid w:val="00014768"/>
    <w:rsid w:val="00014EB2"/>
    <w:rsid w:val="0001501A"/>
    <w:rsid w:val="000153FD"/>
    <w:rsid w:val="0001548C"/>
    <w:rsid w:val="00016164"/>
    <w:rsid w:val="000166CE"/>
    <w:rsid w:val="00016879"/>
    <w:rsid w:val="00016BB6"/>
    <w:rsid w:val="0001753B"/>
    <w:rsid w:val="000177BD"/>
    <w:rsid w:val="00020E82"/>
    <w:rsid w:val="00021387"/>
    <w:rsid w:val="00022003"/>
    <w:rsid w:val="00022A1C"/>
    <w:rsid w:val="00022BEC"/>
    <w:rsid w:val="00022BF2"/>
    <w:rsid w:val="00022F85"/>
    <w:rsid w:val="000231A3"/>
    <w:rsid w:val="0002383B"/>
    <w:rsid w:val="00023A0A"/>
    <w:rsid w:val="00023E08"/>
    <w:rsid w:val="00024AC1"/>
    <w:rsid w:val="00024D3F"/>
    <w:rsid w:val="00025395"/>
    <w:rsid w:val="00027611"/>
    <w:rsid w:val="00027FD6"/>
    <w:rsid w:val="000301D0"/>
    <w:rsid w:val="00030C81"/>
    <w:rsid w:val="00031649"/>
    <w:rsid w:val="00031C66"/>
    <w:rsid w:val="000330B8"/>
    <w:rsid w:val="00034367"/>
    <w:rsid w:val="000343BC"/>
    <w:rsid w:val="00034883"/>
    <w:rsid w:val="00034AE7"/>
    <w:rsid w:val="000358C9"/>
    <w:rsid w:val="00035C67"/>
    <w:rsid w:val="0003657A"/>
    <w:rsid w:val="0003716F"/>
    <w:rsid w:val="0003750B"/>
    <w:rsid w:val="00037BC0"/>
    <w:rsid w:val="00037E51"/>
    <w:rsid w:val="0004007C"/>
    <w:rsid w:val="00041059"/>
    <w:rsid w:val="00041533"/>
    <w:rsid w:val="0004154E"/>
    <w:rsid w:val="0004172C"/>
    <w:rsid w:val="0004337D"/>
    <w:rsid w:val="00043DF1"/>
    <w:rsid w:val="000446D4"/>
    <w:rsid w:val="000447B3"/>
    <w:rsid w:val="000448A2"/>
    <w:rsid w:val="00045030"/>
    <w:rsid w:val="0004543D"/>
    <w:rsid w:val="00045BEA"/>
    <w:rsid w:val="0004616B"/>
    <w:rsid w:val="00047113"/>
    <w:rsid w:val="00047C6D"/>
    <w:rsid w:val="000502E0"/>
    <w:rsid w:val="00050E5D"/>
    <w:rsid w:val="00051835"/>
    <w:rsid w:val="00051F70"/>
    <w:rsid w:val="00051F97"/>
    <w:rsid w:val="0005232F"/>
    <w:rsid w:val="00052359"/>
    <w:rsid w:val="00052A61"/>
    <w:rsid w:val="000545FE"/>
    <w:rsid w:val="00054771"/>
    <w:rsid w:val="00054D49"/>
    <w:rsid w:val="000567BE"/>
    <w:rsid w:val="00056BE9"/>
    <w:rsid w:val="00056CFB"/>
    <w:rsid w:val="000570EE"/>
    <w:rsid w:val="00057AA2"/>
    <w:rsid w:val="0006071D"/>
    <w:rsid w:val="00061394"/>
    <w:rsid w:val="0006143E"/>
    <w:rsid w:val="00061582"/>
    <w:rsid w:val="0006227D"/>
    <w:rsid w:val="0006257E"/>
    <w:rsid w:val="00062935"/>
    <w:rsid w:val="00062A66"/>
    <w:rsid w:val="00062D8C"/>
    <w:rsid w:val="000633C3"/>
    <w:rsid w:val="00063428"/>
    <w:rsid w:val="00063B88"/>
    <w:rsid w:val="00063C07"/>
    <w:rsid w:val="000646C5"/>
    <w:rsid w:val="000648C1"/>
    <w:rsid w:val="00064E12"/>
    <w:rsid w:val="00065214"/>
    <w:rsid w:val="00065456"/>
    <w:rsid w:val="000664B7"/>
    <w:rsid w:val="000676F9"/>
    <w:rsid w:val="00070252"/>
    <w:rsid w:val="00070F91"/>
    <w:rsid w:val="00072461"/>
    <w:rsid w:val="00072C63"/>
    <w:rsid w:val="00072DBE"/>
    <w:rsid w:val="00072DEB"/>
    <w:rsid w:val="00072FD3"/>
    <w:rsid w:val="00073874"/>
    <w:rsid w:val="00073DB3"/>
    <w:rsid w:val="00073FB3"/>
    <w:rsid w:val="00074A5A"/>
    <w:rsid w:val="00074C32"/>
    <w:rsid w:val="00074E6F"/>
    <w:rsid w:val="00075363"/>
    <w:rsid w:val="0007537B"/>
    <w:rsid w:val="000760F7"/>
    <w:rsid w:val="0007649E"/>
    <w:rsid w:val="000764CF"/>
    <w:rsid w:val="0007712A"/>
    <w:rsid w:val="0007786C"/>
    <w:rsid w:val="00080991"/>
    <w:rsid w:val="00080DA8"/>
    <w:rsid w:val="00080E89"/>
    <w:rsid w:val="0008102A"/>
    <w:rsid w:val="000814F6"/>
    <w:rsid w:val="00081E4E"/>
    <w:rsid w:val="00082DDA"/>
    <w:rsid w:val="00083093"/>
    <w:rsid w:val="00083655"/>
    <w:rsid w:val="0008525B"/>
    <w:rsid w:val="00085646"/>
    <w:rsid w:val="000871EA"/>
    <w:rsid w:val="00087322"/>
    <w:rsid w:val="00087B61"/>
    <w:rsid w:val="00087B89"/>
    <w:rsid w:val="00087F6A"/>
    <w:rsid w:val="00090250"/>
    <w:rsid w:val="00090444"/>
    <w:rsid w:val="00090F7A"/>
    <w:rsid w:val="00091705"/>
    <w:rsid w:val="00091B18"/>
    <w:rsid w:val="000922C5"/>
    <w:rsid w:val="0009298B"/>
    <w:rsid w:val="000936F6"/>
    <w:rsid w:val="000939B0"/>
    <w:rsid w:val="000942B5"/>
    <w:rsid w:val="000957D7"/>
    <w:rsid w:val="00096A7C"/>
    <w:rsid w:val="000976A4"/>
    <w:rsid w:val="00097BE2"/>
    <w:rsid w:val="00097C43"/>
    <w:rsid w:val="00097C75"/>
    <w:rsid w:val="000A1A42"/>
    <w:rsid w:val="000A2681"/>
    <w:rsid w:val="000A27CA"/>
    <w:rsid w:val="000A2AE6"/>
    <w:rsid w:val="000A3227"/>
    <w:rsid w:val="000A3290"/>
    <w:rsid w:val="000A4F52"/>
    <w:rsid w:val="000A58AC"/>
    <w:rsid w:val="000A672C"/>
    <w:rsid w:val="000A68D1"/>
    <w:rsid w:val="000B18A4"/>
    <w:rsid w:val="000B1955"/>
    <w:rsid w:val="000B2E41"/>
    <w:rsid w:val="000B3407"/>
    <w:rsid w:val="000B39EB"/>
    <w:rsid w:val="000B44D6"/>
    <w:rsid w:val="000B44F7"/>
    <w:rsid w:val="000B47A5"/>
    <w:rsid w:val="000B488E"/>
    <w:rsid w:val="000B5102"/>
    <w:rsid w:val="000B5645"/>
    <w:rsid w:val="000C08DD"/>
    <w:rsid w:val="000C1C7C"/>
    <w:rsid w:val="000C209F"/>
    <w:rsid w:val="000C3726"/>
    <w:rsid w:val="000C3DA8"/>
    <w:rsid w:val="000C4877"/>
    <w:rsid w:val="000C48E6"/>
    <w:rsid w:val="000C4BCF"/>
    <w:rsid w:val="000C5A45"/>
    <w:rsid w:val="000C6137"/>
    <w:rsid w:val="000C6860"/>
    <w:rsid w:val="000C7C2F"/>
    <w:rsid w:val="000D0633"/>
    <w:rsid w:val="000D190B"/>
    <w:rsid w:val="000D2A00"/>
    <w:rsid w:val="000D2AD7"/>
    <w:rsid w:val="000D2B22"/>
    <w:rsid w:val="000D3BFE"/>
    <w:rsid w:val="000D3C89"/>
    <w:rsid w:val="000D41B6"/>
    <w:rsid w:val="000D4D9C"/>
    <w:rsid w:val="000D5994"/>
    <w:rsid w:val="000D69E9"/>
    <w:rsid w:val="000D6BB7"/>
    <w:rsid w:val="000D7342"/>
    <w:rsid w:val="000E0134"/>
    <w:rsid w:val="000E0DB2"/>
    <w:rsid w:val="000E2CF3"/>
    <w:rsid w:val="000E36B5"/>
    <w:rsid w:val="000E3E84"/>
    <w:rsid w:val="000E4354"/>
    <w:rsid w:val="000E46BB"/>
    <w:rsid w:val="000E5436"/>
    <w:rsid w:val="000E5ED2"/>
    <w:rsid w:val="000E6DD5"/>
    <w:rsid w:val="000E74A1"/>
    <w:rsid w:val="000F07CA"/>
    <w:rsid w:val="000F0C45"/>
    <w:rsid w:val="000F119E"/>
    <w:rsid w:val="000F1955"/>
    <w:rsid w:val="000F1C3E"/>
    <w:rsid w:val="000F2196"/>
    <w:rsid w:val="000F2718"/>
    <w:rsid w:val="000F2BD6"/>
    <w:rsid w:val="000F414D"/>
    <w:rsid w:val="000F48D4"/>
    <w:rsid w:val="000F4FB2"/>
    <w:rsid w:val="000F50C9"/>
    <w:rsid w:val="000F6ABE"/>
    <w:rsid w:val="00100BEB"/>
    <w:rsid w:val="001047C6"/>
    <w:rsid w:val="00104D2D"/>
    <w:rsid w:val="0010517A"/>
    <w:rsid w:val="001064C5"/>
    <w:rsid w:val="00106E26"/>
    <w:rsid w:val="00107197"/>
    <w:rsid w:val="001079E5"/>
    <w:rsid w:val="00111432"/>
    <w:rsid w:val="00111DD6"/>
    <w:rsid w:val="001124A4"/>
    <w:rsid w:val="001124ED"/>
    <w:rsid w:val="0011410C"/>
    <w:rsid w:val="001145FD"/>
    <w:rsid w:val="00114AB8"/>
    <w:rsid w:val="00115871"/>
    <w:rsid w:val="00115BB0"/>
    <w:rsid w:val="001178C9"/>
    <w:rsid w:val="00120090"/>
    <w:rsid w:val="001210FE"/>
    <w:rsid w:val="001212E7"/>
    <w:rsid w:val="0012249C"/>
    <w:rsid w:val="001227AC"/>
    <w:rsid w:val="00122934"/>
    <w:rsid w:val="00123E5A"/>
    <w:rsid w:val="0012520E"/>
    <w:rsid w:val="0012586A"/>
    <w:rsid w:val="00126103"/>
    <w:rsid w:val="00126379"/>
    <w:rsid w:val="001264BD"/>
    <w:rsid w:val="00127024"/>
    <w:rsid w:val="00127257"/>
    <w:rsid w:val="00130559"/>
    <w:rsid w:val="00130811"/>
    <w:rsid w:val="00130B92"/>
    <w:rsid w:val="001315F5"/>
    <w:rsid w:val="0013199F"/>
    <w:rsid w:val="001322EE"/>
    <w:rsid w:val="00132421"/>
    <w:rsid w:val="00132EEC"/>
    <w:rsid w:val="001335A5"/>
    <w:rsid w:val="00133C59"/>
    <w:rsid w:val="0013401C"/>
    <w:rsid w:val="001341B4"/>
    <w:rsid w:val="001354AE"/>
    <w:rsid w:val="00135731"/>
    <w:rsid w:val="00136A64"/>
    <w:rsid w:val="00136E71"/>
    <w:rsid w:val="00140FA9"/>
    <w:rsid w:val="00141A84"/>
    <w:rsid w:val="00141CF3"/>
    <w:rsid w:val="001420EF"/>
    <w:rsid w:val="0014253D"/>
    <w:rsid w:val="00142687"/>
    <w:rsid w:val="001429B5"/>
    <w:rsid w:val="00142AD7"/>
    <w:rsid w:val="00143321"/>
    <w:rsid w:val="0014360E"/>
    <w:rsid w:val="00147E2E"/>
    <w:rsid w:val="001505B2"/>
    <w:rsid w:val="001510C8"/>
    <w:rsid w:val="001518F0"/>
    <w:rsid w:val="0015282A"/>
    <w:rsid w:val="001540AD"/>
    <w:rsid w:val="001550B3"/>
    <w:rsid w:val="001564BB"/>
    <w:rsid w:val="0015674C"/>
    <w:rsid w:val="00156D3D"/>
    <w:rsid w:val="00157A04"/>
    <w:rsid w:val="001615CD"/>
    <w:rsid w:val="0016280F"/>
    <w:rsid w:val="00162AA6"/>
    <w:rsid w:val="0016388A"/>
    <w:rsid w:val="00164323"/>
    <w:rsid w:val="001651E7"/>
    <w:rsid w:val="00166702"/>
    <w:rsid w:val="00166A34"/>
    <w:rsid w:val="00167012"/>
    <w:rsid w:val="001671A7"/>
    <w:rsid w:val="001676B3"/>
    <w:rsid w:val="001703FA"/>
    <w:rsid w:val="00170677"/>
    <w:rsid w:val="00172BD0"/>
    <w:rsid w:val="001734EA"/>
    <w:rsid w:val="00173AF0"/>
    <w:rsid w:val="00174271"/>
    <w:rsid w:val="00174998"/>
    <w:rsid w:val="00174E1B"/>
    <w:rsid w:val="00175668"/>
    <w:rsid w:val="0017661D"/>
    <w:rsid w:val="00176A80"/>
    <w:rsid w:val="001771CE"/>
    <w:rsid w:val="00180905"/>
    <w:rsid w:val="00180954"/>
    <w:rsid w:val="00182E77"/>
    <w:rsid w:val="00183969"/>
    <w:rsid w:val="00185355"/>
    <w:rsid w:val="001858C9"/>
    <w:rsid w:val="001859F1"/>
    <w:rsid w:val="00186EBF"/>
    <w:rsid w:val="0018713C"/>
    <w:rsid w:val="00187DF3"/>
    <w:rsid w:val="0019016C"/>
    <w:rsid w:val="00190BA1"/>
    <w:rsid w:val="00191AAC"/>
    <w:rsid w:val="00191DF3"/>
    <w:rsid w:val="00192735"/>
    <w:rsid w:val="00192DAF"/>
    <w:rsid w:val="0019352F"/>
    <w:rsid w:val="00193CC5"/>
    <w:rsid w:val="00193EB2"/>
    <w:rsid w:val="00194B4B"/>
    <w:rsid w:val="00194BFB"/>
    <w:rsid w:val="00194CEB"/>
    <w:rsid w:val="00194D91"/>
    <w:rsid w:val="00194E04"/>
    <w:rsid w:val="001953CA"/>
    <w:rsid w:val="00195432"/>
    <w:rsid w:val="0019646D"/>
    <w:rsid w:val="001A0241"/>
    <w:rsid w:val="001A3884"/>
    <w:rsid w:val="001A3A46"/>
    <w:rsid w:val="001A4248"/>
    <w:rsid w:val="001A47C1"/>
    <w:rsid w:val="001A507B"/>
    <w:rsid w:val="001A53D8"/>
    <w:rsid w:val="001A5808"/>
    <w:rsid w:val="001B02C8"/>
    <w:rsid w:val="001B09CB"/>
    <w:rsid w:val="001B0DB7"/>
    <w:rsid w:val="001B14E2"/>
    <w:rsid w:val="001B164A"/>
    <w:rsid w:val="001B19ED"/>
    <w:rsid w:val="001B27EE"/>
    <w:rsid w:val="001B28FB"/>
    <w:rsid w:val="001B37CC"/>
    <w:rsid w:val="001B533F"/>
    <w:rsid w:val="001B6AD1"/>
    <w:rsid w:val="001B7368"/>
    <w:rsid w:val="001B76BE"/>
    <w:rsid w:val="001C02FB"/>
    <w:rsid w:val="001C33B3"/>
    <w:rsid w:val="001C3736"/>
    <w:rsid w:val="001C37BA"/>
    <w:rsid w:val="001C43EC"/>
    <w:rsid w:val="001C4D8E"/>
    <w:rsid w:val="001C53FD"/>
    <w:rsid w:val="001C564A"/>
    <w:rsid w:val="001C5682"/>
    <w:rsid w:val="001C6832"/>
    <w:rsid w:val="001C6B13"/>
    <w:rsid w:val="001C708C"/>
    <w:rsid w:val="001C715A"/>
    <w:rsid w:val="001C7AEB"/>
    <w:rsid w:val="001D0D39"/>
    <w:rsid w:val="001D0D9C"/>
    <w:rsid w:val="001D103E"/>
    <w:rsid w:val="001D1CB4"/>
    <w:rsid w:val="001D2CB8"/>
    <w:rsid w:val="001D2D1E"/>
    <w:rsid w:val="001D3958"/>
    <w:rsid w:val="001D3B0B"/>
    <w:rsid w:val="001D41DA"/>
    <w:rsid w:val="001D4485"/>
    <w:rsid w:val="001D460C"/>
    <w:rsid w:val="001D46AD"/>
    <w:rsid w:val="001D4827"/>
    <w:rsid w:val="001D4EB2"/>
    <w:rsid w:val="001D6CE3"/>
    <w:rsid w:val="001D754E"/>
    <w:rsid w:val="001D768F"/>
    <w:rsid w:val="001D7DCB"/>
    <w:rsid w:val="001E065D"/>
    <w:rsid w:val="001E17C6"/>
    <w:rsid w:val="001E1C7C"/>
    <w:rsid w:val="001E1E65"/>
    <w:rsid w:val="001E202F"/>
    <w:rsid w:val="001E2174"/>
    <w:rsid w:val="001E3A13"/>
    <w:rsid w:val="001E4F99"/>
    <w:rsid w:val="001E51F8"/>
    <w:rsid w:val="001E53EB"/>
    <w:rsid w:val="001E5C9C"/>
    <w:rsid w:val="001E5CD6"/>
    <w:rsid w:val="001E5DBF"/>
    <w:rsid w:val="001E647B"/>
    <w:rsid w:val="001E661F"/>
    <w:rsid w:val="001E6B31"/>
    <w:rsid w:val="001E7B05"/>
    <w:rsid w:val="001F02D6"/>
    <w:rsid w:val="001F0757"/>
    <w:rsid w:val="001F1FAE"/>
    <w:rsid w:val="001F2C6F"/>
    <w:rsid w:val="001F2F3D"/>
    <w:rsid w:val="001F30A9"/>
    <w:rsid w:val="001F33E5"/>
    <w:rsid w:val="001F3544"/>
    <w:rsid w:val="001F3D7E"/>
    <w:rsid w:val="001F3EE0"/>
    <w:rsid w:val="001F4947"/>
    <w:rsid w:val="001F4C62"/>
    <w:rsid w:val="001F5B8C"/>
    <w:rsid w:val="001F6135"/>
    <w:rsid w:val="0020016F"/>
    <w:rsid w:val="0020116C"/>
    <w:rsid w:val="00202479"/>
    <w:rsid w:val="00202836"/>
    <w:rsid w:val="002037D9"/>
    <w:rsid w:val="00203C0F"/>
    <w:rsid w:val="00204608"/>
    <w:rsid w:val="00205799"/>
    <w:rsid w:val="0020591F"/>
    <w:rsid w:val="0020741D"/>
    <w:rsid w:val="0020745B"/>
    <w:rsid w:val="00210063"/>
    <w:rsid w:val="002114E6"/>
    <w:rsid w:val="00211771"/>
    <w:rsid w:val="00211E68"/>
    <w:rsid w:val="00212B23"/>
    <w:rsid w:val="002130F7"/>
    <w:rsid w:val="002142BC"/>
    <w:rsid w:val="00214A14"/>
    <w:rsid w:val="00214EF7"/>
    <w:rsid w:val="00215266"/>
    <w:rsid w:val="002152CE"/>
    <w:rsid w:val="00215335"/>
    <w:rsid w:val="00215543"/>
    <w:rsid w:val="00216512"/>
    <w:rsid w:val="00217487"/>
    <w:rsid w:val="002178F2"/>
    <w:rsid w:val="002209B4"/>
    <w:rsid w:val="00220BDA"/>
    <w:rsid w:val="00221BFD"/>
    <w:rsid w:val="00221DF5"/>
    <w:rsid w:val="00222AEA"/>
    <w:rsid w:val="00223025"/>
    <w:rsid w:val="002239F5"/>
    <w:rsid w:val="00223DE1"/>
    <w:rsid w:val="00224817"/>
    <w:rsid w:val="00224DE1"/>
    <w:rsid w:val="00227456"/>
    <w:rsid w:val="0022755B"/>
    <w:rsid w:val="00227608"/>
    <w:rsid w:val="00227F51"/>
    <w:rsid w:val="00230D1A"/>
    <w:rsid w:val="00231119"/>
    <w:rsid w:val="002339F1"/>
    <w:rsid w:val="00234E58"/>
    <w:rsid w:val="002353FE"/>
    <w:rsid w:val="00240023"/>
    <w:rsid w:val="002404B5"/>
    <w:rsid w:val="00240E0D"/>
    <w:rsid w:val="00240EE9"/>
    <w:rsid w:val="00240F29"/>
    <w:rsid w:val="00240F58"/>
    <w:rsid w:val="00241694"/>
    <w:rsid w:val="00241A2D"/>
    <w:rsid w:val="00241A64"/>
    <w:rsid w:val="002434C0"/>
    <w:rsid w:val="00243B61"/>
    <w:rsid w:val="00243BDC"/>
    <w:rsid w:val="00244129"/>
    <w:rsid w:val="002447ED"/>
    <w:rsid w:val="00244E3B"/>
    <w:rsid w:val="002450CD"/>
    <w:rsid w:val="0024511F"/>
    <w:rsid w:val="0024512A"/>
    <w:rsid w:val="0024515A"/>
    <w:rsid w:val="00245587"/>
    <w:rsid w:val="00245D5D"/>
    <w:rsid w:val="002460C6"/>
    <w:rsid w:val="00246479"/>
    <w:rsid w:val="002471B0"/>
    <w:rsid w:val="00247D04"/>
    <w:rsid w:val="002501CA"/>
    <w:rsid w:val="00250EC1"/>
    <w:rsid w:val="00251940"/>
    <w:rsid w:val="00252864"/>
    <w:rsid w:val="00252C51"/>
    <w:rsid w:val="0025347E"/>
    <w:rsid w:val="002543DC"/>
    <w:rsid w:val="00254549"/>
    <w:rsid w:val="002553D6"/>
    <w:rsid w:val="00255609"/>
    <w:rsid w:val="00256080"/>
    <w:rsid w:val="00257AD4"/>
    <w:rsid w:val="00257EA9"/>
    <w:rsid w:val="0026166F"/>
    <w:rsid w:val="00261FE2"/>
    <w:rsid w:val="00262361"/>
    <w:rsid w:val="00264F73"/>
    <w:rsid w:val="0026508D"/>
    <w:rsid w:val="00265126"/>
    <w:rsid w:val="0026579C"/>
    <w:rsid w:val="00265979"/>
    <w:rsid w:val="00265F2D"/>
    <w:rsid w:val="0026791F"/>
    <w:rsid w:val="00267BAB"/>
    <w:rsid w:val="00270D8F"/>
    <w:rsid w:val="00271F22"/>
    <w:rsid w:val="00272444"/>
    <w:rsid w:val="00272716"/>
    <w:rsid w:val="002731D3"/>
    <w:rsid w:val="00273B44"/>
    <w:rsid w:val="002755DA"/>
    <w:rsid w:val="002761DF"/>
    <w:rsid w:val="0027654F"/>
    <w:rsid w:val="002803A7"/>
    <w:rsid w:val="00280451"/>
    <w:rsid w:val="00280A95"/>
    <w:rsid w:val="00280AEC"/>
    <w:rsid w:val="00280AFC"/>
    <w:rsid w:val="00280E99"/>
    <w:rsid w:val="00281697"/>
    <w:rsid w:val="00283699"/>
    <w:rsid w:val="00283A05"/>
    <w:rsid w:val="00283B8C"/>
    <w:rsid w:val="002847D5"/>
    <w:rsid w:val="00284AF3"/>
    <w:rsid w:val="00284DCB"/>
    <w:rsid w:val="002867EC"/>
    <w:rsid w:val="00286C41"/>
    <w:rsid w:val="00287ADC"/>
    <w:rsid w:val="0029094A"/>
    <w:rsid w:val="00290BC8"/>
    <w:rsid w:val="0029126F"/>
    <w:rsid w:val="0029169A"/>
    <w:rsid w:val="002919E0"/>
    <w:rsid w:val="00291AF2"/>
    <w:rsid w:val="002923BC"/>
    <w:rsid w:val="0029301A"/>
    <w:rsid w:val="0029301B"/>
    <w:rsid w:val="002930CF"/>
    <w:rsid w:val="002934D2"/>
    <w:rsid w:val="00293AB1"/>
    <w:rsid w:val="0029589D"/>
    <w:rsid w:val="00296052"/>
    <w:rsid w:val="002964BD"/>
    <w:rsid w:val="00296D1C"/>
    <w:rsid w:val="00297186"/>
    <w:rsid w:val="002976F7"/>
    <w:rsid w:val="0029780F"/>
    <w:rsid w:val="00297A90"/>
    <w:rsid w:val="002A00AA"/>
    <w:rsid w:val="002A162A"/>
    <w:rsid w:val="002A1B3F"/>
    <w:rsid w:val="002A3CAD"/>
    <w:rsid w:val="002A4B77"/>
    <w:rsid w:val="002A57A7"/>
    <w:rsid w:val="002A5B29"/>
    <w:rsid w:val="002A6428"/>
    <w:rsid w:val="002A7F20"/>
    <w:rsid w:val="002B0506"/>
    <w:rsid w:val="002B14B0"/>
    <w:rsid w:val="002B2097"/>
    <w:rsid w:val="002B2163"/>
    <w:rsid w:val="002B3311"/>
    <w:rsid w:val="002B4005"/>
    <w:rsid w:val="002B493A"/>
    <w:rsid w:val="002B4E77"/>
    <w:rsid w:val="002B4F89"/>
    <w:rsid w:val="002B505A"/>
    <w:rsid w:val="002B5234"/>
    <w:rsid w:val="002B5C6E"/>
    <w:rsid w:val="002B60FC"/>
    <w:rsid w:val="002B6218"/>
    <w:rsid w:val="002B6C9A"/>
    <w:rsid w:val="002B7426"/>
    <w:rsid w:val="002B7981"/>
    <w:rsid w:val="002B799C"/>
    <w:rsid w:val="002B79F9"/>
    <w:rsid w:val="002C1080"/>
    <w:rsid w:val="002C157D"/>
    <w:rsid w:val="002C1781"/>
    <w:rsid w:val="002C3326"/>
    <w:rsid w:val="002C37A1"/>
    <w:rsid w:val="002C567D"/>
    <w:rsid w:val="002C5707"/>
    <w:rsid w:val="002C5DD4"/>
    <w:rsid w:val="002C6840"/>
    <w:rsid w:val="002C68E2"/>
    <w:rsid w:val="002C6990"/>
    <w:rsid w:val="002C7C12"/>
    <w:rsid w:val="002D1418"/>
    <w:rsid w:val="002D1757"/>
    <w:rsid w:val="002D1C3D"/>
    <w:rsid w:val="002D44A5"/>
    <w:rsid w:val="002D5104"/>
    <w:rsid w:val="002D5BAE"/>
    <w:rsid w:val="002D6F72"/>
    <w:rsid w:val="002D76DD"/>
    <w:rsid w:val="002D775F"/>
    <w:rsid w:val="002D78D7"/>
    <w:rsid w:val="002E13D6"/>
    <w:rsid w:val="002E1887"/>
    <w:rsid w:val="002E24F9"/>
    <w:rsid w:val="002E2679"/>
    <w:rsid w:val="002E2835"/>
    <w:rsid w:val="002E2F16"/>
    <w:rsid w:val="002E365A"/>
    <w:rsid w:val="002E48BC"/>
    <w:rsid w:val="002E5A42"/>
    <w:rsid w:val="002E62D3"/>
    <w:rsid w:val="002E6873"/>
    <w:rsid w:val="002E76A2"/>
    <w:rsid w:val="002E7738"/>
    <w:rsid w:val="002E7C60"/>
    <w:rsid w:val="002F0106"/>
    <w:rsid w:val="002F0CFC"/>
    <w:rsid w:val="002F1683"/>
    <w:rsid w:val="002F2232"/>
    <w:rsid w:val="002F2414"/>
    <w:rsid w:val="002F30B9"/>
    <w:rsid w:val="002F375C"/>
    <w:rsid w:val="002F3856"/>
    <w:rsid w:val="002F3940"/>
    <w:rsid w:val="002F3A66"/>
    <w:rsid w:val="002F3E99"/>
    <w:rsid w:val="002F4694"/>
    <w:rsid w:val="002F4803"/>
    <w:rsid w:val="002F7B5A"/>
    <w:rsid w:val="002F7F4B"/>
    <w:rsid w:val="00300129"/>
    <w:rsid w:val="003002E4"/>
    <w:rsid w:val="00300F7A"/>
    <w:rsid w:val="00301455"/>
    <w:rsid w:val="00301EA5"/>
    <w:rsid w:val="00302E8D"/>
    <w:rsid w:val="00303558"/>
    <w:rsid w:val="00303FD8"/>
    <w:rsid w:val="003048B1"/>
    <w:rsid w:val="00304921"/>
    <w:rsid w:val="00305392"/>
    <w:rsid w:val="0030584B"/>
    <w:rsid w:val="00305A84"/>
    <w:rsid w:val="00306AB0"/>
    <w:rsid w:val="00306CA3"/>
    <w:rsid w:val="00307EE7"/>
    <w:rsid w:val="0031100C"/>
    <w:rsid w:val="00311E08"/>
    <w:rsid w:val="003123F3"/>
    <w:rsid w:val="00312957"/>
    <w:rsid w:val="0031335E"/>
    <w:rsid w:val="00313463"/>
    <w:rsid w:val="0031440B"/>
    <w:rsid w:val="00314768"/>
    <w:rsid w:val="003149E4"/>
    <w:rsid w:val="003158EA"/>
    <w:rsid w:val="003159E9"/>
    <w:rsid w:val="00315FF0"/>
    <w:rsid w:val="00316384"/>
    <w:rsid w:val="00316A66"/>
    <w:rsid w:val="00316C2C"/>
    <w:rsid w:val="00317469"/>
    <w:rsid w:val="00317DCE"/>
    <w:rsid w:val="00317DF0"/>
    <w:rsid w:val="00320318"/>
    <w:rsid w:val="003208FE"/>
    <w:rsid w:val="00321120"/>
    <w:rsid w:val="00321C7C"/>
    <w:rsid w:val="00321E98"/>
    <w:rsid w:val="003224BD"/>
    <w:rsid w:val="00324A65"/>
    <w:rsid w:val="00324A77"/>
    <w:rsid w:val="003259A1"/>
    <w:rsid w:val="00325E8D"/>
    <w:rsid w:val="00326B38"/>
    <w:rsid w:val="00326FA8"/>
    <w:rsid w:val="00327669"/>
    <w:rsid w:val="00327CE8"/>
    <w:rsid w:val="00327DF8"/>
    <w:rsid w:val="003301E9"/>
    <w:rsid w:val="003303A6"/>
    <w:rsid w:val="003310C0"/>
    <w:rsid w:val="0033273D"/>
    <w:rsid w:val="00332A06"/>
    <w:rsid w:val="00332A34"/>
    <w:rsid w:val="0033330C"/>
    <w:rsid w:val="003334C8"/>
    <w:rsid w:val="00334725"/>
    <w:rsid w:val="00334C02"/>
    <w:rsid w:val="00334CB5"/>
    <w:rsid w:val="00334F6D"/>
    <w:rsid w:val="0033507E"/>
    <w:rsid w:val="00335CE5"/>
    <w:rsid w:val="00335EF5"/>
    <w:rsid w:val="00336024"/>
    <w:rsid w:val="003360C6"/>
    <w:rsid w:val="00336339"/>
    <w:rsid w:val="00336E9C"/>
    <w:rsid w:val="00337039"/>
    <w:rsid w:val="003375F0"/>
    <w:rsid w:val="00337864"/>
    <w:rsid w:val="003406AD"/>
    <w:rsid w:val="00341842"/>
    <w:rsid w:val="00341E1A"/>
    <w:rsid w:val="00341FF6"/>
    <w:rsid w:val="003424A6"/>
    <w:rsid w:val="00342929"/>
    <w:rsid w:val="00342D0D"/>
    <w:rsid w:val="00343239"/>
    <w:rsid w:val="0034325D"/>
    <w:rsid w:val="0034440E"/>
    <w:rsid w:val="0034481C"/>
    <w:rsid w:val="00344DB5"/>
    <w:rsid w:val="00345496"/>
    <w:rsid w:val="00345649"/>
    <w:rsid w:val="00345844"/>
    <w:rsid w:val="00345F17"/>
    <w:rsid w:val="003471FF"/>
    <w:rsid w:val="00347BBA"/>
    <w:rsid w:val="0035175E"/>
    <w:rsid w:val="00351B8E"/>
    <w:rsid w:val="00352C32"/>
    <w:rsid w:val="00353787"/>
    <w:rsid w:val="00354931"/>
    <w:rsid w:val="0035541A"/>
    <w:rsid w:val="003554A7"/>
    <w:rsid w:val="00355BB5"/>
    <w:rsid w:val="00355D5C"/>
    <w:rsid w:val="00357870"/>
    <w:rsid w:val="00357D6D"/>
    <w:rsid w:val="00361484"/>
    <w:rsid w:val="00361674"/>
    <w:rsid w:val="00361D12"/>
    <w:rsid w:val="003621E0"/>
    <w:rsid w:val="00363293"/>
    <w:rsid w:val="00363991"/>
    <w:rsid w:val="00363A0A"/>
    <w:rsid w:val="003640F4"/>
    <w:rsid w:val="00364847"/>
    <w:rsid w:val="003648F5"/>
    <w:rsid w:val="003652C1"/>
    <w:rsid w:val="00365F3A"/>
    <w:rsid w:val="00366396"/>
    <w:rsid w:val="003668DD"/>
    <w:rsid w:val="00367F3B"/>
    <w:rsid w:val="00370F13"/>
    <w:rsid w:val="003713E7"/>
    <w:rsid w:val="00371A1E"/>
    <w:rsid w:val="00372216"/>
    <w:rsid w:val="003722F5"/>
    <w:rsid w:val="0037329C"/>
    <w:rsid w:val="0037452A"/>
    <w:rsid w:val="00375092"/>
    <w:rsid w:val="003755F8"/>
    <w:rsid w:val="003760E2"/>
    <w:rsid w:val="00376874"/>
    <w:rsid w:val="0037710C"/>
    <w:rsid w:val="003772F6"/>
    <w:rsid w:val="003773FD"/>
    <w:rsid w:val="00377C2F"/>
    <w:rsid w:val="00377E02"/>
    <w:rsid w:val="00377E79"/>
    <w:rsid w:val="00377F9D"/>
    <w:rsid w:val="0038091A"/>
    <w:rsid w:val="00381D52"/>
    <w:rsid w:val="00381EBF"/>
    <w:rsid w:val="00383470"/>
    <w:rsid w:val="00383B4A"/>
    <w:rsid w:val="0038474E"/>
    <w:rsid w:val="00387B3E"/>
    <w:rsid w:val="003909C5"/>
    <w:rsid w:val="00390F11"/>
    <w:rsid w:val="00391D1A"/>
    <w:rsid w:val="0039287F"/>
    <w:rsid w:val="00392D40"/>
    <w:rsid w:val="00392DCC"/>
    <w:rsid w:val="003936F6"/>
    <w:rsid w:val="003947D3"/>
    <w:rsid w:val="0039588D"/>
    <w:rsid w:val="0039674B"/>
    <w:rsid w:val="003970FD"/>
    <w:rsid w:val="003A0287"/>
    <w:rsid w:val="003A0FB0"/>
    <w:rsid w:val="003A1498"/>
    <w:rsid w:val="003A1779"/>
    <w:rsid w:val="003A23C6"/>
    <w:rsid w:val="003A2A38"/>
    <w:rsid w:val="003A2D70"/>
    <w:rsid w:val="003A3435"/>
    <w:rsid w:val="003A348A"/>
    <w:rsid w:val="003A4D62"/>
    <w:rsid w:val="003A6360"/>
    <w:rsid w:val="003A76D3"/>
    <w:rsid w:val="003A7D21"/>
    <w:rsid w:val="003B049B"/>
    <w:rsid w:val="003B0757"/>
    <w:rsid w:val="003B1782"/>
    <w:rsid w:val="003B19F9"/>
    <w:rsid w:val="003B1A23"/>
    <w:rsid w:val="003B21BD"/>
    <w:rsid w:val="003B2FFB"/>
    <w:rsid w:val="003B3133"/>
    <w:rsid w:val="003B39D4"/>
    <w:rsid w:val="003B3F23"/>
    <w:rsid w:val="003B5D23"/>
    <w:rsid w:val="003B6667"/>
    <w:rsid w:val="003B6906"/>
    <w:rsid w:val="003B7058"/>
    <w:rsid w:val="003B7C26"/>
    <w:rsid w:val="003C046F"/>
    <w:rsid w:val="003C0527"/>
    <w:rsid w:val="003C0B3D"/>
    <w:rsid w:val="003C0E46"/>
    <w:rsid w:val="003C105E"/>
    <w:rsid w:val="003C142A"/>
    <w:rsid w:val="003C197F"/>
    <w:rsid w:val="003C23D0"/>
    <w:rsid w:val="003C24D4"/>
    <w:rsid w:val="003C2957"/>
    <w:rsid w:val="003C2AA3"/>
    <w:rsid w:val="003C2B07"/>
    <w:rsid w:val="003C336C"/>
    <w:rsid w:val="003C3CBE"/>
    <w:rsid w:val="003C4470"/>
    <w:rsid w:val="003C45C9"/>
    <w:rsid w:val="003C48E0"/>
    <w:rsid w:val="003C522A"/>
    <w:rsid w:val="003C52F0"/>
    <w:rsid w:val="003C5622"/>
    <w:rsid w:val="003C57B1"/>
    <w:rsid w:val="003C7740"/>
    <w:rsid w:val="003C7F20"/>
    <w:rsid w:val="003D01AA"/>
    <w:rsid w:val="003D04FF"/>
    <w:rsid w:val="003D15AB"/>
    <w:rsid w:val="003D1D51"/>
    <w:rsid w:val="003D220D"/>
    <w:rsid w:val="003D23A3"/>
    <w:rsid w:val="003D241E"/>
    <w:rsid w:val="003D284B"/>
    <w:rsid w:val="003D2BEA"/>
    <w:rsid w:val="003D3904"/>
    <w:rsid w:val="003D464A"/>
    <w:rsid w:val="003D4C84"/>
    <w:rsid w:val="003D4E3F"/>
    <w:rsid w:val="003D76AC"/>
    <w:rsid w:val="003E05A0"/>
    <w:rsid w:val="003E0611"/>
    <w:rsid w:val="003E0EE1"/>
    <w:rsid w:val="003E1C1D"/>
    <w:rsid w:val="003E2835"/>
    <w:rsid w:val="003E28C2"/>
    <w:rsid w:val="003E37AD"/>
    <w:rsid w:val="003E38F6"/>
    <w:rsid w:val="003E3E9F"/>
    <w:rsid w:val="003E4A51"/>
    <w:rsid w:val="003E5E51"/>
    <w:rsid w:val="003F0069"/>
    <w:rsid w:val="003F0353"/>
    <w:rsid w:val="003F07E8"/>
    <w:rsid w:val="003F07F4"/>
    <w:rsid w:val="003F0EB3"/>
    <w:rsid w:val="003F17BC"/>
    <w:rsid w:val="003F24DC"/>
    <w:rsid w:val="003F2863"/>
    <w:rsid w:val="003F3EAA"/>
    <w:rsid w:val="003F3FDA"/>
    <w:rsid w:val="003F40AE"/>
    <w:rsid w:val="003F4855"/>
    <w:rsid w:val="003F4F08"/>
    <w:rsid w:val="003F6290"/>
    <w:rsid w:val="003F651B"/>
    <w:rsid w:val="003F6BD4"/>
    <w:rsid w:val="003F7378"/>
    <w:rsid w:val="003F7788"/>
    <w:rsid w:val="003F7819"/>
    <w:rsid w:val="003F795D"/>
    <w:rsid w:val="003F7F9C"/>
    <w:rsid w:val="00400351"/>
    <w:rsid w:val="00401ECE"/>
    <w:rsid w:val="004022AC"/>
    <w:rsid w:val="00403836"/>
    <w:rsid w:val="00403BBD"/>
    <w:rsid w:val="00405906"/>
    <w:rsid w:val="00405F49"/>
    <w:rsid w:val="0040652E"/>
    <w:rsid w:val="00406DD6"/>
    <w:rsid w:val="00406FD6"/>
    <w:rsid w:val="00407084"/>
    <w:rsid w:val="0041023B"/>
    <w:rsid w:val="0041039E"/>
    <w:rsid w:val="00410CC8"/>
    <w:rsid w:val="00410EB6"/>
    <w:rsid w:val="004111DE"/>
    <w:rsid w:val="00411D04"/>
    <w:rsid w:val="00411EFB"/>
    <w:rsid w:val="00412105"/>
    <w:rsid w:val="004122FE"/>
    <w:rsid w:val="00414046"/>
    <w:rsid w:val="004149D7"/>
    <w:rsid w:val="00414A07"/>
    <w:rsid w:val="00414B9E"/>
    <w:rsid w:val="00415093"/>
    <w:rsid w:val="00415DC1"/>
    <w:rsid w:val="004165DE"/>
    <w:rsid w:val="00417D83"/>
    <w:rsid w:val="00420158"/>
    <w:rsid w:val="004207B5"/>
    <w:rsid w:val="004218E7"/>
    <w:rsid w:val="00423932"/>
    <w:rsid w:val="00424BE8"/>
    <w:rsid w:val="0042529E"/>
    <w:rsid w:val="004253F9"/>
    <w:rsid w:val="004254BB"/>
    <w:rsid w:val="0042603C"/>
    <w:rsid w:val="00427B8C"/>
    <w:rsid w:val="00430F65"/>
    <w:rsid w:val="00432E32"/>
    <w:rsid w:val="004337A1"/>
    <w:rsid w:val="004345E2"/>
    <w:rsid w:val="00434705"/>
    <w:rsid w:val="004349B6"/>
    <w:rsid w:val="00434A2E"/>
    <w:rsid w:val="00434F0C"/>
    <w:rsid w:val="00435841"/>
    <w:rsid w:val="00435FAD"/>
    <w:rsid w:val="004365BE"/>
    <w:rsid w:val="00436D89"/>
    <w:rsid w:val="0043700F"/>
    <w:rsid w:val="0044286F"/>
    <w:rsid w:val="004429B4"/>
    <w:rsid w:val="00443F25"/>
    <w:rsid w:val="004446E1"/>
    <w:rsid w:val="00444F9C"/>
    <w:rsid w:val="004453DD"/>
    <w:rsid w:val="00447CF4"/>
    <w:rsid w:val="00447D20"/>
    <w:rsid w:val="004500F2"/>
    <w:rsid w:val="004502F4"/>
    <w:rsid w:val="00450467"/>
    <w:rsid w:val="004504C6"/>
    <w:rsid w:val="00450BD9"/>
    <w:rsid w:val="004512D4"/>
    <w:rsid w:val="00451A8C"/>
    <w:rsid w:val="00451EE9"/>
    <w:rsid w:val="00452645"/>
    <w:rsid w:val="00452A3D"/>
    <w:rsid w:val="004531BF"/>
    <w:rsid w:val="0045468A"/>
    <w:rsid w:val="004548F8"/>
    <w:rsid w:val="004561B2"/>
    <w:rsid w:val="00456541"/>
    <w:rsid w:val="00456B91"/>
    <w:rsid w:val="00461196"/>
    <w:rsid w:val="00461364"/>
    <w:rsid w:val="00461716"/>
    <w:rsid w:val="004620E5"/>
    <w:rsid w:val="00462740"/>
    <w:rsid w:val="00462902"/>
    <w:rsid w:val="00463395"/>
    <w:rsid w:val="00463846"/>
    <w:rsid w:val="004649F0"/>
    <w:rsid w:val="00465BCA"/>
    <w:rsid w:val="00465DF2"/>
    <w:rsid w:val="004660BB"/>
    <w:rsid w:val="004661DB"/>
    <w:rsid w:val="00467156"/>
    <w:rsid w:val="004679BB"/>
    <w:rsid w:val="00467D45"/>
    <w:rsid w:val="004711B2"/>
    <w:rsid w:val="00471E40"/>
    <w:rsid w:val="00472466"/>
    <w:rsid w:val="004728CF"/>
    <w:rsid w:val="00472CC0"/>
    <w:rsid w:val="004733BC"/>
    <w:rsid w:val="00473784"/>
    <w:rsid w:val="00473E68"/>
    <w:rsid w:val="00473E8F"/>
    <w:rsid w:val="004740E9"/>
    <w:rsid w:val="004745FA"/>
    <w:rsid w:val="00475B84"/>
    <w:rsid w:val="00475C6F"/>
    <w:rsid w:val="00476149"/>
    <w:rsid w:val="00477485"/>
    <w:rsid w:val="00477635"/>
    <w:rsid w:val="00480C78"/>
    <w:rsid w:val="00480E7D"/>
    <w:rsid w:val="0048103B"/>
    <w:rsid w:val="004812CA"/>
    <w:rsid w:val="00481510"/>
    <w:rsid w:val="00481859"/>
    <w:rsid w:val="00481A46"/>
    <w:rsid w:val="00481A7C"/>
    <w:rsid w:val="00481D8F"/>
    <w:rsid w:val="004833BF"/>
    <w:rsid w:val="004837D4"/>
    <w:rsid w:val="00484338"/>
    <w:rsid w:val="00484665"/>
    <w:rsid w:val="0048659B"/>
    <w:rsid w:val="00487A9B"/>
    <w:rsid w:val="00487CF5"/>
    <w:rsid w:val="00490C54"/>
    <w:rsid w:val="00491164"/>
    <w:rsid w:val="00491619"/>
    <w:rsid w:val="0049244A"/>
    <w:rsid w:val="00493089"/>
    <w:rsid w:val="004939A7"/>
    <w:rsid w:val="004939FC"/>
    <w:rsid w:val="00495B47"/>
    <w:rsid w:val="00496282"/>
    <w:rsid w:val="004964DA"/>
    <w:rsid w:val="0049743E"/>
    <w:rsid w:val="004A045F"/>
    <w:rsid w:val="004A061E"/>
    <w:rsid w:val="004A063B"/>
    <w:rsid w:val="004A077F"/>
    <w:rsid w:val="004A0A20"/>
    <w:rsid w:val="004A1A52"/>
    <w:rsid w:val="004A1D0E"/>
    <w:rsid w:val="004A1F44"/>
    <w:rsid w:val="004A2173"/>
    <w:rsid w:val="004A2507"/>
    <w:rsid w:val="004A5522"/>
    <w:rsid w:val="004A5DCE"/>
    <w:rsid w:val="004A7303"/>
    <w:rsid w:val="004B0024"/>
    <w:rsid w:val="004B0382"/>
    <w:rsid w:val="004B1503"/>
    <w:rsid w:val="004B1C8D"/>
    <w:rsid w:val="004B2FFA"/>
    <w:rsid w:val="004B36F1"/>
    <w:rsid w:val="004B3FA4"/>
    <w:rsid w:val="004B46A2"/>
    <w:rsid w:val="004B471F"/>
    <w:rsid w:val="004B5837"/>
    <w:rsid w:val="004B5F0D"/>
    <w:rsid w:val="004B70D7"/>
    <w:rsid w:val="004B75EA"/>
    <w:rsid w:val="004B77E7"/>
    <w:rsid w:val="004B7B4B"/>
    <w:rsid w:val="004C03EB"/>
    <w:rsid w:val="004C062C"/>
    <w:rsid w:val="004C0788"/>
    <w:rsid w:val="004C0798"/>
    <w:rsid w:val="004C0C94"/>
    <w:rsid w:val="004C13FD"/>
    <w:rsid w:val="004C42C0"/>
    <w:rsid w:val="004C4A46"/>
    <w:rsid w:val="004C4D6E"/>
    <w:rsid w:val="004C5362"/>
    <w:rsid w:val="004C547B"/>
    <w:rsid w:val="004C5B2A"/>
    <w:rsid w:val="004C65A3"/>
    <w:rsid w:val="004C699B"/>
    <w:rsid w:val="004C699D"/>
    <w:rsid w:val="004C6EF8"/>
    <w:rsid w:val="004C76F3"/>
    <w:rsid w:val="004D00BD"/>
    <w:rsid w:val="004D0203"/>
    <w:rsid w:val="004D05FF"/>
    <w:rsid w:val="004D0D09"/>
    <w:rsid w:val="004D1BF6"/>
    <w:rsid w:val="004D1E4A"/>
    <w:rsid w:val="004D286F"/>
    <w:rsid w:val="004D2A2D"/>
    <w:rsid w:val="004D2F61"/>
    <w:rsid w:val="004D38B2"/>
    <w:rsid w:val="004D3A62"/>
    <w:rsid w:val="004D3DF2"/>
    <w:rsid w:val="004D40C8"/>
    <w:rsid w:val="004D441B"/>
    <w:rsid w:val="004D4656"/>
    <w:rsid w:val="004D4C4A"/>
    <w:rsid w:val="004D5D65"/>
    <w:rsid w:val="004D6645"/>
    <w:rsid w:val="004D6A44"/>
    <w:rsid w:val="004D6F4D"/>
    <w:rsid w:val="004E012F"/>
    <w:rsid w:val="004E09FD"/>
    <w:rsid w:val="004E0F4A"/>
    <w:rsid w:val="004E1A04"/>
    <w:rsid w:val="004E21DD"/>
    <w:rsid w:val="004E30EC"/>
    <w:rsid w:val="004E374F"/>
    <w:rsid w:val="004E4055"/>
    <w:rsid w:val="004E549C"/>
    <w:rsid w:val="004E6602"/>
    <w:rsid w:val="004E7B64"/>
    <w:rsid w:val="004E7CD9"/>
    <w:rsid w:val="004F0E79"/>
    <w:rsid w:val="004F11A1"/>
    <w:rsid w:val="004F2010"/>
    <w:rsid w:val="004F52DE"/>
    <w:rsid w:val="004F534C"/>
    <w:rsid w:val="004F5C73"/>
    <w:rsid w:val="004F6743"/>
    <w:rsid w:val="004F728D"/>
    <w:rsid w:val="004F76D4"/>
    <w:rsid w:val="00500265"/>
    <w:rsid w:val="005005C8"/>
    <w:rsid w:val="00501963"/>
    <w:rsid w:val="00501F0A"/>
    <w:rsid w:val="0050251C"/>
    <w:rsid w:val="00502BDF"/>
    <w:rsid w:val="0050386D"/>
    <w:rsid w:val="005048EE"/>
    <w:rsid w:val="00504D14"/>
    <w:rsid w:val="005052DD"/>
    <w:rsid w:val="005058F0"/>
    <w:rsid w:val="005061BF"/>
    <w:rsid w:val="00506B6D"/>
    <w:rsid w:val="005074C7"/>
    <w:rsid w:val="0051003E"/>
    <w:rsid w:val="005109AC"/>
    <w:rsid w:val="00511EED"/>
    <w:rsid w:val="00511F1F"/>
    <w:rsid w:val="00512558"/>
    <w:rsid w:val="0051326C"/>
    <w:rsid w:val="00513344"/>
    <w:rsid w:val="005135A3"/>
    <w:rsid w:val="005136CB"/>
    <w:rsid w:val="00513C4E"/>
    <w:rsid w:val="00513E22"/>
    <w:rsid w:val="005144FA"/>
    <w:rsid w:val="00515BC6"/>
    <w:rsid w:val="00516654"/>
    <w:rsid w:val="00516C71"/>
    <w:rsid w:val="00517074"/>
    <w:rsid w:val="005170A6"/>
    <w:rsid w:val="00517D3D"/>
    <w:rsid w:val="00517D83"/>
    <w:rsid w:val="00520773"/>
    <w:rsid w:val="005219DA"/>
    <w:rsid w:val="00522B83"/>
    <w:rsid w:val="00522D06"/>
    <w:rsid w:val="00522EBB"/>
    <w:rsid w:val="00523736"/>
    <w:rsid w:val="0052378B"/>
    <w:rsid w:val="005242F8"/>
    <w:rsid w:val="00524526"/>
    <w:rsid w:val="00524905"/>
    <w:rsid w:val="005249EB"/>
    <w:rsid w:val="00524D22"/>
    <w:rsid w:val="00524F82"/>
    <w:rsid w:val="00526829"/>
    <w:rsid w:val="00526CB8"/>
    <w:rsid w:val="005302AB"/>
    <w:rsid w:val="00531799"/>
    <w:rsid w:val="00531C0D"/>
    <w:rsid w:val="00532E35"/>
    <w:rsid w:val="00533AC3"/>
    <w:rsid w:val="00533D4E"/>
    <w:rsid w:val="00534625"/>
    <w:rsid w:val="005347E4"/>
    <w:rsid w:val="00536856"/>
    <w:rsid w:val="00536B1C"/>
    <w:rsid w:val="005373DB"/>
    <w:rsid w:val="005378BB"/>
    <w:rsid w:val="005378E3"/>
    <w:rsid w:val="00537E35"/>
    <w:rsid w:val="00540D4A"/>
    <w:rsid w:val="0054166D"/>
    <w:rsid w:val="00542415"/>
    <w:rsid w:val="00542FD4"/>
    <w:rsid w:val="00543261"/>
    <w:rsid w:val="00544430"/>
    <w:rsid w:val="00544B7B"/>
    <w:rsid w:val="0054506D"/>
    <w:rsid w:val="005457C0"/>
    <w:rsid w:val="00545ED4"/>
    <w:rsid w:val="005471A3"/>
    <w:rsid w:val="0054760C"/>
    <w:rsid w:val="00547723"/>
    <w:rsid w:val="00547752"/>
    <w:rsid w:val="00550A08"/>
    <w:rsid w:val="005513AC"/>
    <w:rsid w:val="00551F8C"/>
    <w:rsid w:val="00552141"/>
    <w:rsid w:val="00552465"/>
    <w:rsid w:val="00552590"/>
    <w:rsid w:val="005536A5"/>
    <w:rsid w:val="00554293"/>
    <w:rsid w:val="005545F6"/>
    <w:rsid w:val="00554A59"/>
    <w:rsid w:val="00554ABC"/>
    <w:rsid w:val="00555B4D"/>
    <w:rsid w:val="00555EA3"/>
    <w:rsid w:val="00557783"/>
    <w:rsid w:val="0055782E"/>
    <w:rsid w:val="005579A4"/>
    <w:rsid w:val="00560124"/>
    <w:rsid w:val="005602C9"/>
    <w:rsid w:val="0056050C"/>
    <w:rsid w:val="00560FE9"/>
    <w:rsid w:val="005614E0"/>
    <w:rsid w:val="00561DB5"/>
    <w:rsid w:val="005627B0"/>
    <w:rsid w:val="00563D87"/>
    <w:rsid w:val="00564764"/>
    <w:rsid w:val="00564994"/>
    <w:rsid w:val="00564C00"/>
    <w:rsid w:val="00565143"/>
    <w:rsid w:val="005651B2"/>
    <w:rsid w:val="00565638"/>
    <w:rsid w:val="00566239"/>
    <w:rsid w:val="00566A79"/>
    <w:rsid w:val="00570AFE"/>
    <w:rsid w:val="00571AD2"/>
    <w:rsid w:val="00571B1C"/>
    <w:rsid w:val="00572268"/>
    <w:rsid w:val="00572CE6"/>
    <w:rsid w:val="005749AC"/>
    <w:rsid w:val="005769CE"/>
    <w:rsid w:val="00576DDD"/>
    <w:rsid w:val="0057795A"/>
    <w:rsid w:val="00577A6F"/>
    <w:rsid w:val="0058004B"/>
    <w:rsid w:val="00580D5E"/>
    <w:rsid w:val="00581280"/>
    <w:rsid w:val="005817CB"/>
    <w:rsid w:val="0058272B"/>
    <w:rsid w:val="005840D2"/>
    <w:rsid w:val="00584A40"/>
    <w:rsid w:val="00584B94"/>
    <w:rsid w:val="00584ECA"/>
    <w:rsid w:val="005851C6"/>
    <w:rsid w:val="00585381"/>
    <w:rsid w:val="00585666"/>
    <w:rsid w:val="005859B8"/>
    <w:rsid w:val="00585A75"/>
    <w:rsid w:val="005868B0"/>
    <w:rsid w:val="00587CD2"/>
    <w:rsid w:val="00590290"/>
    <w:rsid w:val="00590EA9"/>
    <w:rsid w:val="00591470"/>
    <w:rsid w:val="00592245"/>
    <w:rsid w:val="00592647"/>
    <w:rsid w:val="00592F6B"/>
    <w:rsid w:val="00592F9F"/>
    <w:rsid w:val="005935EC"/>
    <w:rsid w:val="0059394C"/>
    <w:rsid w:val="00593C6C"/>
    <w:rsid w:val="00594107"/>
    <w:rsid w:val="005942D6"/>
    <w:rsid w:val="00595847"/>
    <w:rsid w:val="00596923"/>
    <w:rsid w:val="005A0B53"/>
    <w:rsid w:val="005A0E51"/>
    <w:rsid w:val="005A0E5B"/>
    <w:rsid w:val="005A1479"/>
    <w:rsid w:val="005A18E5"/>
    <w:rsid w:val="005A1999"/>
    <w:rsid w:val="005A1AAF"/>
    <w:rsid w:val="005A1C59"/>
    <w:rsid w:val="005A2381"/>
    <w:rsid w:val="005A3F01"/>
    <w:rsid w:val="005A4961"/>
    <w:rsid w:val="005A4AFE"/>
    <w:rsid w:val="005A4BEC"/>
    <w:rsid w:val="005A5DE9"/>
    <w:rsid w:val="005A6751"/>
    <w:rsid w:val="005A6CC7"/>
    <w:rsid w:val="005A7DC2"/>
    <w:rsid w:val="005A7E9F"/>
    <w:rsid w:val="005A7EC1"/>
    <w:rsid w:val="005B035C"/>
    <w:rsid w:val="005B07DC"/>
    <w:rsid w:val="005B085F"/>
    <w:rsid w:val="005B086F"/>
    <w:rsid w:val="005B100E"/>
    <w:rsid w:val="005B1291"/>
    <w:rsid w:val="005B3236"/>
    <w:rsid w:val="005B346B"/>
    <w:rsid w:val="005B355B"/>
    <w:rsid w:val="005B3954"/>
    <w:rsid w:val="005B3A60"/>
    <w:rsid w:val="005B3A7F"/>
    <w:rsid w:val="005B4132"/>
    <w:rsid w:val="005B4F5D"/>
    <w:rsid w:val="005B5523"/>
    <w:rsid w:val="005B558E"/>
    <w:rsid w:val="005B7353"/>
    <w:rsid w:val="005B7BC1"/>
    <w:rsid w:val="005C0B3B"/>
    <w:rsid w:val="005C0D73"/>
    <w:rsid w:val="005C0E6B"/>
    <w:rsid w:val="005C10DB"/>
    <w:rsid w:val="005C1A0D"/>
    <w:rsid w:val="005C1CB7"/>
    <w:rsid w:val="005C2689"/>
    <w:rsid w:val="005C2759"/>
    <w:rsid w:val="005C33F1"/>
    <w:rsid w:val="005C34F8"/>
    <w:rsid w:val="005C36F8"/>
    <w:rsid w:val="005C41DE"/>
    <w:rsid w:val="005C50A8"/>
    <w:rsid w:val="005C5533"/>
    <w:rsid w:val="005C5F63"/>
    <w:rsid w:val="005C6EE7"/>
    <w:rsid w:val="005C7210"/>
    <w:rsid w:val="005C7D3B"/>
    <w:rsid w:val="005C7F91"/>
    <w:rsid w:val="005D0F00"/>
    <w:rsid w:val="005D10FE"/>
    <w:rsid w:val="005D2750"/>
    <w:rsid w:val="005D30B1"/>
    <w:rsid w:val="005D324E"/>
    <w:rsid w:val="005D4BDD"/>
    <w:rsid w:val="005D5484"/>
    <w:rsid w:val="005D5A7D"/>
    <w:rsid w:val="005D5CBB"/>
    <w:rsid w:val="005D6FFE"/>
    <w:rsid w:val="005D71ED"/>
    <w:rsid w:val="005D7229"/>
    <w:rsid w:val="005D7519"/>
    <w:rsid w:val="005D784E"/>
    <w:rsid w:val="005E174C"/>
    <w:rsid w:val="005E1AEA"/>
    <w:rsid w:val="005E2CEF"/>
    <w:rsid w:val="005E30A3"/>
    <w:rsid w:val="005E310C"/>
    <w:rsid w:val="005E36D8"/>
    <w:rsid w:val="005E3BD1"/>
    <w:rsid w:val="005E3DCD"/>
    <w:rsid w:val="005E4403"/>
    <w:rsid w:val="005E495F"/>
    <w:rsid w:val="005E5782"/>
    <w:rsid w:val="005E641E"/>
    <w:rsid w:val="005E73AF"/>
    <w:rsid w:val="005E74AC"/>
    <w:rsid w:val="005E7D84"/>
    <w:rsid w:val="005F027F"/>
    <w:rsid w:val="005F0D01"/>
    <w:rsid w:val="005F1119"/>
    <w:rsid w:val="005F282F"/>
    <w:rsid w:val="005F28DB"/>
    <w:rsid w:val="005F2C41"/>
    <w:rsid w:val="005F3C26"/>
    <w:rsid w:val="005F3DE8"/>
    <w:rsid w:val="005F500A"/>
    <w:rsid w:val="005F57E5"/>
    <w:rsid w:val="005F5BD9"/>
    <w:rsid w:val="005F5E47"/>
    <w:rsid w:val="005F6FD2"/>
    <w:rsid w:val="005F7228"/>
    <w:rsid w:val="005F77F0"/>
    <w:rsid w:val="00600255"/>
    <w:rsid w:val="0060026E"/>
    <w:rsid w:val="0060031D"/>
    <w:rsid w:val="00601685"/>
    <w:rsid w:val="00602C8B"/>
    <w:rsid w:val="006041B8"/>
    <w:rsid w:val="00604689"/>
    <w:rsid w:val="006046D8"/>
    <w:rsid w:val="006053B0"/>
    <w:rsid w:val="00605915"/>
    <w:rsid w:val="00607F45"/>
    <w:rsid w:val="0061019A"/>
    <w:rsid w:val="006107F7"/>
    <w:rsid w:val="00610E32"/>
    <w:rsid w:val="00610F35"/>
    <w:rsid w:val="0061140A"/>
    <w:rsid w:val="0061160D"/>
    <w:rsid w:val="0061274E"/>
    <w:rsid w:val="00613BFE"/>
    <w:rsid w:val="006153F3"/>
    <w:rsid w:val="006154CA"/>
    <w:rsid w:val="00615969"/>
    <w:rsid w:val="00615D2E"/>
    <w:rsid w:val="006161C5"/>
    <w:rsid w:val="00616462"/>
    <w:rsid w:val="00616929"/>
    <w:rsid w:val="00616C10"/>
    <w:rsid w:val="00617092"/>
    <w:rsid w:val="006175D1"/>
    <w:rsid w:val="00617E03"/>
    <w:rsid w:val="00617F96"/>
    <w:rsid w:val="00620039"/>
    <w:rsid w:val="00620B36"/>
    <w:rsid w:val="00621427"/>
    <w:rsid w:val="006220AC"/>
    <w:rsid w:val="00622327"/>
    <w:rsid w:val="00622499"/>
    <w:rsid w:val="0062591A"/>
    <w:rsid w:val="0062634C"/>
    <w:rsid w:val="00627225"/>
    <w:rsid w:val="00627817"/>
    <w:rsid w:val="006300BD"/>
    <w:rsid w:val="0063053A"/>
    <w:rsid w:val="00630580"/>
    <w:rsid w:val="00630838"/>
    <w:rsid w:val="00632B4D"/>
    <w:rsid w:val="00632CBD"/>
    <w:rsid w:val="006338B5"/>
    <w:rsid w:val="006338BB"/>
    <w:rsid w:val="00634114"/>
    <w:rsid w:val="0063453A"/>
    <w:rsid w:val="00634C85"/>
    <w:rsid w:val="0063517B"/>
    <w:rsid w:val="00635895"/>
    <w:rsid w:val="00635C46"/>
    <w:rsid w:val="00635C53"/>
    <w:rsid w:val="00636457"/>
    <w:rsid w:val="00636756"/>
    <w:rsid w:val="006407A4"/>
    <w:rsid w:val="00640D7E"/>
    <w:rsid w:val="00640DC9"/>
    <w:rsid w:val="0064173C"/>
    <w:rsid w:val="00641A3B"/>
    <w:rsid w:val="00643101"/>
    <w:rsid w:val="00643276"/>
    <w:rsid w:val="006439A9"/>
    <w:rsid w:val="00643B1F"/>
    <w:rsid w:val="00643D64"/>
    <w:rsid w:val="00645309"/>
    <w:rsid w:val="006454C5"/>
    <w:rsid w:val="00645FF6"/>
    <w:rsid w:val="00647468"/>
    <w:rsid w:val="0064761B"/>
    <w:rsid w:val="00647D51"/>
    <w:rsid w:val="00650819"/>
    <w:rsid w:val="00651129"/>
    <w:rsid w:val="0065280D"/>
    <w:rsid w:val="00652D16"/>
    <w:rsid w:val="00653029"/>
    <w:rsid w:val="00655DEB"/>
    <w:rsid w:val="006566F1"/>
    <w:rsid w:val="00657041"/>
    <w:rsid w:val="00657856"/>
    <w:rsid w:val="00657E61"/>
    <w:rsid w:val="00660313"/>
    <w:rsid w:val="00660542"/>
    <w:rsid w:val="00660D0C"/>
    <w:rsid w:val="00661932"/>
    <w:rsid w:val="0066216C"/>
    <w:rsid w:val="00663621"/>
    <w:rsid w:val="00663D64"/>
    <w:rsid w:val="006642CE"/>
    <w:rsid w:val="00664E15"/>
    <w:rsid w:val="00665103"/>
    <w:rsid w:val="00665632"/>
    <w:rsid w:val="006663DF"/>
    <w:rsid w:val="00666657"/>
    <w:rsid w:val="00666BF8"/>
    <w:rsid w:val="00666F81"/>
    <w:rsid w:val="006674D9"/>
    <w:rsid w:val="00671378"/>
    <w:rsid w:val="0067141C"/>
    <w:rsid w:val="006714DA"/>
    <w:rsid w:val="00671A84"/>
    <w:rsid w:val="00671D32"/>
    <w:rsid w:val="0067201D"/>
    <w:rsid w:val="006729C7"/>
    <w:rsid w:val="00673319"/>
    <w:rsid w:val="006734A4"/>
    <w:rsid w:val="00673602"/>
    <w:rsid w:val="00674311"/>
    <w:rsid w:val="00674E3F"/>
    <w:rsid w:val="00675148"/>
    <w:rsid w:val="0067584E"/>
    <w:rsid w:val="00680333"/>
    <w:rsid w:val="00680CB8"/>
    <w:rsid w:val="00681176"/>
    <w:rsid w:val="006818D8"/>
    <w:rsid w:val="00681937"/>
    <w:rsid w:val="00682500"/>
    <w:rsid w:val="00682BDB"/>
    <w:rsid w:val="00683C93"/>
    <w:rsid w:val="00683E57"/>
    <w:rsid w:val="00685030"/>
    <w:rsid w:val="00685FED"/>
    <w:rsid w:val="006862DF"/>
    <w:rsid w:val="00686392"/>
    <w:rsid w:val="00686976"/>
    <w:rsid w:val="0069073E"/>
    <w:rsid w:val="00690C25"/>
    <w:rsid w:val="006911E4"/>
    <w:rsid w:val="00691AD9"/>
    <w:rsid w:val="0069210A"/>
    <w:rsid w:val="00693FDE"/>
    <w:rsid w:val="00694128"/>
    <w:rsid w:val="00694189"/>
    <w:rsid w:val="00694329"/>
    <w:rsid w:val="00695042"/>
    <w:rsid w:val="006958CC"/>
    <w:rsid w:val="006964AB"/>
    <w:rsid w:val="00696574"/>
    <w:rsid w:val="0069696C"/>
    <w:rsid w:val="006978DB"/>
    <w:rsid w:val="00697B46"/>
    <w:rsid w:val="00697C7F"/>
    <w:rsid w:val="006A0B5B"/>
    <w:rsid w:val="006A21AB"/>
    <w:rsid w:val="006A26A8"/>
    <w:rsid w:val="006A2877"/>
    <w:rsid w:val="006A37EC"/>
    <w:rsid w:val="006A3C59"/>
    <w:rsid w:val="006A52AD"/>
    <w:rsid w:val="006A61BD"/>
    <w:rsid w:val="006A7264"/>
    <w:rsid w:val="006B0C54"/>
    <w:rsid w:val="006B0FCD"/>
    <w:rsid w:val="006B135C"/>
    <w:rsid w:val="006B1459"/>
    <w:rsid w:val="006B1787"/>
    <w:rsid w:val="006B1A71"/>
    <w:rsid w:val="006B1ADB"/>
    <w:rsid w:val="006B3805"/>
    <w:rsid w:val="006B3C2A"/>
    <w:rsid w:val="006B41EF"/>
    <w:rsid w:val="006B43B1"/>
    <w:rsid w:val="006B5BE8"/>
    <w:rsid w:val="006B6363"/>
    <w:rsid w:val="006B6D66"/>
    <w:rsid w:val="006B76BA"/>
    <w:rsid w:val="006B7B82"/>
    <w:rsid w:val="006C1DA0"/>
    <w:rsid w:val="006C1F51"/>
    <w:rsid w:val="006C2B31"/>
    <w:rsid w:val="006C2E8C"/>
    <w:rsid w:val="006C31D7"/>
    <w:rsid w:val="006C385B"/>
    <w:rsid w:val="006C48AF"/>
    <w:rsid w:val="006C49AB"/>
    <w:rsid w:val="006C4A78"/>
    <w:rsid w:val="006C56D3"/>
    <w:rsid w:val="006C5C6B"/>
    <w:rsid w:val="006C686C"/>
    <w:rsid w:val="006C68C3"/>
    <w:rsid w:val="006D0B84"/>
    <w:rsid w:val="006D0C36"/>
    <w:rsid w:val="006D1BAD"/>
    <w:rsid w:val="006D2261"/>
    <w:rsid w:val="006D2346"/>
    <w:rsid w:val="006D338D"/>
    <w:rsid w:val="006D34D3"/>
    <w:rsid w:val="006D380E"/>
    <w:rsid w:val="006D4113"/>
    <w:rsid w:val="006D473E"/>
    <w:rsid w:val="006D4AED"/>
    <w:rsid w:val="006D51FB"/>
    <w:rsid w:val="006D620E"/>
    <w:rsid w:val="006E0178"/>
    <w:rsid w:val="006E0442"/>
    <w:rsid w:val="006E071F"/>
    <w:rsid w:val="006E076B"/>
    <w:rsid w:val="006E0B1D"/>
    <w:rsid w:val="006E1FD0"/>
    <w:rsid w:val="006E2152"/>
    <w:rsid w:val="006E3B6B"/>
    <w:rsid w:val="006E3C5E"/>
    <w:rsid w:val="006E3EC3"/>
    <w:rsid w:val="006E3FDA"/>
    <w:rsid w:val="006E4808"/>
    <w:rsid w:val="006E4F6B"/>
    <w:rsid w:val="006E4FCC"/>
    <w:rsid w:val="006E57BC"/>
    <w:rsid w:val="006E58B6"/>
    <w:rsid w:val="006E7072"/>
    <w:rsid w:val="006E70E9"/>
    <w:rsid w:val="006E7541"/>
    <w:rsid w:val="006E7652"/>
    <w:rsid w:val="006E7791"/>
    <w:rsid w:val="006E7826"/>
    <w:rsid w:val="006F0595"/>
    <w:rsid w:val="006F21AF"/>
    <w:rsid w:val="006F2408"/>
    <w:rsid w:val="006F25C3"/>
    <w:rsid w:val="006F2BC0"/>
    <w:rsid w:val="006F2EBC"/>
    <w:rsid w:val="006F347D"/>
    <w:rsid w:val="006F43C5"/>
    <w:rsid w:val="006F445F"/>
    <w:rsid w:val="006F4D47"/>
    <w:rsid w:val="006F5B95"/>
    <w:rsid w:val="006F6D25"/>
    <w:rsid w:val="006F733E"/>
    <w:rsid w:val="00701118"/>
    <w:rsid w:val="0070151F"/>
    <w:rsid w:val="00701652"/>
    <w:rsid w:val="00701F0F"/>
    <w:rsid w:val="007021D2"/>
    <w:rsid w:val="00703500"/>
    <w:rsid w:val="0070376C"/>
    <w:rsid w:val="0070378D"/>
    <w:rsid w:val="007039DD"/>
    <w:rsid w:val="00704563"/>
    <w:rsid w:val="0070679B"/>
    <w:rsid w:val="007072B9"/>
    <w:rsid w:val="007075FD"/>
    <w:rsid w:val="00707E9F"/>
    <w:rsid w:val="00710560"/>
    <w:rsid w:val="00710B9C"/>
    <w:rsid w:val="00710EA2"/>
    <w:rsid w:val="00711492"/>
    <w:rsid w:val="007114E1"/>
    <w:rsid w:val="00711640"/>
    <w:rsid w:val="007124D3"/>
    <w:rsid w:val="00712818"/>
    <w:rsid w:val="00713101"/>
    <w:rsid w:val="00713775"/>
    <w:rsid w:val="007155BF"/>
    <w:rsid w:val="00715757"/>
    <w:rsid w:val="00715A25"/>
    <w:rsid w:val="00717329"/>
    <w:rsid w:val="00717C16"/>
    <w:rsid w:val="00717C58"/>
    <w:rsid w:val="00720AE7"/>
    <w:rsid w:val="00721328"/>
    <w:rsid w:val="007223CE"/>
    <w:rsid w:val="00723289"/>
    <w:rsid w:val="00723F8B"/>
    <w:rsid w:val="00725AB8"/>
    <w:rsid w:val="007260E3"/>
    <w:rsid w:val="00726A56"/>
    <w:rsid w:val="007311C2"/>
    <w:rsid w:val="00731F95"/>
    <w:rsid w:val="00732974"/>
    <w:rsid w:val="00733561"/>
    <w:rsid w:val="00733918"/>
    <w:rsid w:val="00733DD4"/>
    <w:rsid w:val="0073487E"/>
    <w:rsid w:val="00735454"/>
    <w:rsid w:val="007354ED"/>
    <w:rsid w:val="007360C9"/>
    <w:rsid w:val="00736AE9"/>
    <w:rsid w:val="007377F3"/>
    <w:rsid w:val="00740079"/>
    <w:rsid w:val="007400E8"/>
    <w:rsid w:val="007403B7"/>
    <w:rsid w:val="0074047B"/>
    <w:rsid w:val="007417C1"/>
    <w:rsid w:val="007419D6"/>
    <w:rsid w:val="007423BC"/>
    <w:rsid w:val="00742691"/>
    <w:rsid w:val="00743B6A"/>
    <w:rsid w:val="007449F6"/>
    <w:rsid w:val="00745183"/>
    <w:rsid w:val="007451F1"/>
    <w:rsid w:val="00745466"/>
    <w:rsid w:val="007458A7"/>
    <w:rsid w:val="007478FE"/>
    <w:rsid w:val="00747CD9"/>
    <w:rsid w:val="00747EB5"/>
    <w:rsid w:val="0075042A"/>
    <w:rsid w:val="007510D5"/>
    <w:rsid w:val="00752414"/>
    <w:rsid w:val="00752EB1"/>
    <w:rsid w:val="007533F2"/>
    <w:rsid w:val="00755517"/>
    <w:rsid w:val="00755B00"/>
    <w:rsid w:val="00755B31"/>
    <w:rsid w:val="00756464"/>
    <w:rsid w:val="00756F36"/>
    <w:rsid w:val="0075742D"/>
    <w:rsid w:val="007601FC"/>
    <w:rsid w:val="0076049D"/>
    <w:rsid w:val="007606C3"/>
    <w:rsid w:val="00761AFF"/>
    <w:rsid w:val="00761C2A"/>
    <w:rsid w:val="0076203A"/>
    <w:rsid w:val="00762308"/>
    <w:rsid w:val="007629BF"/>
    <w:rsid w:val="00763404"/>
    <w:rsid w:val="00763873"/>
    <w:rsid w:val="00764973"/>
    <w:rsid w:val="00764BFF"/>
    <w:rsid w:val="00764E6A"/>
    <w:rsid w:val="0076522A"/>
    <w:rsid w:val="00765EB5"/>
    <w:rsid w:val="00766F00"/>
    <w:rsid w:val="00767E84"/>
    <w:rsid w:val="0077054B"/>
    <w:rsid w:val="00771FB2"/>
    <w:rsid w:val="007723F8"/>
    <w:rsid w:val="007736C0"/>
    <w:rsid w:val="00774217"/>
    <w:rsid w:val="0077433A"/>
    <w:rsid w:val="00775E9A"/>
    <w:rsid w:val="00776272"/>
    <w:rsid w:val="00776293"/>
    <w:rsid w:val="00776552"/>
    <w:rsid w:val="00776950"/>
    <w:rsid w:val="007778D8"/>
    <w:rsid w:val="00780D63"/>
    <w:rsid w:val="00781197"/>
    <w:rsid w:val="0078177F"/>
    <w:rsid w:val="00781997"/>
    <w:rsid w:val="00782EDA"/>
    <w:rsid w:val="00783323"/>
    <w:rsid w:val="0078373D"/>
    <w:rsid w:val="00785610"/>
    <w:rsid w:val="0078686D"/>
    <w:rsid w:val="00787C14"/>
    <w:rsid w:val="007906BF"/>
    <w:rsid w:val="00790732"/>
    <w:rsid w:val="007915E9"/>
    <w:rsid w:val="007918DD"/>
    <w:rsid w:val="00791AD3"/>
    <w:rsid w:val="00791BDC"/>
    <w:rsid w:val="00792111"/>
    <w:rsid w:val="0079215D"/>
    <w:rsid w:val="0079241A"/>
    <w:rsid w:val="00792E35"/>
    <w:rsid w:val="007934E2"/>
    <w:rsid w:val="00793D4F"/>
    <w:rsid w:val="0079432D"/>
    <w:rsid w:val="0079495E"/>
    <w:rsid w:val="007949E0"/>
    <w:rsid w:val="00794B25"/>
    <w:rsid w:val="0079560C"/>
    <w:rsid w:val="00795963"/>
    <w:rsid w:val="007A0227"/>
    <w:rsid w:val="007A0820"/>
    <w:rsid w:val="007A0B7E"/>
    <w:rsid w:val="007A144A"/>
    <w:rsid w:val="007A1B35"/>
    <w:rsid w:val="007A2A9C"/>
    <w:rsid w:val="007A34D9"/>
    <w:rsid w:val="007A36FC"/>
    <w:rsid w:val="007A44F7"/>
    <w:rsid w:val="007A465E"/>
    <w:rsid w:val="007A4BB3"/>
    <w:rsid w:val="007A5998"/>
    <w:rsid w:val="007A663F"/>
    <w:rsid w:val="007A667B"/>
    <w:rsid w:val="007A6AF1"/>
    <w:rsid w:val="007A718F"/>
    <w:rsid w:val="007A7E3B"/>
    <w:rsid w:val="007B06B7"/>
    <w:rsid w:val="007B0723"/>
    <w:rsid w:val="007B08CA"/>
    <w:rsid w:val="007B154A"/>
    <w:rsid w:val="007B1578"/>
    <w:rsid w:val="007B18A8"/>
    <w:rsid w:val="007B2DAF"/>
    <w:rsid w:val="007B31EB"/>
    <w:rsid w:val="007B4784"/>
    <w:rsid w:val="007B5903"/>
    <w:rsid w:val="007B6913"/>
    <w:rsid w:val="007B7F8E"/>
    <w:rsid w:val="007C0CFA"/>
    <w:rsid w:val="007C13ED"/>
    <w:rsid w:val="007C16C5"/>
    <w:rsid w:val="007C1C7B"/>
    <w:rsid w:val="007C1DA5"/>
    <w:rsid w:val="007C3ECB"/>
    <w:rsid w:val="007C5B9A"/>
    <w:rsid w:val="007C7004"/>
    <w:rsid w:val="007C7397"/>
    <w:rsid w:val="007C7BC2"/>
    <w:rsid w:val="007D3954"/>
    <w:rsid w:val="007D3C69"/>
    <w:rsid w:val="007D416D"/>
    <w:rsid w:val="007D427C"/>
    <w:rsid w:val="007D44A6"/>
    <w:rsid w:val="007D4A28"/>
    <w:rsid w:val="007D5BD8"/>
    <w:rsid w:val="007D6C9D"/>
    <w:rsid w:val="007E19F4"/>
    <w:rsid w:val="007E2103"/>
    <w:rsid w:val="007E2C54"/>
    <w:rsid w:val="007E3157"/>
    <w:rsid w:val="007E33DE"/>
    <w:rsid w:val="007E356A"/>
    <w:rsid w:val="007E3BA8"/>
    <w:rsid w:val="007E43ED"/>
    <w:rsid w:val="007E4781"/>
    <w:rsid w:val="007E5506"/>
    <w:rsid w:val="007E61D8"/>
    <w:rsid w:val="007E64CA"/>
    <w:rsid w:val="007E72BC"/>
    <w:rsid w:val="007E7848"/>
    <w:rsid w:val="007E79D2"/>
    <w:rsid w:val="007F29EC"/>
    <w:rsid w:val="007F2CFB"/>
    <w:rsid w:val="007F36D4"/>
    <w:rsid w:val="007F4369"/>
    <w:rsid w:val="007F48C7"/>
    <w:rsid w:val="007F4F42"/>
    <w:rsid w:val="007F5C6A"/>
    <w:rsid w:val="007F5D9D"/>
    <w:rsid w:val="007F7B02"/>
    <w:rsid w:val="008001D5"/>
    <w:rsid w:val="008010F6"/>
    <w:rsid w:val="008031A8"/>
    <w:rsid w:val="00803458"/>
    <w:rsid w:val="00803745"/>
    <w:rsid w:val="0080445C"/>
    <w:rsid w:val="0080474D"/>
    <w:rsid w:val="00804820"/>
    <w:rsid w:val="0080503A"/>
    <w:rsid w:val="00805650"/>
    <w:rsid w:val="008058A3"/>
    <w:rsid w:val="0080607C"/>
    <w:rsid w:val="00806736"/>
    <w:rsid w:val="008068A2"/>
    <w:rsid w:val="008069EE"/>
    <w:rsid w:val="00806E7C"/>
    <w:rsid w:val="00806EC2"/>
    <w:rsid w:val="00807BBA"/>
    <w:rsid w:val="0081042F"/>
    <w:rsid w:val="00810E3C"/>
    <w:rsid w:val="0081139B"/>
    <w:rsid w:val="008113AF"/>
    <w:rsid w:val="00811C96"/>
    <w:rsid w:val="00812A22"/>
    <w:rsid w:val="0081428B"/>
    <w:rsid w:val="00814CDB"/>
    <w:rsid w:val="0081511B"/>
    <w:rsid w:val="00815416"/>
    <w:rsid w:val="008158BA"/>
    <w:rsid w:val="00815A26"/>
    <w:rsid w:val="00815BA5"/>
    <w:rsid w:val="00815E49"/>
    <w:rsid w:val="008172C5"/>
    <w:rsid w:val="00817842"/>
    <w:rsid w:val="00817C08"/>
    <w:rsid w:val="008202F7"/>
    <w:rsid w:val="008208E4"/>
    <w:rsid w:val="00821265"/>
    <w:rsid w:val="00821579"/>
    <w:rsid w:val="00821A76"/>
    <w:rsid w:val="00821CE0"/>
    <w:rsid w:val="008225A2"/>
    <w:rsid w:val="008228F5"/>
    <w:rsid w:val="00822FE0"/>
    <w:rsid w:val="0082380A"/>
    <w:rsid w:val="00823EEE"/>
    <w:rsid w:val="008241F4"/>
    <w:rsid w:val="00825506"/>
    <w:rsid w:val="00825EB1"/>
    <w:rsid w:val="0082630B"/>
    <w:rsid w:val="00826ED3"/>
    <w:rsid w:val="00827118"/>
    <w:rsid w:val="00827AA8"/>
    <w:rsid w:val="00830AEB"/>
    <w:rsid w:val="00832473"/>
    <w:rsid w:val="00833BAC"/>
    <w:rsid w:val="0083483B"/>
    <w:rsid w:val="00834A59"/>
    <w:rsid w:val="00834B33"/>
    <w:rsid w:val="00835042"/>
    <w:rsid w:val="008350A3"/>
    <w:rsid w:val="0083578F"/>
    <w:rsid w:val="0083584E"/>
    <w:rsid w:val="00835EA8"/>
    <w:rsid w:val="00836582"/>
    <w:rsid w:val="00837761"/>
    <w:rsid w:val="00837B49"/>
    <w:rsid w:val="0084048E"/>
    <w:rsid w:val="00841E4E"/>
    <w:rsid w:val="00842105"/>
    <w:rsid w:val="008423C2"/>
    <w:rsid w:val="00843444"/>
    <w:rsid w:val="008437A6"/>
    <w:rsid w:val="00843818"/>
    <w:rsid w:val="00843BAD"/>
    <w:rsid w:val="0084504E"/>
    <w:rsid w:val="0084538F"/>
    <w:rsid w:val="00845FAA"/>
    <w:rsid w:val="008478B0"/>
    <w:rsid w:val="00850339"/>
    <w:rsid w:val="0085052A"/>
    <w:rsid w:val="00853F49"/>
    <w:rsid w:val="008543D8"/>
    <w:rsid w:val="00854D39"/>
    <w:rsid w:val="00854ECF"/>
    <w:rsid w:val="008557B9"/>
    <w:rsid w:val="00855A63"/>
    <w:rsid w:val="00856D70"/>
    <w:rsid w:val="00857262"/>
    <w:rsid w:val="00857343"/>
    <w:rsid w:val="00857B1F"/>
    <w:rsid w:val="00857F67"/>
    <w:rsid w:val="008601AF"/>
    <w:rsid w:val="00861971"/>
    <w:rsid w:val="008619A3"/>
    <w:rsid w:val="00862401"/>
    <w:rsid w:val="00862463"/>
    <w:rsid w:val="008628E4"/>
    <w:rsid w:val="00863202"/>
    <w:rsid w:val="00863339"/>
    <w:rsid w:val="00863F91"/>
    <w:rsid w:val="00864053"/>
    <w:rsid w:val="00864738"/>
    <w:rsid w:val="008650A8"/>
    <w:rsid w:val="00865158"/>
    <w:rsid w:val="008652FF"/>
    <w:rsid w:val="0086620A"/>
    <w:rsid w:val="0086710D"/>
    <w:rsid w:val="0086748F"/>
    <w:rsid w:val="00870015"/>
    <w:rsid w:val="008709E7"/>
    <w:rsid w:val="00871B58"/>
    <w:rsid w:val="008721C4"/>
    <w:rsid w:val="008733ED"/>
    <w:rsid w:val="00873A80"/>
    <w:rsid w:val="00873B5C"/>
    <w:rsid w:val="00873D0E"/>
    <w:rsid w:val="00873D4C"/>
    <w:rsid w:val="0087457F"/>
    <w:rsid w:val="00874699"/>
    <w:rsid w:val="0087482F"/>
    <w:rsid w:val="00874BE9"/>
    <w:rsid w:val="00874D29"/>
    <w:rsid w:val="00874E30"/>
    <w:rsid w:val="00874E99"/>
    <w:rsid w:val="00875739"/>
    <w:rsid w:val="00875E72"/>
    <w:rsid w:val="008763FB"/>
    <w:rsid w:val="008773AA"/>
    <w:rsid w:val="00877C12"/>
    <w:rsid w:val="00880961"/>
    <w:rsid w:val="00880B4D"/>
    <w:rsid w:val="00880C33"/>
    <w:rsid w:val="00882295"/>
    <w:rsid w:val="00882634"/>
    <w:rsid w:val="00883692"/>
    <w:rsid w:val="00883B2D"/>
    <w:rsid w:val="00883CEE"/>
    <w:rsid w:val="0088479F"/>
    <w:rsid w:val="00885429"/>
    <w:rsid w:val="00885D00"/>
    <w:rsid w:val="00885E85"/>
    <w:rsid w:val="00886B45"/>
    <w:rsid w:val="00890592"/>
    <w:rsid w:val="0089075A"/>
    <w:rsid w:val="008909DE"/>
    <w:rsid w:val="00890CB2"/>
    <w:rsid w:val="008915DC"/>
    <w:rsid w:val="00891B41"/>
    <w:rsid w:val="00891E51"/>
    <w:rsid w:val="00892AF4"/>
    <w:rsid w:val="00892E5E"/>
    <w:rsid w:val="00892F62"/>
    <w:rsid w:val="0089331B"/>
    <w:rsid w:val="0089445C"/>
    <w:rsid w:val="0089446D"/>
    <w:rsid w:val="008946A8"/>
    <w:rsid w:val="008956B5"/>
    <w:rsid w:val="00896D1E"/>
    <w:rsid w:val="00897BC2"/>
    <w:rsid w:val="00897D3F"/>
    <w:rsid w:val="008A03F6"/>
    <w:rsid w:val="008A17E0"/>
    <w:rsid w:val="008A2913"/>
    <w:rsid w:val="008A2A67"/>
    <w:rsid w:val="008A2CCA"/>
    <w:rsid w:val="008A35D4"/>
    <w:rsid w:val="008A41A3"/>
    <w:rsid w:val="008A4757"/>
    <w:rsid w:val="008A523B"/>
    <w:rsid w:val="008A695B"/>
    <w:rsid w:val="008A767E"/>
    <w:rsid w:val="008B1CD7"/>
    <w:rsid w:val="008B1D36"/>
    <w:rsid w:val="008B2F8B"/>
    <w:rsid w:val="008B30F1"/>
    <w:rsid w:val="008B3F29"/>
    <w:rsid w:val="008B4681"/>
    <w:rsid w:val="008B4D78"/>
    <w:rsid w:val="008B53CC"/>
    <w:rsid w:val="008B6046"/>
    <w:rsid w:val="008B6D1B"/>
    <w:rsid w:val="008B7E40"/>
    <w:rsid w:val="008C0154"/>
    <w:rsid w:val="008C0B36"/>
    <w:rsid w:val="008C0D2F"/>
    <w:rsid w:val="008C1035"/>
    <w:rsid w:val="008C10A5"/>
    <w:rsid w:val="008C1663"/>
    <w:rsid w:val="008C1819"/>
    <w:rsid w:val="008C290F"/>
    <w:rsid w:val="008C3030"/>
    <w:rsid w:val="008C33C4"/>
    <w:rsid w:val="008C3860"/>
    <w:rsid w:val="008C3BC2"/>
    <w:rsid w:val="008C5467"/>
    <w:rsid w:val="008C5A50"/>
    <w:rsid w:val="008C6D1C"/>
    <w:rsid w:val="008C7620"/>
    <w:rsid w:val="008C7FD4"/>
    <w:rsid w:val="008D0F1C"/>
    <w:rsid w:val="008D148A"/>
    <w:rsid w:val="008D2394"/>
    <w:rsid w:val="008D2CE1"/>
    <w:rsid w:val="008D31C2"/>
    <w:rsid w:val="008D324F"/>
    <w:rsid w:val="008D510D"/>
    <w:rsid w:val="008D6484"/>
    <w:rsid w:val="008D736E"/>
    <w:rsid w:val="008D76E6"/>
    <w:rsid w:val="008E0531"/>
    <w:rsid w:val="008E0552"/>
    <w:rsid w:val="008E0774"/>
    <w:rsid w:val="008E0AA7"/>
    <w:rsid w:val="008E24BA"/>
    <w:rsid w:val="008E2C41"/>
    <w:rsid w:val="008E5020"/>
    <w:rsid w:val="008E529F"/>
    <w:rsid w:val="008E54F0"/>
    <w:rsid w:val="008E59EA"/>
    <w:rsid w:val="008E5C1A"/>
    <w:rsid w:val="008E5EC9"/>
    <w:rsid w:val="008E6747"/>
    <w:rsid w:val="008E7288"/>
    <w:rsid w:val="008F0285"/>
    <w:rsid w:val="008F099B"/>
    <w:rsid w:val="008F0A81"/>
    <w:rsid w:val="008F0C5E"/>
    <w:rsid w:val="008F1909"/>
    <w:rsid w:val="008F1BCB"/>
    <w:rsid w:val="008F259D"/>
    <w:rsid w:val="008F347A"/>
    <w:rsid w:val="008F42BB"/>
    <w:rsid w:val="008F4829"/>
    <w:rsid w:val="008F4E3A"/>
    <w:rsid w:val="008F5110"/>
    <w:rsid w:val="008F657E"/>
    <w:rsid w:val="008F798D"/>
    <w:rsid w:val="00900220"/>
    <w:rsid w:val="009004D6"/>
    <w:rsid w:val="00901634"/>
    <w:rsid w:val="00902137"/>
    <w:rsid w:val="009021A4"/>
    <w:rsid w:val="009023F6"/>
    <w:rsid w:val="009036CE"/>
    <w:rsid w:val="00903C7F"/>
    <w:rsid w:val="00904495"/>
    <w:rsid w:val="0090750A"/>
    <w:rsid w:val="00907565"/>
    <w:rsid w:val="0091152E"/>
    <w:rsid w:val="00911D04"/>
    <w:rsid w:val="00911D3C"/>
    <w:rsid w:val="00912C43"/>
    <w:rsid w:val="00913B8B"/>
    <w:rsid w:val="00914385"/>
    <w:rsid w:val="00915529"/>
    <w:rsid w:val="00916054"/>
    <w:rsid w:val="00916280"/>
    <w:rsid w:val="009165F3"/>
    <w:rsid w:val="00917304"/>
    <w:rsid w:val="00917A3A"/>
    <w:rsid w:val="0092029A"/>
    <w:rsid w:val="009208A8"/>
    <w:rsid w:val="00922474"/>
    <w:rsid w:val="0092314A"/>
    <w:rsid w:val="00924310"/>
    <w:rsid w:val="009249C6"/>
    <w:rsid w:val="00924B51"/>
    <w:rsid w:val="009254B7"/>
    <w:rsid w:val="009257F9"/>
    <w:rsid w:val="00925E8C"/>
    <w:rsid w:val="00925F2E"/>
    <w:rsid w:val="00927C1B"/>
    <w:rsid w:val="009302A3"/>
    <w:rsid w:val="009305DF"/>
    <w:rsid w:val="009325C5"/>
    <w:rsid w:val="0093271E"/>
    <w:rsid w:val="00932FC1"/>
    <w:rsid w:val="0093364F"/>
    <w:rsid w:val="00934613"/>
    <w:rsid w:val="00934721"/>
    <w:rsid w:val="00935968"/>
    <w:rsid w:val="00936B4E"/>
    <w:rsid w:val="00936B5F"/>
    <w:rsid w:val="00936FFA"/>
    <w:rsid w:val="00937B57"/>
    <w:rsid w:val="00937CCC"/>
    <w:rsid w:val="009400A9"/>
    <w:rsid w:val="009406D8"/>
    <w:rsid w:val="00940BD8"/>
    <w:rsid w:val="009418DF"/>
    <w:rsid w:val="00941EC2"/>
    <w:rsid w:val="00942538"/>
    <w:rsid w:val="009439BF"/>
    <w:rsid w:val="00945115"/>
    <w:rsid w:val="0094572A"/>
    <w:rsid w:val="009458DA"/>
    <w:rsid w:val="00945AF5"/>
    <w:rsid w:val="00945D85"/>
    <w:rsid w:val="00946595"/>
    <w:rsid w:val="009465A7"/>
    <w:rsid w:val="00946F69"/>
    <w:rsid w:val="009477B3"/>
    <w:rsid w:val="009479A9"/>
    <w:rsid w:val="00947D71"/>
    <w:rsid w:val="00950BC6"/>
    <w:rsid w:val="009519C9"/>
    <w:rsid w:val="00952BB0"/>
    <w:rsid w:val="00953E1F"/>
    <w:rsid w:val="00953F1B"/>
    <w:rsid w:val="00954530"/>
    <w:rsid w:val="00954D73"/>
    <w:rsid w:val="009553E7"/>
    <w:rsid w:val="009559D7"/>
    <w:rsid w:val="009564BE"/>
    <w:rsid w:val="0095673D"/>
    <w:rsid w:val="00957061"/>
    <w:rsid w:val="009576F9"/>
    <w:rsid w:val="0095799C"/>
    <w:rsid w:val="00960703"/>
    <w:rsid w:val="009607E7"/>
    <w:rsid w:val="00960B99"/>
    <w:rsid w:val="009615E7"/>
    <w:rsid w:val="00961C15"/>
    <w:rsid w:val="00962C05"/>
    <w:rsid w:val="00963063"/>
    <w:rsid w:val="00963982"/>
    <w:rsid w:val="0096501C"/>
    <w:rsid w:val="00965114"/>
    <w:rsid w:val="00965B4E"/>
    <w:rsid w:val="009663C7"/>
    <w:rsid w:val="009666AE"/>
    <w:rsid w:val="00966C0C"/>
    <w:rsid w:val="00967234"/>
    <w:rsid w:val="00970519"/>
    <w:rsid w:val="009714A6"/>
    <w:rsid w:val="009716B2"/>
    <w:rsid w:val="00972934"/>
    <w:rsid w:val="00973426"/>
    <w:rsid w:val="009737CB"/>
    <w:rsid w:val="00975479"/>
    <w:rsid w:val="009762D5"/>
    <w:rsid w:val="00976536"/>
    <w:rsid w:val="00976666"/>
    <w:rsid w:val="009767CA"/>
    <w:rsid w:val="009801B1"/>
    <w:rsid w:val="00980F50"/>
    <w:rsid w:val="0098203A"/>
    <w:rsid w:val="009825A0"/>
    <w:rsid w:val="009837CA"/>
    <w:rsid w:val="00983C51"/>
    <w:rsid w:val="00983C9F"/>
    <w:rsid w:val="00983E2E"/>
    <w:rsid w:val="00983F16"/>
    <w:rsid w:val="009851AD"/>
    <w:rsid w:val="00985A06"/>
    <w:rsid w:val="00986924"/>
    <w:rsid w:val="009878B2"/>
    <w:rsid w:val="00987E8E"/>
    <w:rsid w:val="00987F64"/>
    <w:rsid w:val="00990014"/>
    <w:rsid w:val="00990CA0"/>
    <w:rsid w:val="00990FBA"/>
    <w:rsid w:val="009911FF"/>
    <w:rsid w:val="00991405"/>
    <w:rsid w:val="00991D8E"/>
    <w:rsid w:val="0099262C"/>
    <w:rsid w:val="009932E0"/>
    <w:rsid w:val="0099344F"/>
    <w:rsid w:val="00993832"/>
    <w:rsid w:val="00994214"/>
    <w:rsid w:val="00994EC9"/>
    <w:rsid w:val="009959CD"/>
    <w:rsid w:val="009966F7"/>
    <w:rsid w:val="00996D38"/>
    <w:rsid w:val="00996F20"/>
    <w:rsid w:val="009970EC"/>
    <w:rsid w:val="0099762F"/>
    <w:rsid w:val="009A04A5"/>
    <w:rsid w:val="009A0734"/>
    <w:rsid w:val="009A0B86"/>
    <w:rsid w:val="009A0D81"/>
    <w:rsid w:val="009A0FB1"/>
    <w:rsid w:val="009A16D3"/>
    <w:rsid w:val="009A1894"/>
    <w:rsid w:val="009A2762"/>
    <w:rsid w:val="009A2947"/>
    <w:rsid w:val="009A29FB"/>
    <w:rsid w:val="009A2A3F"/>
    <w:rsid w:val="009A309B"/>
    <w:rsid w:val="009A39E9"/>
    <w:rsid w:val="009A3B03"/>
    <w:rsid w:val="009A4B1D"/>
    <w:rsid w:val="009A6C0D"/>
    <w:rsid w:val="009A7169"/>
    <w:rsid w:val="009A798E"/>
    <w:rsid w:val="009B0009"/>
    <w:rsid w:val="009B0646"/>
    <w:rsid w:val="009B08B3"/>
    <w:rsid w:val="009B0B67"/>
    <w:rsid w:val="009B0E69"/>
    <w:rsid w:val="009B1040"/>
    <w:rsid w:val="009B16A5"/>
    <w:rsid w:val="009B1A98"/>
    <w:rsid w:val="009B1DA5"/>
    <w:rsid w:val="009B2028"/>
    <w:rsid w:val="009B21AB"/>
    <w:rsid w:val="009B2262"/>
    <w:rsid w:val="009B260A"/>
    <w:rsid w:val="009B2641"/>
    <w:rsid w:val="009B3CCE"/>
    <w:rsid w:val="009B3ED1"/>
    <w:rsid w:val="009B4542"/>
    <w:rsid w:val="009B596D"/>
    <w:rsid w:val="009B5A4D"/>
    <w:rsid w:val="009B74C2"/>
    <w:rsid w:val="009B7ABE"/>
    <w:rsid w:val="009C0D5C"/>
    <w:rsid w:val="009C0ED0"/>
    <w:rsid w:val="009C135E"/>
    <w:rsid w:val="009C1B59"/>
    <w:rsid w:val="009C208C"/>
    <w:rsid w:val="009C23FC"/>
    <w:rsid w:val="009C27EF"/>
    <w:rsid w:val="009C29A6"/>
    <w:rsid w:val="009C2CD4"/>
    <w:rsid w:val="009C33B0"/>
    <w:rsid w:val="009C36A3"/>
    <w:rsid w:val="009C3BD2"/>
    <w:rsid w:val="009C3D9D"/>
    <w:rsid w:val="009C3DF6"/>
    <w:rsid w:val="009C4944"/>
    <w:rsid w:val="009C5882"/>
    <w:rsid w:val="009C59FF"/>
    <w:rsid w:val="009C6070"/>
    <w:rsid w:val="009C6B68"/>
    <w:rsid w:val="009C7352"/>
    <w:rsid w:val="009C77A9"/>
    <w:rsid w:val="009C7DD2"/>
    <w:rsid w:val="009C7F8B"/>
    <w:rsid w:val="009D0908"/>
    <w:rsid w:val="009D24EE"/>
    <w:rsid w:val="009D2CC9"/>
    <w:rsid w:val="009D49D6"/>
    <w:rsid w:val="009D4E2C"/>
    <w:rsid w:val="009D595A"/>
    <w:rsid w:val="009D5E98"/>
    <w:rsid w:val="009D7105"/>
    <w:rsid w:val="009D72D0"/>
    <w:rsid w:val="009D73FE"/>
    <w:rsid w:val="009D74D5"/>
    <w:rsid w:val="009D7784"/>
    <w:rsid w:val="009D7A48"/>
    <w:rsid w:val="009E020E"/>
    <w:rsid w:val="009E06F7"/>
    <w:rsid w:val="009E1B6B"/>
    <w:rsid w:val="009E22F3"/>
    <w:rsid w:val="009E240E"/>
    <w:rsid w:val="009E4BB0"/>
    <w:rsid w:val="009E54D9"/>
    <w:rsid w:val="009E54ED"/>
    <w:rsid w:val="009E6E6D"/>
    <w:rsid w:val="009E79D4"/>
    <w:rsid w:val="009E7D0A"/>
    <w:rsid w:val="009F04F7"/>
    <w:rsid w:val="009F06A0"/>
    <w:rsid w:val="009F06A3"/>
    <w:rsid w:val="009F0A8D"/>
    <w:rsid w:val="009F0B18"/>
    <w:rsid w:val="009F1A36"/>
    <w:rsid w:val="009F1B8C"/>
    <w:rsid w:val="009F2163"/>
    <w:rsid w:val="009F2658"/>
    <w:rsid w:val="009F2A3C"/>
    <w:rsid w:val="009F314E"/>
    <w:rsid w:val="009F3691"/>
    <w:rsid w:val="009F3C8A"/>
    <w:rsid w:val="009F3E85"/>
    <w:rsid w:val="009F43A5"/>
    <w:rsid w:val="009F47D0"/>
    <w:rsid w:val="009F5504"/>
    <w:rsid w:val="009F59D4"/>
    <w:rsid w:val="009F60D9"/>
    <w:rsid w:val="009F769C"/>
    <w:rsid w:val="009F7CE8"/>
    <w:rsid w:val="00A00FC7"/>
    <w:rsid w:val="00A012E7"/>
    <w:rsid w:val="00A0259F"/>
    <w:rsid w:val="00A03380"/>
    <w:rsid w:val="00A037D0"/>
    <w:rsid w:val="00A03A8A"/>
    <w:rsid w:val="00A044D7"/>
    <w:rsid w:val="00A048FD"/>
    <w:rsid w:val="00A04E13"/>
    <w:rsid w:val="00A05017"/>
    <w:rsid w:val="00A062CE"/>
    <w:rsid w:val="00A06613"/>
    <w:rsid w:val="00A07590"/>
    <w:rsid w:val="00A076B5"/>
    <w:rsid w:val="00A0779C"/>
    <w:rsid w:val="00A077BF"/>
    <w:rsid w:val="00A10AC4"/>
    <w:rsid w:val="00A10C43"/>
    <w:rsid w:val="00A10C79"/>
    <w:rsid w:val="00A10D09"/>
    <w:rsid w:val="00A13509"/>
    <w:rsid w:val="00A13A99"/>
    <w:rsid w:val="00A13DEC"/>
    <w:rsid w:val="00A13E6E"/>
    <w:rsid w:val="00A144A3"/>
    <w:rsid w:val="00A14C6E"/>
    <w:rsid w:val="00A14F9F"/>
    <w:rsid w:val="00A156A9"/>
    <w:rsid w:val="00A1587B"/>
    <w:rsid w:val="00A170FD"/>
    <w:rsid w:val="00A17D15"/>
    <w:rsid w:val="00A17D3D"/>
    <w:rsid w:val="00A2118F"/>
    <w:rsid w:val="00A2138C"/>
    <w:rsid w:val="00A21714"/>
    <w:rsid w:val="00A22FF5"/>
    <w:rsid w:val="00A235A5"/>
    <w:rsid w:val="00A24356"/>
    <w:rsid w:val="00A2441A"/>
    <w:rsid w:val="00A249C1"/>
    <w:rsid w:val="00A24C7E"/>
    <w:rsid w:val="00A25E95"/>
    <w:rsid w:val="00A25FB2"/>
    <w:rsid w:val="00A27816"/>
    <w:rsid w:val="00A31BC6"/>
    <w:rsid w:val="00A3234F"/>
    <w:rsid w:val="00A32792"/>
    <w:rsid w:val="00A34006"/>
    <w:rsid w:val="00A34F96"/>
    <w:rsid w:val="00A35A8C"/>
    <w:rsid w:val="00A360BD"/>
    <w:rsid w:val="00A368FA"/>
    <w:rsid w:val="00A3745B"/>
    <w:rsid w:val="00A3793F"/>
    <w:rsid w:val="00A40A20"/>
    <w:rsid w:val="00A40BCE"/>
    <w:rsid w:val="00A415C9"/>
    <w:rsid w:val="00A42783"/>
    <w:rsid w:val="00A45897"/>
    <w:rsid w:val="00A45902"/>
    <w:rsid w:val="00A4762A"/>
    <w:rsid w:val="00A50373"/>
    <w:rsid w:val="00A50462"/>
    <w:rsid w:val="00A50B41"/>
    <w:rsid w:val="00A52032"/>
    <w:rsid w:val="00A52227"/>
    <w:rsid w:val="00A52408"/>
    <w:rsid w:val="00A5270C"/>
    <w:rsid w:val="00A52A92"/>
    <w:rsid w:val="00A52ACE"/>
    <w:rsid w:val="00A545D4"/>
    <w:rsid w:val="00A546AC"/>
    <w:rsid w:val="00A55D0A"/>
    <w:rsid w:val="00A56588"/>
    <w:rsid w:val="00A5713A"/>
    <w:rsid w:val="00A5752B"/>
    <w:rsid w:val="00A6071A"/>
    <w:rsid w:val="00A61504"/>
    <w:rsid w:val="00A61835"/>
    <w:rsid w:val="00A619EB"/>
    <w:rsid w:val="00A62898"/>
    <w:rsid w:val="00A63634"/>
    <w:rsid w:val="00A63CDC"/>
    <w:rsid w:val="00A656B0"/>
    <w:rsid w:val="00A6582F"/>
    <w:rsid w:val="00A65E9C"/>
    <w:rsid w:val="00A66089"/>
    <w:rsid w:val="00A6637B"/>
    <w:rsid w:val="00A66453"/>
    <w:rsid w:val="00A66572"/>
    <w:rsid w:val="00A6663D"/>
    <w:rsid w:val="00A66CCA"/>
    <w:rsid w:val="00A67461"/>
    <w:rsid w:val="00A67D98"/>
    <w:rsid w:val="00A705E3"/>
    <w:rsid w:val="00A70BE9"/>
    <w:rsid w:val="00A7174F"/>
    <w:rsid w:val="00A71BA5"/>
    <w:rsid w:val="00A71DC2"/>
    <w:rsid w:val="00A72285"/>
    <w:rsid w:val="00A72A29"/>
    <w:rsid w:val="00A72B3A"/>
    <w:rsid w:val="00A72EF9"/>
    <w:rsid w:val="00A73AB2"/>
    <w:rsid w:val="00A7479E"/>
    <w:rsid w:val="00A767B3"/>
    <w:rsid w:val="00A7715F"/>
    <w:rsid w:val="00A7795F"/>
    <w:rsid w:val="00A77EBE"/>
    <w:rsid w:val="00A77F6F"/>
    <w:rsid w:val="00A802FD"/>
    <w:rsid w:val="00A808C1"/>
    <w:rsid w:val="00A80B29"/>
    <w:rsid w:val="00A80BA5"/>
    <w:rsid w:val="00A82087"/>
    <w:rsid w:val="00A82137"/>
    <w:rsid w:val="00A82543"/>
    <w:rsid w:val="00A82D69"/>
    <w:rsid w:val="00A83DD6"/>
    <w:rsid w:val="00A83E4C"/>
    <w:rsid w:val="00A84A2E"/>
    <w:rsid w:val="00A84BA5"/>
    <w:rsid w:val="00A84DCC"/>
    <w:rsid w:val="00A84FF4"/>
    <w:rsid w:val="00A85993"/>
    <w:rsid w:val="00A86616"/>
    <w:rsid w:val="00A86BF5"/>
    <w:rsid w:val="00A87B52"/>
    <w:rsid w:val="00A87D5E"/>
    <w:rsid w:val="00A90852"/>
    <w:rsid w:val="00A9111E"/>
    <w:rsid w:val="00A91419"/>
    <w:rsid w:val="00A91C03"/>
    <w:rsid w:val="00A93A2A"/>
    <w:rsid w:val="00A9401A"/>
    <w:rsid w:val="00A9499F"/>
    <w:rsid w:val="00A949E2"/>
    <w:rsid w:val="00A94EF1"/>
    <w:rsid w:val="00A95AF2"/>
    <w:rsid w:val="00A96079"/>
    <w:rsid w:val="00A966FD"/>
    <w:rsid w:val="00A96F1D"/>
    <w:rsid w:val="00A970E0"/>
    <w:rsid w:val="00AA28F8"/>
    <w:rsid w:val="00AA31A6"/>
    <w:rsid w:val="00AA36EB"/>
    <w:rsid w:val="00AA3E71"/>
    <w:rsid w:val="00AA56CC"/>
    <w:rsid w:val="00AA5AB9"/>
    <w:rsid w:val="00AA5D6A"/>
    <w:rsid w:val="00AA5DC4"/>
    <w:rsid w:val="00AA6341"/>
    <w:rsid w:val="00AA66E5"/>
    <w:rsid w:val="00AA6B0F"/>
    <w:rsid w:val="00AA6C6E"/>
    <w:rsid w:val="00AA78DB"/>
    <w:rsid w:val="00AB02DB"/>
    <w:rsid w:val="00AB0AF2"/>
    <w:rsid w:val="00AB175A"/>
    <w:rsid w:val="00AB1D3A"/>
    <w:rsid w:val="00AB217F"/>
    <w:rsid w:val="00AB2A6B"/>
    <w:rsid w:val="00AB2FFD"/>
    <w:rsid w:val="00AB3E19"/>
    <w:rsid w:val="00AB4890"/>
    <w:rsid w:val="00AB5AB2"/>
    <w:rsid w:val="00AB6927"/>
    <w:rsid w:val="00AB7EB2"/>
    <w:rsid w:val="00AC1914"/>
    <w:rsid w:val="00AC2708"/>
    <w:rsid w:val="00AC2BFE"/>
    <w:rsid w:val="00AC5F1F"/>
    <w:rsid w:val="00AC62BD"/>
    <w:rsid w:val="00AC63C4"/>
    <w:rsid w:val="00AC6AB4"/>
    <w:rsid w:val="00AC6F05"/>
    <w:rsid w:val="00AC7754"/>
    <w:rsid w:val="00AC78B4"/>
    <w:rsid w:val="00AC7AA6"/>
    <w:rsid w:val="00AD01F7"/>
    <w:rsid w:val="00AD08A5"/>
    <w:rsid w:val="00AD173C"/>
    <w:rsid w:val="00AD2438"/>
    <w:rsid w:val="00AD2EC8"/>
    <w:rsid w:val="00AD3DC7"/>
    <w:rsid w:val="00AD3E3A"/>
    <w:rsid w:val="00AD40FA"/>
    <w:rsid w:val="00AD4B9D"/>
    <w:rsid w:val="00AD5A39"/>
    <w:rsid w:val="00AD5F5B"/>
    <w:rsid w:val="00AD6C70"/>
    <w:rsid w:val="00AD6FF2"/>
    <w:rsid w:val="00AD7629"/>
    <w:rsid w:val="00AD7683"/>
    <w:rsid w:val="00AD7823"/>
    <w:rsid w:val="00AD793F"/>
    <w:rsid w:val="00AD7B7C"/>
    <w:rsid w:val="00AE04D3"/>
    <w:rsid w:val="00AE0AE3"/>
    <w:rsid w:val="00AE1B02"/>
    <w:rsid w:val="00AE1EBD"/>
    <w:rsid w:val="00AE2124"/>
    <w:rsid w:val="00AE2775"/>
    <w:rsid w:val="00AE3719"/>
    <w:rsid w:val="00AE3A49"/>
    <w:rsid w:val="00AE6534"/>
    <w:rsid w:val="00AE67ED"/>
    <w:rsid w:val="00AE7100"/>
    <w:rsid w:val="00AE7569"/>
    <w:rsid w:val="00AE78C4"/>
    <w:rsid w:val="00AE7F1A"/>
    <w:rsid w:val="00AF0C1E"/>
    <w:rsid w:val="00AF0E19"/>
    <w:rsid w:val="00AF0EC3"/>
    <w:rsid w:val="00AF10F3"/>
    <w:rsid w:val="00AF14D2"/>
    <w:rsid w:val="00AF1A9A"/>
    <w:rsid w:val="00AF25ED"/>
    <w:rsid w:val="00AF2914"/>
    <w:rsid w:val="00AF3643"/>
    <w:rsid w:val="00AF4222"/>
    <w:rsid w:val="00AF4363"/>
    <w:rsid w:val="00AF5578"/>
    <w:rsid w:val="00AF5F91"/>
    <w:rsid w:val="00AF60D9"/>
    <w:rsid w:val="00AF6372"/>
    <w:rsid w:val="00AF6C47"/>
    <w:rsid w:val="00AF76AF"/>
    <w:rsid w:val="00AF76FB"/>
    <w:rsid w:val="00B007D5"/>
    <w:rsid w:val="00B02524"/>
    <w:rsid w:val="00B03F24"/>
    <w:rsid w:val="00B058A7"/>
    <w:rsid w:val="00B066FA"/>
    <w:rsid w:val="00B06B1E"/>
    <w:rsid w:val="00B074FE"/>
    <w:rsid w:val="00B07870"/>
    <w:rsid w:val="00B07C88"/>
    <w:rsid w:val="00B07E26"/>
    <w:rsid w:val="00B11794"/>
    <w:rsid w:val="00B11ADB"/>
    <w:rsid w:val="00B12EE4"/>
    <w:rsid w:val="00B1384F"/>
    <w:rsid w:val="00B13916"/>
    <w:rsid w:val="00B14CB2"/>
    <w:rsid w:val="00B15A32"/>
    <w:rsid w:val="00B16695"/>
    <w:rsid w:val="00B16A8D"/>
    <w:rsid w:val="00B16FB9"/>
    <w:rsid w:val="00B170DA"/>
    <w:rsid w:val="00B17D5A"/>
    <w:rsid w:val="00B20348"/>
    <w:rsid w:val="00B2105A"/>
    <w:rsid w:val="00B2115F"/>
    <w:rsid w:val="00B2147C"/>
    <w:rsid w:val="00B21F6E"/>
    <w:rsid w:val="00B22089"/>
    <w:rsid w:val="00B2242A"/>
    <w:rsid w:val="00B22BD4"/>
    <w:rsid w:val="00B22C66"/>
    <w:rsid w:val="00B230BF"/>
    <w:rsid w:val="00B2347A"/>
    <w:rsid w:val="00B23D38"/>
    <w:rsid w:val="00B24557"/>
    <w:rsid w:val="00B24F3E"/>
    <w:rsid w:val="00B25F3C"/>
    <w:rsid w:val="00B26CF1"/>
    <w:rsid w:val="00B27059"/>
    <w:rsid w:val="00B27449"/>
    <w:rsid w:val="00B27870"/>
    <w:rsid w:val="00B30ADF"/>
    <w:rsid w:val="00B3186E"/>
    <w:rsid w:val="00B3198A"/>
    <w:rsid w:val="00B31F23"/>
    <w:rsid w:val="00B32220"/>
    <w:rsid w:val="00B32849"/>
    <w:rsid w:val="00B32BF6"/>
    <w:rsid w:val="00B3355D"/>
    <w:rsid w:val="00B33B60"/>
    <w:rsid w:val="00B33D07"/>
    <w:rsid w:val="00B34AB9"/>
    <w:rsid w:val="00B34B40"/>
    <w:rsid w:val="00B3538F"/>
    <w:rsid w:val="00B35559"/>
    <w:rsid w:val="00B3601E"/>
    <w:rsid w:val="00B3645B"/>
    <w:rsid w:val="00B36765"/>
    <w:rsid w:val="00B3756A"/>
    <w:rsid w:val="00B413A5"/>
    <w:rsid w:val="00B41F0A"/>
    <w:rsid w:val="00B42587"/>
    <w:rsid w:val="00B446DE"/>
    <w:rsid w:val="00B44902"/>
    <w:rsid w:val="00B45D76"/>
    <w:rsid w:val="00B46017"/>
    <w:rsid w:val="00B46A54"/>
    <w:rsid w:val="00B47747"/>
    <w:rsid w:val="00B47A00"/>
    <w:rsid w:val="00B50020"/>
    <w:rsid w:val="00B5021A"/>
    <w:rsid w:val="00B50434"/>
    <w:rsid w:val="00B50C90"/>
    <w:rsid w:val="00B519AE"/>
    <w:rsid w:val="00B526A9"/>
    <w:rsid w:val="00B53414"/>
    <w:rsid w:val="00B54703"/>
    <w:rsid w:val="00B55200"/>
    <w:rsid w:val="00B56C81"/>
    <w:rsid w:val="00B57333"/>
    <w:rsid w:val="00B57881"/>
    <w:rsid w:val="00B60293"/>
    <w:rsid w:val="00B60512"/>
    <w:rsid w:val="00B612B9"/>
    <w:rsid w:val="00B61989"/>
    <w:rsid w:val="00B62228"/>
    <w:rsid w:val="00B649E4"/>
    <w:rsid w:val="00B65709"/>
    <w:rsid w:val="00B67058"/>
    <w:rsid w:val="00B678C1"/>
    <w:rsid w:val="00B67D2A"/>
    <w:rsid w:val="00B7071A"/>
    <w:rsid w:val="00B70F73"/>
    <w:rsid w:val="00B71359"/>
    <w:rsid w:val="00B7210C"/>
    <w:rsid w:val="00B73A69"/>
    <w:rsid w:val="00B73EC0"/>
    <w:rsid w:val="00B74061"/>
    <w:rsid w:val="00B74D57"/>
    <w:rsid w:val="00B76AE8"/>
    <w:rsid w:val="00B76D03"/>
    <w:rsid w:val="00B76F7A"/>
    <w:rsid w:val="00B7778D"/>
    <w:rsid w:val="00B77FED"/>
    <w:rsid w:val="00B80AD4"/>
    <w:rsid w:val="00B82AC2"/>
    <w:rsid w:val="00B8458A"/>
    <w:rsid w:val="00B8475B"/>
    <w:rsid w:val="00B84A65"/>
    <w:rsid w:val="00B85525"/>
    <w:rsid w:val="00B85BF2"/>
    <w:rsid w:val="00B85D12"/>
    <w:rsid w:val="00B86046"/>
    <w:rsid w:val="00B8650D"/>
    <w:rsid w:val="00B8731A"/>
    <w:rsid w:val="00B902A3"/>
    <w:rsid w:val="00B904A4"/>
    <w:rsid w:val="00B90A53"/>
    <w:rsid w:val="00B912B5"/>
    <w:rsid w:val="00B91D11"/>
    <w:rsid w:val="00B92E8A"/>
    <w:rsid w:val="00B930C6"/>
    <w:rsid w:val="00B944D4"/>
    <w:rsid w:val="00B94ACD"/>
    <w:rsid w:val="00B9538D"/>
    <w:rsid w:val="00B95930"/>
    <w:rsid w:val="00B95937"/>
    <w:rsid w:val="00B96193"/>
    <w:rsid w:val="00B96C59"/>
    <w:rsid w:val="00B97911"/>
    <w:rsid w:val="00B979B8"/>
    <w:rsid w:val="00B97E4B"/>
    <w:rsid w:val="00BA01AE"/>
    <w:rsid w:val="00BA1346"/>
    <w:rsid w:val="00BA2B1D"/>
    <w:rsid w:val="00BA36A1"/>
    <w:rsid w:val="00BA392D"/>
    <w:rsid w:val="00BA3E06"/>
    <w:rsid w:val="00BA3F89"/>
    <w:rsid w:val="00BA423A"/>
    <w:rsid w:val="00BA4A05"/>
    <w:rsid w:val="00BA6805"/>
    <w:rsid w:val="00BA692D"/>
    <w:rsid w:val="00BA7B9B"/>
    <w:rsid w:val="00BB0326"/>
    <w:rsid w:val="00BB16AB"/>
    <w:rsid w:val="00BB222F"/>
    <w:rsid w:val="00BB255D"/>
    <w:rsid w:val="00BB2609"/>
    <w:rsid w:val="00BB33F5"/>
    <w:rsid w:val="00BB3B09"/>
    <w:rsid w:val="00BB5A2A"/>
    <w:rsid w:val="00BB6020"/>
    <w:rsid w:val="00BC021F"/>
    <w:rsid w:val="00BC056A"/>
    <w:rsid w:val="00BC0DD7"/>
    <w:rsid w:val="00BC1048"/>
    <w:rsid w:val="00BC2366"/>
    <w:rsid w:val="00BC2881"/>
    <w:rsid w:val="00BC288A"/>
    <w:rsid w:val="00BC28AF"/>
    <w:rsid w:val="00BC2A59"/>
    <w:rsid w:val="00BC3DD4"/>
    <w:rsid w:val="00BC4E1D"/>
    <w:rsid w:val="00BC4FAF"/>
    <w:rsid w:val="00BC5086"/>
    <w:rsid w:val="00BC5A20"/>
    <w:rsid w:val="00BC6B85"/>
    <w:rsid w:val="00BC6ECF"/>
    <w:rsid w:val="00BC79A4"/>
    <w:rsid w:val="00BC7D0E"/>
    <w:rsid w:val="00BD00B4"/>
    <w:rsid w:val="00BD0A1D"/>
    <w:rsid w:val="00BD0EA1"/>
    <w:rsid w:val="00BD103A"/>
    <w:rsid w:val="00BD14ED"/>
    <w:rsid w:val="00BD1F20"/>
    <w:rsid w:val="00BD221E"/>
    <w:rsid w:val="00BD229D"/>
    <w:rsid w:val="00BD281B"/>
    <w:rsid w:val="00BD3404"/>
    <w:rsid w:val="00BD3543"/>
    <w:rsid w:val="00BD3877"/>
    <w:rsid w:val="00BD3B9A"/>
    <w:rsid w:val="00BD3C52"/>
    <w:rsid w:val="00BD3E9D"/>
    <w:rsid w:val="00BD41FF"/>
    <w:rsid w:val="00BD4D92"/>
    <w:rsid w:val="00BD52D7"/>
    <w:rsid w:val="00BD5606"/>
    <w:rsid w:val="00BD66C4"/>
    <w:rsid w:val="00BD66CA"/>
    <w:rsid w:val="00BD66DC"/>
    <w:rsid w:val="00BD6A99"/>
    <w:rsid w:val="00BD71D6"/>
    <w:rsid w:val="00BD7DE9"/>
    <w:rsid w:val="00BE033F"/>
    <w:rsid w:val="00BE0979"/>
    <w:rsid w:val="00BE1483"/>
    <w:rsid w:val="00BE2F5E"/>
    <w:rsid w:val="00BE312B"/>
    <w:rsid w:val="00BE408C"/>
    <w:rsid w:val="00BE452C"/>
    <w:rsid w:val="00BE4A40"/>
    <w:rsid w:val="00BE5DA7"/>
    <w:rsid w:val="00BE626D"/>
    <w:rsid w:val="00BE64BD"/>
    <w:rsid w:val="00BE6D56"/>
    <w:rsid w:val="00BE7389"/>
    <w:rsid w:val="00BE7FCA"/>
    <w:rsid w:val="00BF19C2"/>
    <w:rsid w:val="00BF1B41"/>
    <w:rsid w:val="00BF2ECB"/>
    <w:rsid w:val="00BF32E5"/>
    <w:rsid w:val="00BF3349"/>
    <w:rsid w:val="00BF3A58"/>
    <w:rsid w:val="00BF3B34"/>
    <w:rsid w:val="00BF3FA1"/>
    <w:rsid w:val="00BF4F0B"/>
    <w:rsid w:val="00BF5178"/>
    <w:rsid w:val="00BF73D2"/>
    <w:rsid w:val="00BF7E87"/>
    <w:rsid w:val="00C00080"/>
    <w:rsid w:val="00C00C3E"/>
    <w:rsid w:val="00C00F24"/>
    <w:rsid w:val="00C0115B"/>
    <w:rsid w:val="00C01544"/>
    <w:rsid w:val="00C02514"/>
    <w:rsid w:val="00C02616"/>
    <w:rsid w:val="00C02BC8"/>
    <w:rsid w:val="00C02EC9"/>
    <w:rsid w:val="00C03109"/>
    <w:rsid w:val="00C04825"/>
    <w:rsid w:val="00C04DC7"/>
    <w:rsid w:val="00C05012"/>
    <w:rsid w:val="00C052E0"/>
    <w:rsid w:val="00C06E2A"/>
    <w:rsid w:val="00C06EAE"/>
    <w:rsid w:val="00C07940"/>
    <w:rsid w:val="00C07E47"/>
    <w:rsid w:val="00C07F3E"/>
    <w:rsid w:val="00C07FE7"/>
    <w:rsid w:val="00C100D6"/>
    <w:rsid w:val="00C10DBA"/>
    <w:rsid w:val="00C110EF"/>
    <w:rsid w:val="00C11A70"/>
    <w:rsid w:val="00C11C8E"/>
    <w:rsid w:val="00C11E2D"/>
    <w:rsid w:val="00C12048"/>
    <w:rsid w:val="00C12C1F"/>
    <w:rsid w:val="00C14417"/>
    <w:rsid w:val="00C14543"/>
    <w:rsid w:val="00C14862"/>
    <w:rsid w:val="00C15EA7"/>
    <w:rsid w:val="00C16E75"/>
    <w:rsid w:val="00C1746D"/>
    <w:rsid w:val="00C20386"/>
    <w:rsid w:val="00C203F2"/>
    <w:rsid w:val="00C20569"/>
    <w:rsid w:val="00C2062C"/>
    <w:rsid w:val="00C21C59"/>
    <w:rsid w:val="00C22937"/>
    <w:rsid w:val="00C22BE0"/>
    <w:rsid w:val="00C24108"/>
    <w:rsid w:val="00C25D2E"/>
    <w:rsid w:val="00C2624F"/>
    <w:rsid w:val="00C26FDF"/>
    <w:rsid w:val="00C27E22"/>
    <w:rsid w:val="00C3042C"/>
    <w:rsid w:val="00C3099B"/>
    <w:rsid w:val="00C31548"/>
    <w:rsid w:val="00C3186C"/>
    <w:rsid w:val="00C31B5F"/>
    <w:rsid w:val="00C31E41"/>
    <w:rsid w:val="00C31F39"/>
    <w:rsid w:val="00C32199"/>
    <w:rsid w:val="00C32251"/>
    <w:rsid w:val="00C324E6"/>
    <w:rsid w:val="00C32748"/>
    <w:rsid w:val="00C32E61"/>
    <w:rsid w:val="00C35608"/>
    <w:rsid w:val="00C35F36"/>
    <w:rsid w:val="00C36DD1"/>
    <w:rsid w:val="00C37216"/>
    <w:rsid w:val="00C376CA"/>
    <w:rsid w:val="00C41229"/>
    <w:rsid w:val="00C41C01"/>
    <w:rsid w:val="00C41DF0"/>
    <w:rsid w:val="00C4206A"/>
    <w:rsid w:val="00C4232F"/>
    <w:rsid w:val="00C42402"/>
    <w:rsid w:val="00C4289D"/>
    <w:rsid w:val="00C428CF"/>
    <w:rsid w:val="00C42A74"/>
    <w:rsid w:val="00C43652"/>
    <w:rsid w:val="00C45422"/>
    <w:rsid w:val="00C4740B"/>
    <w:rsid w:val="00C500EE"/>
    <w:rsid w:val="00C505D1"/>
    <w:rsid w:val="00C5141F"/>
    <w:rsid w:val="00C51F60"/>
    <w:rsid w:val="00C52453"/>
    <w:rsid w:val="00C5305A"/>
    <w:rsid w:val="00C53C51"/>
    <w:rsid w:val="00C5471A"/>
    <w:rsid w:val="00C54B2C"/>
    <w:rsid w:val="00C54C6D"/>
    <w:rsid w:val="00C54DC6"/>
    <w:rsid w:val="00C552EB"/>
    <w:rsid w:val="00C55745"/>
    <w:rsid w:val="00C55F96"/>
    <w:rsid w:val="00C56E7C"/>
    <w:rsid w:val="00C5718A"/>
    <w:rsid w:val="00C622A6"/>
    <w:rsid w:val="00C62938"/>
    <w:rsid w:val="00C647E4"/>
    <w:rsid w:val="00C648C5"/>
    <w:rsid w:val="00C64CD6"/>
    <w:rsid w:val="00C64D3F"/>
    <w:rsid w:val="00C66262"/>
    <w:rsid w:val="00C6641D"/>
    <w:rsid w:val="00C66A03"/>
    <w:rsid w:val="00C66F07"/>
    <w:rsid w:val="00C67120"/>
    <w:rsid w:val="00C678B9"/>
    <w:rsid w:val="00C67A78"/>
    <w:rsid w:val="00C71778"/>
    <w:rsid w:val="00C72332"/>
    <w:rsid w:val="00C738A7"/>
    <w:rsid w:val="00C73B89"/>
    <w:rsid w:val="00C757AF"/>
    <w:rsid w:val="00C77722"/>
    <w:rsid w:val="00C77955"/>
    <w:rsid w:val="00C800A4"/>
    <w:rsid w:val="00C805B2"/>
    <w:rsid w:val="00C80C3C"/>
    <w:rsid w:val="00C80C7F"/>
    <w:rsid w:val="00C81521"/>
    <w:rsid w:val="00C816CA"/>
    <w:rsid w:val="00C818DE"/>
    <w:rsid w:val="00C81A01"/>
    <w:rsid w:val="00C828FF"/>
    <w:rsid w:val="00C8387C"/>
    <w:rsid w:val="00C83ACC"/>
    <w:rsid w:val="00C844CB"/>
    <w:rsid w:val="00C85AA3"/>
    <w:rsid w:val="00C85ECD"/>
    <w:rsid w:val="00C862D7"/>
    <w:rsid w:val="00C87DEB"/>
    <w:rsid w:val="00C87F97"/>
    <w:rsid w:val="00C87FD8"/>
    <w:rsid w:val="00C902EC"/>
    <w:rsid w:val="00C9040E"/>
    <w:rsid w:val="00C90E8D"/>
    <w:rsid w:val="00C91005"/>
    <w:rsid w:val="00C9188D"/>
    <w:rsid w:val="00C92631"/>
    <w:rsid w:val="00C93BCB"/>
    <w:rsid w:val="00C96260"/>
    <w:rsid w:val="00C96278"/>
    <w:rsid w:val="00C96429"/>
    <w:rsid w:val="00C966C0"/>
    <w:rsid w:val="00CA071E"/>
    <w:rsid w:val="00CA079A"/>
    <w:rsid w:val="00CA0B0B"/>
    <w:rsid w:val="00CA1646"/>
    <w:rsid w:val="00CA1692"/>
    <w:rsid w:val="00CA1C06"/>
    <w:rsid w:val="00CA1C80"/>
    <w:rsid w:val="00CA2184"/>
    <w:rsid w:val="00CA3CC6"/>
    <w:rsid w:val="00CA3D4B"/>
    <w:rsid w:val="00CA4521"/>
    <w:rsid w:val="00CA5BC4"/>
    <w:rsid w:val="00CA61B4"/>
    <w:rsid w:val="00CA6C25"/>
    <w:rsid w:val="00CA6D9D"/>
    <w:rsid w:val="00CA6E65"/>
    <w:rsid w:val="00CA6ED8"/>
    <w:rsid w:val="00CA7019"/>
    <w:rsid w:val="00CA74A0"/>
    <w:rsid w:val="00CA7F87"/>
    <w:rsid w:val="00CB09C4"/>
    <w:rsid w:val="00CB0BE2"/>
    <w:rsid w:val="00CB13CA"/>
    <w:rsid w:val="00CB23D3"/>
    <w:rsid w:val="00CB30E0"/>
    <w:rsid w:val="00CB3347"/>
    <w:rsid w:val="00CB48EF"/>
    <w:rsid w:val="00CB4DC5"/>
    <w:rsid w:val="00CB66C0"/>
    <w:rsid w:val="00CC058F"/>
    <w:rsid w:val="00CC09EE"/>
    <w:rsid w:val="00CC0D3A"/>
    <w:rsid w:val="00CC0E2E"/>
    <w:rsid w:val="00CC227D"/>
    <w:rsid w:val="00CC2D1C"/>
    <w:rsid w:val="00CC3172"/>
    <w:rsid w:val="00CC31C8"/>
    <w:rsid w:val="00CC441B"/>
    <w:rsid w:val="00CC4AFE"/>
    <w:rsid w:val="00CC51C5"/>
    <w:rsid w:val="00CC5626"/>
    <w:rsid w:val="00CC5BC6"/>
    <w:rsid w:val="00CC64AE"/>
    <w:rsid w:val="00CC688C"/>
    <w:rsid w:val="00CC7A49"/>
    <w:rsid w:val="00CC7DDC"/>
    <w:rsid w:val="00CD0190"/>
    <w:rsid w:val="00CD268C"/>
    <w:rsid w:val="00CD3A20"/>
    <w:rsid w:val="00CD44E1"/>
    <w:rsid w:val="00CD542E"/>
    <w:rsid w:val="00CD7DDE"/>
    <w:rsid w:val="00CD7ED1"/>
    <w:rsid w:val="00CE00BF"/>
    <w:rsid w:val="00CE11BE"/>
    <w:rsid w:val="00CE1D26"/>
    <w:rsid w:val="00CE2069"/>
    <w:rsid w:val="00CE249D"/>
    <w:rsid w:val="00CE2858"/>
    <w:rsid w:val="00CE46AE"/>
    <w:rsid w:val="00CE5807"/>
    <w:rsid w:val="00CE7409"/>
    <w:rsid w:val="00CE75AC"/>
    <w:rsid w:val="00CE7A21"/>
    <w:rsid w:val="00CF05D0"/>
    <w:rsid w:val="00CF082D"/>
    <w:rsid w:val="00CF0DD4"/>
    <w:rsid w:val="00CF0EC6"/>
    <w:rsid w:val="00CF1E68"/>
    <w:rsid w:val="00CF2E4A"/>
    <w:rsid w:val="00CF322F"/>
    <w:rsid w:val="00CF4BEA"/>
    <w:rsid w:val="00CF50C4"/>
    <w:rsid w:val="00CF5711"/>
    <w:rsid w:val="00CF5FB2"/>
    <w:rsid w:val="00CF6437"/>
    <w:rsid w:val="00CF64FC"/>
    <w:rsid w:val="00CF6836"/>
    <w:rsid w:val="00CF68EA"/>
    <w:rsid w:val="00CF79FA"/>
    <w:rsid w:val="00D00DDF"/>
    <w:rsid w:val="00D01635"/>
    <w:rsid w:val="00D018A0"/>
    <w:rsid w:val="00D01FAF"/>
    <w:rsid w:val="00D03059"/>
    <w:rsid w:val="00D036DF"/>
    <w:rsid w:val="00D0434A"/>
    <w:rsid w:val="00D0449A"/>
    <w:rsid w:val="00D05B9D"/>
    <w:rsid w:val="00D05C0D"/>
    <w:rsid w:val="00D061E9"/>
    <w:rsid w:val="00D06368"/>
    <w:rsid w:val="00D0645E"/>
    <w:rsid w:val="00D06A42"/>
    <w:rsid w:val="00D071D4"/>
    <w:rsid w:val="00D07876"/>
    <w:rsid w:val="00D07D63"/>
    <w:rsid w:val="00D10A8C"/>
    <w:rsid w:val="00D10D12"/>
    <w:rsid w:val="00D123BE"/>
    <w:rsid w:val="00D12490"/>
    <w:rsid w:val="00D126F5"/>
    <w:rsid w:val="00D12B96"/>
    <w:rsid w:val="00D12E1A"/>
    <w:rsid w:val="00D134BD"/>
    <w:rsid w:val="00D1380A"/>
    <w:rsid w:val="00D13F6C"/>
    <w:rsid w:val="00D15F20"/>
    <w:rsid w:val="00D162BA"/>
    <w:rsid w:val="00D1662D"/>
    <w:rsid w:val="00D16E04"/>
    <w:rsid w:val="00D16EC7"/>
    <w:rsid w:val="00D17BFD"/>
    <w:rsid w:val="00D209BC"/>
    <w:rsid w:val="00D209FC"/>
    <w:rsid w:val="00D21911"/>
    <w:rsid w:val="00D21BB7"/>
    <w:rsid w:val="00D22780"/>
    <w:rsid w:val="00D22F59"/>
    <w:rsid w:val="00D24CF5"/>
    <w:rsid w:val="00D25008"/>
    <w:rsid w:val="00D26CB5"/>
    <w:rsid w:val="00D27099"/>
    <w:rsid w:val="00D27319"/>
    <w:rsid w:val="00D2768F"/>
    <w:rsid w:val="00D30013"/>
    <w:rsid w:val="00D30D57"/>
    <w:rsid w:val="00D30F1A"/>
    <w:rsid w:val="00D311E4"/>
    <w:rsid w:val="00D3176B"/>
    <w:rsid w:val="00D3271A"/>
    <w:rsid w:val="00D32A7A"/>
    <w:rsid w:val="00D34129"/>
    <w:rsid w:val="00D35263"/>
    <w:rsid w:val="00D355CB"/>
    <w:rsid w:val="00D35652"/>
    <w:rsid w:val="00D35849"/>
    <w:rsid w:val="00D35906"/>
    <w:rsid w:val="00D3697E"/>
    <w:rsid w:val="00D36AA1"/>
    <w:rsid w:val="00D37035"/>
    <w:rsid w:val="00D37689"/>
    <w:rsid w:val="00D37718"/>
    <w:rsid w:val="00D377CB"/>
    <w:rsid w:val="00D408B0"/>
    <w:rsid w:val="00D4172B"/>
    <w:rsid w:val="00D42198"/>
    <w:rsid w:val="00D42971"/>
    <w:rsid w:val="00D436B0"/>
    <w:rsid w:val="00D43A82"/>
    <w:rsid w:val="00D445C9"/>
    <w:rsid w:val="00D4591B"/>
    <w:rsid w:val="00D45BA6"/>
    <w:rsid w:val="00D46BD2"/>
    <w:rsid w:val="00D47252"/>
    <w:rsid w:val="00D474B9"/>
    <w:rsid w:val="00D475C5"/>
    <w:rsid w:val="00D475CB"/>
    <w:rsid w:val="00D50D44"/>
    <w:rsid w:val="00D5108D"/>
    <w:rsid w:val="00D5149B"/>
    <w:rsid w:val="00D51E83"/>
    <w:rsid w:val="00D528C8"/>
    <w:rsid w:val="00D52BB1"/>
    <w:rsid w:val="00D53477"/>
    <w:rsid w:val="00D55172"/>
    <w:rsid w:val="00D564DE"/>
    <w:rsid w:val="00D57324"/>
    <w:rsid w:val="00D60E79"/>
    <w:rsid w:val="00D611E6"/>
    <w:rsid w:val="00D61630"/>
    <w:rsid w:val="00D618D9"/>
    <w:rsid w:val="00D62A1D"/>
    <w:rsid w:val="00D63000"/>
    <w:rsid w:val="00D63594"/>
    <w:rsid w:val="00D63B6A"/>
    <w:rsid w:val="00D6502F"/>
    <w:rsid w:val="00D65BD0"/>
    <w:rsid w:val="00D66660"/>
    <w:rsid w:val="00D66A14"/>
    <w:rsid w:val="00D6716A"/>
    <w:rsid w:val="00D673CA"/>
    <w:rsid w:val="00D67791"/>
    <w:rsid w:val="00D67F3A"/>
    <w:rsid w:val="00D709BE"/>
    <w:rsid w:val="00D70F55"/>
    <w:rsid w:val="00D71026"/>
    <w:rsid w:val="00D716D0"/>
    <w:rsid w:val="00D71851"/>
    <w:rsid w:val="00D71895"/>
    <w:rsid w:val="00D71A0E"/>
    <w:rsid w:val="00D72932"/>
    <w:rsid w:val="00D73AB6"/>
    <w:rsid w:val="00D7419D"/>
    <w:rsid w:val="00D74666"/>
    <w:rsid w:val="00D74EC3"/>
    <w:rsid w:val="00D76B91"/>
    <w:rsid w:val="00D77D6F"/>
    <w:rsid w:val="00D80144"/>
    <w:rsid w:val="00D8117A"/>
    <w:rsid w:val="00D81474"/>
    <w:rsid w:val="00D81930"/>
    <w:rsid w:val="00D826C3"/>
    <w:rsid w:val="00D82E06"/>
    <w:rsid w:val="00D82E57"/>
    <w:rsid w:val="00D83932"/>
    <w:rsid w:val="00D83CFD"/>
    <w:rsid w:val="00D85639"/>
    <w:rsid w:val="00D8592E"/>
    <w:rsid w:val="00D85990"/>
    <w:rsid w:val="00D85B8B"/>
    <w:rsid w:val="00D8726A"/>
    <w:rsid w:val="00D921B1"/>
    <w:rsid w:val="00D92279"/>
    <w:rsid w:val="00D92DC2"/>
    <w:rsid w:val="00D92EE4"/>
    <w:rsid w:val="00D93118"/>
    <w:rsid w:val="00D938BE"/>
    <w:rsid w:val="00D941D8"/>
    <w:rsid w:val="00D95732"/>
    <w:rsid w:val="00D95754"/>
    <w:rsid w:val="00D95CE4"/>
    <w:rsid w:val="00D96E4B"/>
    <w:rsid w:val="00D97FD6"/>
    <w:rsid w:val="00DA0BBB"/>
    <w:rsid w:val="00DA14D0"/>
    <w:rsid w:val="00DA1DAE"/>
    <w:rsid w:val="00DA2C2B"/>
    <w:rsid w:val="00DA2E65"/>
    <w:rsid w:val="00DA3193"/>
    <w:rsid w:val="00DA3BE9"/>
    <w:rsid w:val="00DA3DB5"/>
    <w:rsid w:val="00DA4F5C"/>
    <w:rsid w:val="00DA5779"/>
    <w:rsid w:val="00DA5838"/>
    <w:rsid w:val="00DA5E38"/>
    <w:rsid w:val="00DA5F48"/>
    <w:rsid w:val="00DA6077"/>
    <w:rsid w:val="00DA6106"/>
    <w:rsid w:val="00DA64AF"/>
    <w:rsid w:val="00DA6E8D"/>
    <w:rsid w:val="00DA7838"/>
    <w:rsid w:val="00DA7D13"/>
    <w:rsid w:val="00DB02F9"/>
    <w:rsid w:val="00DB16F8"/>
    <w:rsid w:val="00DB1F43"/>
    <w:rsid w:val="00DB2B6B"/>
    <w:rsid w:val="00DB3814"/>
    <w:rsid w:val="00DB4187"/>
    <w:rsid w:val="00DB48AD"/>
    <w:rsid w:val="00DB48FA"/>
    <w:rsid w:val="00DB4DBA"/>
    <w:rsid w:val="00DB4DD1"/>
    <w:rsid w:val="00DB5072"/>
    <w:rsid w:val="00DB566C"/>
    <w:rsid w:val="00DB56CE"/>
    <w:rsid w:val="00DB5B4D"/>
    <w:rsid w:val="00DB5CFA"/>
    <w:rsid w:val="00DB5CFE"/>
    <w:rsid w:val="00DB6EEC"/>
    <w:rsid w:val="00DB7543"/>
    <w:rsid w:val="00DC001D"/>
    <w:rsid w:val="00DC007C"/>
    <w:rsid w:val="00DC0241"/>
    <w:rsid w:val="00DC071F"/>
    <w:rsid w:val="00DC073A"/>
    <w:rsid w:val="00DC0947"/>
    <w:rsid w:val="00DC09D0"/>
    <w:rsid w:val="00DC0D27"/>
    <w:rsid w:val="00DC11D0"/>
    <w:rsid w:val="00DC1B3E"/>
    <w:rsid w:val="00DC1CD7"/>
    <w:rsid w:val="00DC312B"/>
    <w:rsid w:val="00DC3D05"/>
    <w:rsid w:val="00DC6D20"/>
    <w:rsid w:val="00DC75CC"/>
    <w:rsid w:val="00DC7ACE"/>
    <w:rsid w:val="00DC7B93"/>
    <w:rsid w:val="00DD052E"/>
    <w:rsid w:val="00DD0827"/>
    <w:rsid w:val="00DD0E2B"/>
    <w:rsid w:val="00DD193E"/>
    <w:rsid w:val="00DD2D3F"/>
    <w:rsid w:val="00DD30BA"/>
    <w:rsid w:val="00DD4644"/>
    <w:rsid w:val="00DD4BD5"/>
    <w:rsid w:val="00DD4C39"/>
    <w:rsid w:val="00DD5D67"/>
    <w:rsid w:val="00DD71F1"/>
    <w:rsid w:val="00DD72C5"/>
    <w:rsid w:val="00DD7426"/>
    <w:rsid w:val="00DD7EE2"/>
    <w:rsid w:val="00DE04F4"/>
    <w:rsid w:val="00DE0DBE"/>
    <w:rsid w:val="00DE1746"/>
    <w:rsid w:val="00DE1B7D"/>
    <w:rsid w:val="00DE2215"/>
    <w:rsid w:val="00DE32EE"/>
    <w:rsid w:val="00DE43BE"/>
    <w:rsid w:val="00DE4AEB"/>
    <w:rsid w:val="00DE4B9A"/>
    <w:rsid w:val="00DE54BB"/>
    <w:rsid w:val="00DE5F51"/>
    <w:rsid w:val="00DE7C26"/>
    <w:rsid w:val="00DF1188"/>
    <w:rsid w:val="00DF2A26"/>
    <w:rsid w:val="00DF2C5A"/>
    <w:rsid w:val="00DF3094"/>
    <w:rsid w:val="00DF36E3"/>
    <w:rsid w:val="00DF3AF1"/>
    <w:rsid w:val="00DF3B20"/>
    <w:rsid w:val="00DF3F33"/>
    <w:rsid w:val="00DF41E3"/>
    <w:rsid w:val="00DF43DA"/>
    <w:rsid w:val="00DF4D9A"/>
    <w:rsid w:val="00DF53C3"/>
    <w:rsid w:val="00DF57B5"/>
    <w:rsid w:val="00DF59F6"/>
    <w:rsid w:val="00DF5C13"/>
    <w:rsid w:val="00DF757C"/>
    <w:rsid w:val="00DF78E1"/>
    <w:rsid w:val="00E00CCD"/>
    <w:rsid w:val="00E014C7"/>
    <w:rsid w:val="00E0217D"/>
    <w:rsid w:val="00E02D07"/>
    <w:rsid w:val="00E03BDD"/>
    <w:rsid w:val="00E03C4A"/>
    <w:rsid w:val="00E03CD9"/>
    <w:rsid w:val="00E04722"/>
    <w:rsid w:val="00E047E1"/>
    <w:rsid w:val="00E06054"/>
    <w:rsid w:val="00E065F1"/>
    <w:rsid w:val="00E067A7"/>
    <w:rsid w:val="00E07077"/>
    <w:rsid w:val="00E0743C"/>
    <w:rsid w:val="00E1142B"/>
    <w:rsid w:val="00E115F3"/>
    <w:rsid w:val="00E12B9F"/>
    <w:rsid w:val="00E1389A"/>
    <w:rsid w:val="00E14A9B"/>
    <w:rsid w:val="00E14E98"/>
    <w:rsid w:val="00E158AB"/>
    <w:rsid w:val="00E16657"/>
    <w:rsid w:val="00E179A8"/>
    <w:rsid w:val="00E179CD"/>
    <w:rsid w:val="00E211E9"/>
    <w:rsid w:val="00E21208"/>
    <w:rsid w:val="00E21C0F"/>
    <w:rsid w:val="00E21DC7"/>
    <w:rsid w:val="00E22689"/>
    <w:rsid w:val="00E22986"/>
    <w:rsid w:val="00E231E0"/>
    <w:rsid w:val="00E23356"/>
    <w:rsid w:val="00E236B0"/>
    <w:rsid w:val="00E237BD"/>
    <w:rsid w:val="00E24B9F"/>
    <w:rsid w:val="00E25549"/>
    <w:rsid w:val="00E259FC"/>
    <w:rsid w:val="00E25B78"/>
    <w:rsid w:val="00E269D6"/>
    <w:rsid w:val="00E26C54"/>
    <w:rsid w:val="00E26E1D"/>
    <w:rsid w:val="00E26F3C"/>
    <w:rsid w:val="00E26FD9"/>
    <w:rsid w:val="00E27805"/>
    <w:rsid w:val="00E27ADB"/>
    <w:rsid w:val="00E30449"/>
    <w:rsid w:val="00E304CD"/>
    <w:rsid w:val="00E30565"/>
    <w:rsid w:val="00E30C65"/>
    <w:rsid w:val="00E31562"/>
    <w:rsid w:val="00E316BB"/>
    <w:rsid w:val="00E31C44"/>
    <w:rsid w:val="00E32B65"/>
    <w:rsid w:val="00E33991"/>
    <w:rsid w:val="00E33E40"/>
    <w:rsid w:val="00E342A7"/>
    <w:rsid w:val="00E34C6D"/>
    <w:rsid w:val="00E351C8"/>
    <w:rsid w:val="00E35C6E"/>
    <w:rsid w:val="00E364E7"/>
    <w:rsid w:val="00E36D26"/>
    <w:rsid w:val="00E371C5"/>
    <w:rsid w:val="00E40368"/>
    <w:rsid w:val="00E40B7C"/>
    <w:rsid w:val="00E41D5F"/>
    <w:rsid w:val="00E421CF"/>
    <w:rsid w:val="00E42415"/>
    <w:rsid w:val="00E42ED7"/>
    <w:rsid w:val="00E4364A"/>
    <w:rsid w:val="00E444FB"/>
    <w:rsid w:val="00E450BA"/>
    <w:rsid w:val="00E45E3D"/>
    <w:rsid w:val="00E4682C"/>
    <w:rsid w:val="00E477CE"/>
    <w:rsid w:val="00E47992"/>
    <w:rsid w:val="00E47D71"/>
    <w:rsid w:val="00E5003F"/>
    <w:rsid w:val="00E5009D"/>
    <w:rsid w:val="00E5214D"/>
    <w:rsid w:val="00E5277A"/>
    <w:rsid w:val="00E532FB"/>
    <w:rsid w:val="00E53B44"/>
    <w:rsid w:val="00E5493D"/>
    <w:rsid w:val="00E54BC5"/>
    <w:rsid w:val="00E55525"/>
    <w:rsid w:val="00E55D06"/>
    <w:rsid w:val="00E5697D"/>
    <w:rsid w:val="00E56DA9"/>
    <w:rsid w:val="00E56F3C"/>
    <w:rsid w:val="00E57D49"/>
    <w:rsid w:val="00E62DBA"/>
    <w:rsid w:val="00E6366C"/>
    <w:rsid w:val="00E64B48"/>
    <w:rsid w:val="00E65A59"/>
    <w:rsid w:val="00E6709A"/>
    <w:rsid w:val="00E70590"/>
    <w:rsid w:val="00E71371"/>
    <w:rsid w:val="00E71BB1"/>
    <w:rsid w:val="00E721A3"/>
    <w:rsid w:val="00E72640"/>
    <w:rsid w:val="00E72B23"/>
    <w:rsid w:val="00E730E5"/>
    <w:rsid w:val="00E73889"/>
    <w:rsid w:val="00E73C2E"/>
    <w:rsid w:val="00E7455A"/>
    <w:rsid w:val="00E74B89"/>
    <w:rsid w:val="00E7515C"/>
    <w:rsid w:val="00E75D5B"/>
    <w:rsid w:val="00E76832"/>
    <w:rsid w:val="00E77895"/>
    <w:rsid w:val="00E80003"/>
    <w:rsid w:val="00E807A2"/>
    <w:rsid w:val="00E80F13"/>
    <w:rsid w:val="00E8147A"/>
    <w:rsid w:val="00E81CE6"/>
    <w:rsid w:val="00E821F6"/>
    <w:rsid w:val="00E82519"/>
    <w:rsid w:val="00E82B59"/>
    <w:rsid w:val="00E82BB6"/>
    <w:rsid w:val="00E82EBB"/>
    <w:rsid w:val="00E83EAE"/>
    <w:rsid w:val="00E847B4"/>
    <w:rsid w:val="00E848BC"/>
    <w:rsid w:val="00E84FA0"/>
    <w:rsid w:val="00E85044"/>
    <w:rsid w:val="00E87210"/>
    <w:rsid w:val="00E87402"/>
    <w:rsid w:val="00E87F24"/>
    <w:rsid w:val="00E90E7B"/>
    <w:rsid w:val="00E91B2B"/>
    <w:rsid w:val="00E9299F"/>
    <w:rsid w:val="00E92A20"/>
    <w:rsid w:val="00E93A8B"/>
    <w:rsid w:val="00E9437F"/>
    <w:rsid w:val="00E95220"/>
    <w:rsid w:val="00E956F7"/>
    <w:rsid w:val="00E9590E"/>
    <w:rsid w:val="00E95D64"/>
    <w:rsid w:val="00E971FE"/>
    <w:rsid w:val="00E97974"/>
    <w:rsid w:val="00EA03D7"/>
    <w:rsid w:val="00EA1F88"/>
    <w:rsid w:val="00EA25AA"/>
    <w:rsid w:val="00EA3234"/>
    <w:rsid w:val="00EA38D5"/>
    <w:rsid w:val="00EA391E"/>
    <w:rsid w:val="00EA446B"/>
    <w:rsid w:val="00EA5EB7"/>
    <w:rsid w:val="00EA656F"/>
    <w:rsid w:val="00EB0907"/>
    <w:rsid w:val="00EB1C7C"/>
    <w:rsid w:val="00EB1CB1"/>
    <w:rsid w:val="00EB295A"/>
    <w:rsid w:val="00EB30A8"/>
    <w:rsid w:val="00EB4879"/>
    <w:rsid w:val="00EB5902"/>
    <w:rsid w:val="00EB64D0"/>
    <w:rsid w:val="00EB6803"/>
    <w:rsid w:val="00EB6A02"/>
    <w:rsid w:val="00EB6C4E"/>
    <w:rsid w:val="00EB6E85"/>
    <w:rsid w:val="00EB7066"/>
    <w:rsid w:val="00EB70B7"/>
    <w:rsid w:val="00EB7B3C"/>
    <w:rsid w:val="00EC02EF"/>
    <w:rsid w:val="00EC08E7"/>
    <w:rsid w:val="00EC114D"/>
    <w:rsid w:val="00EC1A7E"/>
    <w:rsid w:val="00EC1E29"/>
    <w:rsid w:val="00EC21D3"/>
    <w:rsid w:val="00EC24AF"/>
    <w:rsid w:val="00EC2A24"/>
    <w:rsid w:val="00EC3B4F"/>
    <w:rsid w:val="00EC412F"/>
    <w:rsid w:val="00EC42DA"/>
    <w:rsid w:val="00EC511A"/>
    <w:rsid w:val="00ED018C"/>
    <w:rsid w:val="00ED07F9"/>
    <w:rsid w:val="00ED126B"/>
    <w:rsid w:val="00ED2AAE"/>
    <w:rsid w:val="00ED312F"/>
    <w:rsid w:val="00ED3193"/>
    <w:rsid w:val="00ED44FF"/>
    <w:rsid w:val="00ED4628"/>
    <w:rsid w:val="00ED4B59"/>
    <w:rsid w:val="00ED59F2"/>
    <w:rsid w:val="00ED5F7D"/>
    <w:rsid w:val="00ED6DEC"/>
    <w:rsid w:val="00ED7BFC"/>
    <w:rsid w:val="00ED7C6F"/>
    <w:rsid w:val="00EE0758"/>
    <w:rsid w:val="00EE0946"/>
    <w:rsid w:val="00EE0A5A"/>
    <w:rsid w:val="00EE0A80"/>
    <w:rsid w:val="00EE15D0"/>
    <w:rsid w:val="00EE2098"/>
    <w:rsid w:val="00EE32E7"/>
    <w:rsid w:val="00EE44A1"/>
    <w:rsid w:val="00EE4759"/>
    <w:rsid w:val="00EE599D"/>
    <w:rsid w:val="00EE5C3E"/>
    <w:rsid w:val="00EE6EB0"/>
    <w:rsid w:val="00EE71B5"/>
    <w:rsid w:val="00EF03E3"/>
    <w:rsid w:val="00EF0503"/>
    <w:rsid w:val="00EF0F6D"/>
    <w:rsid w:val="00EF303E"/>
    <w:rsid w:val="00EF3E8B"/>
    <w:rsid w:val="00EF5A9B"/>
    <w:rsid w:val="00EF6EC0"/>
    <w:rsid w:val="00EF6F01"/>
    <w:rsid w:val="00EF7479"/>
    <w:rsid w:val="00F0195B"/>
    <w:rsid w:val="00F01A50"/>
    <w:rsid w:val="00F022E8"/>
    <w:rsid w:val="00F0291B"/>
    <w:rsid w:val="00F03E7B"/>
    <w:rsid w:val="00F03FC4"/>
    <w:rsid w:val="00F049A9"/>
    <w:rsid w:val="00F049BB"/>
    <w:rsid w:val="00F059AC"/>
    <w:rsid w:val="00F0609E"/>
    <w:rsid w:val="00F0617A"/>
    <w:rsid w:val="00F063DF"/>
    <w:rsid w:val="00F0693A"/>
    <w:rsid w:val="00F07736"/>
    <w:rsid w:val="00F07E12"/>
    <w:rsid w:val="00F1024B"/>
    <w:rsid w:val="00F1057A"/>
    <w:rsid w:val="00F10A97"/>
    <w:rsid w:val="00F11C63"/>
    <w:rsid w:val="00F1218B"/>
    <w:rsid w:val="00F12657"/>
    <w:rsid w:val="00F12728"/>
    <w:rsid w:val="00F133AC"/>
    <w:rsid w:val="00F138BD"/>
    <w:rsid w:val="00F1399C"/>
    <w:rsid w:val="00F13B41"/>
    <w:rsid w:val="00F14337"/>
    <w:rsid w:val="00F14845"/>
    <w:rsid w:val="00F1556C"/>
    <w:rsid w:val="00F15B1A"/>
    <w:rsid w:val="00F16741"/>
    <w:rsid w:val="00F1710E"/>
    <w:rsid w:val="00F172B2"/>
    <w:rsid w:val="00F20280"/>
    <w:rsid w:val="00F206FD"/>
    <w:rsid w:val="00F209FB"/>
    <w:rsid w:val="00F228B4"/>
    <w:rsid w:val="00F232E1"/>
    <w:rsid w:val="00F23B7E"/>
    <w:rsid w:val="00F25489"/>
    <w:rsid w:val="00F26F6F"/>
    <w:rsid w:val="00F27AE0"/>
    <w:rsid w:val="00F30796"/>
    <w:rsid w:val="00F3165F"/>
    <w:rsid w:val="00F316B8"/>
    <w:rsid w:val="00F31E25"/>
    <w:rsid w:val="00F31F4E"/>
    <w:rsid w:val="00F362A9"/>
    <w:rsid w:val="00F3635D"/>
    <w:rsid w:val="00F363EB"/>
    <w:rsid w:val="00F4115B"/>
    <w:rsid w:val="00F46E95"/>
    <w:rsid w:val="00F47CCA"/>
    <w:rsid w:val="00F5191F"/>
    <w:rsid w:val="00F52BFD"/>
    <w:rsid w:val="00F53BB6"/>
    <w:rsid w:val="00F53C04"/>
    <w:rsid w:val="00F53C12"/>
    <w:rsid w:val="00F53E96"/>
    <w:rsid w:val="00F54302"/>
    <w:rsid w:val="00F55689"/>
    <w:rsid w:val="00F559C9"/>
    <w:rsid w:val="00F564F5"/>
    <w:rsid w:val="00F57535"/>
    <w:rsid w:val="00F57835"/>
    <w:rsid w:val="00F6005E"/>
    <w:rsid w:val="00F618CD"/>
    <w:rsid w:val="00F61E00"/>
    <w:rsid w:val="00F61E99"/>
    <w:rsid w:val="00F61EB4"/>
    <w:rsid w:val="00F62111"/>
    <w:rsid w:val="00F646E8"/>
    <w:rsid w:val="00F664AC"/>
    <w:rsid w:val="00F6675E"/>
    <w:rsid w:val="00F67688"/>
    <w:rsid w:val="00F67955"/>
    <w:rsid w:val="00F70C2C"/>
    <w:rsid w:val="00F71D7C"/>
    <w:rsid w:val="00F72820"/>
    <w:rsid w:val="00F74178"/>
    <w:rsid w:val="00F7451F"/>
    <w:rsid w:val="00F74561"/>
    <w:rsid w:val="00F7500B"/>
    <w:rsid w:val="00F76BE3"/>
    <w:rsid w:val="00F80966"/>
    <w:rsid w:val="00F81417"/>
    <w:rsid w:val="00F82E68"/>
    <w:rsid w:val="00F832A6"/>
    <w:rsid w:val="00F8404E"/>
    <w:rsid w:val="00F850A6"/>
    <w:rsid w:val="00F85B5C"/>
    <w:rsid w:val="00F862A8"/>
    <w:rsid w:val="00F86588"/>
    <w:rsid w:val="00F868C2"/>
    <w:rsid w:val="00F87A2C"/>
    <w:rsid w:val="00F902EA"/>
    <w:rsid w:val="00F91A1E"/>
    <w:rsid w:val="00F91B1B"/>
    <w:rsid w:val="00F93727"/>
    <w:rsid w:val="00F94BA7"/>
    <w:rsid w:val="00F953C5"/>
    <w:rsid w:val="00F9640A"/>
    <w:rsid w:val="00F96A72"/>
    <w:rsid w:val="00F96C26"/>
    <w:rsid w:val="00FA0382"/>
    <w:rsid w:val="00FA0BEA"/>
    <w:rsid w:val="00FA2EC9"/>
    <w:rsid w:val="00FA4582"/>
    <w:rsid w:val="00FA601A"/>
    <w:rsid w:val="00FA60BC"/>
    <w:rsid w:val="00FA6B47"/>
    <w:rsid w:val="00FA6CB3"/>
    <w:rsid w:val="00FB028D"/>
    <w:rsid w:val="00FB0667"/>
    <w:rsid w:val="00FB06A1"/>
    <w:rsid w:val="00FB0B5C"/>
    <w:rsid w:val="00FB1E63"/>
    <w:rsid w:val="00FB1F33"/>
    <w:rsid w:val="00FB248F"/>
    <w:rsid w:val="00FB2E7A"/>
    <w:rsid w:val="00FB4BCA"/>
    <w:rsid w:val="00FB4C65"/>
    <w:rsid w:val="00FB4EF0"/>
    <w:rsid w:val="00FB706B"/>
    <w:rsid w:val="00FB7521"/>
    <w:rsid w:val="00FB7ED9"/>
    <w:rsid w:val="00FC0CD8"/>
    <w:rsid w:val="00FC23CF"/>
    <w:rsid w:val="00FC2753"/>
    <w:rsid w:val="00FC34D6"/>
    <w:rsid w:val="00FC3D2D"/>
    <w:rsid w:val="00FC3DE9"/>
    <w:rsid w:val="00FC6BCF"/>
    <w:rsid w:val="00FC76AE"/>
    <w:rsid w:val="00FD0248"/>
    <w:rsid w:val="00FD0FBA"/>
    <w:rsid w:val="00FD11BB"/>
    <w:rsid w:val="00FD190C"/>
    <w:rsid w:val="00FD1AD0"/>
    <w:rsid w:val="00FD2B69"/>
    <w:rsid w:val="00FD2FBD"/>
    <w:rsid w:val="00FD33E1"/>
    <w:rsid w:val="00FD36F9"/>
    <w:rsid w:val="00FD3BFE"/>
    <w:rsid w:val="00FD4692"/>
    <w:rsid w:val="00FD55AC"/>
    <w:rsid w:val="00FD5B09"/>
    <w:rsid w:val="00FD6C0B"/>
    <w:rsid w:val="00FD7080"/>
    <w:rsid w:val="00FE003E"/>
    <w:rsid w:val="00FE0D8D"/>
    <w:rsid w:val="00FE0DDB"/>
    <w:rsid w:val="00FE0E90"/>
    <w:rsid w:val="00FE1294"/>
    <w:rsid w:val="00FE13C9"/>
    <w:rsid w:val="00FE2C73"/>
    <w:rsid w:val="00FE3046"/>
    <w:rsid w:val="00FE33C9"/>
    <w:rsid w:val="00FE4FB0"/>
    <w:rsid w:val="00FE5E27"/>
    <w:rsid w:val="00FE6E9E"/>
    <w:rsid w:val="00FE7332"/>
    <w:rsid w:val="00FF00E4"/>
    <w:rsid w:val="00FF05E7"/>
    <w:rsid w:val="00FF1F4E"/>
    <w:rsid w:val="00FF26B3"/>
    <w:rsid w:val="00FF2CCA"/>
    <w:rsid w:val="00FF2D23"/>
    <w:rsid w:val="00FF2E99"/>
    <w:rsid w:val="00FF3391"/>
    <w:rsid w:val="00FF37B6"/>
    <w:rsid w:val="00FF5577"/>
    <w:rsid w:val="00FF5DBA"/>
    <w:rsid w:val="00FF7015"/>
    <w:rsid w:val="00FF72D4"/>
    <w:rsid w:val="524D391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2038B"/>
  <w15:docId w15:val="{57674782-46BD-406C-ABD6-4E27F3F4584F}"/>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jc w:val="both"/>
    </w:pPr>
    <w:rPr>
      <w:rFonts w:ascii="Times New Roman" w:eastAsia="MS Mincho" w:hAnsi="Times New Roman" w:cs="Times New Roman"/>
      <w:szCs w:val="24"/>
      <w:lang w:val="en-GB" w:eastAsia="en-US"/>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sz w:val="20"/>
      <w:szCs w:val="20"/>
    </w:rPr>
  </w:style>
  <w:style w:type="character" w:styleId="CommentReference">
    <w:name w:val="annotation reference"/>
    <w:basedOn w:val="DefaultParagraphFont"/>
    <w:uiPriority w:val="99"/>
    <w:unhideWhenUsed/>
    <w:qFormat/>
    <w:rPr>
      <w:sz w:val="16"/>
      <w:szCs w:val="16"/>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styleId="NormalWeb">
    <w:name w:val="Normal (Web)"/>
    <w:basedOn w:val="Normal"/>
    <w:uiPriority w:val="99"/>
    <w:semiHidden/>
    <w:unhideWhenUsed/>
    <w:rPr>
      <w:rFonts w:ascii="Calibri" w:eastAsiaTheme="minorHAnsi" w:hAnsi="Calibri" w:cs="Calibri"/>
      <w:lang w:val="ru-RU"/>
    </w:rPr>
  </w:style>
  <w:style w:type="table" w:styleId="TableGrid">
    <w:name w:val="Table Grid"/>
    <w:basedOn w:val="TableNormal"/>
    <w:pPr>
      <w:spacing w:line="240" w:lineRule="auto"/>
    </w:pPr>
    <w:rPr>
      <w:rFonts w:ascii="Cambria" w:eastAsia="MS Mincho"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szCs w:val="24"/>
      <w:lang w:val="en-GB" w:eastAsia="en-U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szCs w:val="24"/>
      <w:lang w:val="en-GB" w:eastAsia="en-U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sz w:val="20"/>
      <w:szCs w:val="24"/>
      <w:lang w:val="en-GB" w:eastAsia="en-US"/>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n-GB" w:eastAsia="en-US"/>
    </w:rPr>
  </w:style>
  <w:style w:type="paragraph" w:customStyle="1" w:styleId="IPPBullet2">
    <w:name w:val="IPP Bullet2"/>
    <w:basedOn w:val="IPPNormal"/>
    <w:next w:val="IPPBullet1"/>
    <w:qFormat/>
    <w:pPr>
      <w:numPr>
        <w:numId w:val="8"/>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character" w:customStyle="1" w:styleId="Heading1Char">
    <w:name w:val="Heading 1 Char"/>
    <w:basedOn w:val="DefaultParagraphFont"/>
    <w:link w:val="Heading1"/>
    <w:rPr>
      <w:rFonts w:ascii="Times New Roman" w:eastAsia="MS Mincho" w:hAnsi="Times New Roman" w:cs="Times New Roman"/>
      <w:b/>
      <w:bCs/>
      <w:szCs w:val="24"/>
      <w:lang w:val="en-GB" w:eastAsia="en-U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cs="Times New Roman"/>
      <w:b/>
      <w:sz w:val="22"/>
      <w:szCs w:val="21"/>
      <w:lang w:val="en-AU" w:eastAsia="en-U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paragraph" w:customStyle="1" w:styleId="IPPBullet1">
    <w:name w:val="IPP Bullet1"/>
    <w:basedOn w:val="IPPBullet1Last"/>
    <w:qFormat/>
    <w:pPr>
      <w:numPr>
        <w:numId w:val="21"/>
      </w:numPr>
      <w:spacing w:after="60"/>
      <w:ind w:left="567" w:hanging="567"/>
    </w:pPr>
    <w:rPr>
      <w:lang w:val="en-US"/>
    </w:rPr>
  </w:style>
  <w:style w:type="paragraph" w:customStyle="1" w:styleId="IPPBullet1Last">
    <w:name w:val="IPP Bullet1Last"/>
    <w:basedOn w:val="IPPNormal"/>
    <w:next w:val="IPPNormal"/>
    <w:qFormat/>
    <w:pPr>
      <w:numPr>
        <w:numId w:val="9"/>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7"/>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References">
    <w:name w:val="IPP References"/>
    <w:basedOn w:val="IPPNormal"/>
    <w:qFormat/>
    <w:pPr>
      <w:spacing w:after="60"/>
      <w:ind w:left="567" w:hanging="567"/>
    </w:pPr>
  </w:style>
  <w:style w:type="character" w:customStyle="1" w:styleId="Heading2Char">
    <w:name w:val="Heading 2 Char"/>
    <w:basedOn w:val="DefaultParagraphFont"/>
    <w:link w:val="Heading2"/>
    <w:rPr>
      <w:rFonts w:ascii="Calibri" w:eastAsia="MS Mincho" w:hAnsi="Calibri" w:cs="Times New Roman"/>
      <w:b/>
      <w:bCs/>
      <w:i/>
      <w:iCs/>
      <w:sz w:val="28"/>
      <w:szCs w:val="28"/>
      <w:lang w:val="en-GB" w:eastAsia="en-US"/>
    </w:rPr>
  </w:style>
  <w:style w:type="character" w:customStyle="1" w:styleId="Heading3Char">
    <w:name w:val="Heading 3 Char"/>
    <w:basedOn w:val="DefaultParagraphFont"/>
    <w:link w:val="Heading3"/>
    <w:rPr>
      <w:rFonts w:ascii="Calibri" w:eastAsia="MS Mincho" w:hAnsi="Calibri" w:cs="Times New Roman"/>
      <w:b/>
      <w:bCs/>
      <w:sz w:val="26"/>
      <w:szCs w:val="26"/>
      <w:lang w:val="en-GB" w:eastAsia="en-US"/>
    </w:r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cs="Times New Roman"/>
      <w:sz w:val="21"/>
      <w:szCs w:val="21"/>
      <w:lang w:val="en-AU" w:eastAsia="en-US"/>
    </w:rPr>
  </w:style>
  <w:style w:type="paragraph" w:customStyle="1" w:styleId="IPPLetterList">
    <w:name w:val="IPP LetterList"/>
    <w:basedOn w:val="IPPBullet2"/>
    <w:qFormat/>
    <w:pPr>
      <w:numPr>
        <w:numId w:val="4"/>
      </w:numPr>
      <w:jc w:val="left"/>
    </w:pPr>
  </w:style>
  <w:style w:type="paragraph" w:customStyle="1" w:styleId="IPPLetterListIndent">
    <w:name w:val="IPP LetterList Indent"/>
    <w:basedOn w:val="IPPLetterList"/>
    <w:qFormat/>
    <w:pPr>
      <w:numPr>
        <w:numId w:val="5"/>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10"/>
      </w:numPr>
    </w:pPr>
  </w:style>
  <w:style w:type="paragraph" w:customStyle="1" w:styleId="IPPHdg2Num">
    <w:name w:val="IPP Hdg2Num"/>
    <w:basedOn w:val="IPPHeading2"/>
    <w:next w:val="IPPNormal"/>
    <w:qFormat/>
    <w:pPr>
      <w:numPr>
        <w:ilvl w:val="1" numString="1.1. "/>
        <w:numId w:val="11"/>
      </w:numPr>
    </w:pPr>
  </w:style>
  <w:style w:type="paragraph" w:customStyle="1" w:styleId="IPPNumberedList">
    <w:name w:val="IPP NumberedList"/>
    <w:basedOn w:val="IPPBullet1"/>
    <w:qFormat/>
    <w:pPr>
      <w:numPr>
        <w:numId w:val="19"/>
      </w:numPr>
    </w:pPr>
  </w:style>
  <w:style w:type="character" w:styleId="Strong">
    <w:name w:val="Strong"/>
    <w:basedOn w:val="DefaultParagraphFont"/>
    <w:qFormat/>
    <w:rPr>
      <w:b/>
      <w:bCs/>
    </w:rPr>
  </w:style>
  <w:style w:type="paragraph" w:customStyle="1" w:styleId="IPPParagraphnumbering">
    <w:name w:val="IPP Paragraph numbering"/>
    <w:basedOn w:val="IPPNormal"/>
    <w:qFormat/>
    <w:pPr>
      <w:tabs>
        <w:tab w:val="num" w:pos="0"/>
      </w:tabs>
      <w:ind w:hanging="482"/>
    </w:pPr>
    <w:rPr>
      <w:lang w:val="en-US"/>
    </w:r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0"/>
      <w:szCs w:val="20"/>
      <w:lang w:val="en-US" w:eastAsia="en-US"/>
    </w:rPr>
  </w:style>
  <w:style w:type="paragraph" w:styleId="Revision">
    <w:name w:val="Revision"/>
    <w:hidden/>
    <w:uiPriority w:val="99"/>
    <w:semiHidden/>
    <w:pPr>
      <w:spacing w:line="240" w:lineRule="auto"/>
    </w:pPr>
    <w:rPr>
      <w:rFonts w:ascii="Times New Roman" w:eastAsia="MS Mincho" w:hAnsi="Times New Roman" w:cs="Times New Roman"/>
      <w:szCs w:val="24"/>
      <w:lang w:val="en-US" w:eastAsia="en-US"/>
    </w:rPr>
  </w:style>
  <w:style w:type="character" w:customStyle="1" w:styleId="PleaseReviewParagraphId">
    <w:name w:val="PleaseReviewParagraphId"/>
    <w:rPr>
      <w:rFonts w:ascii="Arial" w:hAnsi="Arial"/>
      <w:b w:val="0"/>
      <w:i w:val="0"/>
      <w:color w:val="000080"/>
      <w:sz w:val="16"/>
      <w:u w:val="none"/>
    </w:rPr>
  </w:style>
  <w:style w:type="character" w:customStyle="1" w:styleId="fontstyle01">
    <w:name w:val="fontstyle01"/>
    <w:basedOn w:val="DefaultParagraphFont"/>
    <w:rPr>
      <w:rFonts w:ascii="ArialMT" w:hAnsi="ArialMT" w:hint="default"/>
      <w:b w:val="0"/>
      <w:bCs w:val="0"/>
      <w:i w:val="0"/>
      <w:iCs w:val="0"/>
      <w:color w:val="000000"/>
      <w:sz w:val="18"/>
      <w:szCs w:val="18"/>
    </w:rPr>
  </w:style>
  <w:style w:type="character" w:styleId="Hyperlink">
    <w:name w:val="Hyperlink"/>
    <w:basedOn w:val="DefaultParagraphFont"/>
    <w:unhideWhenUsed/>
    <w:rPr>
      <w:color w:val="0000FF"/>
      <w:u w:val="none"/>
    </w:rPr>
  </w:style>
  <w:style w:type="character" w:styleId="FollowedHyperlink">
    <w:name w:val="FollowedHyperlink"/>
    <w:basedOn w:val="DefaultParagraphFont"/>
    <w:semiHidden/>
    <w:unhideWhenUsed/>
    <w:rPr>
      <w:color w:val="800080" w:themeColor="followedHyperlink"/>
      <w:u w:val="none"/>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paragraph" w:customStyle="1" w:styleId="IPPPargraphnumbering">
    <w:name w:val="IPP Pargraph numbering"/>
    <w:basedOn w:val="IPPNormal"/>
    <w:qFormat/>
    <w:pPr>
      <w:tabs>
        <w:tab w:val="num" w:pos="360"/>
      </w:tabs>
    </w:pPr>
    <w:rPr>
      <w:lang w:val="en-US"/>
    </w:rPr>
  </w:style>
  <w:style w:type="character" w:customStyle="1" w:styleId="IPPNormalChar">
    <w:name w:val="IPP Normal Char"/>
    <w:link w:val="IPPNormal"/>
    <w:rPr>
      <w:rFonts w:ascii="Times New Roman" w:eastAsia="Times" w:hAnsi="Times New Roman" w:cs="Times New Roman"/>
      <w:szCs w:val="24"/>
      <w:lang w:val="en-GB" w:eastAsia="en-US"/>
    </w:rPr>
  </w:style>
  <w:style w:type="paragraph" w:customStyle="1" w:styleId="Normal1350">
    <w:name w:val="Normal_1350"/>
    <w:qFormat/>
    <w:pPr>
      <w:spacing w:line="240" w:lineRule="auto"/>
      <w:jc w:val="both"/>
    </w:pPr>
    <w:rPr>
      <w:rFonts w:ascii="Times New Roman" w:eastAsia="MS Mincho" w:hAnsi="Times New Roman" w:cstheme="minorBidi"/>
      <w:szCs w:val="24"/>
      <w:lang w:val="en-GB"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
    <w:name w:val="Mention"/>
    <w:basedOn w:val="DefaultParagraphFont"/>
    <w:uiPriority w:val="99"/>
    <w:unhideWhenUsed/>
    <w:rPr>
      <w:color w:val="2B579A"/>
      <w:shd w:val="clear" w:color="auto" w:fill="E1DFDD"/>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645015547">
      <w:bodyDiv w:val="1"/>
      <w:marLeft w:val="0"/>
      <w:marRight w:val="0"/>
      <w:marTop w:val="0"/>
      <w:marBottom w:val="0"/>
      <w:divBdr>
        <w:top w:val="none" w:sz="0" w:space="0" w:color="auto"/>
        <w:left w:val="none" w:sz="0" w:space="0" w:color="auto"/>
        <w:bottom w:val="none" w:sz="0" w:space="0" w:color="auto"/>
        <w:right w:val="none" w:sz="0" w:space="0" w:color="auto"/>
      </w:divBdr>
    </w:div>
    <w:div w:id="1354267013">
      <w:bodyDiv w:val="1"/>
      <w:marLeft w:val="0"/>
      <w:marRight w:val="0"/>
      <w:marTop w:val="0"/>
      <w:marBottom w:val="0"/>
      <w:divBdr>
        <w:top w:val="none" w:sz="0" w:space="0" w:color="auto"/>
        <w:left w:val="none" w:sz="0" w:space="0" w:color="auto"/>
        <w:bottom w:val="none" w:sz="0" w:space="0" w:color="auto"/>
        <w:right w:val="none" w:sz="0" w:space="0" w:color="auto"/>
      </w:divBdr>
    </w:div>
    <w:div w:id="1461076053">
      <w:bodyDiv w:val="1"/>
      <w:marLeft w:val="0"/>
      <w:marRight w:val="0"/>
      <w:marTop w:val="0"/>
      <w:marBottom w:val="0"/>
      <w:divBdr>
        <w:top w:val="none" w:sz="0" w:space="0" w:color="auto"/>
        <w:left w:val="none" w:sz="0" w:space="0" w:color="auto"/>
        <w:bottom w:val="none" w:sz="0" w:space="0" w:color="auto"/>
        <w:right w:val="none" w:sz="0" w:space="0" w:color="auto"/>
      </w:divBdr>
    </w:div>
    <w:div w:id="165787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appo.org/application/files/8715/8352/3001/RSPM_41-10-22-18-e.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ippc.int/en/about/core-activities/capacity-development/guides-and-training-material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core-activities/standards-setting/ispms"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&#65279;<?xml version="1.0" encoding="utf-8"?><Relationships xmlns="http://schemas.openxmlformats.org/package/2006/relationships"><Relationship Type="http://schemas.openxmlformats.org/officeDocument/2006/relationships/attachedTemplate" Target="file:///C:\Users\Torella\OneDrive%20-%20Food%20and%20Agriculture%20Organization\Desktop\IPPC_2015-06-04.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SharedWithUsers xmlns="a05d7f75-f42e-4288-8809-604fd4d9691f">
      <UserInfo>
        <DisplayName>Shamilov, Artur (NSP)</DisplayName>
        <AccountId>14351</AccountId>
        <AccountType/>
      </UserInfo>
      <UserInfo>
        <DisplayName>Torella, Daniel (NSPD)</DisplayName>
        <AccountId>16347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c12a54429c4b9f7fb3094c9887c84a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5e54bd48ca98dfb5547f01d30199786f"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C8346220-0261-490D-BBA5-DEFB98F70152}">
  <ds:schemaRefs>
    <ds:schemaRef ds:uri="http://schemas.microsoft.com/sharepoint/v3/contenttype/forms"/>
  </ds:schemaRefs>
</ds:datastoreItem>
</file>

<file path=customXml/itemProps2.xml><?xml version="1.0" encoding="utf-8"?>
<ds:datastoreItem xmlns:ds="http://schemas.openxmlformats.org/officeDocument/2006/customXml" ds:itemID="{2E18F96A-DF8F-4405-A688-D0C96AAA61CA}">
  <ds:schemaRefs>
    <ds:schemaRef ds:uri="http://schemas.microsoft.com/office/2006/documentManagement/types"/>
    <ds:schemaRef ds:uri="http://schemas.microsoft.com/office/2006/metadata/properties"/>
    <ds:schemaRef ds:uri="http://purl.org/dc/terms/"/>
    <ds:schemaRef ds:uri="ea6feb38-a85a-45e8-92e9-814486bbe375"/>
    <ds:schemaRef ds:uri="http://purl.org/dc/dcmitype/"/>
    <ds:schemaRef ds:uri="http://www.w3.org/XML/1998/namespace"/>
    <ds:schemaRef ds:uri="a05d7f75-f42e-4288-8809-604fd4d9691f"/>
    <ds:schemaRef ds:uri="http://schemas.microsoft.com/office/infopath/2007/PartnerControl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EEBBE024-1D50-45D4-A93D-ABE11A06C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E5565-31AB-48E6-9870-2FDFD132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Template>
  <TotalTime>0</TotalTime>
  <Pages>1</Pages>
  <Words>5004</Words>
  <Characters>28525</Characters>
  <Application>Microsoft Office Word</Application>
  <DocSecurity>0</DocSecurity>
  <Lines>237</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Mushegian</dc:creator>
  <cp:keywords/>
  <cp:lastModifiedBy>Prizm</cp:lastModifiedBy>
  <cp:revision>2</cp:revision>
  <cp:lastPrinted>2024-06-06T10:35:00Z</cp:lastPrinted>
  <dcterms:created xsi:type="dcterms:W3CDTF">2024-07-01T13:25:00Z</dcterms:created>
  <dcterms:modified xsi:type="dcterms:W3CDTF">2024-07-01T13:25:00Z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