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consultation: Draft specification on revision of the draft reorganized pest risk analysis ISPM (2023-037). Document title: 2023-037_Draft_Spec_Rev_Reorg_PRA_eng.docx]</w:t>
      </w:r>
    </w:p>
    <w:p w14:paraId="2A1019CB" w14:textId="2126B983">
      <w:pPr>
        <w:spacing w:before="120"/>
        <w:rPr>
          <w:b/>
          <w:bCs/>
        </w:rPr>
      </w:pPr>
      <w:r>
        <w:rPr>
          <w:rStyle w:val="PleaseReviewParagraphId"/>
          <w:b w:val="off"/>
          <w:i w:val="off"/>
        </w:rPr>
        <w:t>[1]</w:t>
      </w:r>
      <w:bookmarkStart w:name="_Hlk160177409" w:id="0"/>
      <w:r>
        <w:rPr>
          <w:b/>
          <w:bCs/>
        </w:rPr>
        <w:t>DRAFT SPECIFICATION FOR ISPM: Revision of the draft reorganized pest risk analysis ISPM (2023-037)</w:t>
      </w:r>
    </w:p>
    <w:bookmarkEnd w:id="0"/>
    <w:p w14:paraId="48F24DBB" w14:textId="058A8AE4">
      <w:pPr>
        <w:pStyle w:val="IPPSubheadSpace"/>
      </w:pPr>
      <w:r>
        <w:rPr>
          <w:rStyle w:val="PleaseReviewParagraphId"/>
          <w:b w:val="off"/>
          <w:i w:val="off"/>
        </w:rPr>
        <w:t>[2]</w:t>
      </w:r>
      <w: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23ED6FDB" w14:textId="77777777">
        <w:trPr>
          <w:trHeight w:val="286"/>
        </w:trPr>
        <w:tc xmlns:tara="kcentrix:tara" tara:rowspan="1" tara:colspan="2">
          <w:tcPr>
            <w:tcW w:w="9039" w:type="dxa"/>
            <w:gridSpan w:val="2"/>
            <w:vAlign w:val="center"/>
          </w:tcPr>
          <w:p w14:paraId="129CC991" w14:textId="77777777">
            <w:pPr>
              <w:pStyle w:val="IPPArialTable"/>
              <w:rPr>
                <w:szCs w:val="18"/>
              </w:rPr>
            </w:pPr>
            <w:r>
              <w:rPr>
                <w:rStyle w:val="PleaseReviewParagraphId"/>
                <w:b w:val="off"/>
                <w:i w:val="off"/>
              </w:rPr>
              <w:t>[3]</w:t>
            </w:r>
            <w:r>
              <w:rPr>
                <w:szCs w:val="18"/>
              </w:rPr>
              <w:t>This is not an official part of the specification and it will be modified by the IPPC Secretariat after approval</w:t>
            </w:r>
          </w:p>
        </w:tc>
      </w:tr>
      <w:tr w14:paraId="37CE2A71" w14:textId="77777777">
        <w:trPr>
          <w:trHeight w:val="286"/>
        </w:trPr>
        <w:tc xmlns:tara="kcentrix:tara" tara:rowspan="1" tara:colspan="1">
          <w:tcPr>
            <w:tcW w:w="2273" w:type="dxa"/>
            <w:vAlign w:val="center"/>
          </w:tcPr>
          <w:p w14:paraId="66E8F687" w14:textId="77777777">
            <w:pPr>
              <w:pStyle w:val="IPPArialTable"/>
              <w:rPr>
                <w:b/>
                <w:bCs/>
                <w:szCs w:val="18"/>
              </w:rPr>
            </w:pPr>
            <w:r>
              <w:rPr>
                <w:rStyle w:val="PleaseReviewParagraphId"/>
                <w:b w:val="off"/>
                <w:i w:val="off"/>
              </w:rPr>
              <w:t>[4]</w:t>
            </w:r>
            <w:r>
              <w:rPr>
                <w:b/>
                <w:bCs/>
                <w:szCs w:val="18"/>
              </w:rPr>
              <w:t>Date of this document</w:t>
            </w:r>
          </w:p>
        </w:tc>
        <w:tc xmlns:tara="kcentrix:tara" tara:rowspan="1" tara:colspan="1">
          <w:tcPr>
            <w:tcW w:w="6766" w:type="dxa"/>
            <w:vAlign w:val="center"/>
          </w:tcPr>
          <w:p w14:paraId="12468E4F" w14:textId="1FE3F763">
            <w:pPr>
              <w:pStyle w:val="IPPArialTable"/>
              <w:rPr>
                <w:szCs w:val="18"/>
              </w:rPr>
            </w:pPr>
            <w:r>
              <w:rPr>
                <w:rStyle w:val="PleaseReviewParagraphId"/>
                <w:b w:val="off"/>
                <w:i w:val="off"/>
              </w:rPr>
              <w:t>[5]</w:t>
            </w:r>
            <w:r>
              <w:rPr>
                <w:szCs w:val="18"/>
              </w:rPr>
              <w:t>2024-05-20</w:t>
            </w:r>
          </w:p>
        </w:tc>
      </w:tr>
      <w:tr w14:paraId="5B44F068" w14:textId="77777777">
        <w:trPr>
          <w:trHeight w:val="286"/>
        </w:trPr>
        <w:tc xmlns:tara="kcentrix:tara" tara:rowspan="1" tara:colspan="1">
          <w:tcPr>
            <w:tcW w:w="2273" w:type="dxa"/>
            <w:vAlign w:val="center"/>
          </w:tcPr>
          <w:p w14:paraId="7B3EFE4C" w14:textId="77777777">
            <w:pPr>
              <w:pStyle w:val="IPPArialTable"/>
              <w:rPr>
                <w:b/>
                <w:bCs/>
                <w:szCs w:val="18"/>
              </w:rPr>
            </w:pPr>
            <w:r>
              <w:rPr>
                <w:rStyle w:val="PleaseReviewParagraphId"/>
                <w:b w:val="off"/>
                <w:i w:val="off"/>
              </w:rPr>
              <w:t>[6]</w:t>
            </w:r>
            <w:r>
              <w:rPr>
                <w:b/>
                <w:bCs/>
                <w:szCs w:val="18"/>
              </w:rPr>
              <w:t>Document category</w:t>
            </w:r>
          </w:p>
        </w:tc>
        <w:tc xmlns:tara="kcentrix:tara" tara:rowspan="1" tara:colspan="1">
          <w:tcPr>
            <w:tcW w:w="6766" w:type="dxa"/>
            <w:vAlign w:val="center"/>
          </w:tcPr>
          <w:p w14:paraId="3AAEB43A" w14:textId="77777777">
            <w:pPr>
              <w:pStyle w:val="IPPNormal"/>
              <w:spacing w:before="60" w:after="60"/>
              <w:jc w:val="left"/>
              <w:rPr>
                <w:rFonts w:ascii="Arial" w:hAnsi="Arial"/>
                <w:color w:val="0070C0"/>
                <w:sz w:val="18"/>
                <w:szCs w:val="18"/>
              </w:rPr>
            </w:pPr>
            <w:r>
              <w:rPr>
                <w:rStyle w:val="PleaseReviewParagraphId"/>
                <w:b w:val="off"/>
                <w:i w:val="off"/>
              </w:rPr>
              <w:t>[7]</w:t>
            </w:r>
            <w:r>
              <w:rPr>
                <w:rFonts w:ascii="Arial" w:hAnsi="Arial"/>
                <w:sz w:val="18"/>
                <w:szCs w:val="18"/>
              </w:rPr>
              <w:t>Draft specification for an ISPM</w:t>
            </w:r>
          </w:p>
        </w:tc>
      </w:tr>
      <w:tr w14:paraId="0DEECD2D" w14:textId="77777777">
        <w:trPr>
          <w:trHeight w:val="299"/>
        </w:trPr>
        <w:tc xmlns:tara="kcentrix:tara" tara:rowspan="1" tara:colspan="1">
          <w:tcPr>
            <w:tcW w:w="2273" w:type="dxa"/>
            <w:vAlign w:val="center"/>
          </w:tcPr>
          <w:p w14:paraId="7EC7AFBA" w14:textId="77777777">
            <w:pPr>
              <w:pStyle w:val="IPPArialTable"/>
              <w:rPr>
                <w:b/>
                <w:bCs/>
                <w:szCs w:val="18"/>
              </w:rPr>
            </w:pPr>
            <w:r>
              <w:rPr>
                <w:rStyle w:val="PleaseReviewParagraphId"/>
                <w:b w:val="off"/>
                <w:i w:val="off"/>
              </w:rPr>
              <w:t>[8]</w:t>
            </w:r>
            <w:r>
              <w:rPr>
                <w:b/>
                <w:bCs/>
                <w:szCs w:val="18"/>
              </w:rPr>
              <w:t>Current document stage</w:t>
            </w:r>
          </w:p>
        </w:tc>
        <w:tc xmlns:tara="kcentrix:tara" tara:rowspan="1" tara:colspan="1">
          <w:tcPr>
            <w:tcW w:w="6766" w:type="dxa"/>
            <w:vAlign w:val="center"/>
          </w:tcPr>
          <w:p w14:paraId="112D3249" w14:textId="472A92CE">
            <w:pPr>
              <w:pStyle w:val="IPPNormal"/>
              <w:spacing w:after="60"/>
              <w:rPr>
                <w:rFonts w:ascii="Arial" w:hAnsi="Arial"/>
                <w:sz w:val="18"/>
                <w:szCs w:val="18"/>
              </w:rPr>
            </w:pPr>
            <w:r>
              <w:rPr>
                <w:rStyle w:val="PleaseReviewParagraphId"/>
                <w:b w:val="off"/>
                <w:i w:val="off"/>
              </w:rPr>
              <w:t>[9]</w:t>
            </w:r>
            <w:r>
              <w:rPr>
                <w:rFonts w:ascii="Arial" w:hAnsi="Arial"/>
                <w:i/>
                <w:iCs/>
                <w:sz w:val="18"/>
                <w:szCs w:val="18"/>
              </w:rPr>
              <w:t>To</w:t>
            </w:r>
            <w:r>
              <w:rPr>
                <w:rFonts w:ascii="Arial" w:hAnsi="Arial"/>
                <w:sz w:val="18"/>
                <w:szCs w:val="18"/>
              </w:rPr>
              <w:t xml:space="preserve"> first consultation</w:t>
            </w:r>
          </w:p>
        </w:tc>
      </w:tr>
      <w:tr w14:paraId="5F1D98E7" w14:textId="77777777">
        <w:trPr>
          <w:trHeight w:val="491"/>
        </w:trPr>
        <w:tc xmlns:tara="kcentrix:tara" tara:rowspan="1" tara:colspan="1">
          <w:tcPr>
            <w:tcW w:w="2273" w:type="dxa"/>
            <w:vAlign w:val="center"/>
          </w:tcPr>
          <w:p w14:paraId="1D41E2BC" w14:textId="77777777">
            <w:pPr>
              <w:pStyle w:val="IPPArialTable"/>
              <w:rPr>
                <w:b/>
                <w:bCs/>
                <w:szCs w:val="18"/>
              </w:rPr>
            </w:pPr>
            <w:r>
              <w:rPr>
                <w:rStyle w:val="PleaseReviewParagraphId"/>
                <w:b w:val="off"/>
                <w:i w:val="off"/>
              </w:rPr>
              <w:t>[10]</w:t>
            </w:r>
            <w:r>
              <w:rPr>
                <w:b/>
                <w:bCs/>
                <w:szCs w:val="18"/>
              </w:rPr>
              <w:t>Major stages</w:t>
            </w:r>
          </w:p>
        </w:tc>
        <w:tc xmlns:tara="kcentrix:tara" tara:rowspan="1" tara:colspan="1">
          <w:tcPr>
            <w:tcW w:w="6766" w:type="dxa"/>
            <w:vAlign w:val="center"/>
          </w:tcPr>
          <w:p w14:paraId="48A50E1C" w14:textId="46E2D855">
            <w:pPr>
              <w:pStyle w:val="IPPNormal"/>
              <w:spacing w:after="0"/>
              <w:rPr>
                <w:rFonts w:ascii="Arial" w:hAnsi="Arial"/>
                <w:sz w:val="18"/>
              </w:rPr>
            </w:pPr>
            <w:r>
              <w:rPr>
                <w:rStyle w:val="PleaseReviewParagraphId"/>
                <w:b w:val="off"/>
                <w:i w:val="off"/>
              </w:rPr>
              <w:t>[11]</w:t>
            </w:r>
            <w:bookmarkStart w:name="_Hlk160177414" w:id="2"/>
            <w:r>
              <w:rPr>
                <w:rFonts w:ascii="Arial" w:hAnsi="Arial"/>
                <w:sz w:val="18"/>
              </w:rPr>
              <w:t xml:space="preserve">2023-11 Standards Committee (SC) recommended to CPM-18 that topic </w:t>
            </w:r>
            <w:r>
              <w:rPr>
                <w:rStyle w:val="Strong"/>
                <w:rFonts w:asciiTheme="minorBidi" w:hAnsiTheme="minorBidi"/>
                <w:b w:val="0"/>
                <w:bCs w:val="0"/>
                <w:i/>
                <w:iCs/>
                <w:sz w:val="18"/>
                <w:szCs w:val="18"/>
              </w:rPr>
              <w:t>Holistic revision of the draft reorganized pest risk analysis standard</w:t>
            </w:r>
            <w:r>
              <w:rPr>
                <w:rStyle w:val="ui-provider"/>
                <w:rFonts w:asciiTheme="minorBidi" w:hAnsiTheme="minorBidi"/>
                <w:sz w:val="18"/>
                <w:szCs w:val="18"/>
              </w:rPr>
              <w:t xml:space="preserve"> </w:t>
            </w:r>
            <w:r>
              <w:rPr>
                <w:rFonts w:ascii="Arial" w:hAnsi="Arial"/>
                <w:sz w:val="18"/>
              </w:rPr>
              <w:t>(</w:t>
            </w:r>
            <w:r>
              <w:rPr>
                <w:rStyle w:val="ui-provider"/>
                <w:rFonts w:asciiTheme="minorBidi" w:hAnsiTheme="minorBidi"/>
                <w:sz w:val="18"/>
                <w:szCs w:val="18"/>
              </w:rPr>
              <w:t>2023-037</w:t>
            </w:r>
            <w:r>
              <w:rPr>
                <w:rFonts w:ascii="Arial" w:hAnsi="Arial"/>
                <w:sz w:val="18"/>
              </w:rPr>
              <w:t xml:space="preserve">) be added to the </w:t>
            </w:r>
            <w:r>
              <w:rPr>
                <w:rFonts w:ascii="Arial" w:hAnsi="Arial"/>
                <w:i/>
                <w:iCs/>
                <w:sz w:val="18"/>
              </w:rPr>
              <w:t>List of topics for IPPC standards</w:t>
            </w:r>
            <w:r>
              <w:rPr>
                <w:rFonts w:ascii="Arial" w:hAnsi="Arial"/>
                <w:sz w:val="18"/>
              </w:rPr>
              <w:t>.</w:t>
            </w:r>
          </w:p>
          <w:bookmarkEnd w:id="2"/>
          <w:p w14:paraId="442F77DB" w14:textId="11B5C3A6">
            <w:pPr>
              <w:pStyle w:val="IPPNormal"/>
              <w:spacing w:after="0"/>
              <w:rPr>
                <w:rFonts w:asciiTheme="minorBidi" w:hAnsiTheme="minorBidi"/>
                <w:sz w:val="18"/>
                <w:szCs w:val="18"/>
              </w:rPr>
            </w:pPr>
            <w:r>
              <w:rPr>
                <w:rStyle w:val="PleaseReviewParagraphId"/>
                <w:b w:val="off"/>
                <w:i w:val="off"/>
              </w:rPr>
              <w:t>[12]</w:t>
            </w:r>
            <w:r>
              <w:rPr>
                <w:rFonts w:ascii="Arial" w:hAnsi="Arial"/>
                <w:sz w:val="18"/>
                <w:szCs w:val="18"/>
              </w:rPr>
              <w:t xml:space="preserve">2023-11 SC </w:t>
            </w:r>
            <w:r>
              <w:rPr>
                <w:rFonts w:asciiTheme="minorBidi" w:hAnsiTheme="minorBidi"/>
                <w:sz w:val="18"/>
                <w:szCs w:val="18"/>
              </w:rPr>
              <w:t>formed a small working group to develop a draft specification.</w:t>
            </w:r>
          </w:p>
          <w:p w14:paraId="24B2BA6E" w14:textId="77777777">
            <w:pPr>
              <w:pStyle w:val="IPPNormal"/>
              <w:spacing w:after="0"/>
              <w:rPr>
                <w:rFonts w:ascii="Arial" w:hAnsi="Arial"/>
                <w:sz w:val="18"/>
              </w:rPr>
            </w:pPr>
            <w:r>
              <w:rPr>
                <w:rStyle w:val="PleaseReviewParagraphId"/>
                <w:b w:val="off"/>
                <w:i w:val="off"/>
              </w:rPr>
              <w:t>[13]</w:t>
            </w:r>
            <w:r>
              <w:rPr>
                <w:rFonts w:asciiTheme="minorBidi" w:hAnsiTheme="minorBidi"/>
                <w:sz w:val="18"/>
                <w:szCs w:val="18"/>
              </w:rPr>
              <w:t>2024-04 CPM-18 added topic to the</w:t>
            </w:r>
            <w:r>
              <w:rPr>
                <w:rFonts w:ascii="Arial" w:hAnsi="Arial"/>
                <w:i/>
                <w:iCs/>
                <w:sz w:val="18"/>
              </w:rPr>
              <w:t xml:space="preserve"> List of topics for IPPC standards.</w:t>
            </w:r>
          </w:p>
          <w:p w14:paraId="0FF90410" w14:textId="5AE5A3D1">
            <w:pPr>
              <w:pStyle w:val="IPPNormal"/>
              <w:spacing w:after="0"/>
              <w:rPr>
                <w:rFonts w:ascii="Arial" w:hAnsi="Arial"/>
                <w:sz w:val="18"/>
                <w:szCs w:val="18"/>
              </w:rPr>
            </w:pPr>
            <w:r>
              <w:rPr>
                <w:rStyle w:val="PleaseReviewParagraphId"/>
                <w:b w:val="off"/>
                <w:i w:val="off"/>
              </w:rPr>
              <w:t>[14]</w:t>
            </w:r>
            <w:r>
              <w:rPr>
                <w:rFonts w:ascii="Arial" w:hAnsi="Arial"/>
                <w:sz w:val="18"/>
              </w:rPr>
              <w:t>2024-05 SC revised daft specification and approved for first consultation.</w:t>
            </w:r>
          </w:p>
        </w:tc>
      </w:tr>
      <w:tr w14:paraId="47B37CE2" w14:textId="77777777">
        <w:trPr>
          <w:trHeight w:val="491"/>
        </w:trPr>
        <w:tc xmlns:tara="kcentrix:tara" tara:rowspan="1" tara:colspan="1">
          <w:tcPr>
            <w:tcW w:w="2273" w:type="dxa"/>
            <w:vAlign w:val="center"/>
          </w:tcPr>
          <w:p w14:paraId="0D7FAD83" w14:textId="77777777">
            <w:pPr>
              <w:pStyle w:val="IPPArialTable"/>
              <w:rPr>
                <w:b/>
                <w:bCs/>
                <w:szCs w:val="18"/>
              </w:rPr>
            </w:pPr>
            <w:r>
              <w:rPr>
                <w:rStyle w:val="PleaseReviewParagraphId"/>
                <w:b w:val="off"/>
                <w:i w:val="off"/>
              </w:rPr>
              <w:t>[15]</w:t>
            </w:r>
            <w:r>
              <w:rPr>
                <w:b/>
                <w:bCs/>
                <w:szCs w:val="18"/>
              </w:rPr>
              <w:t>Steward history</w:t>
            </w:r>
          </w:p>
        </w:tc>
        <w:tc xmlns:tara="kcentrix:tara" tara:rowspan="1" tara:colspan="1">
          <w:tcPr>
            <w:tcW w:w="6766" w:type="dxa"/>
            <w:vAlign w:val="center"/>
          </w:tcPr>
          <w:p w14:paraId="33555D7A" w14:textId="23B01583">
            <w:pPr>
              <w:pStyle w:val="IPPArialTable"/>
              <w:spacing w:before="0" w:after="0"/>
              <w:rPr>
                <w:szCs w:val="18"/>
              </w:rPr>
            </w:pPr>
            <w:r>
              <w:rPr>
                <w:rStyle w:val="PleaseReviewParagraphId"/>
                <w:b w:val="off"/>
                <w:i w:val="off"/>
              </w:rPr>
              <w:t>[16]</w:t>
            </w:r>
            <w:r>
              <w:rPr>
                <w:szCs w:val="18"/>
              </w:rPr>
              <w:t>2024-05 SC Masahiro SAI (JP, Lead Steward)</w:t>
            </w:r>
          </w:p>
          <w:p w14:paraId="6CEFD461" w14:textId="0B0558F0">
            <w:pPr>
              <w:pStyle w:val="IPPArialTable"/>
              <w:spacing w:before="0"/>
              <w:rPr>
                <w:color w:val="0070C0"/>
                <w:szCs w:val="18"/>
              </w:rPr>
            </w:pPr>
            <w:r>
              <w:rPr>
                <w:rStyle w:val="PleaseReviewParagraphId"/>
                <w:b w:val="off"/>
                <w:i w:val="off"/>
              </w:rPr>
              <w:t>[17]</w:t>
            </w:r>
            <w:r>
              <w:rPr>
                <w:szCs w:val="18"/>
              </w:rPr>
              <w:t>2024-05 SC Stavroula IOANNIDOU (GR, Assistant Steward)</w:t>
            </w:r>
          </w:p>
        </w:tc>
      </w:tr>
      <w:tr w14:paraId="66DF4BF5" w14:textId="77777777">
        <w:trPr>
          <w:trHeight w:val="175"/>
        </w:trPr>
        <w:tc xmlns:tara="kcentrix:tara" tara:rowspan="1" tara:colspan="1">
          <w:tcPr>
            <w:tcW w:w="2273" w:type="dxa"/>
            <w:vAlign w:val="center"/>
          </w:tcPr>
          <w:p w14:paraId="4BCAB674" w14:textId="77777777">
            <w:pPr>
              <w:pStyle w:val="IPPArialTable"/>
              <w:rPr>
                <w:b/>
                <w:bCs/>
                <w:szCs w:val="18"/>
              </w:rPr>
            </w:pPr>
            <w:r>
              <w:rPr>
                <w:rStyle w:val="PleaseReviewParagraphId"/>
                <w:b w:val="off"/>
                <w:i w:val="off"/>
              </w:rPr>
              <w:t>[18]</w:t>
            </w:r>
            <w:r>
              <w:rPr>
                <w:b/>
                <w:bCs/>
                <w:szCs w:val="18"/>
              </w:rPr>
              <w:t>Notes</w:t>
            </w:r>
          </w:p>
        </w:tc>
        <w:tc xmlns:tara="kcentrix:tara" tara:rowspan="1" tara:colspan="1">
          <w:tcPr>
            <w:tcW w:w="6766" w:type="dxa"/>
            <w:vAlign w:val="center"/>
          </w:tcPr>
          <w:p w14:paraId="7AE3082B" w14:textId="77777777">
            <w:pPr>
              <w:pStyle w:val="IPPArial"/>
              <w:spacing w:after="60"/>
            </w:pPr>
            <w:r>
              <w:rPr>
                <w:rStyle w:val="PleaseReviewParagraphId"/>
                <w:b w:val="off"/>
                <w:i w:val="off"/>
              </w:rPr>
              <w:t>[19]</w:t>
            </w:r>
            <w:r>
              <w:t>This section will remain on the drafts going for consultation but will be deleted before adoption.</w:t>
            </w:r>
          </w:p>
          <w:p w14:paraId="070E21D4" w14:textId="32EA0C90">
            <w:pPr>
              <w:pStyle w:val="IPPArial"/>
              <w:spacing w:after="60"/>
              <w:rPr>
                <w:szCs w:val="18"/>
              </w:rPr>
            </w:pPr>
            <w:r>
              <w:rPr>
                <w:rStyle w:val="PleaseReviewParagraphId"/>
                <w:b w:val="off"/>
                <w:i w:val="off"/>
              </w:rPr>
              <w:t>[20]</w:t>
            </w:r>
            <w:r>
              <w:rPr>
                <w:szCs w:val="18"/>
              </w:rPr>
              <w:t>2024-03 SC small group revised the title to</w:t>
            </w:r>
            <w:r>
              <w:t xml:space="preserve"> </w:t>
            </w:r>
            <w:r>
              <w:rPr>
                <w:i/>
                <w:iCs/>
              </w:rPr>
              <w:t>Revision of the draft reorganized pest risk analysis (PRA) ISPMs</w:t>
            </w:r>
          </w:p>
          <w:p w14:paraId="7B3CCF07" w14:textId="38617A85">
            <w:pPr>
              <w:pStyle w:val="IPPArial"/>
              <w:spacing w:after="60"/>
              <w:rPr>
                <w:szCs w:val="18"/>
              </w:rPr>
            </w:pPr>
            <w:r>
              <w:rPr>
                <w:rStyle w:val="PleaseReviewParagraphId"/>
                <w:b w:val="off"/>
                <w:i w:val="off"/>
              </w:rPr>
              <w:t>[21]</w:t>
            </w:r>
            <w:r>
              <w:rPr>
                <w:szCs w:val="18"/>
              </w:rPr>
              <w:t>2024-05 Edited</w:t>
            </w:r>
          </w:p>
        </w:tc>
      </w:tr>
    </w:tbl>
    <w:p w14:paraId="6E89C8C1" w14:textId="77777777">
      <w:pPr>
        <w:pStyle w:val="IPPSubheadSpace"/>
      </w:pPr>
      <w:r>
        <w:rPr>
          <w:rStyle w:val="PleaseReviewParagraphId"/>
          <w:b w:val="off"/>
          <w:i w:val="off"/>
        </w:rPr>
        <w:t>[22]</w:t>
      </w:r>
      <w:r>
        <w:t>Title</w:t>
      </w:r>
    </w:p>
    <w:p w14:paraId="36E7972A" w14:textId="0315CE42">
      <w:pPr>
        <w:pStyle w:val="IPPParagraphnumbering"/>
        <w:numPr>
          <w:ilvl w:val="0"/>
          <w:numId w:val="0"/>
        </w:numPr>
        <w:rPr>
          <w:lang w:val="en-GB"/>
        </w:rPr>
      </w:pPr>
      <w:r>
        <w:rPr>
          <w:rStyle w:val="PleaseReviewParagraphId"/>
          <w:b w:val="off"/>
          <w:i w:val="off"/>
        </w:rPr>
        <w:t>[23]</w:t>
      </w:r>
      <w:r>
        <w:rPr>
          <w:lang w:val="en-GB"/>
        </w:rPr>
        <w:t>Revision of the draft reorganized pest risk analysis ISPM (2023-037).</w:t>
      </w:r>
    </w:p>
    <w:p w14:paraId="6D9EF441" w14:textId="1357988B">
      <w:pPr>
        <w:pStyle w:val="IPPSubheadSpace"/>
      </w:pPr>
      <w:r>
        <w:rPr>
          <w:rStyle w:val="PleaseReviewParagraphId"/>
          <w:b w:val="off"/>
          <w:i w:val="off"/>
        </w:rPr>
        <w:t>[24]</w:t>
      </w:r>
      <w:r>
        <w:t>Reason for the revision of the draft reorganized standard</w:t>
      </w:r>
    </w:p>
    <w:p w14:paraId="56B59E4E" w14:textId="236E2F0D">
      <w:pPr>
        <w:pStyle w:val="IPPParagraphnumbering"/>
        <w:numPr>
          <w:ilvl w:val="0"/>
          <w:numId w:val="0"/>
        </w:numPr>
        <w:rPr>
          <w:lang w:val="en-GB"/>
        </w:rPr>
      </w:pPr>
      <w:r>
        <w:rPr>
          <w:rStyle w:val="PleaseReviewParagraphId"/>
          <w:b w:val="off"/>
          <w:i w:val="off"/>
        </w:rPr>
        <w:t>[25]</w:t>
      </w:r>
      <w:r>
        <w:rPr>
          <w:lang w:val="en-GB"/>
        </w:rPr>
        <w:t xml:space="preserve">Pest risk analysis (PRA) is a core process within the scope of the IPPC and an important science-based evaluation tool for national plant protection organizations (NPPOs). It is used to identify pests and pathways of concern, determine whether pests qualify as regulated pests, and identify the options for phytosanitary measures that are appropriate to manage the risk of introduction and spread of pests in a specified PRA area. </w:t>
      </w:r>
    </w:p>
    <w:p w14:paraId="6866E2A4" w14:textId="7F053B3D">
      <w:pPr>
        <w:pStyle w:val="IPPParagraphnumberingclose"/>
        <w:numPr>
          <w:ilvl w:val="0"/>
          <w:numId w:val="0"/>
        </w:numPr>
        <w:rPr>
          <w:lang w:val="en-GB"/>
        </w:rPr>
      </w:pPr>
      <w:r>
        <w:rPr>
          <w:rStyle w:val="PleaseReviewParagraphId"/>
          <w:b w:val="off"/>
          <w:i w:val="off"/>
        </w:rPr>
        <w:t>[26]</w:t>
      </w:r>
      <w:r>
        <w:rPr>
          <w:lang w:val="en-GB"/>
        </w:rPr>
        <w:t xml:space="preserve">In 2022, the expert working group (EWG) on </w:t>
      </w:r>
      <w:r>
        <w:rPr>
          <w:i/>
          <w:iCs/>
          <w:lang w:val="en-GB"/>
        </w:rPr>
        <w:t xml:space="preserve">Reorganization and revision of pest risk analysis standards </w:t>
      </w:r>
      <w:r>
        <w:rPr>
          <w:lang w:val="en-GB"/>
        </w:rPr>
        <w:t xml:space="preserve">(2020-001) reorganized the ISPMs related to </w:t>
      </w:r>
      <w:r>
        <w:rPr>
          <w:rFonts w:eastAsia="Yu Mincho"/>
          <w:lang w:val="en-GB" w:eastAsia="ja-JP"/>
        </w:rPr>
        <w:t>PRA –</w:t>
      </w:r>
      <w:r>
        <w:rPr>
          <w:lang w:val="en-GB"/>
        </w:rPr>
        <w:t xml:space="preserve"> ISPM 2 (</w:t>
      </w:r>
      <w:r>
        <w:rPr>
          <w:i/>
          <w:iCs/>
          <w:lang w:val="en-GB"/>
        </w:rPr>
        <w:t>Framework for pest risk analysis</w:t>
      </w:r>
      <w:r>
        <w:rPr>
          <w:lang w:val="en-GB"/>
        </w:rPr>
        <w:t>), ISPM 11 (</w:t>
      </w:r>
      <w:r>
        <w:rPr>
          <w:i/>
          <w:iCs/>
          <w:lang w:val="en-GB"/>
        </w:rPr>
        <w:t>Pest risk analysis for quarantine pests</w:t>
      </w:r>
      <w:r>
        <w:rPr>
          <w:lang w:val="en-GB"/>
        </w:rPr>
        <w:t xml:space="preserve">) and the draft ISPM on </w:t>
      </w:r>
      <w:r>
        <w:rPr>
          <w:i/>
          <w:iCs/>
          <w:lang w:val="en-GB"/>
        </w:rPr>
        <w:t xml:space="preserve">Pest risk management for quarantine pests </w:t>
      </w:r>
      <w:r>
        <w:rPr>
          <w:lang w:val="en-GB"/>
        </w:rPr>
        <w:t>(2014-001) – into one draft overarching ISPM with annexes for each stage of PRA. The reorganization removed redundancy in the text without substantial modifications. The draft reorganized ISPM was reviewed by the Standards Committee (SC) and submitted to first consultation in 2023. However, general comments submitted during the consultation supported a full, comprehensive revision of the reorganized ISPM. The reasons supporting a comprehensive revision were as follows:</w:t>
      </w:r>
    </w:p>
    <w:p w14:paraId="4E118ADD" w14:textId="220119C9">
      <w:pPr>
        <w:pStyle w:val="IPPBullet1"/>
        <w:rPr>
          <w:lang w:val="en-GB"/>
        </w:rPr>
      </w:pPr>
      <w:r>
        <w:rPr>
          <w:rStyle w:val="PleaseReviewParagraphId"/>
          <w:b w:val="off"/>
          <w:i w:val="off"/>
        </w:rPr>
        <w:t>[27]</w:t>
      </w:r>
      <w:r>
        <w:rPr>
          <w:lang w:val="en-GB"/>
        </w:rPr>
        <w:t>The draft reorganized ISPM is based on old versions of ISPMs that have not been reviewed in their entirety for several years. ISPM 2 and ISPM 11 were last revised in 2007 and 2013, respectively.</w:t>
      </w:r>
    </w:p>
    <w:p w14:paraId="12091F99" w14:textId="719D5EFF">
      <w:pPr>
        <w:pStyle w:val="IPPBullet1"/>
        <w:rPr>
          <w:lang w:val="en-GB"/>
        </w:rPr>
      </w:pPr>
      <w:r>
        <w:rPr>
          <w:rStyle w:val="PleaseReviewParagraphId"/>
          <w:b w:val="off"/>
          <w:i w:val="off"/>
        </w:rPr>
        <w:t>[28]</w:t>
      </w:r>
      <w:r>
        <w:rPr>
          <w:lang w:val="en-GB"/>
        </w:rPr>
        <w:t>The draft reorganized ISPM includes a combination of requirements (i.e. obligations) and detailed guidance on the process of conducting a PRA that may be challenging for countries to read, understand and implement.</w:t>
      </w:r>
    </w:p>
    <w:p w14:paraId="6D8E3302" w14:textId="5D3A5E6C">
      <w:pPr>
        <w:pStyle w:val="IPPBullet1Last"/>
      </w:pPr>
      <w:r>
        <w:rPr>
          <w:rStyle w:val="PleaseReviewParagraphId"/>
          <w:b w:val="off"/>
          <w:i w:val="off"/>
        </w:rPr>
        <w:t>[29]</w:t>
      </w:r>
      <w:r>
        <w:t>There is a need to include the requirements identified during the first consultation and to address new phytosanitary challenges (e.g. the inclusion of climate-change considerations in PRA; consideration of direct and indirect pest effects in terms of economic, environmental and social consequences).</w:t>
      </w:r>
    </w:p>
    <w:p w14:paraId="4AEFBAC7" w14:textId="0807211F">
      <w:pPr>
        <w:pStyle w:val="IPPSubheadSpace"/>
      </w:pPr>
      <w:r>
        <w:rPr>
          <w:rStyle w:val="PleaseReviewParagraphId"/>
          <w:b w:val="off"/>
          <w:i w:val="off"/>
        </w:rPr>
        <w:t>[30]</w:t>
      </w:r>
      <w:r>
        <w:lastRenderedPageBreak/>
        <w:t>Scope</w:t>
      </w:r>
    </w:p>
    <w:p w14:paraId="27869179" w14:textId="3DCF6F86">
      <w:pPr>
        <w:pStyle w:val="IPPParagraphnumbering"/>
        <w:numPr>
          <w:ilvl w:val="0"/>
          <w:numId w:val="0"/>
        </w:numPr>
        <w:rPr>
          <w:lang w:val="en-GB"/>
        </w:rPr>
      </w:pPr>
      <w:r>
        <w:rPr>
          <w:rStyle w:val="PleaseReviewParagraphId"/>
          <w:b w:val="off"/>
          <w:i w:val="off"/>
        </w:rPr>
        <w:t>[31]</w:t>
      </w:r>
      <w:r>
        <w:rPr>
          <w:lang w:val="en-GB"/>
        </w:rPr>
        <w:t>The comprehensively revised, reorganized ISPM should outline the core principles and requirements for PRA: determining if an organism is a pest and assessing the risk of introduction and consequences within the scope of the IPPC. The ISPM should also clearly describe the relationship between the pest risk and phytosanitary measures, and the strength of these measures at managing this risk, based on the principles outlined in ISPM 1 (</w:t>
      </w:r>
      <w:r>
        <w:rPr>
          <w:i/>
          <w:iCs/>
          <w:lang w:val="en-GB"/>
        </w:rPr>
        <w:t>Phytosanitary principles for the protection of plants and the application of phytosanitary measures in international trade</w:t>
      </w:r>
      <w:r>
        <w:rPr>
          <w:lang w:val="en-GB"/>
        </w:rPr>
        <w:t>) and ISPM 24 (</w:t>
      </w:r>
      <w:r>
        <w:rPr>
          <w:i/>
          <w:iCs/>
          <w:lang w:val="en-GB"/>
        </w:rPr>
        <w:t>Guidelines for the determination and recognition of equivalence of phytosanitary measures</w:t>
      </w:r>
      <w:r>
        <w:rPr>
          <w:lang w:val="en-GB"/>
        </w:rPr>
        <w:t>).</w:t>
      </w:r>
    </w:p>
    <w:p w14:paraId="495CBBF2" w14:textId="3CEAB003">
      <w:pPr>
        <w:pStyle w:val="IPPParagraphnumbering"/>
        <w:numPr>
          <w:ilvl w:val="0"/>
          <w:numId w:val="0"/>
        </w:numPr>
        <w:rPr>
          <w:lang w:val="en-GB"/>
        </w:rPr>
      </w:pPr>
      <w:r>
        <w:rPr>
          <w:rStyle w:val="PleaseReviewParagraphId"/>
          <w:b w:val="off"/>
          <w:i w:val="off"/>
        </w:rPr>
        <w:t>[32]</w:t>
      </w:r>
      <w:r>
        <w:rPr>
          <w:lang w:val="en-GB"/>
        </w:rPr>
        <w:t>The standard should not include guidance on regulated non-quarantine pests, which is provided in ISPM 21 (</w:t>
      </w:r>
      <w:r>
        <w:rPr>
          <w:i/>
          <w:iCs/>
          <w:lang w:val="en-GB"/>
        </w:rPr>
        <w:t>Pest risk analysis for regulated non-quarantine pests</w:t>
      </w:r>
      <w:r>
        <w:rPr>
          <w:lang w:val="en-GB"/>
        </w:rPr>
        <w:t>).</w:t>
      </w:r>
    </w:p>
    <w:p w14:paraId="58821CEE" w14:textId="77777777">
      <w:pPr>
        <w:pStyle w:val="IPPSubheadSpace"/>
      </w:pPr>
      <w:r>
        <w:rPr>
          <w:rStyle w:val="PleaseReviewParagraphId"/>
          <w:b w:val="off"/>
          <w:i w:val="off"/>
        </w:rPr>
        <w:t>[33]</w:t>
      </w:r>
      <w:r>
        <w:t>Purpose</w:t>
      </w:r>
    </w:p>
    <w:p w14:paraId="31EE39AE" w14:textId="2283D1BB">
      <w:pPr>
        <w:pStyle w:val="IPPParagraphnumbering"/>
        <w:numPr>
          <w:ilvl w:val="0"/>
          <w:numId w:val="0"/>
        </w:numPr>
        <w:rPr>
          <w:lang w:val="en-GB"/>
        </w:rPr>
      </w:pPr>
      <w:r>
        <w:rPr>
          <w:rStyle w:val="PleaseReviewParagraphId"/>
          <w:b w:val="off"/>
          <w:i w:val="off"/>
        </w:rPr>
        <w:t>[34]</w:t>
      </w:r>
      <w:r>
        <w:rPr>
          <w:lang w:val="en-GB"/>
        </w:rPr>
        <w:t>The purpose of the comprehensive revision of the draft reorganized PRA ISPM is to streamline the text to emphasize the requirements and obligations for PRA in the context of the IPPC and to provide greater clarity for all contracting parties, making the standard easier to understand and use.</w:t>
      </w:r>
    </w:p>
    <w:p w14:paraId="22D62C9C" w14:textId="58EDB2B9">
      <w:pPr>
        <w:pStyle w:val="IPPSubheadSpace"/>
      </w:pPr>
      <w:r>
        <w:rPr>
          <w:rStyle w:val="PleaseReviewParagraphId"/>
          <w:b w:val="off"/>
          <w:i w:val="off"/>
        </w:rPr>
        <w:t>[35]</w:t>
      </w:r>
      <w:r>
        <w:t>Tasks</w:t>
      </w:r>
    </w:p>
    <w:p w14:paraId="23D3F4FD" w14:textId="43D42AF2">
      <w:pPr>
        <w:pStyle w:val="IPPParagraphnumberingclose"/>
        <w:numPr>
          <w:ilvl w:val="0"/>
          <w:numId w:val="0"/>
        </w:numPr>
        <w:rPr>
          <w:lang w:val="en-GB"/>
        </w:rPr>
      </w:pPr>
      <w:r>
        <w:rPr>
          <w:rStyle w:val="PleaseReviewParagraphId"/>
          <w:b w:val="off"/>
          <w:i w:val="off"/>
        </w:rPr>
        <w:t>[36]</w:t>
      </w:r>
      <w:r>
        <w:rPr>
          <w:lang w:val="en-GB"/>
        </w:rPr>
        <w:t>The EWG should undertake the following tasks:</w:t>
      </w:r>
    </w:p>
    <w:p w14:paraId="196B8E23" w14:textId="61D01F8A">
      <w:pPr>
        <w:pStyle w:val="IPPNumberedList"/>
        <w:rPr>
          <w:lang w:val="en-GB"/>
        </w:rPr>
      </w:pPr>
      <w:r>
        <w:rPr>
          <w:rStyle w:val="PleaseReviewParagraphId"/>
          <w:b w:val="off"/>
          <w:i w:val="off"/>
        </w:rPr>
        <w:t>[37]</w:t>
      </w:r>
      <w:r>
        <w:rPr>
          <w:lang w:val="en-GB"/>
        </w:rPr>
        <w:t>Review existing standards and guidelines for risk analysis developed by other standard setting organizations named in the World Trade Organization (WTO) Agreement on the Application of Sanitary and Phytosanitary Measures (World Organisation for Animal Health, Codex Alimentarius Commission) and the WTO principles for the development of international standards (WTO, 2000)</w:t>
      </w:r>
      <w:r>
        <w:rPr>
          <w:rFonts w:eastAsia="MS Mincho"/>
          <w:lang w:val="en-GB"/>
        </w:rPr>
        <w:t xml:space="preserve"> and discuss the potential </w:t>
      </w:r>
      <w:r>
        <w:rPr>
          <w:lang w:val="en-GB"/>
        </w:rPr>
        <w:t>relevance of the best practices to the IPPC PRA framework.</w:t>
      </w:r>
    </w:p>
    <w:p w14:paraId="4E38A004" w14:textId="62F29E51">
      <w:pPr>
        <w:pStyle w:val="IPPNumberedList"/>
        <w:rPr>
          <w:lang w:val="en-GB"/>
        </w:rPr>
      </w:pPr>
      <w:r>
        <w:rPr>
          <w:rStyle w:val="PleaseReviewParagraphId"/>
          <w:b w:val="off"/>
          <w:i w:val="off"/>
        </w:rPr>
        <w:t>[38]</w:t>
      </w:r>
      <w:r>
        <w:rPr>
          <w:lang w:val="en-GB"/>
        </w:rPr>
        <w:t>Consider recommendations made by the EWG that drafted the reorganized PRA ISPM in 2022, such as considering whether the requirements relating to environmental impact should be addressed as part of the requirements on economic consequences as described in Supplement 2 of ISPM 5 (</w:t>
      </w:r>
      <w:r>
        <w:rPr>
          <w:i/>
          <w:iCs/>
          <w:lang w:val="en-GB"/>
        </w:rPr>
        <w:t>Glossary of phytosanitary terms</w:t>
      </w:r>
      <w:r>
        <w:rPr>
          <w:lang w:val="en-GB"/>
        </w:rPr>
        <w:t>).</w:t>
      </w:r>
    </w:p>
    <w:p w14:paraId="6D5FA858" w14:textId="05C6970D">
      <w:pPr>
        <w:pStyle w:val="IPPNumberedList"/>
        <w:rPr>
          <w:lang w:val="en-GB"/>
        </w:rPr>
      </w:pPr>
      <w:r>
        <w:rPr>
          <w:rStyle w:val="PleaseReviewParagraphId"/>
          <w:b w:val="off"/>
          <w:i w:val="off"/>
        </w:rPr>
        <w:t>[39]</w:t>
      </w:r>
      <w:r>
        <w:rPr>
          <w:lang w:val="en-GB"/>
        </w:rPr>
        <w:t xml:space="preserve">Review the text of the draft reorganized PRA ISPM as developed by the steward of the topic </w:t>
      </w:r>
      <w:r>
        <w:rPr>
          <w:i/>
          <w:iCs/>
          <w:lang w:val="en-GB"/>
        </w:rPr>
        <w:t xml:space="preserve">Reorganization and revision of pest risk analysis standards </w:t>
      </w:r>
      <w:r>
        <w:rPr>
          <w:lang w:val="en-GB"/>
        </w:rPr>
        <w:t>(2020-001) after the consultation in 2023 (including the annexes) to identify the core principles, steps and requirements for PRA and identify those parts of this draft reorganized ISPM that may be moved to implementation material.</w:t>
      </w:r>
    </w:p>
    <w:p w14:paraId="09CA3195" w14:textId="1F1E34BE">
      <w:pPr>
        <w:pStyle w:val="IPPNumberedList"/>
        <w:rPr>
          <w:lang w:val="en-GB"/>
        </w:rPr>
      </w:pPr>
      <w:r>
        <w:rPr>
          <w:rStyle w:val="PleaseReviewParagraphId"/>
          <w:b w:val="off"/>
          <w:i w:val="off"/>
        </w:rPr>
        <w:t>[40]</w:t>
      </w:r>
      <w:r>
        <w:rPr>
          <w:lang w:val="en-GB"/>
        </w:rPr>
        <w:t xml:space="preserve">Consider the recommendations made by the above steward related to comments submitted during the consultation in 2023. </w:t>
      </w:r>
    </w:p>
    <w:p w14:paraId="2CDCCD1D" w14:textId="426935D5">
      <w:pPr>
        <w:pStyle w:val="IPPNumberedList"/>
        <w:rPr>
          <w:lang w:val="en-GB"/>
        </w:rPr>
      </w:pPr>
      <w:r>
        <w:rPr>
          <w:rStyle w:val="PleaseReviewParagraphId"/>
          <w:b w:val="off"/>
          <w:i w:val="off"/>
        </w:rPr>
        <w:t>[41]</w:t>
      </w:r>
      <w:r>
        <w:rPr>
          <w:lang w:val="en-GB"/>
        </w:rPr>
        <w:t>Streamline and clarify the text to describe the principles and core requirements of PRA.</w:t>
      </w:r>
    </w:p>
    <w:p w14:paraId="2DB59CEA" w14:textId="5512FC2A">
      <w:pPr>
        <w:pStyle w:val="IPPNumberedList"/>
        <w:rPr>
          <w:lang w:val="en-GB"/>
        </w:rPr>
      </w:pPr>
      <w:r>
        <w:rPr>
          <w:rStyle w:val="PleaseReviewParagraphId"/>
          <w:b w:val="off"/>
          <w:i w:val="off"/>
        </w:rPr>
        <w:t>[42]</w:t>
      </w:r>
      <w:r>
        <w:rPr>
          <w:lang w:val="en-GB"/>
        </w:rPr>
        <w:t xml:space="preserve">Formulate recommendations to the SC on the content of a potential IPPC guide on PRA, with consideration of existing IPPC implementation material. </w:t>
      </w:r>
    </w:p>
    <w:p w14:paraId="569292A9" w14:textId="16FF3D33">
      <w:pPr>
        <w:pStyle w:val="IPPNumberedList"/>
        <w:rPr>
          <w:lang w:val="en-GB"/>
        </w:rPr>
      </w:pPr>
      <w:r>
        <w:rPr>
          <w:rStyle w:val="PleaseReviewParagraphId"/>
          <w:b w:val="off"/>
          <w:i w:val="off"/>
        </w:rPr>
        <w:t>[43]</w:t>
      </w:r>
      <w:r>
        <w:rPr>
          <w:lang w:val="en-GB"/>
        </w:rPr>
        <w:t>Consider whether the comprehensively revised, reorganized ISPM could affect in a specific way (positively or negatively) the protection of biodiversity and the environment. If this is the case, the impact should be identified, addressed and clarified in the draft ISPM.</w:t>
      </w:r>
    </w:p>
    <w:p w14:paraId="3CA9BAA6" w14:textId="00AFCA33">
      <w:pPr>
        <w:pStyle w:val="IPPNumberedList"/>
        <w:rPr>
          <w:lang w:val="en-GB"/>
        </w:rPr>
      </w:pPr>
      <w:r>
        <w:rPr>
          <w:rStyle w:val="PleaseReviewParagraphId"/>
          <w:b w:val="off"/>
          <w:i w:val="off"/>
        </w:rPr>
        <w:t>[44]</w:t>
      </w:r>
      <w:r>
        <w:rPr>
          <w:lang w:val="en-GB"/>
        </w:rPr>
        <w:t>Consider implementation of the comprehensively revised, reorganized ISPM by contracting parties and identify potential operational and technical implementation issues. Provide information and possible recommendations on these issues to the SC.</w:t>
      </w:r>
      <w:r>
        <w:rPr>
          <w:highlight w:val="yellow"/>
          <w:lang w:val="en-GB"/>
        </w:rPr>
        <w:t xml:space="preserve"> </w:t>
      </w:r>
    </w:p>
    <w:p w14:paraId="43ADE0A0" w14:textId="7B3EC7EB">
      <w:pPr>
        <w:pStyle w:val="IPPNumberedListLast"/>
        <w:rPr>
          <w:lang w:val="en-GB"/>
        </w:rPr>
      </w:pPr>
      <w:r>
        <w:rPr>
          <w:rStyle w:val="PleaseReviewParagraphId"/>
          <w:b w:val="off"/>
          <w:i w:val="off"/>
        </w:rPr>
        <w:t>[45]</w:t>
      </w:r>
      <w:r>
        <w:rPr>
          <w:lang w:val="en-GB"/>
        </w:rPr>
        <w:t>Review all references to PRA in other ISPMs to ensure that they are still relevant and propose consequential changes if necessary. Review all references to other ISPMs in the draft, comprehensively revised, reorganized ISPM and amend as necessary.</w:t>
      </w:r>
    </w:p>
    <w:p w14:paraId="2CD7A41B" w14:textId="77777777">
      <w:pPr>
        <w:pStyle w:val="IPPSubheadSpace"/>
      </w:pPr>
      <w:r>
        <w:rPr>
          <w:rStyle w:val="PleaseReviewParagraphId"/>
          <w:b w:val="off"/>
          <w:i w:val="off"/>
        </w:rPr>
        <w:t>[46]</w:t>
      </w:r>
      <w:r>
        <w:t>Provision of resources</w:t>
      </w:r>
      <w:r>
        <w:rPr>
          <w:color w:val="76923C"/>
        </w:rPr>
        <w:t xml:space="preserve"> </w:t>
      </w:r>
    </w:p>
    <w:p w14:paraId="67BF7869" w14:textId="285D09B9">
      <w:pPr>
        <w:pStyle w:val="IPPParagraphnumbering"/>
        <w:numPr>
          <w:ilvl w:val="0"/>
          <w:numId w:val="0"/>
        </w:numPr>
        <w:rPr>
          <w:lang w:val="en-GB"/>
        </w:rPr>
      </w:pPr>
      <w:r>
        <w:rPr>
          <w:rStyle w:val="PleaseReviewParagraphId"/>
          <w:b w:val="off"/>
          <w:i w:val="off"/>
        </w:rPr>
        <w:t>[47]</w:t>
      </w:r>
      <w:r>
        <w:rPr>
          <w:lang w:val="en-GB"/>
        </w:rP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w:t>
        <w:lastRenderedPageBreak/>
        <w:t xml:space="preserve">financial assistance, with the understanding that resources are limited and the priority for financial assistance is given to developing country participants. Please refer to the </w:t>
      </w:r>
      <w:r>
        <w:rPr>
          <w:i/>
          <w:iCs/>
          <w:szCs w:val="22"/>
          <w:lang w:val="en-GB"/>
        </w:rPr>
        <w:t>Criteria used for prioritizing participants to receive travel assistance to attend meetings organized by the IPPC Secretariat</w:t>
      </w:r>
      <w:r>
        <w:rPr>
          <w:lang w:val="en-GB"/>
        </w:rPr>
        <w:t xml:space="preserve"> posted on the International Phytosanitary Portal (IPP) (see </w:t>
      </w:r>
      <w:hyperlink w:history="1" r:id="rId11">
        <w:r>
          <w:rPr>
            <w:rStyle w:val="Hyperlink"/>
            <w:lang w:val="en-GB"/>
          </w:rPr>
          <w:t>https://www.ippc.int/en/core-activities</w:t>
        </w:r>
      </w:hyperlink>
      <w:r>
        <w:rPr>
          <w:lang w:val="en-GB"/>
        </w:rPr>
        <w:t>).</w:t>
      </w:r>
    </w:p>
    <w:p w14:paraId="377B391C" w14:textId="77777777">
      <w:pPr>
        <w:pStyle w:val="IPPSubheadSpace"/>
      </w:pPr>
      <w:r>
        <w:rPr>
          <w:rStyle w:val="PleaseReviewParagraphId"/>
          <w:b w:val="off"/>
          <w:i w:val="off"/>
        </w:rPr>
        <w:t>[48]</w:t>
      </w:r>
      <w:r>
        <w:t>Collaborator</w:t>
      </w:r>
    </w:p>
    <w:p w14:paraId="0D4ACAFB" w14:textId="77777777">
      <w:pPr>
        <w:pStyle w:val="IPPParagraphnumbering"/>
        <w:numPr>
          <w:ilvl w:val="0"/>
          <w:numId w:val="0"/>
        </w:numPr>
        <w:rPr>
          <w:lang w:val="en-GB"/>
        </w:rPr>
      </w:pPr>
      <w:r>
        <w:rPr>
          <w:rStyle w:val="PleaseReviewParagraphId"/>
          <w:b w:val="off"/>
          <w:i w:val="off"/>
        </w:rPr>
        <w:t>[49]</w:t>
      </w:r>
      <w:r>
        <w:rPr>
          <w:lang w:val="en-GB"/>
        </w:rPr>
        <w:t>To be determined.</w:t>
      </w:r>
    </w:p>
    <w:p w14:paraId="0959B091" w14:textId="77777777">
      <w:pPr>
        <w:pStyle w:val="IPPSubheadSpace"/>
      </w:pPr>
      <w:r>
        <w:rPr>
          <w:rStyle w:val="PleaseReviewParagraphId"/>
          <w:b w:val="off"/>
          <w:i w:val="off"/>
        </w:rPr>
        <w:t>[50]</w:t>
      </w:r>
      <w:r>
        <w:t>Steward</w:t>
      </w:r>
    </w:p>
    <w:p w14:paraId="50D752B0" w14:textId="4861DCAF">
      <w:pPr>
        <w:pStyle w:val="IPPParagraphnumbering"/>
        <w:numPr>
          <w:ilvl w:val="0"/>
          <w:numId w:val="0"/>
        </w:numPr>
        <w:rPr>
          <w:lang w:val="en-GB"/>
        </w:rPr>
      </w:pPr>
      <w:r>
        <w:rPr>
          <w:rStyle w:val="PleaseReviewParagraphId"/>
          <w:b w:val="off"/>
          <w:i w:val="off"/>
        </w:rPr>
        <w:t>[51]</w:t>
      </w:r>
      <w:r>
        <w:rPr>
          <w:lang w:val="en-GB"/>
        </w:rPr>
        <w:t xml:space="preserve">Please refer to the </w:t>
      </w:r>
      <w:r>
        <w:rPr>
          <w:i/>
          <w:iCs/>
          <w:lang w:val="en-GB"/>
        </w:rPr>
        <w:t>List of topics for IPPC standards</w:t>
      </w:r>
      <w:r>
        <w:rPr>
          <w:lang w:val="en-GB"/>
        </w:rPr>
        <w:t xml:space="preserve"> posted on the IPP (</w:t>
      </w:r>
      <w:r>
        <w:rPr>
          <w:szCs w:val="22"/>
          <w:lang w:val="en-GB"/>
        </w:rPr>
        <w:t>see </w:t>
      </w:r>
      <w:hyperlink w:history="1" r:id="rId12">
        <w:r>
          <w:rPr>
            <w:rStyle w:val="Hyperlink"/>
            <w:lang w:val="en-GB"/>
          </w:rPr>
          <w:t>https://www.ippc.int/core-activities/standards-setting/list-topics-ippc-standards</w:t>
        </w:r>
      </w:hyperlink>
      <w:r>
        <w:rPr>
          <w:szCs w:val="22"/>
          <w:lang w:val="en-GB"/>
        </w:rPr>
        <w:t>)</w:t>
      </w:r>
      <w:r>
        <w:rPr>
          <w:lang w:val="en-GB"/>
        </w:rPr>
        <w:t>.</w:t>
      </w:r>
    </w:p>
    <w:p w14:paraId="6F8C03A0" w14:textId="77777777">
      <w:pPr>
        <w:pStyle w:val="IPPSubheadSpace"/>
      </w:pPr>
      <w:r>
        <w:rPr>
          <w:rStyle w:val="PleaseReviewParagraphId"/>
          <w:b w:val="off"/>
          <w:i w:val="off"/>
        </w:rPr>
        <w:t>[52]</w:t>
      </w:r>
      <w:r>
        <w:t xml:space="preserve">Expertise </w:t>
      </w:r>
    </w:p>
    <w:p w14:paraId="0083E639" w14:textId="0D1C632C">
      <w:pPr>
        <w:pStyle w:val="IPPParagraphnumberingclose"/>
        <w:numPr>
          <w:ilvl w:val="0"/>
          <w:numId w:val="0"/>
        </w:numPr>
        <w:rPr>
          <w:lang w:val="en-GB"/>
        </w:rPr>
      </w:pPr>
      <w:r>
        <w:rPr>
          <w:rStyle w:val="PleaseReviewParagraphId"/>
          <w:b w:val="off"/>
          <w:i w:val="off"/>
        </w:rPr>
        <w:t>[53]</w:t>
      </w:r>
      <w:r>
        <w:rPr>
          <w:lang w:val="en-GB"/>
        </w:rPr>
        <w:t>Members with a combined and wide knowledge and experience in:</w:t>
      </w:r>
    </w:p>
    <w:p w14:paraId="3318D049" w14:textId="37AE5248">
      <w:pPr>
        <w:pStyle w:val="IPPBullet1"/>
        <w:rPr>
          <w:lang w:val="en-GB"/>
        </w:rPr>
      </w:pPr>
      <w:r>
        <w:rPr>
          <w:rStyle w:val="PleaseReviewParagraphId"/>
          <w:b w:val="off"/>
          <w:i w:val="off"/>
        </w:rPr>
        <w:t>[54]</w:t>
      </w:r>
      <w:r>
        <w:rPr>
          <w:lang w:val="en-GB"/>
        </w:rPr>
        <w:t xml:space="preserve">pest risk assessment, preferably with experience in conducting and implementing PRA in accordance with ISPM 2 and ISPM 11; </w:t>
      </w:r>
    </w:p>
    <w:p w14:paraId="59FB4A79" w14:textId="5950C744">
      <w:pPr>
        <w:pStyle w:val="IPPBullet1"/>
        <w:rPr>
          <w:lang w:val="en-GB"/>
        </w:rPr>
      </w:pPr>
      <w:r>
        <w:rPr>
          <w:rStyle w:val="PleaseReviewParagraphId"/>
          <w:b w:val="off"/>
          <w:i w:val="off"/>
        </w:rPr>
        <w:t>[55]</w:t>
      </w:r>
      <w:r>
        <w:rPr>
          <w:lang w:val="en-GB"/>
        </w:rPr>
        <w:t>the development of PRA methodologies for NPPOs or regional plant protection organizations (desirable);</w:t>
      </w:r>
    </w:p>
    <w:p w14:paraId="1864E883" w14:textId="32A7D98B">
      <w:pPr>
        <w:pStyle w:val="IPPBullet1"/>
        <w:rPr>
          <w:lang w:val="en-GB"/>
        </w:rPr>
      </w:pPr>
      <w:r>
        <w:rPr>
          <w:rStyle w:val="PleaseReviewParagraphId"/>
          <w:b w:val="off"/>
          <w:i w:val="off"/>
        </w:rPr>
        <w:t>[56]</w:t>
      </w:r>
      <w:r>
        <w:rPr>
          <w:lang w:val="en-GB"/>
        </w:rPr>
        <w:t>pest risk management, including experience in evaluating and selecting pest risk management options according to the pest risk identified through pest risk assessment;</w:t>
      </w:r>
    </w:p>
    <w:p w14:paraId="1712C87B" w14:textId="77777777">
      <w:pPr>
        <w:pStyle w:val="IPPBullet1"/>
        <w:rPr>
          <w:lang w:val="en-GB"/>
        </w:rPr>
      </w:pPr>
      <w:r>
        <w:rPr>
          <w:rStyle w:val="PleaseReviewParagraphId"/>
          <w:b w:val="off"/>
          <w:i w:val="off"/>
        </w:rPr>
        <w:t>[57]</w:t>
      </w:r>
      <w:r>
        <w:rPr>
          <w:lang w:val="en-GB"/>
        </w:rPr>
        <w:t>pest risk communication;</w:t>
      </w:r>
    </w:p>
    <w:p w14:paraId="633AC1F0" w14:textId="05158910">
      <w:pPr>
        <w:pStyle w:val="IPPBullet1"/>
        <w:rPr>
          <w:lang w:val="en-GB"/>
        </w:rPr>
      </w:pPr>
      <w:r>
        <w:rPr>
          <w:rStyle w:val="PleaseReviewParagraphId"/>
          <w:b w:val="off"/>
          <w:i w:val="off"/>
        </w:rPr>
        <w:t>[58]</w:t>
      </w:r>
      <w:r>
        <w:rPr>
          <w:lang w:val="en-GB"/>
        </w:rPr>
        <w:t>the consideration of climate-change impacts in PRAs; and</w:t>
      </w:r>
    </w:p>
    <w:p w14:paraId="5CC28BDB" w14:textId="199D5E90">
      <w:pPr>
        <w:pStyle w:val="IPPBullet1Last"/>
      </w:pPr>
      <w:r>
        <w:rPr>
          <w:rStyle w:val="PleaseReviewParagraphId"/>
          <w:b w:val="off"/>
          <w:i w:val="off"/>
        </w:rPr>
        <w:t>[59]</w:t>
      </w:r>
      <w:r>
        <w:t>PRA for beneficial organisms.</w:t>
      </w:r>
    </w:p>
    <w:p w14:paraId="6DE0809D" w14:textId="0009E255">
      <w:pPr>
        <w:pStyle w:val="IPPParagraphnumbering"/>
        <w:numPr>
          <w:ilvl w:val="0"/>
          <w:numId w:val="0"/>
        </w:numPr>
        <w:rPr>
          <w:lang w:val="en-GB"/>
        </w:rPr>
      </w:pPr>
      <w:r>
        <w:rPr>
          <w:rStyle w:val="PleaseReviewParagraphId"/>
          <w:b w:val="off"/>
          <w:i w:val="off"/>
        </w:rPr>
        <w:t>[60]</w:t>
      </w:r>
      <w:r>
        <w:rPr>
          <w:lang w:val="en-GB"/>
        </w:rPr>
        <w:t xml:space="preserve">Former members of the EWG on </w:t>
      </w:r>
      <w:r>
        <w:rPr>
          <w:i/>
          <w:iCs/>
          <w:lang w:val="en-GB"/>
        </w:rPr>
        <w:t>Reorganization and revision of pest risk analysis standards</w:t>
      </w:r>
      <w:r>
        <w:rPr>
          <w:lang w:val="en-GB"/>
        </w:rPr>
        <w:t xml:space="preserve"> (2020-001) are encouraged to apply.</w:t>
      </w:r>
    </w:p>
    <w:p w14:paraId="67CA965E" w14:textId="77777777">
      <w:pPr>
        <w:pStyle w:val="IPPSubheadSpace"/>
      </w:pPr>
      <w:r>
        <w:rPr>
          <w:rStyle w:val="PleaseReviewParagraphId"/>
          <w:b w:val="off"/>
          <w:i w:val="off"/>
        </w:rPr>
        <w:t>[61]</w:t>
      </w:r>
      <w:r>
        <w:t>Participants</w:t>
      </w:r>
    </w:p>
    <w:p w14:paraId="3C1625C9" w14:textId="2BF36441">
      <w:pPr>
        <w:pStyle w:val="IPPParagraphnumbering"/>
        <w:numPr>
          <w:ilvl w:val="0"/>
          <w:numId w:val="0"/>
        </w:numPr>
        <w:rPr>
          <w:lang w:val="en-GB"/>
        </w:rPr>
      </w:pPr>
      <w:r>
        <w:rPr>
          <w:rStyle w:val="PleaseReviewParagraphId"/>
          <w:b w:val="off"/>
          <w:i w:val="off"/>
        </w:rPr>
        <w:t>[62]</w:t>
      </w:r>
      <w:r>
        <w:rPr>
          <w:lang w:val="en-GB"/>
        </w:rPr>
        <w:t>Five to seven members.</w:t>
      </w:r>
    </w:p>
    <w:p w14:paraId="7527F30A" w14:textId="4B4B06FF">
      <w:pPr>
        <w:pStyle w:val="IPPParagraphnumbering"/>
        <w:numPr>
          <w:ilvl w:val="0"/>
          <w:numId w:val="0"/>
        </w:numPr>
        <w:rPr>
          <w:lang w:val="en-GB"/>
        </w:rPr>
      </w:pPr>
      <w:r>
        <w:rPr>
          <w:rStyle w:val="PleaseReviewParagraphId"/>
          <w:b w:val="off"/>
          <w:i w:val="off"/>
        </w:rPr>
        <w:t>[63]</w:t>
      </w:r>
      <w:r>
        <w:rPr>
          <w:lang w:val="en-GB"/>
        </w:rPr>
        <w:t xml:space="preserve">In addition, at least one former member of the EWG on </w:t>
      </w:r>
      <w:r>
        <w:rPr>
          <w:i/>
          <w:iCs/>
          <w:lang w:val="en-GB"/>
        </w:rPr>
        <w:t>Reorganization and revision of pest risk analysis standards</w:t>
      </w:r>
      <w:r>
        <w:rPr>
          <w:lang w:val="en-GB"/>
        </w:rPr>
        <w:t xml:space="preserve"> (2020-001), an expert with practical experience in implementing risk analysis standards from a sister organization to the IPPC (e.g. World Organisation for Animal Health) and a member of the Implementation and Capacity Development Committee should be invited to attend as invited experts.</w:t>
      </w:r>
    </w:p>
    <w:p w14:paraId="07DBA757" w14:textId="715F00C6">
      <w:pPr>
        <w:pStyle w:val="IPPSubheadSpace"/>
      </w:pPr>
      <w:r>
        <w:rPr>
          <w:rStyle w:val="PleaseReviewParagraphId"/>
          <w:b w:val="off"/>
          <w:i w:val="off"/>
        </w:rPr>
        <w:t>[64]</w:t>
      </w:r>
      <w:r>
        <w:t>Bibliography</w:t>
      </w:r>
    </w:p>
    <w:p w14:paraId="10CF2EA5" w14:textId="365222D7">
      <w:pPr>
        <w:pStyle w:val="IPPParagraphnumbering"/>
        <w:numPr>
          <w:ilvl w:val="0"/>
          <w:numId w:val="0"/>
        </w:numPr>
        <w:rPr>
          <w:color w:val="0070C0"/>
          <w:lang w:val="en-GB"/>
        </w:rPr>
      </w:pPr>
      <w:r>
        <w:rPr>
          <w:rStyle w:val="PleaseReviewParagraphId"/>
          <w:b w:val="off"/>
          <w:i w:val="off"/>
        </w:rPr>
        <w:t>[65]</w:t>
      </w:r>
      <w:r>
        <w:rPr>
          <w:lang w:val="en-GB"/>
        </w:rPr>
        <w:t>The IPPC, relevant ISPMs and other national, regional and international standards and agreements as may be applicable to the tasks, and discussion papers submitted in relation to this work.</w:t>
      </w:r>
    </w:p>
    <w:p w14:paraId="1AEABB18" w14:textId="77777777">
      <w:pPr>
        <w:pStyle w:val="IPPHeading3"/>
        <w:rPr>
          <w:color w:val="0070C0"/>
        </w:rPr>
      </w:pPr>
      <w:r>
        <w:rPr>
          <w:rStyle w:val="PleaseReviewParagraphId"/>
          <w:b w:val="off"/>
          <w:i w:val="off"/>
        </w:rPr>
        <w:t>[66]</w:t>
      </w:r>
      <w:r>
        <w:t>References</w:t>
      </w:r>
    </w:p>
    <w:p w14:paraId="0FDEE9A8" w14:textId="2A7CC409">
      <w:pPr>
        <w:pStyle w:val="IPPParagraphnumbering"/>
        <w:numPr>
          <w:ilvl w:val="0"/>
          <w:numId w:val="0"/>
        </w:numPr>
        <w:rPr>
          <w:b/>
          <w:bCs/>
          <w:lang w:val="en-GB"/>
        </w:rPr>
      </w:pPr>
      <w:r>
        <w:rPr>
          <w:rStyle w:val="PleaseReviewParagraphId"/>
          <w:b w:val="off"/>
          <w:i w:val="off"/>
        </w:rPr>
        <w:t>[67]</w:t>
      </w:r>
      <w:r>
        <w:rPr>
          <w:b/>
          <w:bCs/>
          <w:lang w:val="en-GB"/>
        </w:rPr>
        <w:t>ISPM 1</w:t>
      </w:r>
      <w:r>
        <w:rPr>
          <w:lang w:val="en-GB"/>
        </w:rPr>
        <w:t xml:space="preserve">. 2016. </w:t>
      </w:r>
      <w:r>
        <w:rPr>
          <w:i/>
          <w:iCs/>
          <w:lang w:val="en-GB"/>
        </w:rPr>
        <w:t>Phytosanitary principles for the protection of plants and the application of phytosanitary measures in international trade</w:t>
      </w:r>
      <w:r>
        <w:rPr>
          <w:lang w:val="en-GB"/>
        </w:rPr>
        <w:t xml:space="preserve">. IPPC Secretariat. Rome, FAO. Adopted 2006. </w:t>
      </w:r>
      <w:hyperlink w:history="1" r:id="rId13">
        <w:r>
          <w:rPr>
            <w:rStyle w:val="Hyperlink"/>
            <w:lang w:val="en-GB"/>
          </w:rPr>
          <w:t>https://www.ippc.int/en/publications/596/</w:t>
        </w:r>
      </w:hyperlink>
    </w:p>
    <w:p w14:paraId="63D7D011" w14:textId="31B86CA4">
      <w:pPr>
        <w:pStyle w:val="IPPParagraphnumbering"/>
        <w:numPr>
          <w:ilvl w:val="0"/>
          <w:numId w:val="0"/>
        </w:numPr>
        <w:rPr>
          <w:b/>
          <w:bCs/>
          <w:lang w:val="en-GB"/>
        </w:rPr>
      </w:pPr>
      <w:r>
        <w:rPr>
          <w:rStyle w:val="PleaseReviewParagraphId"/>
          <w:b w:val="off"/>
          <w:i w:val="off"/>
        </w:rPr>
        <w:t>[68]</w:t>
      </w:r>
      <w:r>
        <w:rPr>
          <w:b/>
          <w:bCs/>
          <w:lang w:val="en-GB"/>
        </w:rPr>
        <w:t>ISPM 5</w:t>
      </w:r>
      <w:r>
        <w:rPr>
          <w:lang w:val="en-GB"/>
        </w:rPr>
        <w:t xml:space="preserve">. </w:t>
      </w:r>
      <w:r>
        <w:rPr>
          <w:i/>
          <w:iCs/>
          <w:lang w:val="en-GB"/>
        </w:rPr>
        <w:t>Glossary of phytosanitary terms</w:t>
      </w:r>
      <w:r>
        <w:rPr>
          <w:lang w:val="en-GB"/>
        </w:rPr>
        <w:t xml:space="preserve">. IPPC Secretariat. Rome, FAO. </w:t>
      </w:r>
      <w:hyperlink w:history="1" r:id="rId14">
        <w:r>
          <w:rPr>
            <w:rStyle w:val="Hyperlink"/>
            <w:lang w:val="en-GB"/>
          </w:rPr>
          <w:t>https://www.ippc.int/en/publications/622/</w:t>
        </w:r>
      </w:hyperlink>
    </w:p>
    <w:p w14:paraId="60F457D0" w14:textId="4A3DFF99">
      <w:pPr>
        <w:pStyle w:val="IPPParagraphnumbering"/>
        <w:numPr>
          <w:ilvl w:val="0"/>
          <w:numId w:val="0"/>
        </w:numPr>
        <w:rPr>
          <w:b/>
          <w:bCs/>
          <w:lang w:val="en-GB"/>
        </w:rPr>
      </w:pPr>
      <w:r>
        <w:rPr>
          <w:rStyle w:val="PleaseReviewParagraphId"/>
          <w:b w:val="off"/>
          <w:i w:val="off"/>
        </w:rPr>
        <w:t>[69]</w:t>
      </w:r>
      <w:r>
        <w:rPr>
          <w:b/>
          <w:bCs/>
          <w:lang w:val="en-GB"/>
        </w:rPr>
        <w:t>ISPM 2</w:t>
      </w:r>
      <w:r>
        <w:rPr>
          <w:lang w:val="en-GB"/>
        </w:rPr>
        <w:t xml:space="preserve">. 2019. </w:t>
      </w:r>
      <w:r>
        <w:rPr>
          <w:i/>
          <w:iCs/>
          <w:lang w:val="en-GB"/>
        </w:rPr>
        <w:t>Framework for pest risk analysis</w:t>
      </w:r>
      <w:r>
        <w:rPr>
          <w:lang w:val="en-GB"/>
        </w:rPr>
        <w:t xml:space="preserve">. IPPC Secretariat. Rome, FAO. Adopted in 2007. </w:t>
      </w:r>
      <w:hyperlink w:history="1" r:id="rId15">
        <w:r>
          <w:rPr>
            <w:rStyle w:val="Hyperlink"/>
            <w:lang w:val="en-GB"/>
          </w:rPr>
          <w:t>https://www.ippc.int/en/publications/592/</w:t>
        </w:r>
      </w:hyperlink>
    </w:p>
    <w:p w14:paraId="08212986" w14:textId="46DEC12F">
      <w:pPr>
        <w:pStyle w:val="IPPParagraphnumbering"/>
        <w:numPr>
          <w:ilvl w:val="0"/>
          <w:numId w:val="0"/>
        </w:numPr>
        <w:rPr>
          <w:b/>
          <w:bCs/>
          <w:lang w:val="en-GB"/>
        </w:rPr>
      </w:pPr>
      <w:r>
        <w:rPr>
          <w:rStyle w:val="PleaseReviewParagraphId"/>
          <w:b w:val="off"/>
          <w:i w:val="off"/>
        </w:rPr>
        <w:t>[70]</w:t>
      </w:r>
      <w:r>
        <w:rPr>
          <w:b/>
          <w:bCs/>
          <w:lang w:val="en-GB"/>
        </w:rPr>
        <w:t>ISPM 11</w:t>
      </w:r>
      <w:r>
        <w:rPr>
          <w:lang w:val="en-GB"/>
        </w:rPr>
        <w:t xml:space="preserve">. 2019. </w:t>
      </w:r>
      <w:r>
        <w:rPr>
          <w:i/>
          <w:iCs/>
          <w:lang w:val="en-GB"/>
        </w:rPr>
        <w:t>Pest risk analysis for quarantine pests</w:t>
      </w:r>
      <w:r>
        <w:rPr>
          <w:lang w:val="en-GB"/>
        </w:rPr>
        <w:t xml:space="preserve">. IPPC Secretariat. Rome, FAO. Adopted 2013. </w:t>
      </w:r>
      <w:hyperlink w:history="1" r:id="rId16">
        <w:r>
          <w:rPr>
            <w:rStyle w:val="Hyperlink"/>
            <w:lang w:val="en-GB"/>
          </w:rPr>
          <w:t>https://www.ippc.int/en/publications/639/</w:t>
        </w:r>
      </w:hyperlink>
    </w:p>
    <w:p w14:paraId="3CD3B230" w14:textId="7B831ABA">
      <w:pPr>
        <w:pStyle w:val="IPPParagraphnumbering"/>
        <w:numPr>
          <w:ilvl w:val="0"/>
          <w:numId w:val="0"/>
        </w:numPr>
        <w:rPr>
          <w:b/>
          <w:bCs/>
          <w:lang w:val="en-GB"/>
        </w:rPr>
      </w:pPr>
      <w:r>
        <w:rPr>
          <w:rStyle w:val="PleaseReviewParagraphId"/>
          <w:b w:val="off"/>
          <w:i w:val="off"/>
        </w:rPr>
        <w:t>[71]</w:t>
      </w:r>
      <w:r>
        <w:rPr>
          <w:b/>
          <w:bCs/>
          <w:lang w:val="en-GB"/>
        </w:rPr>
        <w:lastRenderedPageBreak/>
        <w:t>ISPM 21</w:t>
      </w:r>
      <w:r>
        <w:rPr>
          <w:lang w:val="en-GB"/>
        </w:rPr>
        <w:t xml:space="preserve">. 2021. </w:t>
      </w:r>
      <w:r>
        <w:rPr>
          <w:i/>
          <w:iCs/>
          <w:lang w:val="en-GB"/>
        </w:rPr>
        <w:t>Pest risk analysis for regulated non-quarantine pests</w:t>
      </w:r>
      <w:r>
        <w:rPr>
          <w:lang w:val="en-GB"/>
        </w:rPr>
        <w:t xml:space="preserve">. IPPC Secretariat. Rome, FAO. Adopted 2004. </w:t>
      </w:r>
      <w:hyperlink w:history="1" r:id="rId17">
        <w:r>
          <w:rPr>
            <w:rStyle w:val="Hyperlink"/>
            <w:lang w:val="en-GB"/>
          </w:rPr>
          <w:t>https://www.ippc.int/en/publications/601/</w:t>
        </w:r>
      </w:hyperlink>
    </w:p>
    <w:p w14:paraId="255BA703" w14:textId="6248FA89">
      <w:pPr>
        <w:pStyle w:val="IPPParagraphnumbering"/>
        <w:numPr>
          <w:ilvl w:val="0"/>
          <w:numId w:val="0"/>
        </w:numPr>
        <w:rPr>
          <w:b/>
          <w:bCs/>
          <w:lang w:val="en-GB"/>
        </w:rPr>
      </w:pPr>
      <w:r>
        <w:rPr>
          <w:rStyle w:val="PleaseReviewParagraphId"/>
          <w:b w:val="off"/>
          <w:i w:val="off"/>
        </w:rPr>
        <w:t>[72]</w:t>
      </w:r>
      <w:r>
        <w:rPr>
          <w:b/>
          <w:bCs/>
          <w:lang w:val="en-GB"/>
        </w:rPr>
        <w:t>ISPM 24</w:t>
      </w:r>
      <w:r>
        <w:rPr>
          <w:lang w:val="en-GB"/>
        </w:rPr>
        <w:t xml:space="preserve">. 2021. </w:t>
      </w:r>
      <w:r>
        <w:rPr>
          <w:i/>
          <w:iCs/>
          <w:lang w:val="en-GB"/>
        </w:rPr>
        <w:t>Guidelines for the determination and recognition of equivalence of phytosanitary measures</w:t>
      </w:r>
      <w:r>
        <w:rPr>
          <w:lang w:val="en-GB"/>
        </w:rPr>
        <w:t xml:space="preserve">. IPPC Secretariat. Rome, FAO. Adopted 2005. </w:t>
      </w:r>
      <w:hyperlink w:history="1" r:id="rId18">
        <w:r>
          <w:rPr>
            <w:rStyle w:val="Hyperlink"/>
            <w:lang w:val="en-GB"/>
          </w:rPr>
          <w:t>https://www.ippc.int/en/publications/597/</w:t>
        </w:r>
      </w:hyperlink>
    </w:p>
    <w:p w14:paraId="0A1F0F65" w14:textId="1737BA7F">
      <w:pPr>
        <w:pStyle w:val="IPPParagraphnumbering"/>
        <w:numPr>
          <w:ilvl w:val="0"/>
          <w:numId w:val="0"/>
        </w:numPr>
        <w:rPr>
          <w:b/>
          <w:bCs/>
          <w:lang w:val="en-GB"/>
        </w:rPr>
      </w:pPr>
      <w:r>
        <w:rPr>
          <w:rStyle w:val="PleaseReviewParagraphId"/>
          <w:b w:val="off"/>
          <w:i w:val="off"/>
        </w:rPr>
        <w:t>[73]</w:t>
      </w:r>
      <w:r>
        <w:rPr>
          <w:b/>
          <w:bCs/>
          <w:lang w:val="en-GB"/>
        </w:rPr>
        <w:t>ISPM [X]</w:t>
      </w:r>
      <w:r>
        <w:rPr>
          <w:lang w:val="en-GB"/>
        </w:rPr>
        <w:t>.</w:t>
      </w:r>
      <w:r>
        <w:rPr>
          <w:b/>
          <w:bCs/>
          <w:lang w:val="en-GB"/>
        </w:rPr>
        <w:t xml:space="preserve"> </w:t>
      </w:r>
      <w:r>
        <w:rPr>
          <w:lang w:val="en-GB"/>
        </w:rPr>
        <w:t xml:space="preserve">2023. Draft. </w:t>
      </w:r>
      <w:r>
        <w:rPr>
          <w:i/>
          <w:iCs/>
          <w:lang w:val="en-GB"/>
        </w:rPr>
        <w:t>Reorganization and revision of pest risk analysis standards</w:t>
      </w:r>
      <w:r>
        <w:rPr>
          <w:lang w:val="en-GB"/>
        </w:rPr>
        <w:t xml:space="preserve">. IPPC Secretariat. Rome, FAO. </w:t>
      </w:r>
    </w:p>
    <w:p w14:paraId="33E30D98" w14:textId="2CAD4D28">
      <w:pPr>
        <w:pStyle w:val="IPPParagraphnumbering"/>
        <w:numPr>
          <w:ilvl w:val="0"/>
          <w:numId w:val="0"/>
        </w:numPr>
        <w:rPr>
          <w:b/>
          <w:bCs/>
          <w:lang w:val="en-GB"/>
        </w:rPr>
      </w:pPr>
      <w:r>
        <w:rPr>
          <w:rStyle w:val="PleaseReviewParagraphId"/>
          <w:b w:val="off"/>
          <w:i w:val="off"/>
        </w:rPr>
        <w:t>[74]</w:t>
      </w:r>
      <w:r>
        <w:rPr>
          <w:b/>
          <w:bCs/>
          <w:lang w:val="en-GB"/>
        </w:rPr>
        <w:t>WTO (World Trade Organization)</w:t>
      </w:r>
      <w:r>
        <w:rPr>
          <w:lang w:val="en-GB"/>
        </w:rPr>
        <w:t>. 2000. Principles for the development of international standards, guides and recommendations.</w:t>
      </w:r>
      <w:r>
        <w:rPr>
          <w:i/>
          <w:iCs/>
          <w:lang w:val="en-GB"/>
        </w:rPr>
        <w:t xml:space="preserve"> </w:t>
      </w:r>
      <w:r>
        <w:rPr>
          <w:lang w:val="en-GB"/>
        </w:rPr>
        <w:t xml:space="preserve">In: </w:t>
      </w:r>
      <w:r>
        <w:rPr>
          <w:i/>
          <w:iCs/>
          <w:lang w:val="en-GB"/>
        </w:rPr>
        <w:t xml:space="preserve">WTO. </w:t>
      </w:r>
      <w:hyperlink w:history="1" r:id="rId19">
        <w:r>
          <w:rPr>
            <w:rStyle w:val="Hyperlink"/>
            <w:lang w:val="en-GB"/>
          </w:rPr>
          <w:t>www.wto.org/english/tratop_e/tbt_e/</w:t>
        </w:r>
        <w:r>
          <w:rPr>
            <w:rStyle w:val="Hyperlink"/>
            <w:lang w:val="en-GB"/>
          </w:rPr>
          <w:br/>
          <w:t>principles_standards_tbt_e.htm</w:t>
        </w:r>
      </w:hyperlink>
    </w:p>
    <w:p w14:paraId="764C7CF6" w14:textId="154E331A">
      <w:pPr>
        <w:pStyle w:val="IPPHeading3"/>
      </w:pPr>
      <w:r>
        <w:rPr>
          <w:rStyle w:val="PleaseReviewParagraphId"/>
          <w:b w:val="off"/>
          <w:i w:val="off"/>
        </w:rPr>
        <w:t>[75]</w:t>
      </w:r>
      <w:r>
        <w:t>Further reading</w:t>
      </w:r>
    </w:p>
    <w:p w14:paraId="265626CE" w14:textId="472D3CF2">
      <w:pPr>
        <w:pStyle w:val="IPPParagraphnumbering"/>
        <w:numPr>
          <w:ilvl w:val="0"/>
          <w:numId w:val="0"/>
        </w:numPr>
      </w:pPr>
      <w:r>
        <w:rPr>
          <w:rStyle w:val="PleaseReviewParagraphId"/>
          <w:b w:val="off"/>
          <w:i w:val="off"/>
        </w:rPr>
        <w:t>[76]</w:t>
      </w:r>
      <w:r>
        <w:t xml:space="preserve">Information to support the development of this standard may be available on the IPP at: </w:t>
      </w:r>
      <w:hyperlink w:history="1" r:id="rId20">
        <w:r>
          <w:rPr>
            <w:rStyle w:val="Hyperlink"/>
          </w:rPr>
          <w:t>https://www.ippc.int/en/about/core-activities/capacity-development/guides-and-training-materials/</w:t>
        </w:r>
      </w:hyperlink>
    </w:p>
    <w:p w14:paraId="413B63EF" w14:textId="47A5C9FA">
      <w:pPr>
        <w:pStyle w:val="IPPParagraphnumbering"/>
        <w:numPr>
          <w:ilvl w:val="0"/>
          <w:numId w:val="0"/>
        </w:numPr>
        <w:rPr>
          <w:lang w:val="en-GB"/>
        </w:rPr>
      </w:pPr>
      <w:r>
        <w:rPr>
          <w:rStyle w:val="PleaseReviewParagraphId"/>
          <w:b w:val="off"/>
          <w:i w:val="off"/>
        </w:rPr>
        <w:t>[77]</w:t>
      </w:r>
      <w:r>
        <w:rPr>
          <w:b/>
          <w:bCs/>
          <w:lang w:val="en-GB"/>
        </w:rPr>
        <w:t>EPPO (European and Mediterranean Plant Protection Organization)</w:t>
      </w:r>
      <w:r>
        <w:rPr>
          <w:lang w:val="en-GB"/>
        </w:rPr>
        <w:t xml:space="preserve">. 2011. </w:t>
      </w:r>
      <w:r>
        <w:rPr>
          <w:i/>
          <w:iCs/>
          <w:lang w:val="en-GB"/>
        </w:rPr>
        <w:t>Guidelines on pest risk analysis</w:t>
      </w:r>
      <w:r>
        <w:rPr>
          <w:lang w:val="en-GB"/>
        </w:rPr>
        <w:t xml:space="preserve">. PM 5/3(5). 44 pp. </w:t>
      </w:r>
      <w:hyperlink w:history="1" r:id="rId21">
        <w:r>
          <w:rPr>
            <w:rStyle w:val="Hyperlink"/>
            <w:lang w:val="en-GB"/>
          </w:rPr>
          <w:t>https://www.eppo.int/media/uploaded_images/RESOURCES/</w:t>
        </w:r>
        <w:r>
          <w:rPr>
            <w:rStyle w:val="Hyperlink"/>
            <w:lang w:val="en-GB"/>
          </w:rPr>
          <w:br/>
          <w:t>eppo_standards/pm5/pm5-03-05-en.pdf</w:t>
        </w:r>
      </w:hyperlink>
      <w:r>
        <w:rPr>
          <w:lang w:val="en-GB"/>
        </w:rPr>
        <w:t xml:space="preserve"> </w:t>
      </w:r>
    </w:p>
    <w:p w14:paraId="1D3C545D" w14:textId="5DF8337A">
      <w:pPr>
        <w:pStyle w:val="IPPParagraphnumbering"/>
        <w:numPr>
          <w:ilvl w:val="0"/>
          <w:numId w:val="0"/>
        </w:numPr>
        <w:rPr>
          <w:lang w:val="it-IT"/>
        </w:rPr>
      </w:pPr>
      <w:r>
        <w:rPr>
          <w:rStyle w:val="PleaseReviewParagraphId"/>
          <w:b w:val="off"/>
          <w:i w:val="off"/>
        </w:rPr>
        <w:t>[78]</w:t>
      </w:r>
      <w:bookmarkStart w:name="_Hlk151988869" w:id="3"/>
      <w:r>
        <w:rPr>
          <w:b/>
          <w:bCs/>
          <w:lang w:val="en-GB"/>
        </w:rPr>
        <w:t>FAO and World Health Organization</w:t>
      </w:r>
      <w:r>
        <w:rPr>
          <w:lang w:val="en-GB"/>
        </w:rPr>
        <w:t xml:space="preserve">. </w:t>
      </w:r>
      <w:bookmarkEnd w:id="3"/>
      <w:r>
        <w:rPr>
          <w:lang w:val="en-GB"/>
        </w:rPr>
        <w:t xml:space="preserve">2007. </w:t>
      </w:r>
      <w:r>
        <w:rPr>
          <w:i/>
          <w:iCs/>
          <w:lang w:val="en-GB"/>
        </w:rPr>
        <w:t>Working principles for risk analysis for food safety for application by governments</w:t>
      </w:r>
      <w:r>
        <w:rPr>
          <w:lang w:val="en-GB"/>
        </w:rPr>
        <w:t xml:space="preserve">. </w:t>
      </w:r>
      <w:r>
        <w:rPr>
          <w:lang w:val="it-IT"/>
        </w:rPr>
        <w:t>CXG 62-2007</w:t>
      </w:r>
      <w:r>
        <w:rPr>
          <w:i/>
          <w:iCs/>
          <w:lang w:val="it-IT"/>
        </w:rPr>
        <w:t xml:space="preserve">. </w:t>
      </w:r>
      <w:r>
        <w:rPr>
          <w:lang w:val="it-IT"/>
        </w:rPr>
        <w:t xml:space="preserve">Codex Alimentarius Commission. Rome. </w:t>
      </w:r>
      <w:hyperlink w:history="1" r:id="rId22">
        <w:r>
          <w:rPr>
            <w:rStyle w:val="Hyperlink"/>
            <w:lang w:val="it-IT"/>
          </w:rPr>
          <w:t>https://www.fao.org/fao-who-codexalimentarius/codex-texts/guidelines/</w:t>
        </w:r>
      </w:hyperlink>
    </w:p>
    <w:p w14:paraId="55C35874" w14:textId="77F5E0C8">
      <w:pPr>
        <w:pStyle w:val="IPPParagraphnumbering"/>
        <w:numPr>
          <w:ilvl w:val="0"/>
          <w:numId w:val="0"/>
        </w:numPr>
        <w:rPr>
          <w:b/>
          <w:bCs/>
        </w:rPr>
      </w:pPr>
      <w:r>
        <w:rPr>
          <w:rStyle w:val="PleaseReviewParagraphId"/>
          <w:b w:val="off"/>
          <w:i w:val="off"/>
        </w:rPr>
        <w:t>[79]</w:t>
      </w:r>
      <w:r>
        <w:rPr>
          <w:b/>
          <w:bCs/>
        </w:rPr>
        <w:t>NAPPO (North American Plant Protection Organization)</w:t>
      </w:r>
      <w:r>
        <w:t xml:space="preserve">. 2012. </w:t>
      </w:r>
      <w:r>
        <w:rPr>
          <w:i/>
          <w:iCs/>
        </w:rPr>
        <w:t xml:space="preserve">General guidelines for pathway risk analysis. </w:t>
      </w:r>
      <w:r>
        <w:rPr>
          <w:lang w:val="en-GB"/>
        </w:rPr>
        <w:t>Regional Standard for Phytosanitary Measures (RSPM) No. 31. Ottawa. 20 pp.</w:t>
      </w:r>
      <w:r>
        <w:rPr>
          <w:i/>
          <w:iCs/>
          <w:lang w:val="en-GB"/>
        </w:rPr>
        <w:t xml:space="preserve"> </w:t>
      </w:r>
      <w:hyperlink w:history="1" r:id="rId23">
        <w:r>
          <w:rPr>
            <w:rStyle w:val="Hyperlink"/>
          </w:rPr>
          <w:t>https://www.nappo.org/application/files/8615/8352/2976/RSPM_31-01-06-12-e.pdf</w:t>
        </w:r>
      </w:hyperlink>
      <w:r>
        <w:t xml:space="preserve"> </w:t>
      </w:r>
    </w:p>
    <w:p w14:paraId="422550D4" w14:textId="3456C27F">
      <w:pPr>
        <w:pStyle w:val="IPPParagraphnumbering"/>
        <w:numPr>
          <w:ilvl w:val="0"/>
          <w:numId w:val="0"/>
        </w:numPr>
      </w:pPr>
      <w:r>
        <w:rPr>
          <w:rStyle w:val="PleaseReviewParagraphId"/>
          <w:b w:val="off"/>
          <w:i w:val="off"/>
        </w:rPr>
        <w:t>[80]</w:t>
      </w:r>
      <w:r>
        <w:rPr>
          <w:b/>
          <w:bCs/>
        </w:rPr>
        <w:t>NAPPO</w:t>
      </w:r>
      <w:r>
        <w:t xml:space="preserve">. 2014. </w:t>
      </w:r>
      <w:r>
        <w:rPr>
          <w:i/>
          <w:iCs/>
        </w:rPr>
        <w:t>Principles of pest risk management for the import of commodities.</w:t>
      </w:r>
      <w:r>
        <w:t xml:space="preserve"> </w:t>
      </w:r>
      <w:r>
        <w:rPr>
          <w:lang w:val="en-GB"/>
        </w:rPr>
        <w:t>Regional Standard for Phytosanitary Measures (RSPM) No. 40. Ottawa. 28 pp.</w:t>
      </w:r>
      <w:r>
        <w:rPr>
          <w:i/>
          <w:iCs/>
          <w:lang w:val="en-GB"/>
        </w:rPr>
        <w:t xml:space="preserve"> </w:t>
      </w:r>
      <w:hyperlink w:history="1" r:id="rId24">
        <w:r>
          <w:rPr>
            <w:rStyle w:val="Hyperlink"/>
          </w:rPr>
          <w:t>https://nappo.org/application/files/1315/8352/2979/RSPM_40-07-28-14-e.pdf</w:t>
        </w:r>
      </w:hyperlink>
      <w:r>
        <w:t xml:space="preserve"> </w:t>
      </w:r>
    </w:p>
    <w:p w14:paraId="2D0A8E9D" w14:textId="758C632A">
      <w:pPr>
        <w:pStyle w:val="IPPParagraphnumbering"/>
        <w:numPr>
          <w:ilvl w:val="0"/>
          <w:numId w:val="0"/>
        </w:numPr>
        <w:rPr>
          <w:rStyle w:val="Hyperlink"/>
          <w:color w:val="auto"/>
          <w:lang w:val="en-GB"/>
        </w:rPr>
      </w:pPr>
      <w:r>
        <w:rPr>
          <w:rStyle w:val="PleaseReviewParagraphId"/>
          <w:b w:val="off"/>
          <w:i w:val="off"/>
        </w:rPr>
        <w:t>[81]</w:t>
      </w:r>
      <w:r>
        <w:rPr>
          <w:b/>
          <w:bCs/>
          <w:lang w:val="en-GB"/>
        </w:rPr>
        <w:t>WOAH (World Organisation for Animal Health)</w:t>
      </w:r>
      <w:r>
        <w:rPr>
          <w:lang w:val="en-GB"/>
        </w:rPr>
        <w:t xml:space="preserve">. 2010. </w:t>
      </w:r>
      <w:r>
        <w:rPr>
          <w:i/>
          <w:iCs/>
          <w:lang w:val="en-GB"/>
        </w:rPr>
        <w:t>Handbook on import risk analysis for animals and animal products – Volume 1,</w:t>
      </w:r>
      <w:r>
        <w:rPr>
          <w:lang w:val="en-GB"/>
        </w:rPr>
        <w:t xml:space="preserve"> </w:t>
      </w:r>
      <w:r>
        <w:rPr>
          <w:i/>
          <w:iCs/>
          <w:lang w:val="en-GB"/>
        </w:rPr>
        <w:t>Introduction and qualitative risk analysis</w:t>
      </w:r>
      <w:r>
        <w:rPr>
          <w:lang w:val="en-GB"/>
        </w:rPr>
        <w:t>, 2nd edn</w:t>
      </w:r>
      <w:r>
        <w:rPr>
          <w:i/>
          <w:iCs/>
          <w:lang w:val="en-GB"/>
        </w:rPr>
        <w:t xml:space="preserve">. </w:t>
      </w:r>
      <w:r>
        <w:rPr>
          <w:lang w:val="en-GB"/>
        </w:rPr>
        <w:t xml:space="preserve">Paris. xii + 88 pp. </w:t>
      </w:r>
      <w:hyperlink w:history="1" r:id="rId25">
        <w:r>
          <w:rPr>
            <w:rStyle w:val="Hyperlink"/>
            <w:lang w:val="en-GB"/>
          </w:rPr>
          <w:t>https://rr-africa.woah.org/wp-content/uploads/2018/03/handbook_on_import_risk_analysis_-_oie_-_vol__i.pdf</w:t>
        </w:r>
      </w:hyperlink>
    </w:p>
    <w:p w14:paraId="5E3B828D" w14:textId="270AA73B">
      <w:pPr>
        <w:pStyle w:val="IPPParagraphnumbering"/>
        <w:numPr>
          <w:ilvl w:val="0"/>
          <w:numId w:val="0"/>
        </w:numPr>
        <w:rPr>
          <w:lang w:val="en-GB"/>
        </w:rPr>
      </w:pPr>
      <w:r>
        <w:rPr>
          <w:rStyle w:val="PleaseReviewParagraphId"/>
          <w:b w:val="off"/>
          <w:i w:val="off"/>
        </w:rPr>
        <w:t>[82]</w:t>
      </w:r>
      <w:r>
        <w:rPr>
          <w:b/>
          <w:bCs/>
          <w:lang w:val="en-GB"/>
        </w:rPr>
        <w:t>WOAH</w:t>
      </w:r>
      <w:r>
        <w:rPr>
          <w:lang w:val="en-GB"/>
        </w:rPr>
        <w:t xml:space="preserve">. 2019. Risk analysis. In: </w:t>
      </w:r>
      <w:r>
        <w:rPr>
          <w:i/>
          <w:iCs/>
          <w:lang w:val="en-GB"/>
        </w:rPr>
        <w:t>Terrestrial animal health code – Volume 1, General provisions</w:t>
      </w:r>
      <w:r>
        <w:rPr>
          <w:lang w:val="en-GB"/>
        </w:rPr>
        <w:t>,</w:t>
      </w:r>
      <w:r>
        <w:rPr>
          <w:i/>
          <w:iCs/>
          <w:lang w:val="en-GB"/>
        </w:rPr>
        <w:t xml:space="preserve"> </w:t>
      </w:r>
      <w:r>
        <w:rPr>
          <w:lang w:val="en-GB"/>
        </w:rPr>
        <w:t xml:space="preserve">28th edn, pp. 101–106. Paris. </w:t>
      </w:r>
      <w:hyperlink w:history="1" r:id="rId26">
        <w:r>
          <w:rPr>
            <w:rStyle w:val="Hyperlink"/>
            <w:lang w:val="en-GB"/>
          </w:rPr>
          <w:t>https://rr-europe.woah.org/wp-content/uploads/2020/08/oie-terrestrial-code-1_2019_en.pdf</w:t>
        </w:r>
      </w:hyperlink>
      <w:r>
        <w:rPr>
          <w:lang w:val="en-GB"/>
        </w:rPr>
        <w:t xml:space="preserve"> </w:t>
      </w:r>
    </w:p>
    <w:p w14:paraId="773D2477" w14:textId="77777777">
      <w:pPr>
        <w:pStyle w:val="IPPSubheadSpace"/>
      </w:pPr>
      <w:r>
        <w:rPr>
          <w:rStyle w:val="PleaseReviewParagraphId"/>
          <w:b w:val="off"/>
          <w:i w:val="off"/>
        </w:rPr>
        <w:t>[83]</w:t>
      </w:r>
      <w:r>
        <w:t>Discussion papers</w:t>
      </w:r>
    </w:p>
    <w:p w14:paraId="7FACCFBB" w14:textId="7CE04026">
      <w:pPr>
        <w:pStyle w:val="IPPParagraphnumbering"/>
        <w:numPr>
          <w:ilvl w:val="0"/>
          <w:numId w:val="0"/>
        </w:numPr>
        <w:rPr>
          <w:lang w:val="en-GB"/>
        </w:rPr>
      </w:pPr>
      <w:r>
        <w:rPr>
          <w:rStyle w:val="PleaseReviewParagraphId"/>
          <w:b w:val="off"/>
          <w:i w:val="off"/>
        </w:rPr>
        <w:t>[84]</w:t>
      </w:r>
      <w:r>
        <w:rPr>
          <w:lang w:val="en-GB" w:eastAsia="ja-JP"/>
        </w:rPr>
        <w:t xml:space="preserve">Participants and interested parties are encouraged to submit </w:t>
      </w:r>
      <w:r>
        <w:rPr>
          <w:lang w:val="en-GB"/>
        </w:rPr>
        <w:t>discussion</w:t>
      </w:r>
      <w:r>
        <w:rPr>
          <w:lang w:val="en-GB" w:eastAsia="ja-JP"/>
        </w:rPr>
        <w:t xml:space="preserve"> papers to the IPPC Secretariat (</w:t>
      </w:r>
      <w:hyperlink w:history="1" r:id="rId27">
        <w:r>
          <w:rPr>
            <w:rStyle w:val="Hyperlink"/>
            <w:lang w:val="en-GB" w:eastAsia="ja-JP"/>
          </w:rPr>
          <w:t>ippc@fao.org</w:t>
        </w:r>
      </w:hyperlink>
      <w:r>
        <w:rPr>
          <w:lang w:val="en-GB" w:eastAsia="ja-JP"/>
        </w:rPr>
        <w:t>) for consideration by the EWG</w:t>
      </w:r>
      <w:r>
        <w:rPr>
          <w:lang w:val="en-GB"/>
        </w:rPr>
        <w:t>.</w:t>
      </w:r>
    </w:p>
    <w:p w14:paraId="23AA255B" w14:textId="23517AC6">
      <w:pPr>
        <w:pStyle w:val="IPPParagraphnumbering"/>
        <w:numPr>
          <w:ilvl w:val="0"/>
          <w:numId w:val="0"/>
        </w:numPr>
        <w:rPr>
          <w:lang w:val="en-GB"/>
        </w:rPr>
      </w:pPr>
      <w:r>
        <w:rPr>
          <w:rStyle w:val="PleaseReviewParagraphId"/>
          <w:b w:val="off"/>
          <w:i w:val="off"/>
        </w:rPr>
        <w:t>[85]</w:t>
      </w:r>
      <w:r>
        <w:rPr>
          <w:lang w:val="en-GB"/>
        </w:rPr>
        <w:t>The draft ISPM on Pest risk management for quarantine pests (2014-001) (both the version drafted by the EWG and the one revised by the SC).</w:t>
      </w:r>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683C5" w14:textId="77777777">
      <w:r>
        <w:rPr>
          <w:rStyle w:val="PleaseReviewParagraphId"/>
          <w:b w:val="off"/>
          <w:i w:val="off"/>
        </w:rPr>
        <w:t>[]</w:t>
      </w:r>
      <w:r>
        <w:separator/>
      </w:r>
    </w:p>
  </w:endnote>
  <w:endnote w:type="continuationSeparator" w:id="0">
    <w:p w14:paraId="2F59EFD1" w14:textId="77777777">
      <w:r>
        <w:rPr>
          <w:rStyle w:val="PleaseReviewParagraphId"/>
          <w:b w:val="off"/>
          <w:i w:val="off"/>
        </w:rPr>
        <w:t>[]</w:t>
      </w:r>
      <w:r>
        <w:continuationSeparator/>
      </w:r>
    </w:p>
  </w:endnote>
  <w:endnote w:type="continuationNotice" w:id="1">
    <w:p w14:paraId="6B40270A"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2EBFD" w14:textId="77777777">
      <w:r>
        <w:rPr>
          <w:rStyle w:val="PleaseReviewParagraphId"/>
          <w:b w:val="off"/>
          <w:i w:val="off"/>
        </w:rPr>
        <w:t>[]</w:t>
      </w:r>
      <w:r>
        <w:separator/>
      </w:r>
    </w:p>
  </w:footnote>
  <w:footnote w:type="continuationSeparator" w:id="0">
    <w:p w14:paraId="33C932B7" w14:textId="77777777">
      <w:r>
        <w:rPr>
          <w:rStyle w:val="PleaseReviewParagraphId"/>
          <w:b w:val="off"/>
          <w:i w:val="off"/>
        </w:rPr>
        <w:t>[]</w:t>
      </w:r>
      <w:r>
        <w:continuationSeparator/>
      </w:r>
    </w:p>
  </w:footnote>
  <w:footnote w:type="continuationNotice" w:id="1">
    <w:p w14:paraId="745CC752" w14:textId="77777777">
      <w:r>
        <w:rPr>
          <w:rStyle w:val="PleaseReviewParagraphId"/>
          <w:b w:val="off"/>
          <w:i w:val="off"/>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0">
    <w:nsid w:val="35A3795A"/>
    <w:multiLevelType w:val="hybridMultilevel"/>
    <w:tmpl w:val="E79038C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6"/>
  </w:num>
  <w:num w:numId="3">
    <w:abstractNumId w:val="31"/>
  </w:num>
  <w:num w:numId="4">
    <w:abstractNumId w:val="26"/>
  </w:num>
  <w:num w:numId="5">
    <w:abstractNumId w:val="30"/>
  </w:num>
  <w:num w:numId="6">
    <w:abstractNumId w:val="12"/>
  </w:num>
  <w:num w:numId="7">
    <w:abstractNumId w:val="18"/>
  </w:num>
  <w:num w:numId="8">
    <w:abstractNumId w:val="10"/>
  </w:num>
  <w:num w:numId="9">
    <w:abstractNumId w:val="28"/>
  </w:num>
  <w:num w:numId="10">
    <w:abstractNumId w:val="13"/>
  </w:num>
  <w:num w:numId="11">
    <w:abstractNumId w:val="15"/>
  </w:num>
  <w:num w:numId="12">
    <w:abstractNumId w:val="32"/>
  </w:num>
  <w:num w:numId="13">
    <w:abstractNumId w:val="25"/>
  </w:num>
  <w:num w:numId="14">
    <w:abstractNumId w:val="20"/>
  </w:num>
  <w:num w:numId="15">
    <w:abstractNumId w:val="19"/>
  </w:num>
  <w:num w:numId="16">
    <w:abstractNumId w:val="10"/>
  </w:num>
  <w:num w:numId="17">
    <w:abstractNumId w:val="21"/>
  </w:num>
  <w:num w:numId="18">
    <w:abstractNumId w:val="27"/>
  </w:num>
  <w:num w:numId="19">
    <w:abstractNumId w:val="10"/>
  </w:num>
  <w:num w:numId="20">
    <w:abstractNumId w:val="11"/>
  </w:num>
  <w:num w:numId="21">
    <w:abstractNumId w:val="22"/>
  </w:num>
  <w:num w:numId="22">
    <w:abstractNumId w:val="33"/>
  </w:num>
  <w:num w:numId="23">
    <w:abstractNumId w:val="14"/>
  </w:num>
  <w:num w:numId="2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3"/>
  </w:num>
  <w:num w:numId="31">
    <w:abstractNumId w:val="29"/>
  </w:num>
  <w:num w:numId="32">
    <w:abstractNumId w:val="2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70"/>
    <w:rsid w:val="00004294"/>
    <w:rsid w:val="00011FFC"/>
    <w:rsid w:val="00012842"/>
    <w:rsid w:val="00013203"/>
    <w:rsid w:val="00020A00"/>
    <w:rsid w:val="000250E5"/>
    <w:rsid w:val="00036352"/>
    <w:rsid w:val="00041CEC"/>
    <w:rsid w:val="00042041"/>
    <w:rsid w:val="0004626B"/>
    <w:rsid w:val="00046897"/>
    <w:rsid w:val="00050561"/>
    <w:rsid w:val="00055101"/>
    <w:rsid w:val="000560B4"/>
    <w:rsid w:val="00065CE8"/>
    <w:rsid w:val="00083D11"/>
    <w:rsid w:val="00087788"/>
    <w:rsid w:val="00087C0D"/>
    <w:rsid w:val="00092110"/>
    <w:rsid w:val="0009282B"/>
    <w:rsid w:val="00092B1A"/>
    <w:rsid w:val="00094642"/>
    <w:rsid w:val="000A3E02"/>
    <w:rsid w:val="000B6B41"/>
    <w:rsid w:val="000B7E3B"/>
    <w:rsid w:val="000C23EB"/>
    <w:rsid w:val="000C274B"/>
    <w:rsid w:val="000C70FC"/>
    <w:rsid w:val="000D3BB5"/>
    <w:rsid w:val="000E0C8E"/>
    <w:rsid w:val="000E2A1F"/>
    <w:rsid w:val="001018B7"/>
    <w:rsid w:val="00110616"/>
    <w:rsid w:val="00111856"/>
    <w:rsid w:val="00112E1D"/>
    <w:rsid w:val="001161D1"/>
    <w:rsid w:val="00116207"/>
    <w:rsid w:val="001178E1"/>
    <w:rsid w:val="001421D9"/>
    <w:rsid w:val="0014296A"/>
    <w:rsid w:val="00142E0E"/>
    <w:rsid w:val="001461F6"/>
    <w:rsid w:val="001674FC"/>
    <w:rsid w:val="0017292E"/>
    <w:rsid w:val="00174692"/>
    <w:rsid w:val="00180E17"/>
    <w:rsid w:val="00185B66"/>
    <w:rsid w:val="00186DFB"/>
    <w:rsid w:val="00190582"/>
    <w:rsid w:val="001A0C03"/>
    <w:rsid w:val="001A1A84"/>
    <w:rsid w:val="001A20B3"/>
    <w:rsid w:val="001B10C3"/>
    <w:rsid w:val="001B5171"/>
    <w:rsid w:val="001B7695"/>
    <w:rsid w:val="001C0A0F"/>
    <w:rsid w:val="001C208E"/>
    <w:rsid w:val="001C7612"/>
    <w:rsid w:val="001C7A33"/>
    <w:rsid w:val="001D0CC9"/>
    <w:rsid w:val="001D4696"/>
    <w:rsid w:val="001D7753"/>
    <w:rsid w:val="001E315C"/>
    <w:rsid w:val="001E440C"/>
    <w:rsid w:val="001E6985"/>
    <w:rsid w:val="001F6E51"/>
    <w:rsid w:val="001F7454"/>
    <w:rsid w:val="00200519"/>
    <w:rsid w:val="0021037A"/>
    <w:rsid w:val="0021718B"/>
    <w:rsid w:val="00221364"/>
    <w:rsid w:val="002226CF"/>
    <w:rsid w:val="00225BBB"/>
    <w:rsid w:val="0022740D"/>
    <w:rsid w:val="00227BF5"/>
    <w:rsid w:val="00233CC8"/>
    <w:rsid w:val="00254A06"/>
    <w:rsid w:val="00256CCC"/>
    <w:rsid w:val="0026405D"/>
    <w:rsid w:val="00264247"/>
    <w:rsid w:val="0026435B"/>
    <w:rsid w:val="00270E1A"/>
    <w:rsid w:val="002815AC"/>
    <w:rsid w:val="002818C7"/>
    <w:rsid w:val="002818EA"/>
    <w:rsid w:val="00283A0A"/>
    <w:rsid w:val="00284E63"/>
    <w:rsid w:val="00293B33"/>
    <w:rsid w:val="0029569B"/>
    <w:rsid w:val="00295E73"/>
    <w:rsid w:val="002961D7"/>
    <w:rsid w:val="002A42C9"/>
    <w:rsid w:val="002A46AE"/>
    <w:rsid w:val="002B777A"/>
    <w:rsid w:val="002C13B1"/>
    <w:rsid w:val="002C4827"/>
    <w:rsid w:val="002C5C8A"/>
    <w:rsid w:val="002D063C"/>
    <w:rsid w:val="002D61BB"/>
    <w:rsid w:val="002E2CE1"/>
    <w:rsid w:val="002E4524"/>
    <w:rsid w:val="002F35FE"/>
    <w:rsid w:val="002F5210"/>
    <w:rsid w:val="00303260"/>
    <w:rsid w:val="0030399B"/>
    <w:rsid w:val="00307F7A"/>
    <w:rsid w:val="003141E5"/>
    <w:rsid w:val="00314DE2"/>
    <w:rsid w:val="00314EAD"/>
    <w:rsid w:val="00317609"/>
    <w:rsid w:val="00330E59"/>
    <w:rsid w:val="00331932"/>
    <w:rsid w:val="00331ED3"/>
    <w:rsid w:val="00334C65"/>
    <w:rsid w:val="00344EFA"/>
    <w:rsid w:val="003478FB"/>
    <w:rsid w:val="0037148F"/>
    <w:rsid w:val="00372F68"/>
    <w:rsid w:val="0038323B"/>
    <w:rsid w:val="00387466"/>
    <w:rsid w:val="00393A56"/>
    <w:rsid w:val="00397E8F"/>
    <w:rsid w:val="003A1BB7"/>
    <w:rsid w:val="003A2CAD"/>
    <w:rsid w:val="003A32C9"/>
    <w:rsid w:val="003B1B7D"/>
    <w:rsid w:val="003B4681"/>
    <w:rsid w:val="003B7787"/>
    <w:rsid w:val="003C1891"/>
    <w:rsid w:val="003D2B6D"/>
    <w:rsid w:val="003D34DF"/>
    <w:rsid w:val="003D52A0"/>
    <w:rsid w:val="003E3010"/>
    <w:rsid w:val="003E5516"/>
    <w:rsid w:val="003F1199"/>
    <w:rsid w:val="003F46CC"/>
    <w:rsid w:val="003F4EC6"/>
    <w:rsid w:val="00402EE1"/>
    <w:rsid w:val="00403F88"/>
    <w:rsid w:val="004103DB"/>
    <w:rsid w:val="0041531F"/>
    <w:rsid w:val="004200E4"/>
    <w:rsid w:val="00423FFA"/>
    <w:rsid w:val="00424AE6"/>
    <w:rsid w:val="004300B9"/>
    <w:rsid w:val="00432418"/>
    <w:rsid w:val="004337CD"/>
    <w:rsid w:val="00442F7D"/>
    <w:rsid w:val="00453282"/>
    <w:rsid w:val="00455979"/>
    <w:rsid w:val="004627E0"/>
    <w:rsid w:val="004671A6"/>
    <w:rsid w:val="004822F5"/>
    <w:rsid w:val="00485A74"/>
    <w:rsid w:val="0048632C"/>
    <w:rsid w:val="00495BBC"/>
    <w:rsid w:val="004A4C6A"/>
    <w:rsid w:val="004B5591"/>
    <w:rsid w:val="004B7C51"/>
    <w:rsid w:val="004C2276"/>
    <w:rsid w:val="004C55B8"/>
    <w:rsid w:val="004D099A"/>
    <w:rsid w:val="004D2256"/>
    <w:rsid w:val="004D2F37"/>
    <w:rsid w:val="004D357A"/>
    <w:rsid w:val="004D6583"/>
    <w:rsid w:val="004D7E1C"/>
    <w:rsid w:val="004E363E"/>
    <w:rsid w:val="004E449C"/>
    <w:rsid w:val="004F32C4"/>
    <w:rsid w:val="004F496A"/>
    <w:rsid w:val="00502985"/>
    <w:rsid w:val="00504C00"/>
    <w:rsid w:val="005065DE"/>
    <w:rsid w:val="005125C2"/>
    <w:rsid w:val="00514B91"/>
    <w:rsid w:val="005179C2"/>
    <w:rsid w:val="00517C5F"/>
    <w:rsid w:val="005201C9"/>
    <w:rsid w:val="0053224B"/>
    <w:rsid w:val="005426B7"/>
    <w:rsid w:val="00544697"/>
    <w:rsid w:val="005635D1"/>
    <w:rsid w:val="00565894"/>
    <w:rsid w:val="005679A6"/>
    <w:rsid w:val="0057013D"/>
    <w:rsid w:val="005833DB"/>
    <w:rsid w:val="00585CF2"/>
    <w:rsid w:val="00585F7D"/>
    <w:rsid w:val="00586A93"/>
    <w:rsid w:val="005A7BF3"/>
    <w:rsid w:val="005B1471"/>
    <w:rsid w:val="005C2B5A"/>
    <w:rsid w:val="005C39AC"/>
    <w:rsid w:val="005C3E81"/>
    <w:rsid w:val="005C5B07"/>
    <w:rsid w:val="005D07DC"/>
    <w:rsid w:val="005D0EFD"/>
    <w:rsid w:val="005D3272"/>
    <w:rsid w:val="005E2540"/>
    <w:rsid w:val="005E2DEE"/>
    <w:rsid w:val="005E4A3F"/>
    <w:rsid w:val="005E4E14"/>
    <w:rsid w:val="005F14D6"/>
    <w:rsid w:val="005F4875"/>
    <w:rsid w:val="005F5848"/>
    <w:rsid w:val="00602EA2"/>
    <w:rsid w:val="00607FB9"/>
    <w:rsid w:val="00633633"/>
    <w:rsid w:val="00633952"/>
    <w:rsid w:val="00634396"/>
    <w:rsid w:val="006419B9"/>
    <w:rsid w:val="00647D9E"/>
    <w:rsid w:val="00660AA6"/>
    <w:rsid w:val="0066153E"/>
    <w:rsid w:val="0066211C"/>
    <w:rsid w:val="0066378E"/>
    <w:rsid w:val="0066567F"/>
    <w:rsid w:val="006714FD"/>
    <w:rsid w:val="0068334A"/>
    <w:rsid w:val="00686D7F"/>
    <w:rsid w:val="006877E3"/>
    <w:rsid w:val="006977F6"/>
    <w:rsid w:val="006A4F26"/>
    <w:rsid w:val="006B14CA"/>
    <w:rsid w:val="006B32EA"/>
    <w:rsid w:val="006B541F"/>
    <w:rsid w:val="006B764F"/>
    <w:rsid w:val="006B7A96"/>
    <w:rsid w:val="006B7CAD"/>
    <w:rsid w:val="006C1D07"/>
    <w:rsid w:val="006C1DD9"/>
    <w:rsid w:val="006C2F02"/>
    <w:rsid w:val="006D0762"/>
    <w:rsid w:val="006E01A1"/>
    <w:rsid w:val="006E3FF1"/>
    <w:rsid w:val="006E40B0"/>
    <w:rsid w:val="006E5259"/>
    <w:rsid w:val="006F4341"/>
    <w:rsid w:val="00702CE4"/>
    <w:rsid w:val="0070455B"/>
    <w:rsid w:val="00706EA6"/>
    <w:rsid w:val="00713308"/>
    <w:rsid w:val="00726BD8"/>
    <w:rsid w:val="00754099"/>
    <w:rsid w:val="00760D73"/>
    <w:rsid w:val="007635CD"/>
    <w:rsid w:val="00763EBB"/>
    <w:rsid w:val="00763F7F"/>
    <w:rsid w:val="007672C8"/>
    <w:rsid w:val="00771A79"/>
    <w:rsid w:val="007752C3"/>
    <w:rsid w:val="007754F3"/>
    <w:rsid w:val="00775CBE"/>
    <w:rsid w:val="00782DF2"/>
    <w:rsid w:val="0078562B"/>
    <w:rsid w:val="007873B7"/>
    <w:rsid w:val="0079040A"/>
    <w:rsid w:val="00790AD9"/>
    <w:rsid w:val="00791A19"/>
    <w:rsid w:val="00794946"/>
    <w:rsid w:val="00794CF6"/>
    <w:rsid w:val="00796318"/>
    <w:rsid w:val="007B2B36"/>
    <w:rsid w:val="007B3EA9"/>
    <w:rsid w:val="007C2BA5"/>
    <w:rsid w:val="007C33F1"/>
    <w:rsid w:val="007C7606"/>
    <w:rsid w:val="007C7BFA"/>
    <w:rsid w:val="007D27C0"/>
    <w:rsid w:val="007E0F05"/>
    <w:rsid w:val="007E18DC"/>
    <w:rsid w:val="007E2C1A"/>
    <w:rsid w:val="007E2E44"/>
    <w:rsid w:val="007E4217"/>
    <w:rsid w:val="007E677E"/>
    <w:rsid w:val="007E6904"/>
    <w:rsid w:val="007E7872"/>
    <w:rsid w:val="007F27C9"/>
    <w:rsid w:val="007F3090"/>
    <w:rsid w:val="007F32D3"/>
    <w:rsid w:val="00801165"/>
    <w:rsid w:val="00802481"/>
    <w:rsid w:val="008058B9"/>
    <w:rsid w:val="00806C0B"/>
    <w:rsid w:val="0080741F"/>
    <w:rsid w:val="008127A0"/>
    <w:rsid w:val="00813733"/>
    <w:rsid w:val="0081699F"/>
    <w:rsid w:val="00821035"/>
    <w:rsid w:val="00827197"/>
    <w:rsid w:val="008275EE"/>
    <w:rsid w:val="00833516"/>
    <w:rsid w:val="00833A47"/>
    <w:rsid w:val="008340EA"/>
    <w:rsid w:val="008439C5"/>
    <w:rsid w:val="00847848"/>
    <w:rsid w:val="00851D2D"/>
    <w:rsid w:val="00852CCB"/>
    <w:rsid w:val="00853B94"/>
    <w:rsid w:val="00857EDF"/>
    <w:rsid w:val="008656ED"/>
    <w:rsid w:val="008668B9"/>
    <w:rsid w:val="0087027C"/>
    <w:rsid w:val="0087329D"/>
    <w:rsid w:val="0087427C"/>
    <w:rsid w:val="00876210"/>
    <w:rsid w:val="008804BA"/>
    <w:rsid w:val="0088132B"/>
    <w:rsid w:val="0088311C"/>
    <w:rsid w:val="0088418C"/>
    <w:rsid w:val="00886F4F"/>
    <w:rsid w:val="00894463"/>
    <w:rsid w:val="008B04D8"/>
    <w:rsid w:val="008B2DEA"/>
    <w:rsid w:val="008B4E42"/>
    <w:rsid w:val="008C0091"/>
    <w:rsid w:val="008C20C6"/>
    <w:rsid w:val="008C2797"/>
    <w:rsid w:val="008C6084"/>
    <w:rsid w:val="008D505B"/>
    <w:rsid w:val="008E5CEB"/>
    <w:rsid w:val="008F1A5E"/>
    <w:rsid w:val="008F5811"/>
    <w:rsid w:val="008F6A0B"/>
    <w:rsid w:val="00903AC4"/>
    <w:rsid w:val="00906FE7"/>
    <w:rsid w:val="00912C12"/>
    <w:rsid w:val="00914CEE"/>
    <w:rsid w:val="00915580"/>
    <w:rsid w:val="00925369"/>
    <w:rsid w:val="00930ADA"/>
    <w:rsid w:val="00930ECC"/>
    <w:rsid w:val="0093186F"/>
    <w:rsid w:val="00933B2E"/>
    <w:rsid w:val="00933C00"/>
    <w:rsid w:val="00933D18"/>
    <w:rsid w:val="00943DD6"/>
    <w:rsid w:val="00951D32"/>
    <w:rsid w:val="00951EC8"/>
    <w:rsid w:val="009563FA"/>
    <w:rsid w:val="00962F08"/>
    <w:rsid w:val="009643C5"/>
    <w:rsid w:val="009644D9"/>
    <w:rsid w:val="009647D0"/>
    <w:rsid w:val="00966A09"/>
    <w:rsid w:val="00972965"/>
    <w:rsid w:val="00977415"/>
    <w:rsid w:val="009844BE"/>
    <w:rsid w:val="0099453D"/>
    <w:rsid w:val="009968F2"/>
    <w:rsid w:val="00997689"/>
    <w:rsid w:val="009A4FB5"/>
    <w:rsid w:val="009B4CBC"/>
    <w:rsid w:val="009B4CC2"/>
    <w:rsid w:val="009B7563"/>
    <w:rsid w:val="009C24EC"/>
    <w:rsid w:val="009D12F7"/>
    <w:rsid w:val="009D13F4"/>
    <w:rsid w:val="009F5BB6"/>
    <w:rsid w:val="00A102AE"/>
    <w:rsid w:val="00A12C47"/>
    <w:rsid w:val="00A15204"/>
    <w:rsid w:val="00A24065"/>
    <w:rsid w:val="00A31A6D"/>
    <w:rsid w:val="00A31CBF"/>
    <w:rsid w:val="00A31FA8"/>
    <w:rsid w:val="00A6108C"/>
    <w:rsid w:val="00A66C8B"/>
    <w:rsid w:val="00A702DB"/>
    <w:rsid w:val="00A7052F"/>
    <w:rsid w:val="00A72791"/>
    <w:rsid w:val="00A770FC"/>
    <w:rsid w:val="00A824F8"/>
    <w:rsid w:val="00A827DD"/>
    <w:rsid w:val="00A838B2"/>
    <w:rsid w:val="00A849D1"/>
    <w:rsid w:val="00A8699A"/>
    <w:rsid w:val="00A94B98"/>
    <w:rsid w:val="00A965AB"/>
    <w:rsid w:val="00A971B7"/>
    <w:rsid w:val="00AA0D3F"/>
    <w:rsid w:val="00AB21CA"/>
    <w:rsid w:val="00AC5DF3"/>
    <w:rsid w:val="00AD0B3E"/>
    <w:rsid w:val="00AD62F0"/>
    <w:rsid w:val="00AD7C74"/>
    <w:rsid w:val="00AE1595"/>
    <w:rsid w:val="00AE19B1"/>
    <w:rsid w:val="00AE48D6"/>
    <w:rsid w:val="00AF2F6E"/>
    <w:rsid w:val="00B037A2"/>
    <w:rsid w:val="00B041EC"/>
    <w:rsid w:val="00B062F6"/>
    <w:rsid w:val="00B14EE0"/>
    <w:rsid w:val="00B1698D"/>
    <w:rsid w:val="00B1769A"/>
    <w:rsid w:val="00B208A1"/>
    <w:rsid w:val="00B24DEB"/>
    <w:rsid w:val="00B24F4C"/>
    <w:rsid w:val="00B32813"/>
    <w:rsid w:val="00B34270"/>
    <w:rsid w:val="00B35675"/>
    <w:rsid w:val="00B40B86"/>
    <w:rsid w:val="00B565A1"/>
    <w:rsid w:val="00B60DDB"/>
    <w:rsid w:val="00B70578"/>
    <w:rsid w:val="00B7644A"/>
    <w:rsid w:val="00B76682"/>
    <w:rsid w:val="00B825AC"/>
    <w:rsid w:val="00B82936"/>
    <w:rsid w:val="00B852C4"/>
    <w:rsid w:val="00B87E90"/>
    <w:rsid w:val="00B9212F"/>
    <w:rsid w:val="00B922AC"/>
    <w:rsid w:val="00B9232A"/>
    <w:rsid w:val="00B96447"/>
    <w:rsid w:val="00BA081F"/>
    <w:rsid w:val="00BA328A"/>
    <w:rsid w:val="00BA4982"/>
    <w:rsid w:val="00BA56F6"/>
    <w:rsid w:val="00BB5388"/>
    <w:rsid w:val="00BC6796"/>
    <w:rsid w:val="00BC6BEA"/>
    <w:rsid w:val="00BD260F"/>
    <w:rsid w:val="00BD4AD4"/>
    <w:rsid w:val="00BF04BD"/>
    <w:rsid w:val="00BF246B"/>
    <w:rsid w:val="00BF792D"/>
    <w:rsid w:val="00C005CE"/>
    <w:rsid w:val="00C04879"/>
    <w:rsid w:val="00C129F1"/>
    <w:rsid w:val="00C16E0E"/>
    <w:rsid w:val="00C179E9"/>
    <w:rsid w:val="00C30345"/>
    <w:rsid w:val="00C332F9"/>
    <w:rsid w:val="00C33330"/>
    <w:rsid w:val="00C3604C"/>
    <w:rsid w:val="00C4601D"/>
    <w:rsid w:val="00C46C60"/>
    <w:rsid w:val="00C50FF1"/>
    <w:rsid w:val="00C53B12"/>
    <w:rsid w:val="00C57A32"/>
    <w:rsid w:val="00C6377D"/>
    <w:rsid w:val="00C65663"/>
    <w:rsid w:val="00C67659"/>
    <w:rsid w:val="00C74B6B"/>
    <w:rsid w:val="00C776E1"/>
    <w:rsid w:val="00C83FF3"/>
    <w:rsid w:val="00C85AE3"/>
    <w:rsid w:val="00C91FED"/>
    <w:rsid w:val="00C92A7A"/>
    <w:rsid w:val="00CA5AD6"/>
    <w:rsid w:val="00CA730C"/>
    <w:rsid w:val="00CA7994"/>
    <w:rsid w:val="00CB353B"/>
    <w:rsid w:val="00CD266C"/>
    <w:rsid w:val="00CD5F71"/>
    <w:rsid w:val="00CD6E70"/>
    <w:rsid w:val="00CF0545"/>
    <w:rsid w:val="00CF47FE"/>
    <w:rsid w:val="00D0096D"/>
    <w:rsid w:val="00D00A97"/>
    <w:rsid w:val="00D07BAC"/>
    <w:rsid w:val="00D164DD"/>
    <w:rsid w:val="00D23974"/>
    <w:rsid w:val="00D24945"/>
    <w:rsid w:val="00D275BD"/>
    <w:rsid w:val="00D31ECB"/>
    <w:rsid w:val="00D368F3"/>
    <w:rsid w:val="00D42CA1"/>
    <w:rsid w:val="00D43D7E"/>
    <w:rsid w:val="00D44DC4"/>
    <w:rsid w:val="00D574CC"/>
    <w:rsid w:val="00D62357"/>
    <w:rsid w:val="00D730CC"/>
    <w:rsid w:val="00D83F95"/>
    <w:rsid w:val="00D85DC2"/>
    <w:rsid w:val="00D9185C"/>
    <w:rsid w:val="00D96F4E"/>
    <w:rsid w:val="00DA0C9D"/>
    <w:rsid w:val="00DA0F57"/>
    <w:rsid w:val="00DA5D98"/>
    <w:rsid w:val="00DA7E0B"/>
    <w:rsid w:val="00DB4B90"/>
    <w:rsid w:val="00DB5AE1"/>
    <w:rsid w:val="00DB5B0A"/>
    <w:rsid w:val="00DC6334"/>
    <w:rsid w:val="00DD146C"/>
    <w:rsid w:val="00DE174B"/>
    <w:rsid w:val="00DE4B4D"/>
    <w:rsid w:val="00DF4459"/>
    <w:rsid w:val="00DF5E58"/>
    <w:rsid w:val="00E01C21"/>
    <w:rsid w:val="00E02206"/>
    <w:rsid w:val="00E13AE1"/>
    <w:rsid w:val="00E16646"/>
    <w:rsid w:val="00E3347F"/>
    <w:rsid w:val="00E4319E"/>
    <w:rsid w:val="00E4738E"/>
    <w:rsid w:val="00E50FDB"/>
    <w:rsid w:val="00E5262D"/>
    <w:rsid w:val="00E52875"/>
    <w:rsid w:val="00E54297"/>
    <w:rsid w:val="00E64FF8"/>
    <w:rsid w:val="00E65DFC"/>
    <w:rsid w:val="00E6789B"/>
    <w:rsid w:val="00E72BF0"/>
    <w:rsid w:val="00E81ED4"/>
    <w:rsid w:val="00E84A82"/>
    <w:rsid w:val="00E9104F"/>
    <w:rsid w:val="00EA307B"/>
    <w:rsid w:val="00EA75D4"/>
    <w:rsid w:val="00EB2717"/>
    <w:rsid w:val="00EB55B7"/>
    <w:rsid w:val="00EB6DE4"/>
    <w:rsid w:val="00EC5FC3"/>
    <w:rsid w:val="00EC618F"/>
    <w:rsid w:val="00ED292E"/>
    <w:rsid w:val="00ED7B57"/>
    <w:rsid w:val="00EE4029"/>
    <w:rsid w:val="00EE6994"/>
    <w:rsid w:val="00EE7FE6"/>
    <w:rsid w:val="00EF527D"/>
    <w:rsid w:val="00EF7543"/>
    <w:rsid w:val="00F0232E"/>
    <w:rsid w:val="00F031E3"/>
    <w:rsid w:val="00F05223"/>
    <w:rsid w:val="00F06191"/>
    <w:rsid w:val="00F11888"/>
    <w:rsid w:val="00F128C2"/>
    <w:rsid w:val="00F22A77"/>
    <w:rsid w:val="00F245FB"/>
    <w:rsid w:val="00F24BBB"/>
    <w:rsid w:val="00F254FE"/>
    <w:rsid w:val="00F455BF"/>
    <w:rsid w:val="00F471A2"/>
    <w:rsid w:val="00F536EA"/>
    <w:rsid w:val="00F53CF7"/>
    <w:rsid w:val="00F53F3B"/>
    <w:rsid w:val="00F55A2C"/>
    <w:rsid w:val="00F700D3"/>
    <w:rsid w:val="00F73AA2"/>
    <w:rsid w:val="00F74012"/>
    <w:rsid w:val="00F74F8B"/>
    <w:rsid w:val="00F76962"/>
    <w:rsid w:val="00F8243B"/>
    <w:rsid w:val="00F92B0A"/>
    <w:rsid w:val="00F9548F"/>
    <w:rsid w:val="00FA589A"/>
    <w:rsid w:val="00FA6B6A"/>
    <w:rsid w:val="00FB13B7"/>
    <w:rsid w:val="00FB7A7A"/>
    <w:rsid w:val="00FC48F2"/>
    <w:rsid w:val="00FC738B"/>
    <w:rsid w:val="00FD1B8D"/>
    <w:rsid w:val="00FE0B9C"/>
    <w:rsid w:val="00FE4A70"/>
    <w:rsid w:val="00FE6A7F"/>
    <w:rsid w:val="00FE71CD"/>
    <w:rsid w:val="00FE7B82"/>
    <w:rsid w:val="00FF4B84"/>
    <w:rsid w:val="00FF5952"/>
    <w:rsid w:val="00FF7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D49C7B"/>
  <w15:chartTrackingRefBased/>
  <w15:docId w15:val="{8E7E8246-748C-4EAB-9F10-C117A150920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unhideWhenUsed/>
    <w:rPr>
      <w:color w:val="954F72" w:themeColor="followedHyperlink"/>
      <w:u w:val="none"/>
    </w:rPr>
  </w:style>
  <w:style w:type="table" w:styleId="TableGrid">
    <w:name w:val="Table Grid"/>
    <w:basedOn w:val="TableNormal"/>
    <w:rPr>
      <w:rFonts w:ascii="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val="en-GB"/>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rFonts w:eastAsia="Times New Roman"/>
      <w:sz w:val="20"/>
      <w:szCs w:val="20"/>
      <w:lang w:eastAsia="x-none"/>
    </w:rPr>
  </w:style>
  <w:style w:type="character" w:customStyle="1" w:styleId="CommentTextChar">
    <w:name w:val="Comment Text Char"/>
    <w:link w:val="CommentText"/>
    <w:uiPriority w:val="99"/>
    <w:qFormat/>
    <w:rPr>
      <w:lang w:val="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en-GB"/>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8"/>
      </w:numPr>
    </w:pPr>
  </w:style>
  <w:style w:type="paragraph" w:customStyle="1" w:styleId="IPPBullet1">
    <w:name w:val="IPP Bullet1"/>
    <w:basedOn w:val="IPPBullet1Last"/>
    <w:qFormat/>
    <w:pPr>
      <w:numPr>
        <w:numId w:val="31"/>
      </w:numPr>
      <w:spacing w:after="60"/>
      <w:ind w:left="567" w:hanging="567"/>
    </w:pPr>
    <w:rPr>
      <w:lang w:val="en-US"/>
    </w:rPr>
  </w:style>
  <w:style w:type="paragraph" w:customStyle="1" w:styleId="IPPBullet1Last">
    <w:name w:val="IPP Bullet1Last"/>
    <w:basedOn w:val="IPPNormal"/>
    <w:next w:val="IPPNormal"/>
    <w:qFormat/>
    <w:pPr>
      <w:numPr>
        <w:numId w:val="4"/>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rFonts w:eastAsia="MS Mincho"/>
      <w:szCs w:val="24"/>
      <w:lang w:val="en-GB"/>
    </w:rPr>
  </w:style>
  <w:style w:type="paragraph" w:customStyle="1" w:styleId="Indent1">
    <w:name w:val="Indent 1"/>
    <w:basedOn w:val="Normal"/>
    <w:qFormat/>
    <w:pPr>
      <w:spacing w:after="60"/>
      <w:ind w:left="567"/>
      <w:jc w:val="left"/>
    </w:pPr>
    <w:rPr>
      <w:rFonts w:ascii="Georgia" w:eastAsia="Times" w:hAnsi="Georgia"/>
      <w:sz w:val="18"/>
      <w:lang w:val="en-AU"/>
    </w:rPr>
  </w:style>
  <w:style w:type="paragraph" w:customStyle="1" w:styleId="Subhead">
    <w:name w:val="Subhead"/>
    <w:basedOn w:val="Normal"/>
    <w:qFormat/>
    <w:pPr>
      <w:keepNext/>
      <w:spacing w:before="120" w:after="60"/>
      <w:jc w:val="left"/>
    </w:pPr>
    <w:rPr>
      <w:rFonts w:ascii="Georgia" w:eastAsia="Times" w:hAnsi="Georgia"/>
      <w:b/>
      <w:sz w:val="19"/>
      <w:lang w:val="en-AU"/>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6"/>
      </w:numPr>
    </w:pPr>
  </w:style>
  <w:style w:type="paragraph" w:customStyle="1" w:styleId="CharChar">
    <w:name w:val="(文字) (文字) Char (文字) (文字) Char"/>
    <w:basedOn w:val="Normal"/>
    <w:pPr>
      <w:spacing w:after="160" w:line="240" w:lineRule="exact"/>
      <w:jc w:val="left"/>
    </w:pPr>
    <w:rPr>
      <w:rFonts w:ascii="Tahoma" w:hAnsi="Tahoma"/>
      <w:sz w:val="20"/>
      <w:lang w:val="en-US"/>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lang w:val="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21"/>
      </w:numPr>
    </w:pPr>
  </w:style>
  <w:style w:type="paragraph" w:customStyle="1" w:styleId="IPPHdg2Num">
    <w:name w:val="IPP Hdg2Num"/>
    <w:basedOn w:val="IPPHeading2"/>
    <w:next w:val="IPPNormal"/>
    <w:qFormat/>
    <w:pPr>
      <w:numPr>
        <w:ilvl w:val="1" numString="1.1. "/>
        <w:numId w:val="22"/>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HeaderChar">
    <w:name w:val="Header Char"/>
    <w:basedOn w:val="DefaultParagraphFont"/>
    <w:link w:val="Header"/>
    <w:rPr>
      <w:rFonts w:eastAsia="MS Mincho"/>
      <w:sz w:val="22"/>
      <w:szCs w:val="24"/>
      <w:lang w:val="en-GB"/>
    </w:rPr>
  </w:style>
  <w:style w:type="character" w:customStyle="1" w:styleId="FooterChar">
    <w:name w:val="Footer Char"/>
    <w:basedOn w:val="DefaultParagraphFont"/>
    <w:link w:val="Footer"/>
    <w:rPr>
      <w:rFonts w:eastAsia="MS Mincho"/>
      <w:sz w:val="22"/>
      <w:szCs w:val="24"/>
      <w:lang w:val="en-GB"/>
    </w:rPr>
  </w:style>
  <w:style w:type="character" w:customStyle="1" w:styleId="IPPNormalChar">
    <w:name w:val="IPP Normal Char"/>
    <w:link w:val="IPPNormal"/>
    <w:rPr>
      <w:rFonts w:eastAsia="Times"/>
      <w:sz w:val="22"/>
      <w:szCs w:val="24"/>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7"/>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24"/>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rPr>
      <w:lang w:val="en-US"/>
    </w:rPr>
  </w:style>
  <w:style w:type="character" w:customStyle="1" w:styleId="UnresolvedMention1">
    <w:name w:val="Unresolved Mention1"/>
    <w:uiPriority w:val="99"/>
    <w:semiHidden/>
    <w:unhideWhenUsed/>
    <w:rPr>
      <w:color w:val="605E5C"/>
      <w:shd w:val="clear" w:color="auto" w:fill="E1DFDD"/>
    </w:rPr>
  </w:style>
  <w:style w:type="paragraph" w:styleId="Revision">
    <w:name w:val="Revision"/>
    <w:hidden/>
    <w:semiHidden/>
    <w:rPr>
      <w:sz w:val="22"/>
      <w:szCs w:val="24"/>
      <w:lang w:val="en-GB"/>
    </w:rPr>
  </w:style>
  <w:style w:type="character" w:customStyle="1" w:styleId="ui-provider">
    <w:name w:val="ui-provider"/>
    <w:basedOn w:val="DefaultParagraphFont"/>
  </w:style>
  <w:style w:type="character" w:customStyle="1" w:styleId="normaltextrun">
    <w:name w:val="normaltextrun"/>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 w:id="21224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Type="http://schemas.openxmlformats.org/officeDocument/2006/relationships/webSettings" Target="webSettings.xml" Id="rId8" />
  <Relationship Type="http://schemas.openxmlformats.org/officeDocument/2006/relationships/hyperlink" Target="https://www.ippc.int/en/publications/596/" TargetMode="External" Id="rId13" />
  <Relationship Type="http://schemas.openxmlformats.org/officeDocument/2006/relationships/hyperlink" Target="https://www.ippc.int/en/publications/597/" TargetMode="External" Id="rId18" />
  <Relationship Type="http://schemas.openxmlformats.org/officeDocument/2006/relationships/hyperlink" Target="https://rr-europe.woah.org/wp-content/uploads/2020/08/oie-terrestrial-code-1_2019_en.pdf" TargetMode="External" Id="rId26" />
  <Relationship Type="http://schemas.openxmlformats.org/officeDocument/2006/relationships/customXml" Target="../customXml/item3.xml" Id="rId3" />
  <Relationship Type="http://schemas.openxmlformats.org/officeDocument/2006/relationships/hyperlink" Target="https://www.eppo.int/media/uploaded_images/RESOURCES/eppo_standards/pm5/pm5-03-05-en.pdf" TargetMode="External" Id="rId21" />
  <Relationship Type="http://schemas.openxmlformats.org/officeDocument/2006/relationships/settings" Target="settings.xml" Id="rId7" />
  <Relationship Type="http://schemas.openxmlformats.org/officeDocument/2006/relationships/hyperlink" Target="https://www.ippc.int/core-activities/standards-setting/list-topics-ippc-standards" TargetMode="External" Id="rId12" />
  <Relationship Type="http://schemas.openxmlformats.org/officeDocument/2006/relationships/hyperlink" Target="https://www.ippc.int/en/publications/601/" TargetMode="External" Id="rId17" />
  <Relationship Type="http://schemas.openxmlformats.org/officeDocument/2006/relationships/hyperlink" Target="https://rr-africa.woah.org/wp-content/uploads/2018/03/handbook_on_import_risk_analysis_-_oie_-_vol__i.pdf" TargetMode="External" Id="rId25" />
  <Relationship Type="http://schemas.openxmlformats.org/officeDocument/2006/relationships/customXml" Target="../customXml/item2.xml" Id="rId2" />
  <Relationship Type="http://schemas.openxmlformats.org/officeDocument/2006/relationships/hyperlink" Target="https://www.ippc.int/en/publications/639/" TargetMode="External" Id="rId16" />
  <Relationship Type="http://schemas.openxmlformats.org/officeDocument/2006/relationships/hyperlink" Target="https://www.ippc.int/en/about/core-activities/capacity-development/guides-and-training-materials/" TargetMode="External" Id="rId20" />
  <Relationship Type="http://schemas.openxmlformats.org/officeDocument/2006/relationships/theme" Target="theme/theme1.xml" Id="rId29" />
  <Relationship Type="http://schemas.openxmlformats.org/officeDocument/2006/relationships/customXml" Target="../customXml/item1.xml" Id="rId1" />
  <Relationship Type="http://schemas.openxmlformats.org/officeDocument/2006/relationships/styles" Target="styles.xml" Id="rId6" />
  <Relationship Type="http://schemas.openxmlformats.org/officeDocument/2006/relationships/hyperlink" Target="https://www.ippc.int/en/core-activities" TargetMode="External" Id="rId11" />
  <Relationship Type="http://schemas.openxmlformats.org/officeDocument/2006/relationships/hyperlink" Target="https://nappo.org/application/files/1315/8352/2979/RSPM_40-07-28-14-e.pdf" TargetMode="External" Id="rId24" />
  <Relationship Type="http://schemas.openxmlformats.org/officeDocument/2006/relationships/numbering" Target="numbering.xml" Id="rId5" />
  <Relationship Type="http://schemas.openxmlformats.org/officeDocument/2006/relationships/hyperlink" Target="https://www.ippc.int/en/publications/592/" TargetMode="External" Id="rId15" />
  <Relationship Type="http://schemas.openxmlformats.org/officeDocument/2006/relationships/hyperlink" Target="https://www.nappo.org/application/files/8615/8352/2976/RSPM_31-01-06-12-e.pdf" TargetMode="External" Id="rId23" />
  <Relationship Type="http://schemas.openxmlformats.org/officeDocument/2006/relationships/fontTable" Target="fontTable.xml" Id="rId28" />
  <Relationship Type="http://schemas.openxmlformats.org/officeDocument/2006/relationships/endnotes" Target="endnotes.xml" Id="rId10" />
  <Relationship Type="http://schemas.openxmlformats.org/officeDocument/2006/relationships/hyperlink" Target="http://www.wto.org/english/tratop_e/tbt_e/principles_standards_tbt_e.htm" TargetMode="External" Id="rId19" />
  <Relationship Type="http://schemas.openxmlformats.org/officeDocument/2006/relationships/customXml" Target="../customXml/item4.xml" Id="rId4" />
  <Relationship Type="http://schemas.openxmlformats.org/officeDocument/2006/relationships/footnotes" Target="footnotes.xml" Id="rId9" />
  <Relationship Type="http://schemas.openxmlformats.org/officeDocument/2006/relationships/hyperlink" Target="https://www.ippc.int/en/publications/622/" TargetMode="External" Id="rId14" />
  <Relationship Type="http://schemas.openxmlformats.org/officeDocument/2006/relationships/hyperlink" Target="https://www.fao.org/fao-who-codexalimentarius/codex-texts/guidelines/" TargetMode="External" Id="rId22" />
  <Relationship Type="http://schemas.openxmlformats.org/officeDocument/2006/relationships/hyperlink" Target="mailto:ippc@fao.org" TargetMode="External" Id="rId27" />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0CEF1EC0-82C1-4C38-A6A3-47B2F9B2F523}">
  <ds:schemaRefs>
    <ds:schemaRef ds:uri="http://schemas.microsoft.com/sharepoint/v3/contenttype/forms"/>
  </ds:schemaRefs>
</ds:datastoreItem>
</file>

<file path=customXml/itemProps2.xml><?xml version="1.0" encoding="utf-8"?>
<ds:datastoreItem xmlns:ds="http://schemas.openxmlformats.org/officeDocument/2006/customXml" ds:itemID="{9EDE3261-0CA2-46EC-B4C3-6D914A8C8E11}">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a05d7f75-f42e-4288-8809-604fd4d9691f"/>
    <ds:schemaRef ds:uri="http://purl.org/dc/elements/1.1/"/>
    <ds:schemaRef ds:uri="ea6feb38-a85a-45e8-92e9-814486bbe375"/>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57039E5-E7A6-4201-9CCC-74294AC16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882BA-C7C0-497E-8319-A2B2A3B5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0</TotalTime>
  <Pages>1</Pages>
  <Words>2020</Words>
  <Characters>11515</Characters>
  <Application>Microsoft Office Word</Application>
  <DocSecurity>0</DocSecurity>
  <Lines>95</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IPPC-Styles</vt:lpstr>
      <vt:lpstr>IPPC-Styles</vt:lpstr>
    </vt:vector>
  </TitlesOfParts>
  <Company>FAO of the UN</Company>
  <LinksUpToDate>false</LinksUpToDate>
  <CharactersWithSpaces>13508</CharactersWithSpaces>
  <SharedDoc>false</SharedDoc>
  <HyperlinkBase/>
  <HLinks>
    <vt:vector size="18" baseType="variant">
      <vt:variant>
        <vt:i4>393279</vt:i4>
      </vt:variant>
      <vt:variant>
        <vt:i4>6</vt:i4>
      </vt:variant>
      <vt:variant>
        <vt:i4>0</vt:i4>
      </vt:variant>
      <vt:variant>
        <vt:i4>5</vt:i4>
      </vt:variant>
      <vt:variant>
        <vt:lpwstr>mailto:ippc@fao.org</vt:lpwstr>
      </vt:variant>
      <vt:variant>
        <vt:lpwstr/>
      </vt:variant>
      <vt:variant>
        <vt:i4>1114179</vt:i4>
      </vt:variant>
      <vt:variant>
        <vt:i4>3</vt:i4>
      </vt:variant>
      <vt:variant>
        <vt:i4>0</vt:i4>
      </vt:variant>
      <vt:variant>
        <vt:i4>5</vt:i4>
      </vt:variant>
      <vt:variant>
        <vt:lpwstr>https://www.ippc.int/core-activities/standards-setting/list-topics-ippc-standards</vt:lpwstr>
      </vt:variant>
      <vt:variant>
        <vt:lpwstr/>
      </vt:variant>
      <vt:variant>
        <vt:i4>5963805</vt:i4>
      </vt:variant>
      <vt:variant>
        <vt:i4>0</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Prizm</cp:lastModifiedBy>
  <cp:revision>2</cp:revision>
  <cp:lastPrinted>2024-05-20T07:29:00Z</cp:lastPrinted>
  <dcterms:created xsi:type="dcterms:W3CDTF">2024-07-01T13:08:00Z</dcterms:created>
  <dcterms:modified xsi:type="dcterms:W3CDTF">2024-07-01T13:08:00Z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