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DCAB" w14:textId="0301C6D0" w:rsidR="00D32920" w:rsidRPr="00A300C0" w:rsidRDefault="00D32920" w:rsidP="00D32920">
      <w:pPr>
        <w:spacing w:after="280"/>
        <w:rPr>
          <w:rFonts w:eastAsia="Arial"/>
          <w:color w:val="008938"/>
          <w:kern w:val="0"/>
          <w:sz w:val="56"/>
          <w:szCs w:val="56"/>
          <w14:ligatures w14:val="none"/>
        </w:rPr>
      </w:pPr>
      <w:r w:rsidRPr="00A300C0">
        <w:rPr>
          <w:rFonts w:eastAsia="Arial"/>
          <w:color w:val="008938"/>
          <w:kern w:val="0"/>
          <w:sz w:val="56"/>
          <w:szCs w:val="56"/>
          <w14:ligatures w14:val="none"/>
        </w:rPr>
        <w:t>Emerging pest criteria guidance</w:t>
      </w:r>
      <w:r w:rsidR="009F3AED" w:rsidRPr="172ABBD1">
        <w:rPr>
          <w:rFonts w:eastAsia="Arial"/>
          <w:color w:val="008938"/>
          <w:sz w:val="56"/>
          <w:szCs w:val="56"/>
        </w:rPr>
        <w:t xml:space="preserve"> </w:t>
      </w:r>
    </w:p>
    <w:p w14:paraId="723B808F" w14:textId="3A177BED" w:rsidR="00D32920" w:rsidRDefault="00D32920" w:rsidP="00D32920">
      <w:pPr>
        <w:spacing w:after="200"/>
        <w:rPr>
          <w:rFonts w:eastAsia="Arial"/>
          <w:color w:val="008938"/>
          <w:kern w:val="0"/>
          <w:sz w:val="40"/>
          <w:szCs w:val="28"/>
          <w14:ligatures w14:val="none"/>
        </w:rPr>
      </w:pPr>
      <w:r w:rsidRPr="00A300C0">
        <w:rPr>
          <w:rFonts w:eastAsia="Arial"/>
          <w:color w:val="008938"/>
          <w:kern w:val="0"/>
          <w:sz w:val="40"/>
          <w:szCs w:val="28"/>
          <w14:ligatures w14:val="none"/>
        </w:rPr>
        <w:t>January</w:t>
      </w:r>
      <w:r w:rsidRPr="00D32920">
        <w:rPr>
          <w:rFonts w:eastAsia="Arial"/>
          <w:color w:val="008938"/>
          <w:kern w:val="0"/>
          <w:sz w:val="40"/>
          <w:szCs w:val="28"/>
          <w14:ligatures w14:val="none"/>
        </w:rPr>
        <w:t xml:space="preserve"> 202</w:t>
      </w:r>
      <w:r w:rsidRPr="00A300C0">
        <w:rPr>
          <w:rFonts w:eastAsia="Arial"/>
          <w:color w:val="008938"/>
          <w:kern w:val="0"/>
          <w:sz w:val="40"/>
          <w:szCs w:val="28"/>
          <w14:ligatures w14:val="none"/>
        </w:rPr>
        <w:t>5</w:t>
      </w:r>
      <w:bookmarkStart w:id="0" w:name="_Toc104647046"/>
      <w:bookmarkStart w:id="1" w:name="_Toc107333201"/>
    </w:p>
    <w:p w14:paraId="5B20BA17" w14:textId="7AD3EC89" w:rsidR="0096293A" w:rsidRPr="0096293A" w:rsidRDefault="0096293A" w:rsidP="00D32920">
      <w:pPr>
        <w:spacing w:after="200"/>
        <w:rPr>
          <w:rFonts w:eastAsia="Arial"/>
          <w:b/>
          <w:bCs/>
          <w:color w:val="008938"/>
          <w:kern w:val="0"/>
          <w:sz w:val="22"/>
          <w:szCs w:val="16"/>
          <w14:ligatures w14:val="none"/>
        </w:rPr>
      </w:pPr>
      <w:r w:rsidRPr="0096293A">
        <w:rPr>
          <w:rFonts w:eastAsia="Arial"/>
          <w:b/>
          <w:bCs/>
          <w:color w:val="008938"/>
          <w:kern w:val="0"/>
          <w:sz w:val="22"/>
          <w:szCs w:val="16"/>
          <w14:ligatures w14:val="none"/>
        </w:rPr>
        <w:t>This document is intended for use by the emerging pest criteria expert working group</w:t>
      </w:r>
    </w:p>
    <w:bookmarkEnd w:id="0"/>
    <w:bookmarkEnd w:id="1"/>
    <w:p w14:paraId="151B3791" w14:textId="48A89733" w:rsidR="00A300C0" w:rsidRPr="00A539FD" w:rsidRDefault="4E3CE206" w:rsidP="2D9E63C3">
      <w:pPr>
        <w:keepNext/>
        <w:spacing w:before="240" w:after="120"/>
        <w:outlineLvl w:val="1"/>
        <w:rPr>
          <w:rFonts w:eastAsia="Times New Roman"/>
          <w:b/>
          <w:bCs/>
          <w:kern w:val="0"/>
          <w:sz w:val="36"/>
          <w:szCs w:val="36"/>
          <w14:ligatures w14:val="none"/>
        </w:rPr>
      </w:pPr>
      <w:r w:rsidRPr="54AAC45F">
        <w:rPr>
          <w:rFonts w:eastAsia="Times New Roman"/>
          <w:b/>
          <w:color w:val="008938"/>
          <w:kern w:val="0"/>
          <w:sz w:val="40"/>
          <w:szCs w:val="40"/>
          <w14:ligatures w14:val="none"/>
        </w:rPr>
        <w:t>Background</w:t>
      </w:r>
      <w:r w:rsidRPr="2D9E63C3">
        <w:rPr>
          <w:rFonts w:eastAsia="Times New Roman"/>
          <w:b/>
          <w:bCs/>
          <w:kern w:val="0"/>
          <w:sz w:val="36"/>
          <w:szCs w:val="36"/>
          <w14:ligatures w14:val="none"/>
        </w:rPr>
        <w:t xml:space="preserve"> </w:t>
      </w:r>
    </w:p>
    <w:p w14:paraId="3408C497" w14:textId="76052602" w:rsidR="00A300C0" w:rsidRPr="00A300C0" w:rsidRDefault="7C65EC74" w:rsidP="00AB5EE4">
      <w:pPr>
        <w:spacing w:line="276" w:lineRule="auto"/>
        <w:rPr>
          <w:sz w:val="22"/>
          <w:szCs w:val="22"/>
        </w:rPr>
      </w:pPr>
      <w:r w:rsidRPr="2D9E63C3">
        <w:rPr>
          <w:sz w:val="22"/>
          <w:szCs w:val="22"/>
        </w:rPr>
        <w:t xml:space="preserve">The issue of emerging pests has been discussed extensively within IPPC bodies since 2016. </w:t>
      </w:r>
      <w:r w:rsidR="1B758906" w:rsidRPr="2D9E63C3">
        <w:rPr>
          <w:sz w:val="22"/>
          <w:szCs w:val="22"/>
        </w:rPr>
        <w:t xml:space="preserve">Initial discussions were held within the Commission on Phytosanitary Measures (CPM) Bureau, Strategic Planning Group and the Technical Consultation among Regional Plant Protection Organisations (RPPOs), </w:t>
      </w:r>
      <w:r w:rsidR="34759AAB" w:rsidRPr="2D9E63C3">
        <w:rPr>
          <w:sz w:val="22"/>
          <w:szCs w:val="22"/>
        </w:rPr>
        <w:t xml:space="preserve">with a provisional set of criteria developed by the latter in 2018. The criteria were considered </w:t>
      </w:r>
      <w:r w:rsidR="5595F958" w:rsidRPr="2D9E63C3">
        <w:rPr>
          <w:sz w:val="22"/>
          <w:szCs w:val="22"/>
        </w:rPr>
        <w:t xml:space="preserve">further by the </w:t>
      </w:r>
      <w:r w:rsidR="34759AAB" w:rsidRPr="2D9E63C3">
        <w:rPr>
          <w:sz w:val="22"/>
          <w:szCs w:val="22"/>
        </w:rPr>
        <w:t>CPM Focus Group on P</w:t>
      </w:r>
      <w:r w:rsidR="2ED99571" w:rsidRPr="2D9E63C3">
        <w:rPr>
          <w:sz w:val="22"/>
          <w:szCs w:val="22"/>
        </w:rPr>
        <w:t xml:space="preserve">est </w:t>
      </w:r>
      <w:r w:rsidR="34759AAB" w:rsidRPr="2D9E63C3">
        <w:rPr>
          <w:sz w:val="22"/>
          <w:szCs w:val="22"/>
        </w:rPr>
        <w:t>O</w:t>
      </w:r>
      <w:r w:rsidR="2ED99571" w:rsidRPr="2D9E63C3">
        <w:rPr>
          <w:sz w:val="22"/>
          <w:szCs w:val="22"/>
        </w:rPr>
        <w:t xml:space="preserve">utbreak </w:t>
      </w:r>
      <w:r w:rsidR="34759AAB" w:rsidRPr="2D9E63C3">
        <w:rPr>
          <w:sz w:val="22"/>
          <w:szCs w:val="22"/>
        </w:rPr>
        <w:t>A</w:t>
      </w:r>
      <w:r w:rsidR="2ED99571" w:rsidRPr="2D9E63C3">
        <w:rPr>
          <w:sz w:val="22"/>
          <w:szCs w:val="22"/>
        </w:rPr>
        <w:t xml:space="preserve">lert and </w:t>
      </w:r>
      <w:r w:rsidR="34759AAB" w:rsidRPr="2D9E63C3">
        <w:rPr>
          <w:sz w:val="22"/>
          <w:szCs w:val="22"/>
        </w:rPr>
        <w:t>R</w:t>
      </w:r>
      <w:r w:rsidR="2ED99571" w:rsidRPr="2D9E63C3">
        <w:rPr>
          <w:sz w:val="22"/>
          <w:szCs w:val="22"/>
        </w:rPr>
        <w:t xml:space="preserve">esponse </w:t>
      </w:r>
      <w:r w:rsidR="34759AAB" w:rsidRPr="2D9E63C3">
        <w:rPr>
          <w:sz w:val="22"/>
          <w:szCs w:val="22"/>
        </w:rPr>
        <w:t>S</w:t>
      </w:r>
      <w:r w:rsidR="2ED99571" w:rsidRPr="2D9E63C3">
        <w:rPr>
          <w:sz w:val="22"/>
          <w:szCs w:val="22"/>
        </w:rPr>
        <w:t>ystem (POARS)</w:t>
      </w:r>
      <w:r w:rsidR="5595F958" w:rsidRPr="2D9E63C3">
        <w:rPr>
          <w:sz w:val="22"/>
          <w:szCs w:val="22"/>
        </w:rPr>
        <w:t xml:space="preserve"> in 2021, with some amendments recommended.</w:t>
      </w:r>
      <w:r w:rsidR="0047424B">
        <w:rPr>
          <w:sz w:val="22"/>
          <w:szCs w:val="22"/>
        </w:rPr>
        <w:t xml:space="preserve"> In 2023, t</w:t>
      </w:r>
      <w:r w:rsidR="009867CC">
        <w:rPr>
          <w:sz w:val="22"/>
          <w:szCs w:val="22"/>
        </w:rPr>
        <w:t>he</w:t>
      </w:r>
      <w:r w:rsidR="00B83892">
        <w:rPr>
          <w:sz w:val="22"/>
          <w:szCs w:val="22"/>
        </w:rPr>
        <w:t xml:space="preserve"> Standards Committee and</w:t>
      </w:r>
      <w:r w:rsidR="009867CC">
        <w:rPr>
          <w:sz w:val="22"/>
          <w:szCs w:val="22"/>
        </w:rPr>
        <w:t xml:space="preserve"> </w:t>
      </w:r>
      <w:r w:rsidR="00B83892">
        <w:rPr>
          <w:sz w:val="22"/>
          <w:szCs w:val="22"/>
        </w:rPr>
        <w:t>Strategic Planning Group</w:t>
      </w:r>
      <w:r w:rsidR="00D22226">
        <w:rPr>
          <w:sz w:val="22"/>
          <w:szCs w:val="22"/>
        </w:rPr>
        <w:t xml:space="preserve"> </w:t>
      </w:r>
      <w:r w:rsidR="00450C11">
        <w:rPr>
          <w:sz w:val="22"/>
          <w:szCs w:val="22"/>
        </w:rPr>
        <w:t xml:space="preserve">advised that the criteria should be </w:t>
      </w:r>
      <w:r w:rsidR="00B427D8">
        <w:rPr>
          <w:sz w:val="22"/>
          <w:szCs w:val="22"/>
        </w:rPr>
        <w:t>developed</w:t>
      </w:r>
      <w:r w:rsidR="0047424B">
        <w:rPr>
          <w:sz w:val="22"/>
          <w:szCs w:val="22"/>
        </w:rPr>
        <w:t xml:space="preserve"> further</w:t>
      </w:r>
      <w:r w:rsidR="00B427D8">
        <w:rPr>
          <w:sz w:val="22"/>
          <w:szCs w:val="22"/>
        </w:rPr>
        <w:t xml:space="preserve">. </w:t>
      </w:r>
      <w:r w:rsidR="2ED99571" w:rsidRPr="2D9E63C3">
        <w:rPr>
          <w:sz w:val="22"/>
          <w:szCs w:val="22"/>
        </w:rPr>
        <w:t xml:space="preserve">Drawing on the discussions of the criteria and definition since 2016, the POARS Steering Group developed and agreed emerging pest criteria in 2024-25. </w:t>
      </w:r>
    </w:p>
    <w:p w14:paraId="44A5238C" w14:textId="16A55585" w:rsidR="00435B0E" w:rsidRPr="00A539FD" w:rsidRDefault="00435B0E" w:rsidP="007C4E19">
      <w:pPr>
        <w:spacing w:before="240" w:after="120"/>
        <w:rPr>
          <w:rFonts w:eastAsia="Arial"/>
          <w:b/>
          <w:color w:val="008938"/>
          <w:kern w:val="0"/>
          <w:sz w:val="36"/>
          <w:szCs w:val="36"/>
          <w14:ligatures w14:val="none"/>
        </w:rPr>
      </w:pPr>
      <w:r w:rsidRPr="54AAC45F">
        <w:rPr>
          <w:rFonts w:eastAsia="Arial"/>
          <w:b/>
          <w:color w:val="008938"/>
          <w:kern w:val="0"/>
          <w:sz w:val="36"/>
          <w:szCs w:val="36"/>
          <w14:ligatures w14:val="none"/>
        </w:rPr>
        <w:t>POARS process</w:t>
      </w:r>
    </w:p>
    <w:p w14:paraId="54D2A804" w14:textId="3E77C4A1" w:rsidR="00594FD3" w:rsidRDefault="2ED99571" w:rsidP="00435B0E">
      <w:pPr>
        <w:spacing w:after="200" w:line="276" w:lineRule="auto"/>
        <w:rPr>
          <w:rStyle w:val="normaltextrun"/>
          <w:color w:val="000000"/>
          <w:sz w:val="22"/>
          <w:szCs w:val="22"/>
          <w:shd w:val="clear" w:color="auto" w:fill="FFFFFF"/>
        </w:rPr>
      </w:pPr>
      <w:r>
        <w:rPr>
          <w:rStyle w:val="normaltextrun"/>
          <w:color w:val="000000"/>
          <w:sz w:val="22"/>
          <w:szCs w:val="22"/>
          <w:shd w:val="clear" w:color="auto" w:fill="FFFFFF"/>
        </w:rPr>
        <w:t>The POARS Steering Group has outlined a process for identifying, nominating, and assessing potential emerging pests of IPPC global concern</w:t>
      </w:r>
      <w:r w:rsidR="76D929BC">
        <w:rPr>
          <w:rStyle w:val="normaltextrun"/>
          <w:color w:val="000000"/>
          <w:sz w:val="22"/>
          <w:szCs w:val="22"/>
          <w:shd w:val="clear" w:color="auto" w:fill="FFFFFF"/>
        </w:rPr>
        <w:t>, with the emerging pest criteria playing a critical part</w:t>
      </w:r>
      <w:r>
        <w:rPr>
          <w:rStyle w:val="normaltextrun"/>
          <w:color w:val="000000"/>
          <w:sz w:val="22"/>
          <w:szCs w:val="22"/>
          <w:shd w:val="clear" w:color="auto" w:fill="FFFFFF"/>
        </w:rPr>
        <w:t xml:space="preserve">. This process (See Figure 1) includes 1) identifying emerging pests through </w:t>
      </w:r>
      <w:r w:rsidR="008B22D7">
        <w:rPr>
          <w:rStyle w:val="normaltextrun"/>
          <w:color w:val="000000"/>
          <w:sz w:val="22"/>
          <w:szCs w:val="22"/>
          <w:shd w:val="clear" w:color="auto" w:fill="FFFFFF"/>
        </w:rPr>
        <w:t xml:space="preserve">pest reporting and </w:t>
      </w:r>
      <w:r>
        <w:rPr>
          <w:rStyle w:val="normaltextrun"/>
          <w:color w:val="000000"/>
          <w:sz w:val="22"/>
          <w:szCs w:val="22"/>
          <w:shd w:val="clear" w:color="auto" w:fill="FFFFFF"/>
        </w:rPr>
        <w:t>horizon scanning, 2) nominating them via N</w:t>
      </w:r>
      <w:r w:rsidR="76D929BC">
        <w:rPr>
          <w:rStyle w:val="normaltextrun"/>
          <w:color w:val="000000"/>
          <w:sz w:val="22"/>
          <w:szCs w:val="22"/>
          <w:shd w:val="clear" w:color="auto" w:fill="FFFFFF"/>
        </w:rPr>
        <w:t xml:space="preserve">ational </w:t>
      </w:r>
      <w:r>
        <w:rPr>
          <w:rStyle w:val="normaltextrun"/>
          <w:color w:val="000000"/>
          <w:sz w:val="22"/>
          <w:szCs w:val="22"/>
          <w:shd w:val="clear" w:color="auto" w:fill="FFFFFF"/>
        </w:rPr>
        <w:t>P</w:t>
      </w:r>
      <w:r w:rsidR="76D929BC">
        <w:rPr>
          <w:rStyle w:val="normaltextrun"/>
          <w:color w:val="000000"/>
          <w:sz w:val="22"/>
          <w:szCs w:val="22"/>
          <w:shd w:val="clear" w:color="auto" w:fill="FFFFFF"/>
        </w:rPr>
        <w:t xml:space="preserve">lant </w:t>
      </w:r>
      <w:r>
        <w:rPr>
          <w:rStyle w:val="normaltextrun"/>
          <w:color w:val="000000"/>
          <w:sz w:val="22"/>
          <w:szCs w:val="22"/>
          <w:shd w:val="clear" w:color="auto" w:fill="FFFFFF"/>
        </w:rPr>
        <w:t>P</w:t>
      </w:r>
      <w:r w:rsidR="76D929BC">
        <w:rPr>
          <w:rStyle w:val="normaltextrun"/>
          <w:color w:val="000000"/>
          <w:sz w:val="22"/>
          <w:szCs w:val="22"/>
          <w:shd w:val="clear" w:color="auto" w:fill="FFFFFF"/>
        </w:rPr>
        <w:t xml:space="preserve">rotection </w:t>
      </w:r>
      <w:r>
        <w:rPr>
          <w:rStyle w:val="normaltextrun"/>
          <w:color w:val="000000"/>
          <w:sz w:val="22"/>
          <w:szCs w:val="22"/>
          <w:shd w:val="clear" w:color="auto" w:fill="FFFFFF"/>
        </w:rPr>
        <w:t>O</w:t>
      </w:r>
      <w:r w:rsidR="76D929BC">
        <w:rPr>
          <w:rStyle w:val="normaltextrun"/>
          <w:color w:val="000000"/>
          <w:sz w:val="22"/>
          <w:szCs w:val="22"/>
          <w:shd w:val="clear" w:color="auto" w:fill="FFFFFF"/>
        </w:rPr>
        <w:t>rganisation</w:t>
      </w:r>
      <w:r>
        <w:rPr>
          <w:rStyle w:val="normaltextrun"/>
          <w:color w:val="000000"/>
          <w:sz w:val="22"/>
          <w:szCs w:val="22"/>
          <w:shd w:val="clear" w:color="auto" w:fill="FFFFFF"/>
        </w:rPr>
        <w:t>s</w:t>
      </w:r>
      <w:r w:rsidR="76D929BC">
        <w:rPr>
          <w:rStyle w:val="normaltextrun"/>
          <w:color w:val="000000"/>
          <w:sz w:val="22"/>
          <w:szCs w:val="22"/>
          <w:shd w:val="clear" w:color="auto" w:fill="FFFFFF"/>
        </w:rPr>
        <w:t xml:space="preserve"> (NPPOs)</w:t>
      </w:r>
      <w:r>
        <w:rPr>
          <w:rStyle w:val="normaltextrun"/>
          <w:color w:val="000000"/>
          <w:sz w:val="22"/>
          <w:szCs w:val="22"/>
          <w:shd w:val="clear" w:color="auto" w:fill="FFFFFF"/>
        </w:rPr>
        <w:t>, RPPOs, or the IPPC Secretariat, and 3) assessing them against established criteria. Pests meeting the criteria are designated as emerging pests of IPPC global concern</w:t>
      </w:r>
      <w:r w:rsidR="00047043">
        <w:rPr>
          <w:rStyle w:val="normaltextrun"/>
          <w:color w:val="000000"/>
          <w:sz w:val="22"/>
          <w:szCs w:val="22"/>
          <w:shd w:val="clear" w:color="auto" w:fill="FFFFFF"/>
        </w:rPr>
        <w:t xml:space="preserve"> (hereafter simply referred to as emerging pests)</w:t>
      </w:r>
      <w:r>
        <w:rPr>
          <w:rStyle w:val="normaltextrun"/>
          <w:color w:val="000000"/>
          <w:sz w:val="22"/>
          <w:szCs w:val="22"/>
          <w:shd w:val="clear" w:color="auto" w:fill="FFFFFF"/>
        </w:rPr>
        <w:t xml:space="preserve">, triggering alerts and targeted </w:t>
      </w:r>
      <w:r w:rsidR="0079573D">
        <w:rPr>
          <w:rStyle w:val="normaltextrun"/>
          <w:color w:val="000000"/>
          <w:sz w:val="22"/>
          <w:szCs w:val="22"/>
          <w:shd w:val="clear" w:color="auto" w:fill="FFFFFF"/>
        </w:rPr>
        <w:t xml:space="preserve">prevention, preparedness and </w:t>
      </w:r>
      <w:r>
        <w:rPr>
          <w:rStyle w:val="normaltextrun"/>
          <w:color w:val="000000"/>
          <w:sz w:val="22"/>
          <w:szCs w:val="22"/>
          <w:shd w:val="clear" w:color="auto" w:fill="FFFFFF"/>
        </w:rPr>
        <w:t xml:space="preserve">response activities, while others may be added to a watch list or excluded. Pests </w:t>
      </w:r>
      <w:r w:rsidR="002C7112">
        <w:rPr>
          <w:rStyle w:val="normaltextrun"/>
          <w:color w:val="000000"/>
          <w:sz w:val="22"/>
          <w:szCs w:val="22"/>
          <w:shd w:val="clear" w:color="auto" w:fill="FFFFFF"/>
        </w:rPr>
        <w:t xml:space="preserve">added to a watch list </w:t>
      </w:r>
      <w:r>
        <w:rPr>
          <w:rStyle w:val="normaltextrun"/>
          <w:color w:val="000000"/>
          <w:sz w:val="22"/>
          <w:szCs w:val="22"/>
          <w:shd w:val="clear" w:color="auto" w:fill="FFFFFF"/>
        </w:rPr>
        <w:t xml:space="preserve">may be reassessed (either on a regular or emergency basis) based on updated data or evidence. Pests not meeting the criteria </w:t>
      </w:r>
      <w:r w:rsidR="00461142">
        <w:rPr>
          <w:rStyle w:val="normaltextrun"/>
          <w:color w:val="000000"/>
          <w:sz w:val="22"/>
          <w:szCs w:val="22"/>
          <w:shd w:val="clear" w:color="auto" w:fill="FFFFFF"/>
        </w:rPr>
        <w:t xml:space="preserve">and not added to a watch list </w:t>
      </w:r>
      <w:r>
        <w:rPr>
          <w:rStyle w:val="normaltextrun"/>
          <w:color w:val="000000"/>
          <w:sz w:val="22"/>
          <w:szCs w:val="22"/>
          <w:shd w:val="clear" w:color="auto" w:fill="FFFFFF"/>
        </w:rPr>
        <w:t>are removed from the POARS process and not considered for IPPC global actions, though other relevant regional or global bodies may still consider actions for them.</w:t>
      </w:r>
    </w:p>
    <w:p w14:paraId="31447DF3" w14:textId="6CD5771D" w:rsidR="004C7675" w:rsidRDefault="004C7675" w:rsidP="00435B0E">
      <w:pPr>
        <w:spacing w:after="200" w:line="276" w:lineRule="auto"/>
        <w:rPr>
          <w:rStyle w:val="normaltextrun"/>
          <w:color w:val="000000"/>
          <w:sz w:val="22"/>
          <w:szCs w:val="22"/>
          <w:shd w:val="clear" w:color="auto" w:fill="FFFFFF"/>
        </w:rPr>
      </w:pPr>
      <w:r>
        <w:rPr>
          <w:rStyle w:val="normaltextrun"/>
          <w:color w:val="000000"/>
          <w:sz w:val="22"/>
          <w:szCs w:val="22"/>
          <w:shd w:val="clear" w:color="auto" w:fill="FFFFFF"/>
        </w:rPr>
        <w:t xml:space="preserve">The assessment </w:t>
      </w:r>
      <w:r w:rsidR="00E314BE">
        <w:rPr>
          <w:rStyle w:val="normaltextrun"/>
          <w:color w:val="000000"/>
          <w:sz w:val="22"/>
          <w:szCs w:val="22"/>
          <w:shd w:val="clear" w:color="auto" w:fill="FFFFFF"/>
        </w:rPr>
        <w:t xml:space="preserve">phase of the </w:t>
      </w:r>
      <w:r>
        <w:rPr>
          <w:rStyle w:val="normaltextrun"/>
          <w:color w:val="000000"/>
          <w:sz w:val="22"/>
          <w:szCs w:val="22"/>
          <w:shd w:val="clear" w:color="auto" w:fill="FFFFFF"/>
        </w:rPr>
        <w:t xml:space="preserve">process is not intended to be a pest risk analysis for the world. This </w:t>
      </w:r>
      <w:r w:rsidR="00D2293A">
        <w:rPr>
          <w:rStyle w:val="normaltextrun"/>
          <w:color w:val="000000"/>
          <w:sz w:val="22"/>
          <w:szCs w:val="22"/>
          <w:shd w:val="clear" w:color="auto" w:fill="FFFFFF"/>
        </w:rPr>
        <w:t>is not considered to be feasible and would take too much time</w:t>
      </w:r>
      <w:r w:rsidR="00D028C8">
        <w:rPr>
          <w:rStyle w:val="normaltextrun"/>
          <w:color w:val="000000"/>
          <w:sz w:val="22"/>
          <w:szCs w:val="22"/>
          <w:shd w:val="clear" w:color="auto" w:fill="FFFFFF"/>
        </w:rPr>
        <w:t xml:space="preserve">. The purpose of the POARS is to </w:t>
      </w:r>
      <w:r w:rsidR="006D5D51">
        <w:rPr>
          <w:rStyle w:val="normaltextrun"/>
          <w:color w:val="000000"/>
          <w:sz w:val="22"/>
          <w:szCs w:val="22"/>
          <w:shd w:val="clear" w:color="auto" w:fill="FFFFFF"/>
        </w:rPr>
        <w:t xml:space="preserve">mobilise resources and tools quickly to </w:t>
      </w:r>
      <w:r w:rsidR="000F0C9C">
        <w:rPr>
          <w:rStyle w:val="normaltextrun"/>
          <w:color w:val="000000"/>
          <w:sz w:val="22"/>
          <w:szCs w:val="22"/>
          <w:shd w:val="clear" w:color="auto" w:fill="FFFFFF"/>
        </w:rPr>
        <w:t>prevent pests spreading</w:t>
      </w:r>
      <w:r w:rsidR="0058614F">
        <w:rPr>
          <w:rStyle w:val="normaltextrun"/>
          <w:color w:val="000000"/>
          <w:sz w:val="22"/>
          <w:szCs w:val="22"/>
          <w:shd w:val="clear" w:color="auto" w:fill="FFFFFF"/>
        </w:rPr>
        <w:t xml:space="preserve">, prepare for their arrival and respond effectively </w:t>
      </w:r>
      <w:r w:rsidR="004F4955">
        <w:rPr>
          <w:rStyle w:val="normaltextrun"/>
          <w:color w:val="000000"/>
          <w:sz w:val="22"/>
          <w:szCs w:val="22"/>
          <w:shd w:val="clear" w:color="auto" w:fill="FFFFFF"/>
        </w:rPr>
        <w:t>once they arrive</w:t>
      </w:r>
      <w:r w:rsidR="0058614F">
        <w:rPr>
          <w:rStyle w:val="normaltextrun"/>
          <w:color w:val="000000"/>
          <w:sz w:val="22"/>
          <w:szCs w:val="22"/>
          <w:shd w:val="clear" w:color="auto" w:fill="FFFFFF"/>
        </w:rPr>
        <w:t>.</w:t>
      </w:r>
      <w:r w:rsidR="006D5D51">
        <w:rPr>
          <w:rStyle w:val="normaltextrun"/>
          <w:color w:val="000000"/>
          <w:sz w:val="22"/>
          <w:szCs w:val="22"/>
          <w:shd w:val="clear" w:color="auto" w:fill="FFFFFF"/>
        </w:rPr>
        <w:t xml:space="preserve"> </w:t>
      </w:r>
      <w:r w:rsidR="00AC3E8A">
        <w:rPr>
          <w:rStyle w:val="normaltextrun"/>
          <w:color w:val="000000"/>
          <w:sz w:val="22"/>
          <w:szCs w:val="22"/>
          <w:shd w:val="clear" w:color="auto" w:fill="FFFFFF"/>
        </w:rPr>
        <w:t>T</w:t>
      </w:r>
      <w:r w:rsidR="0020781F">
        <w:rPr>
          <w:rStyle w:val="normaltextrun"/>
          <w:color w:val="000000"/>
          <w:sz w:val="22"/>
          <w:szCs w:val="22"/>
          <w:shd w:val="clear" w:color="auto" w:fill="FFFFFF"/>
        </w:rPr>
        <w:t>he assessment</w:t>
      </w:r>
      <w:r w:rsidR="009B50AB">
        <w:rPr>
          <w:rStyle w:val="normaltextrun"/>
          <w:color w:val="000000"/>
          <w:sz w:val="22"/>
          <w:szCs w:val="22"/>
          <w:shd w:val="clear" w:color="auto" w:fill="FFFFFF"/>
        </w:rPr>
        <w:t xml:space="preserve"> of pests against the emerging pest criteria</w:t>
      </w:r>
      <w:r w:rsidR="00114271">
        <w:rPr>
          <w:rStyle w:val="normaltextrun"/>
          <w:color w:val="000000"/>
          <w:sz w:val="22"/>
          <w:szCs w:val="22"/>
          <w:shd w:val="clear" w:color="auto" w:fill="FFFFFF"/>
        </w:rPr>
        <w:t xml:space="preserve"> should</w:t>
      </w:r>
      <w:r w:rsidR="00AC3E8A">
        <w:rPr>
          <w:rStyle w:val="normaltextrun"/>
          <w:color w:val="000000"/>
          <w:sz w:val="22"/>
          <w:szCs w:val="22"/>
          <w:shd w:val="clear" w:color="auto" w:fill="FFFFFF"/>
        </w:rPr>
        <w:t xml:space="preserve"> therefore</w:t>
      </w:r>
      <w:r w:rsidR="00114271">
        <w:rPr>
          <w:rStyle w:val="normaltextrun"/>
          <w:color w:val="000000"/>
          <w:sz w:val="22"/>
          <w:szCs w:val="22"/>
          <w:shd w:val="clear" w:color="auto" w:fill="FFFFFF"/>
        </w:rPr>
        <w:t xml:space="preserve"> </w:t>
      </w:r>
      <w:r w:rsidR="007935B7">
        <w:rPr>
          <w:rStyle w:val="normaltextrun"/>
          <w:color w:val="000000"/>
          <w:sz w:val="22"/>
          <w:szCs w:val="22"/>
          <w:shd w:val="clear" w:color="auto" w:fill="FFFFFF"/>
        </w:rPr>
        <w:t>be carried out speedily</w:t>
      </w:r>
      <w:r w:rsidR="00CE264F">
        <w:rPr>
          <w:rStyle w:val="normaltextrun"/>
          <w:color w:val="000000"/>
          <w:sz w:val="22"/>
          <w:szCs w:val="22"/>
          <w:shd w:val="clear" w:color="auto" w:fill="FFFFFF"/>
        </w:rPr>
        <w:t>, relying more on expert judgement than extensive analysis</w:t>
      </w:r>
      <w:r w:rsidR="009B50AB">
        <w:rPr>
          <w:rStyle w:val="normaltextrun"/>
          <w:color w:val="000000"/>
          <w:sz w:val="22"/>
          <w:szCs w:val="22"/>
          <w:shd w:val="clear" w:color="auto" w:fill="FFFFFF"/>
        </w:rPr>
        <w:t>.</w:t>
      </w:r>
    </w:p>
    <w:p w14:paraId="70844CCE" w14:textId="08F403B9" w:rsidR="00A40E34" w:rsidRDefault="00A40E34" w:rsidP="00435B0E">
      <w:pPr>
        <w:spacing w:after="200" w:line="276" w:lineRule="auto"/>
        <w:rPr>
          <w:rStyle w:val="normaltextrun"/>
          <w:color w:val="000000"/>
          <w:sz w:val="22"/>
          <w:szCs w:val="22"/>
          <w:shd w:val="clear" w:color="auto" w:fill="FFFFFF"/>
        </w:rPr>
      </w:pPr>
      <w:r w:rsidRPr="00A40E34">
        <w:rPr>
          <w:rFonts w:ascii="Times New Roman" w:eastAsia="MS Mincho" w:hAnsi="Times New Roman"/>
          <w:noProof/>
          <w:kern w:val="0"/>
          <w:sz w:val="22"/>
          <w:szCs w:val="24"/>
          <w14:ligatures w14:val="none"/>
        </w:rPr>
        <w:lastRenderedPageBreak/>
        <w:drawing>
          <wp:inline distT="0" distB="0" distL="0" distR="0" wp14:anchorId="143F8AA7" wp14:editId="2797BB72">
            <wp:extent cx="5688906" cy="3202452"/>
            <wp:effectExtent l="19050" t="19050" r="26670" b="17145"/>
            <wp:docPr id="637322899"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22899" name="Picture 1" descr="A diagram of a proces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031" cy="3227292"/>
                    </a:xfrm>
                    <a:prstGeom prst="rect">
                      <a:avLst/>
                    </a:prstGeom>
                    <a:noFill/>
                    <a:ln>
                      <a:solidFill>
                        <a:sysClr val="window" lastClr="FFFFFF">
                          <a:lumMod val="50000"/>
                        </a:sysClr>
                      </a:solidFill>
                    </a:ln>
                  </pic:spPr>
                </pic:pic>
              </a:graphicData>
            </a:graphic>
          </wp:inline>
        </w:drawing>
      </w:r>
    </w:p>
    <w:p w14:paraId="21AFF924" w14:textId="49C589A2" w:rsidR="00A40E34" w:rsidRPr="00A40E34" w:rsidRDefault="00A40E34" w:rsidP="00435B0E">
      <w:pPr>
        <w:spacing w:after="200" w:line="276" w:lineRule="auto"/>
        <w:rPr>
          <w:rStyle w:val="normaltextrun"/>
          <w:color w:val="000000"/>
          <w:shd w:val="clear" w:color="auto" w:fill="FFFFFF"/>
        </w:rPr>
      </w:pPr>
      <w:r w:rsidRPr="00A40E34">
        <w:rPr>
          <w:b/>
          <w:bCs/>
          <w:color w:val="000000"/>
          <w:shd w:val="clear" w:color="auto" w:fill="FFFFFF"/>
        </w:rPr>
        <w:t>Figure 1.</w:t>
      </w:r>
      <w:r w:rsidRPr="00A40E34">
        <w:rPr>
          <w:color w:val="000000"/>
          <w:shd w:val="clear" w:color="auto" w:fill="FFFFFF"/>
        </w:rPr>
        <w:t xml:space="preserve"> Process for identifying, no</w:t>
      </w:r>
      <w:r>
        <w:rPr>
          <w:color w:val="000000"/>
          <w:shd w:val="clear" w:color="auto" w:fill="FFFFFF"/>
        </w:rPr>
        <w:t>minating</w:t>
      </w:r>
      <w:r w:rsidRPr="00A40E34">
        <w:rPr>
          <w:color w:val="000000"/>
          <w:shd w:val="clear" w:color="auto" w:fill="FFFFFF"/>
        </w:rPr>
        <w:t xml:space="preserve"> and assessing emerging pests of IPPC global concern in</w:t>
      </w:r>
      <w:r w:rsidR="00906DD4">
        <w:rPr>
          <w:color w:val="000000"/>
          <w:shd w:val="clear" w:color="auto" w:fill="FFFFFF"/>
        </w:rPr>
        <w:t xml:space="preserve"> the</w:t>
      </w:r>
      <w:r w:rsidRPr="00A40E34">
        <w:rPr>
          <w:color w:val="000000"/>
          <w:shd w:val="clear" w:color="auto" w:fill="FFFFFF"/>
        </w:rPr>
        <w:t xml:space="preserve"> POARS</w:t>
      </w:r>
      <w:r>
        <w:rPr>
          <w:color w:val="000000"/>
          <w:shd w:val="clear" w:color="auto" w:fill="FFFFFF"/>
        </w:rPr>
        <w:t>.</w:t>
      </w:r>
      <w:r w:rsidRPr="00A40E34">
        <w:rPr>
          <w:color w:val="000000"/>
          <w:shd w:val="clear" w:color="auto" w:fill="FFFFFF"/>
          <w:lang w:val="en-US"/>
        </w:rPr>
        <w:t> </w:t>
      </w:r>
    </w:p>
    <w:p w14:paraId="05CBB639" w14:textId="7FD77676" w:rsidR="001C51A7" w:rsidRPr="00A300C0" w:rsidRDefault="001C51A7" w:rsidP="001C51A7">
      <w:pPr>
        <w:spacing w:before="240" w:after="120"/>
        <w:rPr>
          <w:rFonts w:eastAsia="Arial"/>
          <w:b/>
          <w:bCs/>
          <w:color w:val="008938"/>
          <w:kern w:val="0"/>
          <w:sz w:val="40"/>
          <w:szCs w:val="28"/>
          <w14:ligatures w14:val="none"/>
        </w:rPr>
      </w:pPr>
      <w:r>
        <w:rPr>
          <w:rFonts w:eastAsia="Arial"/>
          <w:b/>
          <w:bCs/>
          <w:color w:val="008938"/>
          <w:kern w:val="0"/>
          <w:sz w:val="40"/>
          <w:szCs w:val="28"/>
          <w14:ligatures w14:val="none"/>
        </w:rPr>
        <w:t>Criteria</w:t>
      </w:r>
    </w:p>
    <w:p w14:paraId="330BB1D2" w14:textId="3A2E910D" w:rsidR="00A40E34" w:rsidRDefault="00A40E34" w:rsidP="00906DD4">
      <w:pPr>
        <w:spacing w:before="240" w:after="120" w:line="276" w:lineRule="auto"/>
        <w:rPr>
          <w:sz w:val="22"/>
          <w:szCs w:val="22"/>
        </w:rPr>
      </w:pPr>
      <w:r>
        <w:rPr>
          <w:sz w:val="22"/>
          <w:szCs w:val="22"/>
        </w:rPr>
        <w:t>The emerging pest criteria are split into three steps:</w:t>
      </w:r>
    </w:p>
    <w:p w14:paraId="64BF1D31" w14:textId="77777777" w:rsidR="00A40E34" w:rsidRDefault="00A40E34" w:rsidP="00906DD4">
      <w:pPr>
        <w:pStyle w:val="ListParagraph"/>
        <w:numPr>
          <w:ilvl w:val="0"/>
          <w:numId w:val="1"/>
        </w:numPr>
        <w:spacing w:before="240" w:after="120" w:line="276" w:lineRule="auto"/>
        <w:rPr>
          <w:sz w:val="22"/>
          <w:szCs w:val="22"/>
        </w:rPr>
      </w:pPr>
      <w:r w:rsidRPr="00A40E34">
        <w:rPr>
          <w:sz w:val="22"/>
          <w:szCs w:val="22"/>
        </w:rPr>
        <w:t>Initiat</w:t>
      </w:r>
      <w:r>
        <w:rPr>
          <w:sz w:val="22"/>
          <w:szCs w:val="22"/>
        </w:rPr>
        <w:t>ion – to show the pest is spreading and is not yet widespread</w:t>
      </w:r>
    </w:p>
    <w:p w14:paraId="1ED5A298" w14:textId="1A7BB9F3" w:rsidR="00A40E34" w:rsidRDefault="00A40E34" w:rsidP="00906DD4">
      <w:pPr>
        <w:pStyle w:val="ListParagraph"/>
        <w:numPr>
          <w:ilvl w:val="0"/>
          <w:numId w:val="1"/>
        </w:numPr>
        <w:spacing w:before="240" w:after="120" w:line="276" w:lineRule="auto"/>
        <w:rPr>
          <w:sz w:val="22"/>
          <w:szCs w:val="22"/>
        </w:rPr>
      </w:pPr>
      <w:r>
        <w:rPr>
          <w:sz w:val="22"/>
          <w:szCs w:val="22"/>
        </w:rPr>
        <w:t>Current impact – to show the pest is already economically and/or environmentally damaging</w:t>
      </w:r>
    </w:p>
    <w:p w14:paraId="40E217ED" w14:textId="5F4DB8DB" w:rsidR="00A40E34" w:rsidRPr="00906DD4" w:rsidRDefault="226C6504" w:rsidP="00906DD4">
      <w:pPr>
        <w:pStyle w:val="ListParagraph"/>
        <w:numPr>
          <w:ilvl w:val="0"/>
          <w:numId w:val="1"/>
        </w:numPr>
        <w:spacing w:before="240" w:after="120" w:line="276" w:lineRule="auto"/>
        <w:rPr>
          <w:sz w:val="22"/>
          <w:szCs w:val="22"/>
        </w:rPr>
      </w:pPr>
      <w:r w:rsidRPr="2D9E63C3">
        <w:rPr>
          <w:sz w:val="22"/>
          <w:szCs w:val="22"/>
        </w:rPr>
        <w:t>Risk evidence – to show the pest is capable of entering</w:t>
      </w:r>
      <w:r w:rsidR="537F619D" w:rsidRPr="2D9E63C3">
        <w:rPr>
          <w:sz w:val="22"/>
          <w:szCs w:val="22"/>
        </w:rPr>
        <w:t xml:space="preserve">, </w:t>
      </w:r>
      <w:r w:rsidR="537F619D" w:rsidRPr="00F22A11">
        <w:rPr>
          <w:sz w:val="22"/>
          <w:szCs w:val="22"/>
        </w:rPr>
        <w:t>establishing</w:t>
      </w:r>
      <w:r w:rsidRPr="2D9E63C3">
        <w:rPr>
          <w:sz w:val="22"/>
          <w:szCs w:val="22"/>
        </w:rPr>
        <w:t xml:space="preserve"> and causing substantial impacts in new areas, and will be difficult to manage once introduced</w:t>
      </w:r>
    </w:p>
    <w:p w14:paraId="27890A5D" w14:textId="39B332F9" w:rsidR="00906DD4" w:rsidRDefault="00A40E34" w:rsidP="00906DD4">
      <w:pPr>
        <w:spacing w:before="240" w:after="120" w:line="276" w:lineRule="auto"/>
        <w:rPr>
          <w:sz w:val="22"/>
          <w:szCs w:val="22"/>
        </w:rPr>
      </w:pPr>
      <w:r>
        <w:rPr>
          <w:sz w:val="22"/>
          <w:szCs w:val="22"/>
        </w:rPr>
        <w:t xml:space="preserve">The </w:t>
      </w:r>
      <w:r w:rsidR="00906DD4">
        <w:rPr>
          <w:sz w:val="22"/>
          <w:szCs w:val="22"/>
        </w:rPr>
        <w:t xml:space="preserve">full set of </w:t>
      </w:r>
      <w:r>
        <w:rPr>
          <w:sz w:val="22"/>
          <w:szCs w:val="22"/>
        </w:rPr>
        <w:t>emerging pest criteria are below</w:t>
      </w:r>
      <w:r w:rsidR="00906DD4">
        <w:rPr>
          <w:sz w:val="22"/>
          <w:szCs w:val="22"/>
        </w:rPr>
        <w:t xml:space="preserve"> (table 1).</w:t>
      </w:r>
    </w:p>
    <w:p w14:paraId="44B903D0" w14:textId="73D5D6F8" w:rsidR="00A40E34" w:rsidRPr="00906DD4" w:rsidRDefault="00906DD4" w:rsidP="00906DD4">
      <w:pPr>
        <w:spacing w:before="240" w:after="120" w:line="276" w:lineRule="auto"/>
      </w:pPr>
      <w:r w:rsidRPr="00906DD4">
        <w:rPr>
          <w:b/>
          <w:bCs/>
        </w:rPr>
        <w:t>Table 1.</w:t>
      </w:r>
      <w:r w:rsidRPr="00906DD4">
        <w:t xml:space="preserve"> Emerging pest criteria.</w:t>
      </w:r>
    </w:p>
    <w:tbl>
      <w:tblPr>
        <w:tblStyle w:val="TableGrid"/>
        <w:tblW w:w="0" w:type="auto"/>
        <w:tblLook w:val="04A0" w:firstRow="1" w:lastRow="0" w:firstColumn="1" w:lastColumn="0" w:noHBand="0" w:noVBand="1"/>
      </w:tblPr>
      <w:tblGrid>
        <w:gridCol w:w="2174"/>
        <w:gridCol w:w="4117"/>
        <w:gridCol w:w="2725"/>
      </w:tblGrid>
      <w:tr w:rsidR="00906DD4" w:rsidRPr="00906DD4" w14:paraId="77B9042C" w14:textId="77777777" w:rsidTr="2D9E63C3">
        <w:tc>
          <w:tcPr>
            <w:tcW w:w="0" w:type="auto"/>
          </w:tcPr>
          <w:p w14:paraId="0AA8AB29" w14:textId="77777777" w:rsidR="00906DD4" w:rsidRPr="00906DD4" w:rsidRDefault="00906DD4" w:rsidP="00906DD4">
            <w:pPr>
              <w:spacing w:line="276" w:lineRule="auto"/>
              <w:rPr>
                <w:sz w:val="22"/>
                <w:szCs w:val="22"/>
              </w:rPr>
            </w:pPr>
            <w:r w:rsidRPr="00906DD4">
              <w:rPr>
                <w:sz w:val="22"/>
                <w:szCs w:val="22"/>
              </w:rPr>
              <w:t>Criterion</w:t>
            </w:r>
          </w:p>
        </w:tc>
        <w:tc>
          <w:tcPr>
            <w:tcW w:w="0" w:type="auto"/>
          </w:tcPr>
          <w:p w14:paraId="03BB0756" w14:textId="77777777" w:rsidR="00906DD4" w:rsidRPr="00906DD4" w:rsidRDefault="00906DD4" w:rsidP="00906DD4">
            <w:pPr>
              <w:spacing w:line="276" w:lineRule="auto"/>
              <w:rPr>
                <w:sz w:val="22"/>
                <w:szCs w:val="22"/>
              </w:rPr>
            </w:pPr>
            <w:r w:rsidRPr="00906DD4">
              <w:rPr>
                <w:sz w:val="22"/>
                <w:szCs w:val="22"/>
              </w:rPr>
              <w:t>Description</w:t>
            </w:r>
          </w:p>
        </w:tc>
        <w:tc>
          <w:tcPr>
            <w:tcW w:w="0" w:type="auto"/>
          </w:tcPr>
          <w:p w14:paraId="39150DA3" w14:textId="77777777" w:rsidR="00906DD4" w:rsidRPr="00906DD4" w:rsidRDefault="00906DD4" w:rsidP="00906DD4">
            <w:pPr>
              <w:spacing w:line="276" w:lineRule="auto"/>
              <w:rPr>
                <w:sz w:val="22"/>
                <w:szCs w:val="22"/>
              </w:rPr>
            </w:pPr>
            <w:r w:rsidRPr="00906DD4">
              <w:rPr>
                <w:sz w:val="22"/>
                <w:szCs w:val="22"/>
              </w:rPr>
              <w:t xml:space="preserve">Condition to pass </w:t>
            </w:r>
          </w:p>
        </w:tc>
      </w:tr>
      <w:tr w:rsidR="00906DD4" w:rsidRPr="00906DD4" w14:paraId="6CB2ADED" w14:textId="77777777" w:rsidTr="2D9E63C3">
        <w:tc>
          <w:tcPr>
            <w:tcW w:w="0" w:type="auto"/>
            <w:gridSpan w:val="3"/>
            <w:shd w:val="clear" w:color="auto" w:fill="F2F2F2" w:themeFill="background1" w:themeFillShade="F2"/>
          </w:tcPr>
          <w:p w14:paraId="0FE203A6" w14:textId="77777777" w:rsidR="00906DD4" w:rsidRPr="00906DD4" w:rsidRDefault="00906DD4" w:rsidP="00906DD4">
            <w:pPr>
              <w:spacing w:line="276" w:lineRule="auto"/>
              <w:rPr>
                <w:sz w:val="22"/>
                <w:szCs w:val="22"/>
              </w:rPr>
            </w:pPr>
            <w:r w:rsidRPr="00906DD4">
              <w:rPr>
                <w:sz w:val="22"/>
                <w:szCs w:val="22"/>
              </w:rPr>
              <w:t>Step 1: Initiation</w:t>
            </w:r>
          </w:p>
        </w:tc>
      </w:tr>
      <w:tr w:rsidR="00906DD4" w:rsidRPr="00906DD4" w14:paraId="544B897A" w14:textId="77777777" w:rsidTr="2D9E63C3">
        <w:tc>
          <w:tcPr>
            <w:tcW w:w="0" w:type="auto"/>
          </w:tcPr>
          <w:p w14:paraId="1DC746E6" w14:textId="2C389F10" w:rsidR="00906DD4" w:rsidRPr="00906DD4" w:rsidRDefault="6A09A513" w:rsidP="00906DD4">
            <w:pPr>
              <w:spacing w:line="276" w:lineRule="auto"/>
              <w:rPr>
                <w:sz w:val="22"/>
                <w:szCs w:val="22"/>
              </w:rPr>
            </w:pPr>
            <w:r w:rsidRPr="2D9E63C3">
              <w:rPr>
                <w:sz w:val="22"/>
                <w:szCs w:val="22"/>
              </w:rPr>
              <w:t>Recent geographical spread</w:t>
            </w:r>
          </w:p>
        </w:tc>
        <w:tc>
          <w:tcPr>
            <w:tcW w:w="0" w:type="auto"/>
          </w:tcPr>
          <w:p w14:paraId="00F7AB51" w14:textId="3213D89B" w:rsidR="00906DD4" w:rsidRPr="00906DD4" w:rsidRDefault="6A09A513" w:rsidP="00906DD4">
            <w:pPr>
              <w:spacing w:line="276" w:lineRule="auto"/>
              <w:rPr>
                <w:sz w:val="22"/>
                <w:szCs w:val="22"/>
              </w:rPr>
            </w:pPr>
            <w:r w:rsidRPr="00906DD4">
              <w:rPr>
                <w:sz w:val="22"/>
                <w:szCs w:val="22"/>
                <w:lang w:val="en-US"/>
              </w:rPr>
              <w:t>Recent pest outbreaks</w:t>
            </w:r>
            <w:r w:rsidR="00906DD4" w:rsidRPr="00906DD4">
              <w:rPr>
                <w:sz w:val="22"/>
                <w:szCs w:val="22"/>
                <w:vertAlign w:val="superscript"/>
                <w:lang w:val="en-US"/>
              </w:rPr>
              <w:footnoteReference w:id="2"/>
            </w:r>
            <w:r w:rsidRPr="00906DD4">
              <w:rPr>
                <w:sz w:val="22"/>
                <w:szCs w:val="22"/>
                <w:lang w:val="en-US"/>
              </w:rPr>
              <w:t xml:space="preserve"> are reported in more than one area, showing a</w:t>
            </w:r>
            <w:r w:rsidRPr="2D9E63C3">
              <w:rPr>
                <w:i/>
                <w:iCs/>
                <w:sz w:val="22"/>
                <w:szCs w:val="22"/>
                <w:lang w:val="en-US"/>
              </w:rPr>
              <w:t xml:space="preserve"> significant </w:t>
            </w:r>
            <w:r w:rsidRPr="00906DD4">
              <w:rPr>
                <w:sz w:val="22"/>
                <w:szCs w:val="22"/>
                <w:lang w:val="en-US"/>
              </w:rPr>
              <w:t xml:space="preserve">expansion of the pest’s </w:t>
            </w:r>
            <w:commentRangeStart w:id="2"/>
            <w:commentRangeStart w:id="3"/>
            <w:r w:rsidRPr="00906DD4">
              <w:rPr>
                <w:sz w:val="22"/>
                <w:szCs w:val="22"/>
                <w:lang w:val="en-US"/>
              </w:rPr>
              <w:t>range</w:t>
            </w:r>
            <w:commentRangeEnd w:id="2"/>
            <w:r w:rsidR="00906DD4">
              <w:commentReference w:id="2"/>
            </w:r>
            <w:commentRangeEnd w:id="3"/>
            <w:r w:rsidR="00EE48F3">
              <w:rPr>
                <w:rStyle w:val="CommentReference"/>
              </w:rPr>
              <w:commentReference w:id="3"/>
            </w:r>
            <w:r w:rsidRPr="00906DD4">
              <w:rPr>
                <w:sz w:val="22"/>
                <w:szCs w:val="22"/>
                <w:lang w:val="en-US"/>
              </w:rPr>
              <w:t xml:space="preserve">. </w:t>
            </w:r>
          </w:p>
        </w:tc>
        <w:tc>
          <w:tcPr>
            <w:tcW w:w="0" w:type="auto"/>
            <w:vMerge w:val="restart"/>
          </w:tcPr>
          <w:p w14:paraId="3873FA06" w14:textId="77777777" w:rsidR="00906DD4" w:rsidRPr="00906DD4" w:rsidRDefault="00906DD4" w:rsidP="00906DD4">
            <w:pPr>
              <w:spacing w:line="276" w:lineRule="auto"/>
              <w:rPr>
                <w:sz w:val="22"/>
                <w:szCs w:val="22"/>
              </w:rPr>
            </w:pPr>
            <w:r w:rsidRPr="00906DD4">
              <w:rPr>
                <w:sz w:val="22"/>
                <w:szCs w:val="22"/>
              </w:rPr>
              <w:t>Both criteria must be met to proceed to Step 2</w:t>
            </w:r>
          </w:p>
        </w:tc>
      </w:tr>
      <w:tr w:rsidR="00906DD4" w:rsidRPr="00906DD4" w14:paraId="19E28EBE" w14:textId="77777777" w:rsidTr="2D9E63C3">
        <w:tc>
          <w:tcPr>
            <w:tcW w:w="0" w:type="auto"/>
          </w:tcPr>
          <w:p w14:paraId="70E5F5B1" w14:textId="77777777" w:rsidR="00906DD4" w:rsidRPr="00906DD4" w:rsidRDefault="00906DD4" w:rsidP="00906DD4">
            <w:pPr>
              <w:spacing w:line="276" w:lineRule="auto"/>
              <w:rPr>
                <w:sz w:val="22"/>
                <w:szCs w:val="22"/>
              </w:rPr>
            </w:pPr>
            <w:r w:rsidRPr="00906DD4">
              <w:rPr>
                <w:sz w:val="22"/>
                <w:szCs w:val="22"/>
              </w:rPr>
              <w:t>Current distribution</w:t>
            </w:r>
          </w:p>
        </w:tc>
        <w:tc>
          <w:tcPr>
            <w:tcW w:w="0" w:type="auto"/>
          </w:tcPr>
          <w:p w14:paraId="410F887A" w14:textId="49A2549E" w:rsidR="00906DD4" w:rsidRPr="00906DD4" w:rsidRDefault="6A09A513" w:rsidP="00906DD4">
            <w:pPr>
              <w:spacing w:line="276" w:lineRule="auto"/>
              <w:rPr>
                <w:sz w:val="22"/>
                <w:szCs w:val="22"/>
              </w:rPr>
            </w:pPr>
            <w:r w:rsidRPr="00906DD4">
              <w:rPr>
                <w:sz w:val="22"/>
                <w:szCs w:val="22"/>
                <w:lang w:val="en-US"/>
              </w:rPr>
              <w:t>The pest has a limited distribution in its endangered area</w:t>
            </w:r>
            <w:r w:rsidR="00906DD4" w:rsidRPr="00906DD4">
              <w:rPr>
                <w:sz w:val="22"/>
                <w:szCs w:val="22"/>
                <w:vertAlign w:val="superscript"/>
                <w:lang w:val="en-US"/>
              </w:rPr>
              <w:footnoteReference w:id="3"/>
            </w:r>
            <w:r w:rsidRPr="00906DD4">
              <w:rPr>
                <w:sz w:val="22"/>
                <w:szCs w:val="22"/>
                <w:lang w:val="en-US"/>
              </w:rPr>
              <w:t xml:space="preserve">. </w:t>
            </w:r>
          </w:p>
        </w:tc>
        <w:tc>
          <w:tcPr>
            <w:tcW w:w="0" w:type="auto"/>
            <w:vMerge/>
          </w:tcPr>
          <w:p w14:paraId="0BF38FDB" w14:textId="77777777" w:rsidR="00906DD4" w:rsidRPr="00906DD4" w:rsidRDefault="00906DD4" w:rsidP="00906DD4">
            <w:pPr>
              <w:spacing w:line="276" w:lineRule="auto"/>
              <w:rPr>
                <w:sz w:val="22"/>
                <w:szCs w:val="22"/>
              </w:rPr>
            </w:pPr>
          </w:p>
        </w:tc>
      </w:tr>
      <w:tr w:rsidR="00906DD4" w:rsidRPr="00906DD4" w14:paraId="1C51C5D0" w14:textId="77777777" w:rsidTr="2D9E63C3">
        <w:tc>
          <w:tcPr>
            <w:tcW w:w="0" w:type="auto"/>
            <w:gridSpan w:val="3"/>
            <w:shd w:val="clear" w:color="auto" w:fill="F2F2F2" w:themeFill="background1" w:themeFillShade="F2"/>
          </w:tcPr>
          <w:p w14:paraId="238ABBC2" w14:textId="77777777" w:rsidR="00906DD4" w:rsidRPr="00906DD4" w:rsidRDefault="00906DD4" w:rsidP="00906DD4">
            <w:pPr>
              <w:spacing w:line="276" w:lineRule="auto"/>
              <w:rPr>
                <w:sz w:val="22"/>
                <w:szCs w:val="22"/>
              </w:rPr>
            </w:pPr>
            <w:r w:rsidRPr="00906DD4">
              <w:rPr>
                <w:sz w:val="22"/>
                <w:szCs w:val="22"/>
              </w:rPr>
              <w:t>Step 2: Current Impact</w:t>
            </w:r>
          </w:p>
        </w:tc>
      </w:tr>
      <w:tr w:rsidR="00906DD4" w:rsidRPr="00906DD4" w14:paraId="299C78D9" w14:textId="77777777" w:rsidTr="2D9E63C3">
        <w:tc>
          <w:tcPr>
            <w:tcW w:w="0" w:type="auto"/>
          </w:tcPr>
          <w:p w14:paraId="081E8938" w14:textId="77777777" w:rsidR="00906DD4" w:rsidRPr="00906DD4" w:rsidRDefault="00906DD4" w:rsidP="00906DD4">
            <w:pPr>
              <w:spacing w:line="276" w:lineRule="auto"/>
              <w:rPr>
                <w:sz w:val="22"/>
                <w:szCs w:val="22"/>
              </w:rPr>
            </w:pPr>
            <w:r w:rsidRPr="00906DD4">
              <w:rPr>
                <w:sz w:val="22"/>
                <w:szCs w:val="22"/>
              </w:rPr>
              <w:lastRenderedPageBreak/>
              <w:t>Economic impact</w:t>
            </w:r>
          </w:p>
        </w:tc>
        <w:tc>
          <w:tcPr>
            <w:tcW w:w="0" w:type="auto"/>
          </w:tcPr>
          <w:p w14:paraId="1682D5DB" w14:textId="77777777" w:rsidR="00906DD4" w:rsidRPr="00906DD4" w:rsidRDefault="00906DD4" w:rsidP="00906DD4">
            <w:pPr>
              <w:spacing w:line="276" w:lineRule="auto"/>
              <w:rPr>
                <w:sz w:val="22"/>
                <w:szCs w:val="22"/>
                <w:lang w:val="en-US"/>
              </w:rPr>
            </w:pPr>
            <w:r w:rsidRPr="00906DD4">
              <w:rPr>
                <w:sz w:val="22"/>
                <w:szCs w:val="22"/>
              </w:rPr>
              <w:t>The pest is causing substantial economic impact according to what is described in ISPM 11 and supplement 2 of ISPM 5</w:t>
            </w:r>
            <w:r w:rsidRPr="00906DD4">
              <w:rPr>
                <w:sz w:val="22"/>
                <w:szCs w:val="22"/>
                <w:vertAlign w:val="superscript"/>
              </w:rPr>
              <w:footnoteReference w:id="4"/>
            </w:r>
            <w:r w:rsidRPr="00906DD4">
              <w:rPr>
                <w:sz w:val="22"/>
                <w:szCs w:val="22"/>
                <w:lang w:val="en-US"/>
              </w:rPr>
              <w:t xml:space="preserve">. </w:t>
            </w:r>
            <w:r w:rsidRPr="00906DD4">
              <w:rPr>
                <w:sz w:val="22"/>
                <w:szCs w:val="22"/>
              </w:rPr>
              <w:t xml:space="preserve"> </w:t>
            </w:r>
          </w:p>
          <w:p w14:paraId="3452E1FD" w14:textId="77777777" w:rsidR="00906DD4" w:rsidRPr="00906DD4" w:rsidRDefault="00906DD4" w:rsidP="00906DD4">
            <w:pPr>
              <w:spacing w:line="276" w:lineRule="auto"/>
              <w:rPr>
                <w:sz w:val="22"/>
                <w:szCs w:val="22"/>
                <w:lang w:val="en-US"/>
              </w:rPr>
            </w:pPr>
          </w:p>
        </w:tc>
        <w:tc>
          <w:tcPr>
            <w:tcW w:w="0" w:type="auto"/>
            <w:vMerge w:val="restart"/>
          </w:tcPr>
          <w:p w14:paraId="6AB47FEC" w14:textId="77777777" w:rsidR="00906DD4" w:rsidRPr="00906DD4" w:rsidRDefault="00906DD4" w:rsidP="00906DD4">
            <w:pPr>
              <w:spacing w:line="276" w:lineRule="auto"/>
              <w:rPr>
                <w:sz w:val="22"/>
                <w:szCs w:val="22"/>
              </w:rPr>
            </w:pPr>
            <w:r w:rsidRPr="00906DD4">
              <w:rPr>
                <w:sz w:val="22"/>
                <w:szCs w:val="22"/>
              </w:rPr>
              <w:t>At least one criterion must be met to proceed to Step 3</w:t>
            </w:r>
          </w:p>
        </w:tc>
      </w:tr>
      <w:tr w:rsidR="00906DD4" w:rsidRPr="00906DD4" w14:paraId="4831C330" w14:textId="77777777" w:rsidTr="2D9E63C3">
        <w:tc>
          <w:tcPr>
            <w:tcW w:w="0" w:type="auto"/>
          </w:tcPr>
          <w:p w14:paraId="72D4D6D3" w14:textId="77777777" w:rsidR="00906DD4" w:rsidRPr="00906DD4" w:rsidRDefault="00906DD4" w:rsidP="00906DD4">
            <w:pPr>
              <w:spacing w:line="276" w:lineRule="auto"/>
              <w:rPr>
                <w:sz w:val="22"/>
                <w:szCs w:val="22"/>
              </w:rPr>
            </w:pPr>
            <w:r w:rsidRPr="00906DD4">
              <w:rPr>
                <w:sz w:val="22"/>
                <w:szCs w:val="22"/>
              </w:rPr>
              <w:t>Environmental impact</w:t>
            </w:r>
          </w:p>
        </w:tc>
        <w:tc>
          <w:tcPr>
            <w:tcW w:w="0" w:type="auto"/>
          </w:tcPr>
          <w:p w14:paraId="6A424D1E" w14:textId="77777777" w:rsidR="00906DD4" w:rsidRPr="00906DD4" w:rsidRDefault="00906DD4" w:rsidP="00906DD4">
            <w:pPr>
              <w:spacing w:line="276" w:lineRule="auto"/>
              <w:rPr>
                <w:sz w:val="22"/>
                <w:szCs w:val="22"/>
                <w:lang w:val="en-US"/>
              </w:rPr>
            </w:pPr>
            <w:r w:rsidRPr="00906DD4">
              <w:rPr>
                <w:sz w:val="22"/>
                <w:szCs w:val="22"/>
              </w:rPr>
              <w:t>The pest is causing substantial environmental impact according to what is described in ISPM 11 and supplement 2 of ISPM 5</w:t>
            </w:r>
            <w:r w:rsidRPr="00906DD4">
              <w:rPr>
                <w:sz w:val="22"/>
                <w:szCs w:val="22"/>
                <w:vertAlign w:val="superscript"/>
              </w:rPr>
              <w:footnoteReference w:id="5"/>
            </w:r>
            <w:r w:rsidRPr="00906DD4">
              <w:rPr>
                <w:sz w:val="22"/>
                <w:szCs w:val="22"/>
                <w:lang w:val="en-US"/>
              </w:rPr>
              <w:t xml:space="preserve">. </w:t>
            </w:r>
            <w:r w:rsidRPr="00906DD4">
              <w:rPr>
                <w:sz w:val="22"/>
                <w:szCs w:val="22"/>
              </w:rPr>
              <w:t xml:space="preserve">  </w:t>
            </w:r>
          </w:p>
          <w:p w14:paraId="0C956A78" w14:textId="77777777" w:rsidR="00906DD4" w:rsidRPr="00906DD4" w:rsidRDefault="00906DD4" w:rsidP="00906DD4">
            <w:pPr>
              <w:spacing w:line="276" w:lineRule="auto"/>
              <w:rPr>
                <w:sz w:val="22"/>
                <w:szCs w:val="22"/>
                <w:lang w:val="en-US"/>
              </w:rPr>
            </w:pPr>
          </w:p>
        </w:tc>
        <w:tc>
          <w:tcPr>
            <w:tcW w:w="0" w:type="auto"/>
            <w:vMerge/>
          </w:tcPr>
          <w:p w14:paraId="5B2226A7" w14:textId="77777777" w:rsidR="00906DD4" w:rsidRPr="00906DD4" w:rsidRDefault="00906DD4" w:rsidP="00906DD4">
            <w:pPr>
              <w:spacing w:line="276" w:lineRule="auto"/>
              <w:rPr>
                <w:sz w:val="22"/>
                <w:szCs w:val="22"/>
              </w:rPr>
            </w:pPr>
          </w:p>
        </w:tc>
      </w:tr>
      <w:tr w:rsidR="00906DD4" w:rsidRPr="00906DD4" w14:paraId="5394B4C4" w14:textId="77777777" w:rsidTr="2D9E63C3">
        <w:tc>
          <w:tcPr>
            <w:tcW w:w="0" w:type="auto"/>
            <w:gridSpan w:val="3"/>
            <w:shd w:val="clear" w:color="auto" w:fill="F2F2F2" w:themeFill="background1" w:themeFillShade="F2"/>
          </w:tcPr>
          <w:p w14:paraId="3819DF35" w14:textId="77777777" w:rsidR="00906DD4" w:rsidRPr="00906DD4" w:rsidRDefault="00906DD4" w:rsidP="00906DD4">
            <w:pPr>
              <w:spacing w:line="276" w:lineRule="auto"/>
              <w:rPr>
                <w:sz w:val="22"/>
                <w:szCs w:val="22"/>
              </w:rPr>
            </w:pPr>
            <w:r w:rsidRPr="00906DD4">
              <w:rPr>
                <w:sz w:val="22"/>
                <w:szCs w:val="22"/>
              </w:rPr>
              <w:t>Step 3: Risk Evidence</w:t>
            </w:r>
          </w:p>
        </w:tc>
      </w:tr>
      <w:tr w:rsidR="00906DD4" w:rsidRPr="00906DD4" w14:paraId="0A5FDDB9" w14:textId="77777777" w:rsidTr="2D9E63C3">
        <w:tc>
          <w:tcPr>
            <w:tcW w:w="0" w:type="auto"/>
          </w:tcPr>
          <w:p w14:paraId="0AE7AC1B" w14:textId="71E597EC" w:rsidR="00906DD4" w:rsidRPr="00906DD4" w:rsidRDefault="6A09A513" w:rsidP="2D9E63C3">
            <w:pPr>
              <w:spacing w:line="276" w:lineRule="auto"/>
              <w:rPr>
                <w:sz w:val="22"/>
                <w:szCs w:val="22"/>
              </w:rPr>
            </w:pPr>
            <w:r w:rsidRPr="2D9E63C3">
              <w:rPr>
                <w:sz w:val="22"/>
                <w:szCs w:val="22"/>
                <w:lang w:val="en-US"/>
              </w:rPr>
              <w:t>Likelihood of introduction into new areas</w:t>
            </w:r>
          </w:p>
        </w:tc>
        <w:tc>
          <w:tcPr>
            <w:tcW w:w="0" w:type="auto"/>
          </w:tcPr>
          <w:p w14:paraId="74C246AC" w14:textId="6619C69F" w:rsidR="00906DD4" w:rsidRPr="00906DD4" w:rsidRDefault="6A09A513" w:rsidP="2D9E63C3">
            <w:pPr>
              <w:spacing w:line="276" w:lineRule="auto"/>
              <w:rPr>
                <w:sz w:val="22"/>
                <w:szCs w:val="22"/>
              </w:rPr>
            </w:pPr>
            <w:r w:rsidRPr="2D9E63C3">
              <w:rPr>
                <w:sz w:val="22"/>
                <w:szCs w:val="22"/>
              </w:rPr>
              <w:t>The pest has a high likelihood of introduction in new areas based on assessment in line with ISPM 11.</w:t>
            </w:r>
          </w:p>
        </w:tc>
        <w:tc>
          <w:tcPr>
            <w:tcW w:w="0" w:type="auto"/>
            <w:vMerge w:val="restart"/>
          </w:tcPr>
          <w:p w14:paraId="5C1E1D88" w14:textId="5943BFDD" w:rsidR="00906DD4" w:rsidRPr="00906DD4" w:rsidRDefault="00906DD4" w:rsidP="00906DD4">
            <w:pPr>
              <w:spacing w:line="276" w:lineRule="auto"/>
              <w:rPr>
                <w:sz w:val="22"/>
                <w:szCs w:val="22"/>
              </w:rPr>
            </w:pPr>
            <w:r w:rsidRPr="79E28FA9">
              <w:rPr>
                <w:sz w:val="22"/>
                <w:szCs w:val="22"/>
              </w:rPr>
              <w:t xml:space="preserve">All conditions must be met to be classified as an emerging pest of </w:t>
            </w:r>
            <w:r w:rsidR="00236FFD">
              <w:rPr>
                <w:sz w:val="22"/>
                <w:szCs w:val="22"/>
              </w:rPr>
              <w:t>global</w:t>
            </w:r>
            <w:r w:rsidR="00236FFD" w:rsidRPr="79E28FA9">
              <w:rPr>
                <w:sz w:val="22"/>
                <w:szCs w:val="22"/>
              </w:rPr>
              <w:t xml:space="preserve"> </w:t>
            </w:r>
            <w:r w:rsidRPr="79E28FA9">
              <w:rPr>
                <w:sz w:val="22"/>
                <w:szCs w:val="22"/>
              </w:rPr>
              <w:t>concern.</w:t>
            </w:r>
          </w:p>
        </w:tc>
      </w:tr>
      <w:tr w:rsidR="00906DD4" w:rsidRPr="00906DD4" w14:paraId="7D76E896" w14:textId="77777777" w:rsidTr="2D9E63C3">
        <w:tc>
          <w:tcPr>
            <w:tcW w:w="0" w:type="auto"/>
          </w:tcPr>
          <w:p w14:paraId="1AC9CA97" w14:textId="77777777" w:rsidR="00906DD4" w:rsidRPr="00906DD4" w:rsidRDefault="00906DD4" w:rsidP="00906DD4">
            <w:pPr>
              <w:spacing w:line="276" w:lineRule="auto"/>
              <w:rPr>
                <w:sz w:val="22"/>
                <w:szCs w:val="22"/>
              </w:rPr>
            </w:pPr>
            <w:r w:rsidRPr="00906DD4">
              <w:rPr>
                <w:sz w:val="22"/>
                <w:szCs w:val="22"/>
              </w:rPr>
              <w:t>Scale of impacts in new areas</w:t>
            </w:r>
          </w:p>
        </w:tc>
        <w:tc>
          <w:tcPr>
            <w:tcW w:w="0" w:type="auto"/>
          </w:tcPr>
          <w:p w14:paraId="4A6DC82A" w14:textId="77777777" w:rsidR="00906DD4" w:rsidRPr="00906DD4" w:rsidRDefault="00906DD4" w:rsidP="00906DD4">
            <w:pPr>
              <w:spacing w:line="276" w:lineRule="auto"/>
              <w:rPr>
                <w:sz w:val="22"/>
                <w:szCs w:val="22"/>
              </w:rPr>
            </w:pPr>
            <w:r w:rsidRPr="00906DD4">
              <w:rPr>
                <w:sz w:val="22"/>
                <w:szCs w:val="22"/>
              </w:rPr>
              <w:t>The pest is likely to cause substantial impacts based on assessment in line with ISPM 11.</w:t>
            </w:r>
          </w:p>
        </w:tc>
        <w:tc>
          <w:tcPr>
            <w:tcW w:w="0" w:type="auto"/>
            <w:vMerge/>
          </w:tcPr>
          <w:p w14:paraId="70A4CDC5" w14:textId="77777777" w:rsidR="00906DD4" w:rsidRPr="00906DD4" w:rsidRDefault="00906DD4" w:rsidP="00906DD4">
            <w:pPr>
              <w:spacing w:line="276" w:lineRule="auto"/>
              <w:rPr>
                <w:sz w:val="22"/>
                <w:szCs w:val="22"/>
              </w:rPr>
            </w:pPr>
          </w:p>
        </w:tc>
      </w:tr>
      <w:tr w:rsidR="00906DD4" w:rsidRPr="00906DD4" w14:paraId="69B54566" w14:textId="77777777" w:rsidTr="2D9E63C3">
        <w:tc>
          <w:tcPr>
            <w:tcW w:w="0" w:type="auto"/>
          </w:tcPr>
          <w:p w14:paraId="55C5C398" w14:textId="77777777" w:rsidR="00906DD4" w:rsidRPr="00906DD4" w:rsidRDefault="00906DD4" w:rsidP="00906DD4">
            <w:pPr>
              <w:spacing w:line="276" w:lineRule="auto"/>
              <w:rPr>
                <w:sz w:val="22"/>
                <w:szCs w:val="22"/>
              </w:rPr>
            </w:pPr>
            <w:r w:rsidRPr="00906DD4">
              <w:rPr>
                <w:sz w:val="22"/>
                <w:szCs w:val="22"/>
              </w:rPr>
              <w:t>Risk management</w:t>
            </w:r>
          </w:p>
        </w:tc>
        <w:tc>
          <w:tcPr>
            <w:tcW w:w="0" w:type="auto"/>
          </w:tcPr>
          <w:p w14:paraId="1EED76DC" w14:textId="39BE10EB" w:rsidR="00906DD4" w:rsidRPr="00906DD4" w:rsidRDefault="00906DD4" w:rsidP="2D9E63C3">
            <w:pPr>
              <w:spacing w:line="276" w:lineRule="auto"/>
              <w:rPr>
                <w:sz w:val="22"/>
                <w:szCs w:val="22"/>
              </w:rPr>
            </w:pPr>
            <w:r w:rsidRPr="2D9E63C3">
              <w:rPr>
                <w:sz w:val="22"/>
                <w:szCs w:val="22"/>
              </w:rPr>
              <w:t>The pest risk is likely to be difficult to manage effectively in new areas.</w:t>
            </w:r>
          </w:p>
        </w:tc>
        <w:tc>
          <w:tcPr>
            <w:tcW w:w="0" w:type="auto"/>
            <w:vMerge/>
          </w:tcPr>
          <w:p w14:paraId="16F5AB31" w14:textId="77777777" w:rsidR="00906DD4" w:rsidRPr="00906DD4" w:rsidRDefault="00906DD4" w:rsidP="00906DD4">
            <w:pPr>
              <w:spacing w:line="276" w:lineRule="auto"/>
              <w:rPr>
                <w:sz w:val="22"/>
                <w:szCs w:val="22"/>
              </w:rPr>
            </w:pPr>
          </w:p>
        </w:tc>
      </w:tr>
    </w:tbl>
    <w:p w14:paraId="47A061C0" w14:textId="7B6630BC" w:rsidR="00A539FD" w:rsidRPr="00A539FD" w:rsidRDefault="00A539FD" w:rsidP="00A539FD">
      <w:pPr>
        <w:spacing w:before="240" w:after="120" w:line="276" w:lineRule="auto"/>
        <w:rPr>
          <w:sz w:val="22"/>
          <w:szCs w:val="22"/>
          <w:lang w:val="en-US"/>
        </w:rPr>
      </w:pPr>
      <w:r w:rsidRPr="00A539FD">
        <w:rPr>
          <w:sz w:val="22"/>
          <w:szCs w:val="22"/>
          <w:lang w:val="en-US"/>
        </w:rPr>
        <w:t xml:space="preserve">Based on the assessment, pests are categorized as follows: </w:t>
      </w:r>
    </w:p>
    <w:p w14:paraId="6ED2DC96" w14:textId="0BE28955" w:rsidR="00A539FD" w:rsidRPr="00A539FD" w:rsidRDefault="00A539FD" w:rsidP="00A539FD">
      <w:pPr>
        <w:numPr>
          <w:ilvl w:val="0"/>
          <w:numId w:val="2"/>
        </w:numPr>
        <w:spacing w:before="240" w:after="120" w:line="276" w:lineRule="auto"/>
        <w:rPr>
          <w:sz w:val="22"/>
          <w:szCs w:val="22"/>
          <w:lang w:val="en-US"/>
        </w:rPr>
      </w:pPr>
      <w:r w:rsidRPr="00A539FD">
        <w:rPr>
          <w:b/>
          <w:bCs/>
          <w:sz w:val="22"/>
          <w:szCs w:val="22"/>
          <w:lang w:val="en-US"/>
        </w:rPr>
        <w:t>Emerging pest</w:t>
      </w:r>
      <w:r w:rsidRPr="00047043">
        <w:rPr>
          <w:b/>
          <w:bCs/>
          <w:sz w:val="22"/>
          <w:szCs w:val="22"/>
          <w:lang w:val="en-US"/>
        </w:rPr>
        <w:t>:</w:t>
      </w:r>
      <w:r w:rsidRPr="00A539FD">
        <w:rPr>
          <w:sz w:val="22"/>
          <w:szCs w:val="22"/>
          <w:lang w:val="en-US"/>
        </w:rPr>
        <w:t xml:space="preserve"> A pest that meets the relevant criteria of all three steps.</w:t>
      </w:r>
    </w:p>
    <w:p w14:paraId="2A655E87" w14:textId="0F09DE95" w:rsidR="00A539FD" w:rsidRPr="00A539FD" w:rsidRDefault="0968256F" w:rsidP="00A539FD">
      <w:pPr>
        <w:numPr>
          <w:ilvl w:val="0"/>
          <w:numId w:val="2"/>
        </w:numPr>
        <w:spacing w:before="240" w:after="120" w:line="276" w:lineRule="auto"/>
        <w:rPr>
          <w:sz w:val="22"/>
          <w:szCs w:val="22"/>
          <w:lang w:val="en-US"/>
        </w:rPr>
      </w:pPr>
      <w:r w:rsidRPr="2D9E63C3">
        <w:rPr>
          <w:b/>
          <w:bCs/>
          <w:sz w:val="22"/>
          <w:szCs w:val="22"/>
          <w:lang w:val="en-US"/>
        </w:rPr>
        <w:t xml:space="preserve">Non-emerging </w:t>
      </w:r>
      <w:r w:rsidRPr="00047043">
        <w:rPr>
          <w:b/>
          <w:bCs/>
          <w:sz w:val="22"/>
          <w:szCs w:val="22"/>
          <w:lang w:val="en-US"/>
        </w:rPr>
        <w:t>pest</w:t>
      </w:r>
      <w:r w:rsidRPr="2D9E63C3">
        <w:rPr>
          <w:b/>
          <w:bCs/>
          <w:sz w:val="22"/>
          <w:szCs w:val="22"/>
          <w:lang w:val="en-US"/>
        </w:rPr>
        <w:t xml:space="preserve"> for the watch list:</w:t>
      </w:r>
      <w:r w:rsidRPr="2D9E63C3">
        <w:rPr>
          <w:sz w:val="22"/>
          <w:szCs w:val="22"/>
          <w:lang w:val="en-US"/>
        </w:rPr>
        <w:t xml:space="preserve"> Pests that meet the criteria of the first step but do not meet all the criteria at the current impact and risk evidence steps. For these pests, ongoing observation is proposed with reassessment if new information or data becomes available. </w:t>
      </w:r>
    </w:p>
    <w:p w14:paraId="71EE7DDE" w14:textId="30316FDD" w:rsidR="0028517E" w:rsidRPr="00812B64" w:rsidRDefault="00A539FD" w:rsidP="00A539FD">
      <w:pPr>
        <w:numPr>
          <w:ilvl w:val="0"/>
          <w:numId w:val="2"/>
        </w:numPr>
        <w:spacing w:before="240" w:after="120" w:line="276" w:lineRule="auto"/>
        <w:rPr>
          <w:sz w:val="22"/>
          <w:szCs w:val="22"/>
          <w:lang w:val="en-US"/>
        </w:rPr>
      </w:pPr>
      <w:r w:rsidRPr="634DD0D7">
        <w:rPr>
          <w:b/>
          <w:bCs/>
          <w:sz w:val="22"/>
          <w:szCs w:val="22"/>
        </w:rPr>
        <w:t>Non-emerging pest with no follow-up actions:</w:t>
      </w:r>
      <w:r w:rsidRPr="634DD0D7">
        <w:rPr>
          <w:sz w:val="22"/>
          <w:szCs w:val="22"/>
        </w:rPr>
        <w:t xml:space="preserve"> A pest that does not meet any of the criteria in Step 1 for initiation. </w:t>
      </w:r>
    </w:p>
    <w:p w14:paraId="7A723929" w14:textId="191912AF" w:rsidR="00A539FD" w:rsidRDefault="00A539FD" w:rsidP="00A539FD">
      <w:pPr>
        <w:spacing w:before="240" w:after="120" w:line="276" w:lineRule="auto"/>
        <w:rPr>
          <w:rFonts w:eastAsia="Arial"/>
          <w:b/>
          <w:bCs/>
          <w:iCs/>
          <w:kern w:val="0"/>
          <w:sz w:val="36"/>
          <w:szCs w:val="24"/>
          <w14:ligatures w14:val="none"/>
        </w:rPr>
      </w:pPr>
      <w:r>
        <w:rPr>
          <w:rFonts w:eastAsia="Arial"/>
          <w:b/>
          <w:bCs/>
          <w:iCs/>
          <w:kern w:val="0"/>
          <w:sz w:val="36"/>
          <w:szCs w:val="24"/>
          <w14:ligatures w14:val="none"/>
        </w:rPr>
        <w:t>Step 1 guidance</w:t>
      </w:r>
    </w:p>
    <w:p w14:paraId="3EC4F9F4" w14:textId="367E6297" w:rsidR="00A539FD" w:rsidRDefault="0968256F" w:rsidP="2D9E63C3">
      <w:pPr>
        <w:spacing w:before="240" w:after="120" w:line="276" w:lineRule="auto"/>
        <w:rPr>
          <w:rFonts w:eastAsia="Arial"/>
          <w:b/>
          <w:bCs/>
          <w:kern w:val="0"/>
          <w:sz w:val="32"/>
          <w:szCs w:val="32"/>
          <w14:ligatures w14:val="none"/>
        </w:rPr>
      </w:pPr>
      <w:r w:rsidRPr="2D9E63C3">
        <w:rPr>
          <w:rFonts w:eastAsia="Arial"/>
          <w:b/>
          <w:bCs/>
          <w:kern w:val="0"/>
          <w:sz w:val="32"/>
          <w:szCs w:val="32"/>
          <w14:ligatures w14:val="none"/>
        </w:rPr>
        <w:t>Recent geographical spread</w:t>
      </w:r>
    </w:p>
    <w:p w14:paraId="3D639F7D" w14:textId="583FC43E" w:rsidR="00173909" w:rsidRPr="009F6689" w:rsidRDefault="70CB82F5" w:rsidP="00AD667B">
      <w:pPr>
        <w:spacing w:before="240" w:after="120" w:line="276" w:lineRule="auto"/>
        <w:rPr>
          <w:rFonts w:eastAsia="Arial"/>
          <w:kern w:val="0"/>
          <w:sz w:val="22"/>
          <w:szCs w:val="22"/>
          <w14:ligatures w14:val="none"/>
        </w:rPr>
      </w:pPr>
      <w:r w:rsidRPr="2D9E63C3">
        <w:rPr>
          <w:rFonts w:eastAsia="Arial"/>
          <w:b/>
          <w:bCs/>
          <w:kern w:val="0"/>
          <w:sz w:val="22"/>
          <w:szCs w:val="22"/>
          <w14:ligatures w14:val="none"/>
        </w:rPr>
        <w:t>Recency</w:t>
      </w:r>
      <w:r w:rsidRPr="2D9E63C3">
        <w:rPr>
          <w:rFonts w:eastAsia="Arial"/>
          <w:kern w:val="0"/>
          <w:sz w:val="22"/>
          <w:szCs w:val="22"/>
          <w14:ligatures w14:val="none"/>
        </w:rPr>
        <w:t xml:space="preserve"> </w:t>
      </w:r>
      <w:r w:rsidR="69A86640" w:rsidRPr="2D9E63C3">
        <w:rPr>
          <w:rFonts w:eastAsia="Arial"/>
          <w:kern w:val="0"/>
          <w:sz w:val="22"/>
          <w:szCs w:val="22"/>
          <w14:ligatures w14:val="none"/>
        </w:rPr>
        <w:t>–</w:t>
      </w:r>
      <w:r w:rsidRPr="2D9E63C3">
        <w:rPr>
          <w:rFonts w:eastAsia="Arial"/>
          <w:kern w:val="0"/>
          <w:sz w:val="22"/>
          <w:szCs w:val="22"/>
          <w14:ligatures w14:val="none"/>
        </w:rPr>
        <w:t xml:space="preserve"> </w:t>
      </w:r>
      <w:r w:rsidR="69A86640" w:rsidRPr="2D9E63C3">
        <w:rPr>
          <w:rFonts w:eastAsia="Arial"/>
          <w:kern w:val="0"/>
          <w:sz w:val="22"/>
          <w:szCs w:val="22"/>
          <w14:ligatures w14:val="none"/>
        </w:rPr>
        <w:t>Pest outbreaks should be recent, to show that the pest is actively</w:t>
      </w:r>
      <w:r w:rsidR="6E1E351A" w:rsidRPr="2D9E63C3">
        <w:rPr>
          <w:rFonts w:eastAsia="Arial"/>
          <w:kern w:val="0"/>
          <w:sz w:val="22"/>
          <w:szCs w:val="22"/>
          <w14:ligatures w14:val="none"/>
        </w:rPr>
        <w:t xml:space="preserve"> growing and</w:t>
      </w:r>
      <w:r w:rsidR="69A86640" w:rsidRPr="2D9E63C3">
        <w:rPr>
          <w:rFonts w:eastAsia="Arial"/>
          <w:kern w:val="0"/>
          <w:sz w:val="22"/>
          <w:szCs w:val="22"/>
          <w14:ligatures w14:val="none"/>
        </w:rPr>
        <w:t xml:space="preserve"> spreading. This will vary depending on the pest biology</w:t>
      </w:r>
      <w:r w:rsidR="00731136">
        <w:rPr>
          <w:rFonts w:eastAsia="Arial"/>
          <w:kern w:val="0"/>
          <w:sz w:val="22"/>
          <w:szCs w:val="22"/>
          <w14:ligatures w14:val="none"/>
        </w:rPr>
        <w:t xml:space="preserve">, including the duration of its life cycle, and the ease </w:t>
      </w:r>
      <w:r w:rsidR="00B35407">
        <w:rPr>
          <w:rFonts w:eastAsia="Arial"/>
          <w:kern w:val="0"/>
          <w:sz w:val="22"/>
          <w:szCs w:val="22"/>
          <w14:ligatures w14:val="none"/>
        </w:rPr>
        <w:t>of detection</w:t>
      </w:r>
      <w:r w:rsidR="69A86640" w:rsidRPr="2D9E63C3">
        <w:rPr>
          <w:rFonts w:eastAsia="Arial"/>
          <w:kern w:val="0"/>
          <w:sz w:val="22"/>
          <w:szCs w:val="22"/>
          <w14:ligatures w14:val="none"/>
        </w:rPr>
        <w:t xml:space="preserve">. For example, if a pest has a long life cycle and is difficult to detect, </w:t>
      </w:r>
      <w:r w:rsidR="69A86640" w:rsidRPr="0093256D">
        <w:rPr>
          <w:rFonts w:eastAsia="Arial"/>
          <w:kern w:val="0"/>
          <w:sz w:val="22"/>
          <w:szCs w:val="22"/>
          <w14:ligatures w14:val="none"/>
        </w:rPr>
        <w:t xml:space="preserve">spread </w:t>
      </w:r>
      <w:r w:rsidR="0093256D">
        <w:rPr>
          <w:rFonts w:eastAsia="Arial"/>
          <w:kern w:val="0"/>
          <w:sz w:val="22"/>
          <w:szCs w:val="22"/>
          <w14:ligatures w14:val="none"/>
        </w:rPr>
        <w:t>several years</w:t>
      </w:r>
      <w:r w:rsidR="69A86640" w:rsidRPr="0093256D">
        <w:rPr>
          <w:rFonts w:eastAsia="Arial"/>
          <w:kern w:val="0"/>
          <w:sz w:val="22"/>
          <w:szCs w:val="22"/>
          <w14:ligatures w14:val="none"/>
        </w:rPr>
        <w:t xml:space="preserve"> ago may be relevant,</w:t>
      </w:r>
      <w:r w:rsidR="69A86640" w:rsidRPr="2D9E63C3">
        <w:rPr>
          <w:rFonts w:eastAsia="Arial"/>
          <w:kern w:val="0"/>
          <w:sz w:val="22"/>
          <w:szCs w:val="22"/>
          <w14:ligatures w14:val="none"/>
        </w:rPr>
        <w:t xml:space="preserve"> whereas if it is a pest with a short life cycle and is easier to detect, an outbreak </w:t>
      </w:r>
      <w:r w:rsidR="0093256D">
        <w:rPr>
          <w:rFonts w:eastAsia="Arial"/>
          <w:kern w:val="0"/>
          <w:sz w:val="22"/>
          <w:szCs w:val="22"/>
          <w14:ligatures w14:val="none"/>
        </w:rPr>
        <w:t>several</w:t>
      </w:r>
      <w:r w:rsidR="69A86640" w:rsidRPr="2D9E63C3">
        <w:rPr>
          <w:rFonts w:eastAsia="Arial"/>
          <w:kern w:val="0"/>
          <w:sz w:val="22"/>
          <w:szCs w:val="22"/>
          <w14:ligatures w14:val="none"/>
        </w:rPr>
        <w:t xml:space="preserve"> years ago may not show it is significantly spreading. </w:t>
      </w:r>
    </w:p>
    <w:p w14:paraId="770BEEBA" w14:textId="0F885656" w:rsidR="00A539FD" w:rsidRPr="00AD667B" w:rsidRDefault="3BD6DEDF" w:rsidP="2D9E63C3">
      <w:pPr>
        <w:spacing w:before="240" w:after="120" w:line="276" w:lineRule="auto"/>
        <w:rPr>
          <w:rFonts w:eastAsia="Arial"/>
          <w:kern w:val="0"/>
          <w:sz w:val="22"/>
          <w:szCs w:val="22"/>
          <w14:ligatures w14:val="none"/>
        </w:rPr>
      </w:pPr>
      <w:r w:rsidRPr="002370B0">
        <w:rPr>
          <w:rFonts w:eastAsia="Arial"/>
          <w:b/>
          <w:bCs/>
          <w:kern w:val="0"/>
          <w:sz w:val="22"/>
          <w:szCs w:val="22"/>
          <w14:ligatures w14:val="none"/>
        </w:rPr>
        <w:lastRenderedPageBreak/>
        <w:t>Expansion</w:t>
      </w:r>
      <w:r w:rsidR="002370B0">
        <w:rPr>
          <w:rFonts w:eastAsia="Arial"/>
          <w:b/>
          <w:bCs/>
          <w:kern w:val="0"/>
          <w:sz w:val="22"/>
          <w:szCs w:val="22"/>
          <w14:ligatures w14:val="none"/>
        </w:rPr>
        <w:t xml:space="preserve"> </w:t>
      </w:r>
      <w:r w:rsidR="002370B0">
        <w:rPr>
          <w:rFonts w:eastAsia="Arial"/>
          <w:kern w:val="0"/>
          <w:sz w:val="22"/>
          <w:szCs w:val="22"/>
          <w14:ligatures w14:val="none"/>
        </w:rPr>
        <w:t>–</w:t>
      </w:r>
      <w:r w:rsidRPr="2D9E63C3">
        <w:rPr>
          <w:rFonts w:eastAsia="Arial"/>
          <w:kern w:val="0"/>
          <w:sz w:val="22"/>
          <w:szCs w:val="22"/>
          <w14:ligatures w14:val="none"/>
        </w:rPr>
        <w:t xml:space="preserve"> </w:t>
      </w:r>
      <w:r w:rsidR="002370B0">
        <w:rPr>
          <w:rFonts w:eastAsia="Arial"/>
          <w:kern w:val="0"/>
          <w:sz w:val="22"/>
          <w:szCs w:val="22"/>
          <w14:ligatures w14:val="none"/>
        </w:rPr>
        <w:t>t</w:t>
      </w:r>
      <w:r w:rsidR="1C9CFA4C" w:rsidRPr="2D9E63C3">
        <w:rPr>
          <w:rFonts w:eastAsia="Arial"/>
          <w:kern w:val="0"/>
          <w:sz w:val="22"/>
          <w:szCs w:val="22"/>
          <w14:ligatures w14:val="none"/>
        </w:rPr>
        <w:t>o show that two or more outbreaks represent a significant expansion of a pest’s range</w:t>
      </w:r>
      <w:r w:rsidR="00857335">
        <w:rPr>
          <w:rFonts w:eastAsia="Arial"/>
          <w:kern w:val="0"/>
          <w:sz w:val="22"/>
          <w:szCs w:val="22"/>
          <w14:ligatures w14:val="none"/>
        </w:rPr>
        <w:t xml:space="preserve"> and are not characteristic of local spread</w:t>
      </w:r>
      <w:r w:rsidR="1C9CFA4C" w:rsidRPr="2D9E63C3">
        <w:rPr>
          <w:rFonts w:eastAsia="Arial"/>
          <w:kern w:val="0"/>
          <w:sz w:val="22"/>
          <w:szCs w:val="22"/>
          <w14:ligatures w14:val="none"/>
        </w:rPr>
        <w:t xml:space="preserve">, the outbreaks should be far apart from each other and from the original distribution of the pest. </w:t>
      </w:r>
      <w:r w:rsidR="006E6D55">
        <w:rPr>
          <w:rFonts w:eastAsia="Arial"/>
          <w:kern w:val="0"/>
          <w:sz w:val="22"/>
          <w:szCs w:val="22"/>
          <w14:ligatures w14:val="none"/>
        </w:rPr>
        <w:t>For example, o</w:t>
      </w:r>
      <w:r w:rsidR="1C9CFA4C" w:rsidRPr="2D9E63C3">
        <w:rPr>
          <w:rFonts w:eastAsia="Arial"/>
          <w:kern w:val="0"/>
          <w:sz w:val="22"/>
          <w:szCs w:val="22"/>
          <w14:ligatures w14:val="none"/>
        </w:rPr>
        <w:t xml:space="preserve">utbreaks in different countries </w:t>
      </w:r>
      <w:r w:rsidR="00BB3CCD">
        <w:rPr>
          <w:rFonts w:eastAsia="Arial"/>
          <w:kern w:val="0"/>
          <w:sz w:val="22"/>
          <w:szCs w:val="22"/>
          <w14:ligatures w14:val="none"/>
        </w:rPr>
        <w:t>could</w:t>
      </w:r>
      <w:r w:rsidR="1C9CFA4C" w:rsidRPr="2D9E63C3">
        <w:rPr>
          <w:rFonts w:eastAsia="Arial"/>
          <w:kern w:val="0"/>
          <w:sz w:val="22"/>
          <w:szCs w:val="22"/>
          <w14:ligatures w14:val="none"/>
        </w:rPr>
        <w:t xml:space="preserve"> qualify, </w:t>
      </w:r>
      <w:r w:rsidR="1C9CFA4C" w:rsidRPr="00765A37">
        <w:rPr>
          <w:rFonts w:eastAsia="Arial"/>
          <w:kern w:val="0"/>
          <w:sz w:val="22"/>
          <w:szCs w:val="22"/>
          <w14:ligatures w14:val="none"/>
        </w:rPr>
        <w:t>as</w:t>
      </w:r>
      <w:r w:rsidR="000C141C" w:rsidRPr="00765A37">
        <w:rPr>
          <w:rFonts w:eastAsia="Arial"/>
          <w:kern w:val="0"/>
          <w:sz w:val="22"/>
          <w:szCs w:val="22"/>
          <w14:ligatures w14:val="none"/>
        </w:rPr>
        <w:t xml:space="preserve"> could</w:t>
      </w:r>
      <w:r w:rsidR="1C9CFA4C" w:rsidRPr="00765A37">
        <w:rPr>
          <w:rFonts w:eastAsia="Arial"/>
          <w:kern w:val="0"/>
          <w:sz w:val="22"/>
          <w:szCs w:val="22"/>
          <w14:ligatures w14:val="none"/>
        </w:rPr>
        <w:t xml:space="preserve"> outbreaks on opposite sides of a country</w:t>
      </w:r>
      <w:r w:rsidR="000C141C">
        <w:rPr>
          <w:rFonts w:eastAsia="Arial"/>
          <w:kern w:val="0"/>
          <w:sz w:val="22"/>
          <w:szCs w:val="22"/>
          <w14:ligatures w14:val="none"/>
        </w:rPr>
        <w:t xml:space="preserve"> (assuming the country represents a large enough area)</w:t>
      </w:r>
      <w:r w:rsidR="1C9CFA4C" w:rsidRPr="2D9E63C3">
        <w:rPr>
          <w:rFonts w:eastAsia="Arial"/>
          <w:kern w:val="0"/>
          <w:sz w:val="22"/>
          <w:szCs w:val="22"/>
          <w14:ligatures w14:val="none"/>
        </w:rPr>
        <w:t xml:space="preserve">. </w:t>
      </w:r>
      <w:r w:rsidR="594B0607" w:rsidRPr="2D9E63C3">
        <w:rPr>
          <w:rFonts w:eastAsia="Arial"/>
          <w:kern w:val="0"/>
          <w:sz w:val="22"/>
          <w:szCs w:val="22"/>
          <w14:ligatures w14:val="none"/>
        </w:rPr>
        <w:t>Outbreaks that are relatively close together</w:t>
      </w:r>
      <w:r w:rsidR="00CD2BA1">
        <w:rPr>
          <w:rFonts w:eastAsia="Arial"/>
          <w:kern w:val="0"/>
          <w:sz w:val="22"/>
          <w:szCs w:val="22"/>
          <w14:ligatures w14:val="none"/>
        </w:rPr>
        <w:t>, such as those in neig</w:t>
      </w:r>
      <w:r w:rsidR="00765A37">
        <w:rPr>
          <w:rFonts w:eastAsia="Arial"/>
          <w:kern w:val="0"/>
          <w:sz w:val="22"/>
          <w:szCs w:val="22"/>
          <w14:ligatures w14:val="none"/>
        </w:rPr>
        <w:t>hbouring areas,</w:t>
      </w:r>
      <w:r w:rsidR="594B0607" w:rsidRPr="2D9E63C3">
        <w:rPr>
          <w:rFonts w:eastAsia="Arial"/>
          <w:kern w:val="0"/>
          <w:sz w:val="22"/>
          <w:szCs w:val="22"/>
          <w14:ligatures w14:val="none"/>
        </w:rPr>
        <w:t xml:space="preserve"> may </w:t>
      </w:r>
      <w:r w:rsidR="00765A37">
        <w:rPr>
          <w:rFonts w:eastAsia="Arial"/>
          <w:kern w:val="0"/>
          <w:sz w:val="22"/>
          <w:szCs w:val="22"/>
          <w14:ligatures w14:val="none"/>
        </w:rPr>
        <w:t xml:space="preserve">also </w:t>
      </w:r>
      <w:r w:rsidR="594B0607" w:rsidRPr="2D9E63C3">
        <w:rPr>
          <w:rFonts w:eastAsia="Arial"/>
          <w:kern w:val="0"/>
          <w:sz w:val="22"/>
          <w:szCs w:val="22"/>
          <w14:ligatures w14:val="none"/>
        </w:rPr>
        <w:t>be indicative of significant expansion</w:t>
      </w:r>
      <w:r w:rsidR="00765A37">
        <w:rPr>
          <w:rFonts w:eastAsia="Arial"/>
          <w:kern w:val="0"/>
          <w:sz w:val="22"/>
          <w:szCs w:val="22"/>
          <w14:ligatures w14:val="none"/>
        </w:rPr>
        <w:t xml:space="preserve"> </w:t>
      </w:r>
      <w:r w:rsidR="594B0607" w:rsidRPr="2D9E63C3">
        <w:rPr>
          <w:rFonts w:eastAsia="Arial"/>
          <w:kern w:val="0"/>
          <w:sz w:val="22"/>
          <w:szCs w:val="22"/>
          <w14:ligatures w14:val="none"/>
        </w:rPr>
        <w:t>if there is an appreciable natural barrier between them e.g.,</w:t>
      </w:r>
      <w:r w:rsidR="00287926">
        <w:rPr>
          <w:rFonts w:eastAsia="Arial"/>
          <w:kern w:val="0"/>
          <w:sz w:val="22"/>
          <w:szCs w:val="22"/>
          <w14:ligatures w14:val="none"/>
        </w:rPr>
        <w:t xml:space="preserve"> a</w:t>
      </w:r>
      <w:r w:rsidR="594B0607" w:rsidRPr="2D9E63C3">
        <w:rPr>
          <w:rFonts w:eastAsia="Arial"/>
          <w:kern w:val="0"/>
          <w:sz w:val="22"/>
          <w:szCs w:val="22"/>
          <w14:ligatures w14:val="none"/>
        </w:rPr>
        <w:t xml:space="preserve"> mountain range. </w:t>
      </w:r>
    </w:p>
    <w:p w14:paraId="69455141" w14:textId="4B49097B" w:rsidR="004C00D4" w:rsidRDefault="70CB82F5" w:rsidP="2D9E63C3">
      <w:pPr>
        <w:spacing w:before="240" w:after="120" w:line="276" w:lineRule="auto"/>
        <w:rPr>
          <w:sz w:val="22"/>
          <w:szCs w:val="22"/>
        </w:rPr>
      </w:pPr>
      <w:r w:rsidRPr="2D9E63C3">
        <w:rPr>
          <w:b/>
          <w:bCs/>
          <w:sz w:val="22"/>
          <w:szCs w:val="22"/>
        </w:rPr>
        <w:t>Migratory pests</w:t>
      </w:r>
      <w:r w:rsidRPr="2D9E63C3">
        <w:rPr>
          <w:sz w:val="22"/>
          <w:szCs w:val="22"/>
        </w:rPr>
        <w:t xml:space="preserve"> </w:t>
      </w:r>
      <w:r w:rsidR="594B0607" w:rsidRPr="2D9E63C3">
        <w:rPr>
          <w:sz w:val="22"/>
          <w:szCs w:val="22"/>
        </w:rPr>
        <w:t>–</w:t>
      </w:r>
      <w:r w:rsidRPr="2D9E63C3">
        <w:rPr>
          <w:sz w:val="22"/>
          <w:szCs w:val="22"/>
        </w:rPr>
        <w:t xml:space="preserve"> </w:t>
      </w:r>
      <w:r w:rsidR="594B0607" w:rsidRPr="2D9E63C3">
        <w:rPr>
          <w:sz w:val="22"/>
          <w:szCs w:val="22"/>
        </w:rPr>
        <w:t xml:space="preserve">migratory pests, such as locusts, can travel </w:t>
      </w:r>
      <w:r w:rsidR="7F76CD7A" w:rsidRPr="2D9E63C3">
        <w:rPr>
          <w:sz w:val="22"/>
          <w:szCs w:val="22"/>
        </w:rPr>
        <w:t xml:space="preserve">hundreds and even thousands of kilometres. </w:t>
      </w:r>
      <w:r w:rsidR="07481708" w:rsidRPr="2D9E63C3">
        <w:rPr>
          <w:sz w:val="22"/>
          <w:szCs w:val="22"/>
        </w:rPr>
        <w:t>For such pests, only spread outside of their usual migration route</w:t>
      </w:r>
      <w:r w:rsidR="003F32D8">
        <w:rPr>
          <w:sz w:val="22"/>
          <w:szCs w:val="22"/>
        </w:rPr>
        <w:t xml:space="preserve"> </w:t>
      </w:r>
      <w:r w:rsidR="07481708" w:rsidRPr="2D9E63C3">
        <w:rPr>
          <w:sz w:val="22"/>
          <w:szCs w:val="22"/>
        </w:rPr>
        <w:t xml:space="preserve">should </w:t>
      </w:r>
      <w:r w:rsidR="3F41A17C" w:rsidRPr="2D9E63C3">
        <w:rPr>
          <w:sz w:val="22"/>
          <w:szCs w:val="22"/>
        </w:rPr>
        <w:t>be considered when assessing the criterion ‘Recent geographical spread</w:t>
      </w:r>
      <w:r w:rsidR="29084D4F" w:rsidRPr="2D9E63C3">
        <w:rPr>
          <w:sz w:val="22"/>
          <w:szCs w:val="22"/>
        </w:rPr>
        <w:t xml:space="preserve">’. </w:t>
      </w:r>
    </w:p>
    <w:p w14:paraId="0F64C21C" w14:textId="5612E820" w:rsidR="005B02F2" w:rsidRDefault="02593EF3" w:rsidP="2D9E63C3">
      <w:pPr>
        <w:spacing w:before="240" w:after="120" w:line="276" w:lineRule="auto"/>
        <w:rPr>
          <w:sz w:val="22"/>
          <w:szCs w:val="22"/>
          <w:highlight w:val="yellow"/>
        </w:rPr>
      </w:pPr>
      <w:r w:rsidRPr="2D9E63C3">
        <w:rPr>
          <w:b/>
          <w:bCs/>
          <w:sz w:val="22"/>
          <w:szCs w:val="22"/>
        </w:rPr>
        <w:t>Re-emerging pest</w:t>
      </w:r>
      <w:r w:rsidRPr="2D9E63C3">
        <w:rPr>
          <w:sz w:val="22"/>
          <w:szCs w:val="22"/>
        </w:rPr>
        <w:t xml:space="preserve"> – re-emerging pests are those that once caused substantial impacts </w:t>
      </w:r>
      <w:r w:rsidR="5CEAFE7A" w:rsidRPr="2D9E63C3">
        <w:rPr>
          <w:sz w:val="22"/>
          <w:szCs w:val="22"/>
        </w:rPr>
        <w:t xml:space="preserve">and then </w:t>
      </w:r>
      <w:r w:rsidRPr="2D9E63C3">
        <w:rPr>
          <w:sz w:val="22"/>
          <w:szCs w:val="22"/>
        </w:rPr>
        <w:t>declined</w:t>
      </w:r>
      <w:r w:rsidR="5CEAFE7A" w:rsidRPr="2D9E63C3">
        <w:rPr>
          <w:sz w:val="22"/>
          <w:szCs w:val="22"/>
        </w:rPr>
        <w:t xml:space="preserve"> or bec</w:t>
      </w:r>
      <w:r w:rsidR="008E6826">
        <w:rPr>
          <w:sz w:val="22"/>
          <w:szCs w:val="22"/>
        </w:rPr>
        <w:t>a</w:t>
      </w:r>
      <w:r w:rsidR="5CEAFE7A" w:rsidRPr="2D9E63C3">
        <w:rPr>
          <w:sz w:val="22"/>
          <w:szCs w:val="22"/>
        </w:rPr>
        <w:t xml:space="preserve">me manageable but have since started to become a problem again. </w:t>
      </w:r>
      <w:r w:rsidR="5CEAFE7A" w:rsidRPr="2D9E63C3" w:rsidDel="00F20F31">
        <w:rPr>
          <w:sz w:val="22"/>
          <w:szCs w:val="22"/>
        </w:rPr>
        <w:t xml:space="preserve">The reason why these pests have re-emerged could be due to several factors, </w:t>
      </w:r>
      <w:r w:rsidR="5CEAFE7A" w:rsidRPr="001B28BB" w:rsidDel="00F20F31">
        <w:rPr>
          <w:sz w:val="22"/>
          <w:szCs w:val="22"/>
        </w:rPr>
        <w:t>including the emergence of a new strain</w:t>
      </w:r>
      <w:r w:rsidR="5CEAFE7A" w:rsidRPr="2D9E63C3" w:rsidDel="00F20F31">
        <w:rPr>
          <w:sz w:val="22"/>
          <w:szCs w:val="22"/>
        </w:rPr>
        <w:t xml:space="preserve">, changes in production practices, and climate change. </w:t>
      </w:r>
      <w:r w:rsidR="5CEAFE7A" w:rsidRPr="001B28BB" w:rsidDel="00F20F31">
        <w:rPr>
          <w:sz w:val="22"/>
          <w:szCs w:val="22"/>
        </w:rPr>
        <w:t xml:space="preserve">A new strain or </w:t>
      </w:r>
      <w:r w:rsidR="0056086E">
        <w:rPr>
          <w:sz w:val="22"/>
          <w:szCs w:val="22"/>
        </w:rPr>
        <w:t>biotype</w:t>
      </w:r>
      <w:r w:rsidR="5CEAFE7A" w:rsidRPr="001B28BB" w:rsidDel="00F20F31">
        <w:rPr>
          <w:sz w:val="22"/>
          <w:szCs w:val="22"/>
        </w:rPr>
        <w:t xml:space="preserve"> should be regarded as a new pest threat, in line with the definition of pest</w:t>
      </w:r>
      <w:r w:rsidR="7043E225" w:rsidRPr="001B28BB" w:rsidDel="00F20F31">
        <w:rPr>
          <w:sz w:val="22"/>
          <w:szCs w:val="22"/>
        </w:rPr>
        <w:t xml:space="preserve"> in ISPM 5</w:t>
      </w:r>
      <w:r w:rsidR="5CEAFE7A" w:rsidRPr="001B28BB" w:rsidDel="00F20F31">
        <w:rPr>
          <w:sz w:val="22"/>
          <w:szCs w:val="22"/>
        </w:rPr>
        <w:t xml:space="preserve">, which is </w:t>
      </w:r>
      <w:r w:rsidR="7043E225" w:rsidRPr="001B28BB" w:rsidDel="00F20F31">
        <w:rPr>
          <w:sz w:val="22"/>
          <w:szCs w:val="22"/>
        </w:rPr>
        <w:t xml:space="preserve">any species, strain or biotype of plant, animal or pathogenic agent injurious to plants or plant products. </w:t>
      </w:r>
      <w:r w:rsidR="00A16851">
        <w:rPr>
          <w:sz w:val="22"/>
          <w:szCs w:val="22"/>
        </w:rPr>
        <w:t>Two or more o</w:t>
      </w:r>
      <w:r w:rsidR="7043E225" w:rsidRPr="001B28BB" w:rsidDel="00F20F31">
        <w:rPr>
          <w:sz w:val="22"/>
          <w:szCs w:val="22"/>
        </w:rPr>
        <w:t xml:space="preserve">utbreaks </w:t>
      </w:r>
      <w:r w:rsidR="0056086E">
        <w:rPr>
          <w:sz w:val="22"/>
          <w:szCs w:val="22"/>
        </w:rPr>
        <w:t>of new strains</w:t>
      </w:r>
      <w:r w:rsidR="004E6395">
        <w:rPr>
          <w:sz w:val="22"/>
          <w:szCs w:val="22"/>
        </w:rPr>
        <w:t xml:space="preserve"> or biotypes</w:t>
      </w:r>
      <w:r w:rsidR="0056086E">
        <w:rPr>
          <w:sz w:val="22"/>
          <w:szCs w:val="22"/>
        </w:rPr>
        <w:t xml:space="preserve"> </w:t>
      </w:r>
      <w:r w:rsidR="7043E225" w:rsidRPr="001B28BB" w:rsidDel="00F20F31">
        <w:rPr>
          <w:sz w:val="22"/>
          <w:szCs w:val="22"/>
        </w:rPr>
        <w:t xml:space="preserve">may </w:t>
      </w:r>
      <w:r w:rsidR="004E6395">
        <w:rPr>
          <w:sz w:val="22"/>
          <w:szCs w:val="22"/>
        </w:rPr>
        <w:t xml:space="preserve">therefore </w:t>
      </w:r>
      <w:r w:rsidR="7043E225" w:rsidRPr="001B28BB" w:rsidDel="00F20F31">
        <w:rPr>
          <w:sz w:val="22"/>
          <w:szCs w:val="22"/>
        </w:rPr>
        <w:t>represent a significant expansion of the pest’s range</w:t>
      </w:r>
      <w:r w:rsidR="00A16851">
        <w:rPr>
          <w:sz w:val="22"/>
          <w:szCs w:val="22"/>
        </w:rPr>
        <w:t>, assuming they are not due to local spread</w:t>
      </w:r>
      <w:r w:rsidR="7043E225" w:rsidRPr="001B28BB" w:rsidDel="00F20F31">
        <w:rPr>
          <w:sz w:val="22"/>
          <w:szCs w:val="22"/>
        </w:rPr>
        <w:t>. However, factors leading to re-emergence that are localised, such as short-term changes in production practices, should not be considered to be a significant expansion of a pest’s range, as they will not lead to long-term changes in pest impacts globally.</w:t>
      </w:r>
      <w:r w:rsidR="7043E225" w:rsidRPr="2D9E63C3" w:rsidDel="00F20F31">
        <w:rPr>
          <w:sz w:val="22"/>
          <w:szCs w:val="22"/>
        </w:rPr>
        <w:t xml:space="preserve">  </w:t>
      </w:r>
    </w:p>
    <w:p w14:paraId="03DC1E8C" w14:textId="77777777" w:rsidR="005B02F2" w:rsidRDefault="561BFC6F" w:rsidP="009E1B93">
      <w:pPr>
        <w:spacing w:before="240" w:after="120" w:line="276" w:lineRule="auto"/>
        <w:rPr>
          <w:b/>
          <w:bCs/>
          <w:sz w:val="22"/>
          <w:szCs w:val="22"/>
        </w:rPr>
      </w:pPr>
      <w:r w:rsidRPr="2D9E63C3">
        <w:rPr>
          <w:b/>
          <w:bCs/>
          <w:sz w:val="22"/>
          <w:szCs w:val="22"/>
        </w:rPr>
        <w:t>Pest examples</w:t>
      </w:r>
    </w:p>
    <w:p w14:paraId="2FEB83BA" w14:textId="58868176" w:rsidR="005B6D94" w:rsidRDefault="005B6D94" w:rsidP="009E1B93">
      <w:pPr>
        <w:spacing w:before="240" w:after="120" w:line="276" w:lineRule="auto"/>
        <w:rPr>
          <w:sz w:val="22"/>
          <w:szCs w:val="22"/>
        </w:rPr>
      </w:pPr>
      <w:bookmarkStart w:id="4" w:name="_Hlk186712148"/>
      <w:proofErr w:type="spellStart"/>
      <w:r>
        <w:rPr>
          <w:i/>
          <w:iCs/>
          <w:sz w:val="22"/>
          <w:szCs w:val="22"/>
        </w:rPr>
        <w:t>T</w:t>
      </w:r>
      <w:r w:rsidRPr="005B6D94">
        <w:rPr>
          <w:i/>
          <w:iCs/>
          <w:sz w:val="22"/>
          <w:szCs w:val="22"/>
        </w:rPr>
        <w:t>obamovirus</w:t>
      </w:r>
      <w:proofErr w:type="spellEnd"/>
      <w:r w:rsidRPr="005B6D94">
        <w:rPr>
          <w:i/>
          <w:iCs/>
          <w:sz w:val="22"/>
          <w:szCs w:val="22"/>
        </w:rPr>
        <w:t xml:space="preserve"> </w:t>
      </w:r>
      <w:proofErr w:type="spellStart"/>
      <w:r w:rsidRPr="005B6D94">
        <w:rPr>
          <w:i/>
          <w:iCs/>
          <w:sz w:val="22"/>
          <w:szCs w:val="22"/>
        </w:rPr>
        <w:t>fructirugosum</w:t>
      </w:r>
      <w:proofErr w:type="spellEnd"/>
      <w:r>
        <w:rPr>
          <w:sz w:val="22"/>
          <w:szCs w:val="22"/>
        </w:rPr>
        <w:t xml:space="preserve"> (t</w:t>
      </w:r>
      <w:r w:rsidR="005B02F2">
        <w:rPr>
          <w:sz w:val="22"/>
          <w:szCs w:val="22"/>
        </w:rPr>
        <w:t>omato brown rugose fruit virus</w:t>
      </w:r>
      <w:r>
        <w:rPr>
          <w:sz w:val="22"/>
          <w:szCs w:val="22"/>
        </w:rPr>
        <w:t>)</w:t>
      </w:r>
      <w:bookmarkEnd w:id="4"/>
      <w:r w:rsidR="005B02F2">
        <w:rPr>
          <w:sz w:val="22"/>
          <w:szCs w:val="22"/>
        </w:rPr>
        <w:t xml:space="preserve"> – </w:t>
      </w:r>
      <w:r>
        <w:rPr>
          <w:sz w:val="22"/>
          <w:szCs w:val="22"/>
        </w:rPr>
        <w:t xml:space="preserve">since the beginning of 2024, the virus has been first reported in India, Ireland, Lithuania, Latvia, Romania, Australia and Croatia. The outbreaks are recent, as they have occurred in the last year (with tomato production generally working in annual cycles), and they are a significant distance apart, being found in seven different countries. The virus therefore meets this criterion. </w:t>
      </w:r>
    </w:p>
    <w:p w14:paraId="0F3E35C2" w14:textId="191A2D52" w:rsidR="2D9E63C3" w:rsidRDefault="29526303" w:rsidP="2D9E63C3">
      <w:pPr>
        <w:spacing w:before="240" w:after="120" w:line="276" w:lineRule="auto"/>
        <w:rPr>
          <w:sz w:val="22"/>
          <w:szCs w:val="22"/>
        </w:rPr>
      </w:pPr>
      <w:proofErr w:type="spellStart"/>
      <w:r w:rsidRPr="2D9E63C3">
        <w:rPr>
          <w:i/>
          <w:iCs/>
          <w:sz w:val="22"/>
          <w:szCs w:val="22"/>
        </w:rPr>
        <w:t>Oemona</w:t>
      </w:r>
      <w:proofErr w:type="spellEnd"/>
      <w:r w:rsidRPr="2D9E63C3">
        <w:rPr>
          <w:i/>
          <w:iCs/>
          <w:sz w:val="22"/>
          <w:szCs w:val="22"/>
        </w:rPr>
        <w:t xml:space="preserve"> </w:t>
      </w:r>
      <w:proofErr w:type="spellStart"/>
      <w:r w:rsidRPr="2D9E63C3">
        <w:rPr>
          <w:i/>
          <w:iCs/>
          <w:sz w:val="22"/>
          <w:szCs w:val="22"/>
        </w:rPr>
        <w:t>hirta</w:t>
      </w:r>
      <w:proofErr w:type="spellEnd"/>
      <w:r w:rsidRPr="2D9E63C3">
        <w:rPr>
          <w:sz w:val="22"/>
          <w:szCs w:val="22"/>
        </w:rPr>
        <w:t xml:space="preserve"> (lemon tree borer) – this pest has only ever been reported from New Zealand. As there has been no recent pest outbreaks elsewhere, it does not </w:t>
      </w:r>
      <w:r w:rsidR="6DD7E93F" w:rsidRPr="2D9E63C3">
        <w:rPr>
          <w:sz w:val="22"/>
          <w:szCs w:val="22"/>
        </w:rPr>
        <w:t xml:space="preserve">currently </w:t>
      </w:r>
      <w:r w:rsidRPr="2D9E63C3">
        <w:rPr>
          <w:sz w:val="22"/>
          <w:szCs w:val="22"/>
        </w:rPr>
        <w:t xml:space="preserve">meet this criterion. </w:t>
      </w:r>
    </w:p>
    <w:p w14:paraId="2A638C0E" w14:textId="2360299F" w:rsidR="005B02F2" w:rsidRDefault="005B02F2" w:rsidP="001147A1">
      <w:pPr>
        <w:spacing w:before="240" w:after="120" w:line="276" w:lineRule="auto"/>
        <w:rPr>
          <w:b/>
          <w:bCs/>
          <w:sz w:val="32"/>
          <w:szCs w:val="32"/>
        </w:rPr>
      </w:pPr>
      <w:r w:rsidRPr="005B02F2">
        <w:rPr>
          <w:b/>
          <w:bCs/>
          <w:sz w:val="32"/>
          <w:szCs w:val="32"/>
        </w:rPr>
        <w:t xml:space="preserve">Current distribution </w:t>
      </w:r>
    </w:p>
    <w:p w14:paraId="74A0D8D1" w14:textId="73D32E8C" w:rsidR="001A7D3F" w:rsidRDefault="395B3770" w:rsidP="009E1B93">
      <w:pPr>
        <w:spacing w:before="240" w:after="120" w:line="276" w:lineRule="auto"/>
        <w:rPr>
          <w:rFonts w:cs="Arial"/>
          <w:sz w:val="22"/>
          <w:szCs w:val="22"/>
        </w:rPr>
      </w:pPr>
      <w:r w:rsidRPr="2D9E63C3">
        <w:rPr>
          <w:b/>
          <w:bCs/>
          <w:sz w:val="22"/>
          <w:szCs w:val="22"/>
        </w:rPr>
        <w:t xml:space="preserve">Limited distribution </w:t>
      </w:r>
      <w:r w:rsidR="15444E77" w:rsidRPr="2D9E63C3">
        <w:rPr>
          <w:sz w:val="22"/>
          <w:szCs w:val="22"/>
        </w:rPr>
        <w:t>–</w:t>
      </w:r>
      <w:r w:rsidRPr="2D9E63C3">
        <w:rPr>
          <w:sz w:val="22"/>
          <w:szCs w:val="22"/>
        </w:rPr>
        <w:t xml:space="preserve"> </w:t>
      </w:r>
      <w:r w:rsidR="15444E77" w:rsidRPr="2D9E63C3">
        <w:rPr>
          <w:sz w:val="22"/>
          <w:szCs w:val="22"/>
        </w:rPr>
        <w:t xml:space="preserve">to be considered limited, the pest should not be widespread across its endangered area. </w:t>
      </w:r>
      <w:r w:rsidR="15444E77" w:rsidRPr="2D9E63C3">
        <w:rPr>
          <w:rFonts w:cs="Arial"/>
          <w:sz w:val="22"/>
          <w:szCs w:val="22"/>
        </w:rPr>
        <w:t>If</w:t>
      </w:r>
      <w:r w:rsidR="00411C11">
        <w:rPr>
          <w:rFonts w:cs="Arial"/>
          <w:sz w:val="22"/>
          <w:szCs w:val="22"/>
        </w:rPr>
        <w:t xml:space="preserve"> </w:t>
      </w:r>
      <w:r w:rsidR="15444E77" w:rsidRPr="2D9E63C3">
        <w:rPr>
          <w:rFonts w:cs="Arial"/>
          <w:sz w:val="22"/>
          <w:szCs w:val="22"/>
        </w:rPr>
        <w:t xml:space="preserve">the pest is distributed across almost </w:t>
      </w:r>
      <w:r w:rsidR="008026DC" w:rsidRPr="2D9E63C3">
        <w:rPr>
          <w:rFonts w:cs="Arial"/>
          <w:sz w:val="22"/>
          <w:szCs w:val="22"/>
        </w:rPr>
        <w:t>all</w:t>
      </w:r>
      <w:r w:rsidR="15444E77" w:rsidRPr="2D9E63C3">
        <w:rPr>
          <w:rFonts w:cs="Arial"/>
          <w:sz w:val="22"/>
          <w:szCs w:val="22"/>
        </w:rPr>
        <w:t xml:space="preserve"> its endangered area, th</w:t>
      </w:r>
      <w:r w:rsidR="6502499B" w:rsidRPr="2D9E63C3">
        <w:rPr>
          <w:rFonts w:cs="Arial"/>
          <w:sz w:val="22"/>
          <w:szCs w:val="22"/>
        </w:rPr>
        <w:t>e pest</w:t>
      </w:r>
      <w:r w:rsidR="15444E77" w:rsidRPr="2D9E63C3">
        <w:rPr>
          <w:rFonts w:cs="Arial"/>
          <w:sz w:val="22"/>
          <w:szCs w:val="22"/>
        </w:rPr>
        <w:t xml:space="preserve"> </w:t>
      </w:r>
      <w:r w:rsidR="000F1032">
        <w:rPr>
          <w:rFonts w:cs="Arial"/>
          <w:sz w:val="22"/>
          <w:szCs w:val="22"/>
        </w:rPr>
        <w:t>m</w:t>
      </w:r>
      <w:r w:rsidR="00BA5523">
        <w:rPr>
          <w:rFonts w:cs="Arial"/>
          <w:sz w:val="22"/>
          <w:szCs w:val="22"/>
        </w:rPr>
        <w:t>ay</w:t>
      </w:r>
      <w:r w:rsidR="000F1032" w:rsidRPr="2D9E63C3">
        <w:rPr>
          <w:rFonts w:cs="Arial"/>
          <w:sz w:val="22"/>
          <w:szCs w:val="22"/>
        </w:rPr>
        <w:t xml:space="preserve"> </w:t>
      </w:r>
      <w:r w:rsidR="15444E77" w:rsidRPr="2D9E63C3">
        <w:rPr>
          <w:rFonts w:cs="Arial"/>
          <w:sz w:val="22"/>
          <w:szCs w:val="22"/>
        </w:rPr>
        <w:t xml:space="preserve">not qualify. </w:t>
      </w:r>
      <w:r w:rsidR="00D707F5">
        <w:rPr>
          <w:rFonts w:cs="Arial"/>
          <w:sz w:val="22"/>
          <w:szCs w:val="22"/>
        </w:rPr>
        <w:t>However, t</w:t>
      </w:r>
      <w:r w:rsidR="15444E77" w:rsidRPr="2D9E63C3">
        <w:rPr>
          <w:rFonts w:cs="Arial"/>
          <w:sz w:val="22"/>
          <w:szCs w:val="22"/>
        </w:rPr>
        <w:t xml:space="preserve">here may be cases where a pest is present in </w:t>
      </w:r>
      <w:r w:rsidR="00D707F5">
        <w:rPr>
          <w:rFonts w:cs="Arial"/>
          <w:sz w:val="22"/>
          <w:szCs w:val="22"/>
        </w:rPr>
        <w:t xml:space="preserve">most of </w:t>
      </w:r>
      <w:r w:rsidR="15444E77" w:rsidRPr="2D9E63C3">
        <w:rPr>
          <w:rFonts w:cs="Arial"/>
          <w:sz w:val="22"/>
          <w:szCs w:val="22"/>
        </w:rPr>
        <w:t>its endangered area but still qualify, if for example it is still not present in multiple habitable continents</w:t>
      </w:r>
      <w:r w:rsidR="00462BBB">
        <w:rPr>
          <w:rFonts w:cs="Arial"/>
          <w:sz w:val="22"/>
          <w:szCs w:val="22"/>
        </w:rPr>
        <w:t xml:space="preserve"> or biogeographic regions</w:t>
      </w:r>
      <w:r w:rsidR="6502499B" w:rsidRPr="2D9E63C3">
        <w:rPr>
          <w:rFonts w:cs="Arial"/>
          <w:sz w:val="22"/>
          <w:szCs w:val="22"/>
        </w:rPr>
        <w:t xml:space="preserve"> where the host of concern is </w:t>
      </w:r>
      <w:r w:rsidR="00A941F5">
        <w:rPr>
          <w:rFonts w:cs="Arial"/>
          <w:sz w:val="22"/>
          <w:szCs w:val="22"/>
        </w:rPr>
        <w:t>present</w:t>
      </w:r>
      <w:r w:rsidR="15444E77" w:rsidRPr="2D9E63C3">
        <w:rPr>
          <w:rFonts w:cs="Arial"/>
          <w:sz w:val="22"/>
          <w:szCs w:val="22"/>
        </w:rPr>
        <w:t>.</w:t>
      </w:r>
    </w:p>
    <w:p w14:paraId="06785891" w14:textId="60FDD4CD" w:rsidR="001A7D3F" w:rsidRDefault="001A7D3F" w:rsidP="009E1B93">
      <w:pPr>
        <w:spacing w:before="240" w:after="120" w:line="276" w:lineRule="auto"/>
        <w:rPr>
          <w:rFonts w:cs="Arial"/>
          <w:b/>
          <w:bCs/>
          <w:sz w:val="22"/>
          <w:szCs w:val="22"/>
        </w:rPr>
      </w:pPr>
      <w:r w:rsidRPr="001A7D3F">
        <w:rPr>
          <w:rFonts w:cs="Arial"/>
          <w:b/>
          <w:bCs/>
          <w:sz w:val="22"/>
          <w:szCs w:val="22"/>
        </w:rPr>
        <w:t>Pest examples</w:t>
      </w:r>
    </w:p>
    <w:p w14:paraId="78C6067F" w14:textId="76982158" w:rsidR="004B1131" w:rsidRDefault="00162413" w:rsidP="009E1B93">
      <w:pPr>
        <w:spacing w:before="240" w:after="120" w:line="276" w:lineRule="auto"/>
        <w:rPr>
          <w:sz w:val="22"/>
          <w:szCs w:val="22"/>
        </w:rPr>
      </w:pPr>
      <w:proofErr w:type="spellStart"/>
      <w:r w:rsidRPr="00162413">
        <w:rPr>
          <w:i/>
          <w:iCs/>
          <w:sz w:val="22"/>
          <w:szCs w:val="22"/>
        </w:rPr>
        <w:t>Anoplophora</w:t>
      </w:r>
      <w:proofErr w:type="spellEnd"/>
      <w:r w:rsidRPr="00162413">
        <w:rPr>
          <w:i/>
          <w:iCs/>
          <w:sz w:val="22"/>
          <w:szCs w:val="22"/>
        </w:rPr>
        <w:t xml:space="preserve"> chinensis</w:t>
      </w:r>
      <w:r>
        <w:rPr>
          <w:sz w:val="22"/>
          <w:szCs w:val="22"/>
        </w:rPr>
        <w:t xml:space="preserve"> (citrus longhorn beetle) – this pest is present in large areas of Asia, but is only present outside of Asia in Croatia, Italy and Turkey. It has the opportunity to </w:t>
      </w:r>
      <w:r>
        <w:rPr>
          <w:sz w:val="22"/>
          <w:szCs w:val="22"/>
        </w:rPr>
        <w:lastRenderedPageBreak/>
        <w:t xml:space="preserve">establish and cause </w:t>
      </w:r>
      <w:r w:rsidR="004B1131">
        <w:rPr>
          <w:sz w:val="22"/>
          <w:szCs w:val="22"/>
        </w:rPr>
        <w:t xml:space="preserve">significant </w:t>
      </w:r>
      <w:r>
        <w:rPr>
          <w:sz w:val="22"/>
          <w:szCs w:val="22"/>
        </w:rPr>
        <w:t xml:space="preserve">impacts in the rest of Europe, Africa, Australia and North America. </w:t>
      </w:r>
      <w:r w:rsidR="004B1131">
        <w:rPr>
          <w:sz w:val="22"/>
          <w:szCs w:val="22"/>
        </w:rPr>
        <w:t xml:space="preserve">It therefore meets this criterion. </w:t>
      </w:r>
    </w:p>
    <w:p w14:paraId="13244657" w14:textId="6314BD0A" w:rsidR="004B1131" w:rsidRDefault="7AA66EF9" w:rsidP="009E1B93">
      <w:pPr>
        <w:spacing w:before="240" w:after="120" w:line="276" w:lineRule="auto"/>
        <w:rPr>
          <w:sz w:val="22"/>
          <w:szCs w:val="22"/>
        </w:rPr>
      </w:pPr>
      <w:proofErr w:type="spellStart"/>
      <w:r w:rsidRPr="2D9E63C3">
        <w:rPr>
          <w:i/>
          <w:iCs/>
          <w:sz w:val="22"/>
          <w:szCs w:val="22"/>
        </w:rPr>
        <w:t>Bemisia</w:t>
      </w:r>
      <w:proofErr w:type="spellEnd"/>
      <w:r w:rsidRPr="2D9E63C3">
        <w:rPr>
          <w:i/>
          <w:iCs/>
          <w:sz w:val="22"/>
          <w:szCs w:val="22"/>
        </w:rPr>
        <w:t xml:space="preserve"> </w:t>
      </w:r>
      <w:proofErr w:type="spellStart"/>
      <w:r w:rsidRPr="2D9E63C3">
        <w:rPr>
          <w:i/>
          <w:iCs/>
          <w:sz w:val="22"/>
          <w:szCs w:val="22"/>
        </w:rPr>
        <w:t>tabaci</w:t>
      </w:r>
      <w:proofErr w:type="spellEnd"/>
      <w:r w:rsidRPr="2D9E63C3">
        <w:rPr>
          <w:sz w:val="22"/>
          <w:szCs w:val="22"/>
        </w:rPr>
        <w:t xml:space="preserve"> (tobacco whitefly) – this pest is widespread across all continents, except for Antarctica. It therefore does not meet this criterion. </w:t>
      </w:r>
    </w:p>
    <w:p w14:paraId="4A0F451E" w14:textId="527E5721" w:rsidR="0062622D" w:rsidRDefault="00FD603B" w:rsidP="009E1B93">
      <w:pPr>
        <w:spacing w:before="240" w:after="120" w:line="276" w:lineRule="auto"/>
        <w:rPr>
          <w:sz w:val="22"/>
          <w:szCs w:val="22"/>
        </w:rPr>
      </w:pPr>
      <w:proofErr w:type="spellStart"/>
      <w:r w:rsidRPr="00611A50">
        <w:rPr>
          <w:i/>
          <w:iCs/>
          <w:sz w:val="22"/>
          <w:szCs w:val="22"/>
        </w:rPr>
        <w:t>Phth</w:t>
      </w:r>
      <w:r w:rsidR="005132D8" w:rsidRPr="00611A50">
        <w:rPr>
          <w:i/>
          <w:iCs/>
          <w:sz w:val="22"/>
          <w:szCs w:val="22"/>
        </w:rPr>
        <w:t>orimae</w:t>
      </w:r>
      <w:proofErr w:type="spellEnd"/>
      <w:r w:rsidR="005132D8" w:rsidRPr="00611A50">
        <w:rPr>
          <w:i/>
          <w:iCs/>
          <w:sz w:val="22"/>
          <w:szCs w:val="22"/>
        </w:rPr>
        <w:t xml:space="preserve"> </w:t>
      </w:r>
      <w:proofErr w:type="spellStart"/>
      <w:r w:rsidR="00FF09A2" w:rsidRPr="00611A50">
        <w:rPr>
          <w:i/>
          <w:iCs/>
          <w:sz w:val="22"/>
          <w:szCs w:val="22"/>
        </w:rPr>
        <w:t>absoluta</w:t>
      </w:r>
      <w:proofErr w:type="spellEnd"/>
      <w:r w:rsidR="005132D8">
        <w:rPr>
          <w:sz w:val="22"/>
          <w:szCs w:val="22"/>
        </w:rPr>
        <w:t xml:space="preserve"> (Syn: </w:t>
      </w:r>
      <w:r w:rsidR="005132D8" w:rsidRPr="00A44E01">
        <w:rPr>
          <w:i/>
          <w:iCs/>
          <w:sz w:val="22"/>
          <w:szCs w:val="22"/>
        </w:rPr>
        <w:t xml:space="preserve">Tuta </w:t>
      </w:r>
      <w:proofErr w:type="spellStart"/>
      <w:r w:rsidR="005132D8" w:rsidRPr="00A44E01">
        <w:rPr>
          <w:i/>
          <w:iCs/>
          <w:sz w:val="22"/>
          <w:szCs w:val="22"/>
        </w:rPr>
        <w:t>absoluta</w:t>
      </w:r>
      <w:proofErr w:type="spellEnd"/>
      <w:r w:rsidR="005132D8">
        <w:rPr>
          <w:sz w:val="22"/>
          <w:szCs w:val="22"/>
        </w:rPr>
        <w:t>)</w:t>
      </w:r>
      <w:r w:rsidR="00FF09A2">
        <w:rPr>
          <w:sz w:val="22"/>
          <w:szCs w:val="22"/>
        </w:rPr>
        <w:t xml:space="preserve"> </w:t>
      </w:r>
      <w:r w:rsidR="00C85540">
        <w:rPr>
          <w:sz w:val="22"/>
          <w:szCs w:val="22"/>
        </w:rPr>
        <w:t>–</w:t>
      </w:r>
      <w:r w:rsidR="00611A50">
        <w:rPr>
          <w:sz w:val="22"/>
          <w:szCs w:val="22"/>
        </w:rPr>
        <w:t xml:space="preserve"> </w:t>
      </w:r>
      <w:r w:rsidR="00C85540">
        <w:rPr>
          <w:sz w:val="22"/>
          <w:szCs w:val="22"/>
        </w:rPr>
        <w:t xml:space="preserve">this pest is still actively spreading, but it is </w:t>
      </w:r>
      <w:r w:rsidR="00462BBB">
        <w:rPr>
          <w:sz w:val="22"/>
          <w:szCs w:val="22"/>
        </w:rPr>
        <w:t xml:space="preserve">present </w:t>
      </w:r>
      <w:r w:rsidR="00EF5531">
        <w:rPr>
          <w:sz w:val="22"/>
          <w:szCs w:val="22"/>
        </w:rPr>
        <w:t>across Africa, Asia, Europe and South America</w:t>
      </w:r>
      <w:r w:rsidR="00725CBA">
        <w:rPr>
          <w:sz w:val="22"/>
          <w:szCs w:val="22"/>
        </w:rPr>
        <w:t xml:space="preserve">. </w:t>
      </w:r>
      <w:r w:rsidR="00B00CC3">
        <w:rPr>
          <w:sz w:val="22"/>
          <w:szCs w:val="22"/>
        </w:rPr>
        <w:t>Although it</w:t>
      </w:r>
      <w:r w:rsidR="00725CBA">
        <w:rPr>
          <w:sz w:val="22"/>
          <w:szCs w:val="22"/>
        </w:rPr>
        <w:t xml:space="preserve"> is not yet present in North America and Australia, where hosts of the pest are present</w:t>
      </w:r>
      <w:r w:rsidR="00B00CC3">
        <w:rPr>
          <w:sz w:val="22"/>
          <w:szCs w:val="22"/>
        </w:rPr>
        <w:t xml:space="preserve">, </w:t>
      </w:r>
      <w:r w:rsidR="0060030B">
        <w:rPr>
          <w:sz w:val="22"/>
          <w:szCs w:val="22"/>
        </w:rPr>
        <w:t>it</w:t>
      </w:r>
      <w:r w:rsidR="00B13F3A">
        <w:rPr>
          <w:sz w:val="22"/>
          <w:szCs w:val="22"/>
        </w:rPr>
        <w:t xml:space="preserve"> is very widespread in the continents it is present and it is difficult to argue that it has a limited distribution</w:t>
      </w:r>
      <w:r w:rsidR="0060030B">
        <w:rPr>
          <w:sz w:val="22"/>
          <w:szCs w:val="22"/>
        </w:rPr>
        <w:t>.</w:t>
      </w:r>
    </w:p>
    <w:p w14:paraId="4ED453F9" w14:textId="3D4956AB" w:rsidR="004B1131" w:rsidRDefault="004B1131" w:rsidP="004B1131">
      <w:pPr>
        <w:spacing w:before="240" w:after="120" w:line="276" w:lineRule="auto"/>
        <w:rPr>
          <w:b/>
          <w:bCs/>
          <w:sz w:val="36"/>
          <w:szCs w:val="36"/>
        </w:rPr>
      </w:pPr>
      <w:r w:rsidRPr="004B1131">
        <w:rPr>
          <w:b/>
          <w:bCs/>
          <w:sz w:val="36"/>
          <w:szCs w:val="36"/>
        </w:rPr>
        <w:t>Step 2 guidance</w:t>
      </w:r>
    </w:p>
    <w:p w14:paraId="1431B806" w14:textId="7F41A708" w:rsidR="009E0A60" w:rsidRPr="009E0A60" w:rsidRDefault="009E0A60" w:rsidP="004B1131">
      <w:pPr>
        <w:spacing w:before="240" w:after="120" w:line="276" w:lineRule="auto"/>
        <w:rPr>
          <w:sz w:val="22"/>
          <w:szCs w:val="22"/>
        </w:rPr>
      </w:pPr>
      <w:bookmarkStart w:id="5" w:name="_Hlk186713203"/>
      <w:r w:rsidRPr="009E0A60">
        <w:rPr>
          <w:sz w:val="22"/>
          <w:szCs w:val="22"/>
        </w:rPr>
        <w:t xml:space="preserve">Most of the elements </w:t>
      </w:r>
      <w:r>
        <w:rPr>
          <w:sz w:val="22"/>
          <w:szCs w:val="22"/>
        </w:rPr>
        <w:t xml:space="preserve">below </w:t>
      </w:r>
      <w:r w:rsidRPr="009E0A60">
        <w:rPr>
          <w:sz w:val="22"/>
          <w:szCs w:val="22"/>
        </w:rPr>
        <w:t xml:space="preserve">are taken from ISPM 11 with the purpose of assessing emerging pests. </w:t>
      </w:r>
      <w:r w:rsidR="005A78AA">
        <w:rPr>
          <w:sz w:val="22"/>
          <w:szCs w:val="22"/>
        </w:rPr>
        <w:t>Impacts should be considered with and without mitigations in place. F</w:t>
      </w:r>
      <w:r w:rsidR="0093412C">
        <w:rPr>
          <w:sz w:val="22"/>
          <w:szCs w:val="22"/>
        </w:rPr>
        <w:t>urther guidance can be found in ISPM 11 and supplement 2 of ISPM 5.</w:t>
      </w:r>
      <w:bookmarkEnd w:id="5"/>
    </w:p>
    <w:p w14:paraId="23AA70CF" w14:textId="3E5F3EA1" w:rsidR="004B1131" w:rsidRDefault="004B1131" w:rsidP="004B1131">
      <w:pPr>
        <w:spacing w:before="240" w:after="120" w:line="276" w:lineRule="auto"/>
        <w:rPr>
          <w:b/>
          <w:bCs/>
          <w:sz w:val="32"/>
          <w:szCs w:val="32"/>
        </w:rPr>
      </w:pPr>
      <w:r w:rsidRPr="004B1131">
        <w:rPr>
          <w:b/>
          <w:bCs/>
          <w:sz w:val="32"/>
          <w:szCs w:val="32"/>
        </w:rPr>
        <w:t>Economic impact</w:t>
      </w:r>
    </w:p>
    <w:p w14:paraId="741348DD" w14:textId="77777777" w:rsidR="004B1131" w:rsidRDefault="004B1131" w:rsidP="004B1131">
      <w:pPr>
        <w:spacing w:before="240" w:after="120" w:line="276" w:lineRule="auto"/>
        <w:rPr>
          <w:sz w:val="22"/>
          <w:szCs w:val="22"/>
        </w:rPr>
      </w:pPr>
      <w:r w:rsidRPr="004B1131">
        <w:rPr>
          <w:sz w:val="22"/>
          <w:szCs w:val="22"/>
        </w:rPr>
        <w:t xml:space="preserve">Aspects for consideration include, but are not limited to: </w:t>
      </w:r>
    </w:p>
    <w:p w14:paraId="2901A850" w14:textId="2BE118A4" w:rsidR="004B1131" w:rsidRPr="004B1131" w:rsidRDefault="004B1131" w:rsidP="004B1131">
      <w:pPr>
        <w:pStyle w:val="ListParagraph"/>
        <w:numPr>
          <w:ilvl w:val="0"/>
          <w:numId w:val="3"/>
        </w:numPr>
        <w:spacing w:before="240" w:after="120" w:line="276" w:lineRule="auto"/>
        <w:rPr>
          <w:sz w:val="22"/>
          <w:szCs w:val="22"/>
        </w:rPr>
      </w:pPr>
      <w:r w:rsidRPr="004B1131">
        <w:rPr>
          <w:sz w:val="22"/>
          <w:szCs w:val="22"/>
        </w:rPr>
        <w:t xml:space="preserve">Direct impacts </w:t>
      </w:r>
    </w:p>
    <w:p w14:paraId="0E424669" w14:textId="77777777" w:rsidR="004B1131" w:rsidRDefault="004B1131" w:rsidP="004B1131">
      <w:pPr>
        <w:pStyle w:val="ListParagraph"/>
        <w:numPr>
          <w:ilvl w:val="1"/>
          <w:numId w:val="3"/>
        </w:numPr>
        <w:spacing w:before="240" w:after="120" w:line="276" w:lineRule="auto"/>
        <w:rPr>
          <w:sz w:val="22"/>
          <w:szCs w:val="22"/>
        </w:rPr>
      </w:pPr>
      <w:r w:rsidRPr="004B1131">
        <w:rPr>
          <w:sz w:val="22"/>
          <w:szCs w:val="22"/>
        </w:rPr>
        <w:t xml:space="preserve">Types, amount and frequency of damage </w:t>
      </w:r>
    </w:p>
    <w:p w14:paraId="7D0B7F71" w14:textId="77777777" w:rsidR="004B1131" w:rsidRDefault="004B1131" w:rsidP="004B1131">
      <w:pPr>
        <w:pStyle w:val="ListParagraph"/>
        <w:numPr>
          <w:ilvl w:val="1"/>
          <w:numId w:val="3"/>
        </w:numPr>
        <w:spacing w:before="240" w:after="120" w:line="276" w:lineRule="auto"/>
        <w:rPr>
          <w:sz w:val="22"/>
          <w:szCs w:val="22"/>
        </w:rPr>
      </w:pPr>
      <w:r w:rsidRPr="004B1131">
        <w:rPr>
          <w:sz w:val="22"/>
          <w:szCs w:val="22"/>
        </w:rPr>
        <w:t xml:space="preserve">Crop losses, in yield and quality </w:t>
      </w:r>
    </w:p>
    <w:p w14:paraId="6C48C0B7" w14:textId="77777777" w:rsidR="004B1131" w:rsidRDefault="004B1131" w:rsidP="004B1131">
      <w:pPr>
        <w:pStyle w:val="ListParagraph"/>
        <w:numPr>
          <w:ilvl w:val="1"/>
          <w:numId w:val="3"/>
        </w:numPr>
        <w:spacing w:before="240" w:after="120" w:line="276" w:lineRule="auto"/>
        <w:rPr>
          <w:sz w:val="22"/>
          <w:szCs w:val="22"/>
        </w:rPr>
      </w:pPr>
      <w:r w:rsidRPr="004B1131">
        <w:rPr>
          <w:sz w:val="22"/>
          <w:szCs w:val="22"/>
        </w:rPr>
        <w:t xml:space="preserve">Biotic factors (e.g. adaptability and virulence of the pest) affecting damage and losses </w:t>
      </w:r>
    </w:p>
    <w:p w14:paraId="4879EC72" w14:textId="267CA734" w:rsidR="004B1131" w:rsidRDefault="004B1131" w:rsidP="004B1131">
      <w:pPr>
        <w:pStyle w:val="ListParagraph"/>
        <w:numPr>
          <w:ilvl w:val="1"/>
          <w:numId w:val="3"/>
        </w:numPr>
        <w:spacing w:before="240" w:after="120" w:line="276" w:lineRule="auto"/>
        <w:rPr>
          <w:sz w:val="22"/>
          <w:szCs w:val="22"/>
        </w:rPr>
      </w:pPr>
      <w:r w:rsidRPr="004B1131">
        <w:rPr>
          <w:sz w:val="22"/>
          <w:szCs w:val="22"/>
        </w:rPr>
        <w:t>Abiotic factors (e.g. climate) affecting damage and losses</w:t>
      </w:r>
    </w:p>
    <w:p w14:paraId="5309D784" w14:textId="77777777" w:rsidR="008A20C6" w:rsidRDefault="004B1131" w:rsidP="004B1131">
      <w:pPr>
        <w:pStyle w:val="ListParagraph"/>
        <w:numPr>
          <w:ilvl w:val="1"/>
          <w:numId w:val="3"/>
        </w:numPr>
        <w:spacing w:before="240" w:after="120" w:line="276" w:lineRule="auto"/>
        <w:rPr>
          <w:sz w:val="22"/>
          <w:szCs w:val="22"/>
        </w:rPr>
      </w:pPr>
      <w:r w:rsidRPr="004B1131">
        <w:rPr>
          <w:sz w:val="22"/>
          <w:szCs w:val="22"/>
        </w:rPr>
        <w:t xml:space="preserve">Control measures (including existing measures), their efficacy and cost </w:t>
      </w:r>
    </w:p>
    <w:p w14:paraId="1E24E745" w14:textId="3B9DB740" w:rsidR="004B1131" w:rsidRDefault="004B1131" w:rsidP="004B1131">
      <w:pPr>
        <w:pStyle w:val="ListParagraph"/>
        <w:numPr>
          <w:ilvl w:val="1"/>
          <w:numId w:val="3"/>
        </w:numPr>
        <w:spacing w:before="240" w:after="120" w:line="276" w:lineRule="auto"/>
        <w:rPr>
          <w:sz w:val="22"/>
          <w:szCs w:val="22"/>
        </w:rPr>
      </w:pPr>
      <w:r w:rsidRPr="004B1131">
        <w:rPr>
          <w:sz w:val="22"/>
          <w:szCs w:val="22"/>
        </w:rPr>
        <w:t>Cost of replanting</w:t>
      </w:r>
    </w:p>
    <w:p w14:paraId="608D656C" w14:textId="49856949" w:rsidR="004B1131" w:rsidRDefault="004B1131" w:rsidP="004B1131">
      <w:pPr>
        <w:pStyle w:val="ListParagraph"/>
        <w:numPr>
          <w:ilvl w:val="1"/>
          <w:numId w:val="3"/>
        </w:numPr>
        <w:spacing w:before="240" w:after="120" w:line="276" w:lineRule="auto"/>
        <w:rPr>
          <w:sz w:val="22"/>
          <w:szCs w:val="22"/>
        </w:rPr>
      </w:pPr>
      <w:r w:rsidRPr="004B1131">
        <w:rPr>
          <w:sz w:val="22"/>
          <w:szCs w:val="22"/>
        </w:rPr>
        <w:t xml:space="preserve">Effect on existing production practices </w:t>
      </w:r>
    </w:p>
    <w:p w14:paraId="73B2F7AF" w14:textId="77777777" w:rsidR="004B1131" w:rsidRDefault="004B1131" w:rsidP="004B1131">
      <w:pPr>
        <w:pStyle w:val="ListParagraph"/>
        <w:numPr>
          <w:ilvl w:val="0"/>
          <w:numId w:val="3"/>
        </w:numPr>
        <w:spacing w:before="240" w:after="120" w:line="276" w:lineRule="auto"/>
        <w:rPr>
          <w:sz w:val="22"/>
          <w:szCs w:val="22"/>
        </w:rPr>
      </w:pPr>
      <w:r w:rsidRPr="004B1131">
        <w:rPr>
          <w:sz w:val="22"/>
          <w:szCs w:val="22"/>
        </w:rPr>
        <w:t xml:space="preserve">Indirect impacts </w:t>
      </w:r>
    </w:p>
    <w:p w14:paraId="46FD59C2" w14:textId="547379DC" w:rsidR="004B1131" w:rsidRDefault="004B1131" w:rsidP="004B1131">
      <w:pPr>
        <w:pStyle w:val="ListParagraph"/>
        <w:numPr>
          <w:ilvl w:val="1"/>
          <w:numId w:val="3"/>
        </w:numPr>
        <w:spacing w:before="240" w:after="120" w:line="276" w:lineRule="auto"/>
        <w:rPr>
          <w:sz w:val="22"/>
          <w:szCs w:val="22"/>
        </w:rPr>
      </w:pPr>
      <w:r w:rsidRPr="004B1131">
        <w:rPr>
          <w:sz w:val="22"/>
          <w:szCs w:val="22"/>
        </w:rPr>
        <w:t xml:space="preserve">The presence of the pest affects domestic and export markets, including export market access, and the extent of phytosanitary measures imposed by importing countries </w:t>
      </w:r>
    </w:p>
    <w:p w14:paraId="4C4742A7" w14:textId="77777777" w:rsidR="004B1131" w:rsidRDefault="004B1131" w:rsidP="004B1131">
      <w:pPr>
        <w:pStyle w:val="ListParagraph"/>
        <w:numPr>
          <w:ilvl w:val="1"/>
          <w:numId w:val="3"/>
        </w:numPr>
        <w:spacing w:before="240" w:after="120" w:line="276" w:lineRule="auto"/>
        <w:rPr>
          <w:sz w:val="22"/>
          <w:szCs w:val="22"/>
        </w:rPr>
      </w:pPr>
      <w:r w:rsidRPr="004B1131">
        <w:rPr>
          <w:sz w:val="22"/>
          <w:szCs w:val="22"/>
        </w:rPr>
        <w:t>Changes to producer costs or input demands, including control costs</w:t>
      </w:r>
    </w:p>
    <w:p w14:paraId="04588236" w14:textId="77777777" w:rsidR="004B1131" w:rsidRDefault="004B1131" w:rsidP="004B1131">
      <w:pPr>
        <w:pStyle w:val="ListParagraph"/>
        <w:numPr>
          <w:ilvl w:val="1"/>
          <w:numId w:val="3"/>
        </w:numPr>
        <w:spacing w:before="240" w:after="120" w:line="276" w:lineRule="auto"/>
        <w:rPr>
          <w:sz w:val="22"/>
          <w:szCs w:val="22"/>
        </w:rPr>
      </w:pPr>
      <w:r w:rsidRPr="004B1131">
        <w:rPr>
          <w:sz w:val="22"/>
          <w:szCs w:val="22"/>
        </w:rPr>
        <w:t xml:space="preserve">Changes to domestic or foreign consumer demand for a product resulting from quality changes </w:t>
      </w:r>
    </w:p>
    <w:p w14:paraId="40DDF7F2" w14:textId="77777777" w:rsidR="004B1131" w:rsidRDefault="004B1131" w:rsidP="004B1131">
      <w:pPr>
        <w:pStyle w:val="ListParagraph"/>
        <w:numPr>
          <w:ilvl w:val="1"/>
          <w:numId w:val="3"/>
        </w:numPr>
        <w:spacing w:before="240" w:after="120" w:line="276" w:lineRule="auto"/>
        <w:rPr>
          <w:sz w:val="22"/>
          <w:szCs w:val="22"/>
        </w:rPr>
      </w:pPr>
      <w:r w:rsidRPr="004B1131">
        <w:rPr>
          <w:sz w:val="22"/>
          <w:szCs w:val="22"/>
        </w:rPr>
        <w:t xml:space="preserve">Feasibility and cost of eradication or containment </w:t>
      </w:r>
    </w:p>
    <w:p w14:paraId="6B332F25" w14:textId="77777777" w:rsidR="004B1131" w:rsidRDefault="004B1131" w:rsidP="004B1131">
      <w:pPr>
        <w:pStyle w:val="ListParagraph"/>
        <w:numPr>
          <w:ilvl w:val="1"/>
          <w:numId w:val="3"/>
        </w:numPr>
        <w:spacing w:before="240" w:after="120" w:line="276" w:lineRule="auto"/>
        <w:rPr>
          <w:sz w:val="22"/>
          <w:szCs w:val="22"/>
        </w:rPr>
      </w:pPr>
      <w:r w:rsidRPr="004B1131">
        <w:rPr>
          <w:sz w:val="22"/>
          <w:szCs w:val="22"/>
        </w:rPr>
        <w:t xml:space="preserve">Capacity to act as a vector for other pests </w:t>
      </w:r>
    </w:p>
    <w:p w14:paraId="7306E447" w14:textId="6D16DCA3" w:rsidR="004B1131" w:rsidRDefault="004B1131" w:rsidP="004B1131">
      <w:pPr>
        <w:pStyle w:val="ListParagraph"/>
        <w:numPr>
          <w:ilvl w:val="1"/>
          <w:numId w:val="3"/>
        </w:numPr>
        <w:spacing w:before="240" w:after="120" w:line="276" w:lineRule="auto"/>
        <w:rPr>
          <w:sz w:val="22"/>
          <w:szCs w:val="22"/>
        </w:rPr>
      </w:pPr>
      <w:r w:rsidRPr="004B1131">
        <w:rPr>
          <w:sz w:val="22"/>
          <w:szCs w:val="22"/>
        </w:rPr>
        <w:t xml:space="preserve">Effects of new control measures such as secondary pest outbreaks from the use of wide spectrum pesticides </w:t>
      </w:r>
    </w:p>
    <w:p w14:paraId="733EC12A" w14:textId="211B52C0" w:rsidR="004B1131" w:rsidRDefault="004B1131" w:rsidP="004B1131">
      <w:pPr>
        <w:pStyle w:val="ListParagraph"/>
        <w:numPr>
          <w:ilvl w:val="1"/>
          <w:numId w:val="3"/>
        </w:numPr>
        <w:spacing w:before="240" w:after="120" w:line="276" w:lineRule="auto"/>
        <w:rPr>
          <w:sz w:val="22"/>
          <w:szCs w:val="22"/>
        </w:rPr>
      </w:pPr>
      <w:r w:rsidRPr="004B1131">
        <w:rPr>
          <w:sz w:val="22"/>
          <w:szCs w:val="22"/>
        </w:rPr>
        <w:t xml:space="preserve">Effects on crop yields due to reduction of pollinators from the use of wide spectrum insecticides </w:t>
      </w:r>
    </w:p>
    <w:p w14:paraId="0B2A0B5B" w14:textId="10E2864C" w:rsidR="008A20C6" w:rsidRDefault="004B1131" w:rsidP="004B1131">
      <w:pPr>
        <w:pStyle w:val="ListParagraph"/>
        <w:numPr>
          <w:ilvl w:val="1"/>
          <w:numId w:val="3"/>
        </w:numPr>
        <w:spacing w:before="240" w:after="120" w:line="276" w:lineRule="auto"/>
        <w:rPr>
          <w:sz w:val="22"/>
          <w:szCs w:val="22"/>
        </w:rPr>
      </w:pPr>
      <w:r w:rsidRPr="004B1131">
        <w:rPr>
          <w:sz w:val="22"/>
          <w:szCs w:val="22"/>
        </w:rPr>
        <w:t xml:space="preserve">Increased human health costs associated </w:t>
      </w:r>
      <w:r w:rsidR="002E024D">
        <w:rPr>
          <w:sz w:val="22"/>
          <w:szCs w:val="22"/>
        </w:rPr>
        <w:t>with</w:t>
      </w:r>
      <w:r w:rsidRPr="004B1131">
        <w:rPr>
          <w:sz w:val="22"/>
          <w:szCs w:val="22"/>
        </w:rPr>
        <w:t xml:space="preserve"> the use of synthetic pesticides </w:t>
      </w:r>
    </w:p>
    <w:p w14:paraId="2E59CDC2" w14:textId="5F72DC1F" w:rsidR="004B1131" w:rsidRDefault="004B1131" w:rsidP="004B1131">
      <w:pPr>
        <w:pStyle w:val="ListParagraph"/>
        <w:numPr>
          <w:ilvl w:val="1"/>
          <w:numId w:val="3"/>
        </w:numPr>
        <w:spacing w:before="240" w:after="120" w:line="276" w:lineRule="auto"/>
        <w:rPr>
          <w:sz w:val="22"/>
          <w:szCs w:val="22"/>
        </w:rPr>
      </w:pPr>
      <w:r w:rsidRPr="004B1131">
        <w:rPr>
          <w:sz w:val="22"/>
          <w:szCs w:val="22"/>
        </w:rPr>
        <w:t>Resources needed for additional research and advice</w:t>
      </w:r>
    </w:p>
    <w:p w14:paraId="23A3998D" w14:textId="77777777" w:rsidR="009E1B93" w:rsidRDefault="009E1B93" w:rsidP="004B1131">
      <w:pPr>
        <w:pStyle w:val="ListParagraph"/>
        <w:numPr>
          <w:ilvl w:val="1"/>
          <w:numId w:val="3"/>
        </w:numPr>
        <w:spacing w:before="240" w:after="120" w:line="276" w:lineRule="auto"/>
        <w:rPr>
          <w:sz w:val="22"/>
          <w:szCs w:val="22"/>
        </w:rPr>
      </w:pPr>
      <w:r w:rsidRPr="009E1B93">
        <w:rPr>
          <w:sz w:val="22"/>
          <w:szCs w:val="22"/>
        </w:rPr>
        <w:t xml:space="preserve">Loss of jobs </w:t>
      </w:r>
    </w:p>
    <w:p w14:paraId="2AAE9CE4" w14:textId="443D1722" w:rsidR="009E1B93" w:rsidRDefault="009E1B93" w:rsidP="004B1131">
      <w:pPr>
        <w:pStyle w:val="ListParagraph"/>
        <w:numPr>
          <w:ilvl w:val="1"/>
          <w:numId w:val="3"/>
        </w:numPr>
        <w:spacing w:before="240" w:after="120" w:line="276" w:lineRule="auto"/>
        <w:rPr>
          <w:sz w:val="22"/>
          <w:szCs w:val="22"/>
        </w:rPr>
      </w:pPr>
      <w:r w:rsidRPr="009E1B93">
        <w:rPr>
          <w:sz w:val="22"/>
          <w:szCs w:val="22"/>
        </w:rPr>
        <w:t>Social unrest due to necessary interventions to contain and eradicate the emerging pest</w:t>
      </w:r>
    </w:p>
    <w:p w14:paraId="0D1BA189" w14:textId="76C945C7" w:rsidR="009E1B93" w:rsidRDefault="009E1B93" w:rsidP="004B1131">
      <w:pPr>
        <w:pStyle w:val="ListParagraph"/>
        <w:numPr>
          <w:ilvl w:val="1"/>
          <w:numId w:val="3"/>
        </w:numPr>
        <w:spacing w:before="240" w:after="120" w:line="276" w:lineRule="auto"/>
        <w:rPr>
          <w:sz w:val="22"/>
          <w:szCs w:val="22"/>
        </w:rPr>
      </w:pPr>
      <w:r>
        <w:rPr>
          <w:sz w:val="22"/>
          <w:szCs w:val="22"/>
        </w:rPr>
        <w:lastRenderedPageBreak/>
        <w:t>Effects on t</w:t>
      </w:r>
      <w:r w:rsidRPr="009E1B93">
        <w:rPr>
          <w:sz w:val="22"/>
          <w:szCs w:val="22"/>
        </w:rPr>
        <w:t>ourism</w:t>
      </w:r>
    </w:p>
    <w:p w14:paraId="007865B5" w14:textId="133AB0AC" w:rsidR="009E1B93" w:rsidRPr="009E1B93" w:rsidRDefault="009E1B93" w:rsidP="009E1B93">
      <w:pPr>
        <w:pStyle w:val="ListParagraph"/>
        <w:numPr>
          <w:ilvl w:val="1"/>
          <w:numId w:val="3"/>
        </w:numPr>
        <w:spacing w:before="240" w:after="120" w:line="276" w:lineRule="auto"/>
        <w:rPr>
          <w:sz w:val="22"/>
          <w:szCs w:val="22"/>
        </w:rPr>
      </w:pPr>
      <w:r>
        <w:rPr>
          <w:sz w:val="22"/>
          <w:szCs w:val="22"/>
        </w:rPr>
        <w:t>Risk to food safety and food security</w:t>
      </w:r>
    </w:p>
    <w:p w14:paraId="3B9BC6B0" w14:textId="61A0E545" w:rsidR="0093412C" w:rsidRDefault="3886E10C" w:rsidP="0093412C">
      <w:pPr>
        <w:spacing w:before="240" w:after="120" w:line="276" w:lineRule="auto"/>
        <w:rPr>
          <w:sz w:val="22"/>
          <w:szCs w:val="22"/>
        </w:rPr>
      </w:pPr>
      <w:r w:rsidRPr="00EB4C28">
        <w:rPr>
          <w:b/>
          <w:bCs/>
          <w:sz w:val="22"/>
          <w:szCs w:val="22"/>
        </w:rPr>
        <w:t>Substantial</w:t>
      </w:r>
      <w:r w:rsidRPr="2D9E63C3">
        <w:rPr>
          <w:sz w:val="22"/>
          <w:szCs w:val="22"/>
        </w:rPr>
        <w:t xml:space="preserve"> </w:t>
      </w:r>
      <w:r w:rsidR="3E22CDE6" w:rsidRPr="2D9E63C3">
        <w:rPr>
          <w:sz w:val="22"/>
          <w:szCs w:val="22"/>
        </w:rPr>
        <w:t>–</w:t>
      </w:r>
      <w:r w:rsidRPr="2D9E63C3">
        <w:rPr>
          <w:sz w:val="22"/>
          <w:szCs w:val="22"/>
        </w:rPr>
        <w:t xml:space="preserve"> </w:t>
      </w:r>
      <w:r w:rsidR="328B7A02" w:rsidRPr="2D9E63C3">
        <w:rPr>
          <w:sz w:val="22"/>
          <w:szCs w:val="22"/>
        </w:rPr>
        <w:t xml:space="preserve">economic impacts are considered to be the most severe for the native and introduced area. </w:t>
      </w:r>
      <w:r w:rsidR="0070346E">
        <w:rPr>
          <w:sz w:val="22"/>
          <w:szCs w:val="22"/>
        </w:rPr>
        <w:t>For example, t</w:t>
      </w:r>
      <w:r w:rsidR="328B7A02" w:rsidRPr="2D9E63C3">
        <w:rPr>
          <w:sz w:val="22"/>
          <w:szCs w:val="22"/>
        </w:rPr>
        <w:t xml:space="preserve">he pest is likely to lead to </w:t>
      </w:r>
      <w:r w:rsidR="7CB9BA4E" w:rsidRPr="2D9E63C3">
        <w:rPr>
          <w:sz w:val="22"/>
          <w:szCs w:val="22"/>
        </w:rPr>
        <w:t xml:space="preserve">a significant loss of </w:t>
      </w:r>
      <w:r w:rsidR="35919A71" w:rsidRPr="2D9E63C3">
        <w:rPr>
          <w:sz w:val="22"/>
          <w:szCs w:val="22"/>
        </w:rPr>
        <w:t>host plant production or</w:t>
      </w:r>
      <w:r w:rsidR="7CB9BA4E" w:rsidRPr="2D9E63C3">
        <w:rPr>
          <w:sz w:val="22"/>
          <w:szCs w:val="22"/>
        </w:rPr>
        <w:t xml:space="preserve"> </w:t>
      </w:r>
      <w:r w:rsidR="328B7A02" w:rsidRPr="2D9E63C3">
        <w:rPr>
          <w:sz w:val="22"/>
          <w:szCs w:val="22"/>
        </w:rPr>
        <w:t xml:space="preserve">the death of host plants </w:t>
      </w:r>
      <w:r w:rsidR="452A7EB9" w:rsidRPr="2D9E63C3">
        <w:rPr>
          <w:sz w:val="22"/>
          <w:szCs w:val="22"/>
        </w:rPr>
        <w:t>and</w:t>
      </w:r>
      <w:r w:rsidR="328B7A02" w:rsidRPr="2D9E63C3">
        <w:rPr>
          <w:sz w:val="22"/>
          <w:szCs w:val="22"/>
        </w:rPr>
        <w:t xml:space="preserve"> an inability to </w:t>
      </w:r>
      <w:r w:rsidR="204E22F3" w:rsidRPr="2D9E63C3">
        <w:rPr>
          <w:sz w:val="22"/>
          <w:szCs w:val="22"/>
        </w:rPr>
        <w:t>produce and sell the plants or plant products, resulting in</w:t>
      </w:r>
      <w:r w:rsidR="00AC3F81">
        <w:rPr>
          <w:sz w:val="22"/>
          <w:szCs w:val="22"/>
        </w:rPr>
        <w:t xml:space="preserve"> severe</w:t>
      </w:r>
      <w:r w:rsidR="00AC7E13" w:rsidRPr="2D9E63C3">
        <w:rPr>
          <w:sz w:val="22"/>
          <w:szCs w:val="22"/>
        </w:rPr>
        <w:t xml:space="preserve"> </w:t>
      </w:r>
      <w:r w:rsidR="204E22F3" w:rsidRPr="2D9E63C3">
        <w:rPr>
          <w:sz w:val="22"/>
          <w:szCs w:val="22"/>
        </w:rPr>
        <w:t>financial implications for businesses affected</w:t>
      </w:r>
      <w:r w:rsidR="452A7EB9" w:rsidRPr="2D9E63C3">
        <w:rPr>
          <w:sz w:val="22"/>
          <w:szCs w:val="22"/>
        </w:rPr>
        <w:t xml:space="preserve"> and</w:t>
      </w:r>
      <w:r w:rsidR="5275A5C8" w:rsidRPr="2D9E63C3">
        <w:rPr>
          <w:sz w:val="22"/>
          <w:szCs w:val="22"/>
        </w:rPr>
        <w:t>/or</w:t>
      </w:r>
      <w:r w:rsidR="452A7EB9" w:rsidRPr="2D9E63C3">
        <w:rPr>
          <w:sz w:val="22"/>
          <w:szCs w:val="22"/>
        </w:rPr>
        <w:t xml:space="preserve"> reduced food security for the country concerned</w:t>
      </w:r>
      <w:r w:rsidR="328B7A02" w:rsidRPr="2D9E63C3">
        <w:rPr>
          <w:sz w:val="22"/>
          <w:szCs w:val="22"/>
        </w:rPr>
        <w:t xml:space="preserve">. </w:t>
      </w:r>
    </w:p>
    <w:p w14:paraId="47490DAD" w14:textId="4544193D" w:rsidR="009E1B93" w:rsidRDefault="009E1B93" w:rsidP="0093412C">
      <w:pPr>
        <w:spacing w:before="240" w:after="120" w:line="276" w:lineRule="auto"/>
        <w:rPr>
          <w:b/>
          <w:bCs/>
          <w:sz w:val="22"/>
          <w:szCs w:val="22"/>
        </w:rPr>
      </w:pPr>
      <w:r w:rsidRPr="009E1B93">
        <w:rPr>
          <w:b/>
          <w:bCs/>
          <w:sz w:val="22"/>
          <w:szCs w:val="22"/>
        </w:rPr>
        <w:t>Pest examples</w:t>
      </w:r>
    </w:p>
    <w:p w14:paraId="08625961" w14:textId="47379A23" w:rsidR="009E1B93" w:rsidRDefault="009E1B93" w:rsidP="0093412C">
      <w:pPr>
        <w:spacing w:before="240" w:after="120" w:line="276" w:lineRule="auto"/>
        <w:rPr>
          <w:sz w:val="22"/>
          <w:szCs w:val="22"/>
        </w:rPr>
      </w:pPr>
      <w:bookmarkStart w:id="6" w:name="_Hlk186712843"/>
      <w:proofErr w:type="spellStart"/>
      <w:r w:rsidRPr="009E1B93">
        <w:rPr>
          <w:i/>
          <w:iCs/>
          <w:sz w:val="22"/>
          <w:szCs w:val="22"/>
        </w:rPr>
        <w:t>T</w:t>
      </w:r>
      <w:r w:rsidRPr="005B6D94">
        <w:rPr>
          <w:i/>
          <w:iCs/>
          <w:sz w:val="22"/>
          <w:szCs w:val="22"/>
        </w:rPr>
        <w:t>obamovirus</w:t>
      </w:r>
      <w:proofErr w:type="spellEnd"/>
      <w:r w:rsidRPr="005B6D94">
        <w:rPr>
          <w:i/>
          <w:iCs/>
          <w:sz w:val="22"/>
          <w:szCs w:val="22"/>
        </w:rPr>
        <w:t xml:space="preserve"> </w:t>
      </w:r>
      <w:proofErr w:type="spellStart"/>
      <w:r w:rsidRPr="005B6D94">
        <w:rPr>
          <w:i/>
          <w:iCs/>
          <w:sz w:val="22"/>
          <w:szCs w:val="22"/>
        </w:rPr>
        <w:t>fructirugosum</w:t>
      </w:r>
      <w:proofErr w:type="spellEnd"/>
      <w:r w:rsidRPr="009E1B93">
        <w:rPr>
          <w:sz w:val="22"/>
          <w:szCs w:val="22"/>
        </w:rPr>
        <w:t xml:space="preserve"> (tomato brown rugose fruit virus)</w:t>
      </w:r>
      <w:bookmarkEnd w:id="6"/>
      <w:r>
        <w:rPr>
          <w:sz w:val="22"/>
          <w:szCs w:val="22"/>
        </w:rPr>
        <w:t xml:space="preserve"> </w:t>
      </w:r>
      <w:r w:rsidR="002E024D">
        <w:rPr>
          <w:sz w:val="22"/>
          <w:szCs w:val="22"/>
        </w:rPr>
        <w:t>–</w:t>
      </w:r>
      <w:r>
        <w:rPr>
          <w:sz w:val="22"/>
          <w:szCs w:val="22"/>
        </w:rPr>
        <w:t xml:space="preserve"> </w:t>
      </w:r>
      <w:bookmarkStart w:id="7" w:name="_Hlk184028966"/>
      <w:bookmarkStart w:id="8" w:name="_Toc185514118"/>
      <w:bookmarkStart w:id="9" w:name="_Toc185523048"/>
      <w:proofErr w:type="spellStart"/>
      <w:r w:rsidRPr="009E1B93">
        <w:rPr>
          <w:sz w:val="22"/>
          <w:szCs w:val="22"/>
        </w:rPr>
        <w:t>ToBRFV</w:t>
      </w:r>
      <w:proofErr w:type="spellEnd"/>
      <w:r w:rsidRPr="009E1B93">
        <w:rPr>
          <w:sz w:val="22"/>
          <w:szCs w:val="22"/>
        </w:rPr>
        <w:t xml:space="preserve"> can infect up to 100% of a crop and cause yield losses of between 25 and 70%. These yield losses are the result of symptomatic fruit being unmarketable and the production period being shorter for less vigorous infected crops. Other economic costs, aside from direct yield losses, include hygiene and eradication costs, export costs, and the costs of switching to a non-host crop in a specialised tomato and/or pepper production facility</w:t>
      </w:r>
      <w:bookmarkEnd w:id="7"/>
      <w:r w:rsidRPr="009E1B93">
        <w:rPr>
          <w:sz w:val="22"/>
          <w:szCs w:val="22"/>
        </w:rPr>
        <w:t>. There are also potential social impacts for gardens and allotments, as well as for temporary workers in tomato and pepper production if not as many jobs are generated during the growing season.</w:t>
      </w:r>
      <w:bookmarkEnd w:id="8"/>
      <w:bookmarkEnd w:id="9"/>
      <w:r>
        <w:rPr>
          <w:sz w:val="22"/>
          <w:szCs w:val="22"/>
        </w:rPr>
        <w:t xml:space="preserve"> This </w:t>
      </w:r>
      <w:r w:rsidR="00E17619">
        <w:rPr>
          <w:sz w:val="22"/>
          <w:szCs w:val="22"/>
        </w:rPr>
        <w:t xml:space="preserve">pest </w:t>
      </w:r>
      <w:r>
        <w:rPr>
          <w:sz w:val="22"/>
          <w:szCs w:val="22"/>
        </w:rPr>
        <w:t>would therefore meet this criterion.</w:t>
      </w:r>
    </w:p>
    <w:p w14:paraId="0846B2AB" w14:textId="53B1394E" w:rsidR="009E1B93" w:rsidRPr="009E1B93" w:rsidRDefault="00816273" w:rsidP="0093412C">
      <w:pPr>
        <w:spacing w:before="240" w:after="120" w:line="276" w:lineRule="auto"/>
        <w:rPr>
          <w:sz w:val="22"/>
          <w:szCs w:val="22"/>
        </w:rPr>
      </w:pPr>
      <w:proofErr w:type="spellStart"/>
      <w:r w:rsidRPr="00816273">
        <w:rPr>
          <w:i/>
          <w:iCs/>
          <w:sz w:val="22"/>
          <w:szCs w:val="22"/>
        </w:rPr>
        <w:t>Takahashia</w:t>
      </w:r>
      <w:proofErr w:type="spellEnd"/>
      <w:r w:rsidRPr="00816273">
        <w:rPr>
          <w:i/>
          <w:iCs/>
          <w:sz w:val="22"/>
          <w:szCs w:val="22"/>
        </w:rPr>
        <w:t xml:space="preserve"> japonica</w:t>
      </w:r>
      <w:r>
        <w:rPr>
          <w:sz w:val="22"/>
          <w:szCs w:val="22"/>
        </w:rPr>
        <w:t xml:space="preserve"> (cotton stringy scale) </w:t>
      </w:r>
      <w:r w:rsidR="3E22CDE6" w:rsidRPr="2D9E63C3">
        <w:rPr>
          <w:sz w:val="22"/>
          <w:szCs w:val="22"/>
        </w:rPr>
        <w:t>–</w:t>
      </w:r>
      <w:r w:rsidR="00BC10C8">
        <w:rPr>
          <w:sz w:val="22"/>
          <w:szCs w:val="22"/>
        </w:rPr>
        <w:t xml:space="preserve"> </w:t>
      </w:r>
      <w:r w:rsidR="00010FA9">
        <w:rPr>
          <w:sz w:val="22"/>
          <w:szCs w:val="22"/>
        </w:rPr>
        <w:t>t</w:t>
      </w:r>
      <w:r w:rsidR="006419F6">
        <w:rPr>
          <w:sz w:val="22"/>
          <w:szCs w:val="22"/>
        </w:rPr>
        <w:t>his</w:t>
      </w:r>
      <w:r w:rsidR="007A1CB2">
        <w:rPr>
          <w:sz w:val="22"/>
          <w:szCs w:val="22"/>
        </w:rPr>
        <w:t xml:space="preserve"> pest</w:t>
      </w:r>
      <w:r w:rsidR="00BC10C8">
        <w:rPr>
          <w:sz w:val="22"/>
          <w:szCs w:val="22"/>
        </w:rPr>
        <w:t xml:space="preserve"> is native to Asia</w:t>
      </w:r>
      <w:r w:rsidR="00010FA9">
        <w:rPr>
          <w:sz w:val="22"/>
          <w:szCs w:val="22"/>
        </w:rPr>
        <w:t xml:space="preserve"> and is a polyphagous pest of woody deciduous trees. It</w:t>
      </w:r>
      <w:r w:rsidR="00B26445">
        <w:rPr>
          <w:sz w:val="22"/>
          <w:szCs w:val="22"/>
        </w:rPr>
        <w:t xml:space="preserve"> has been </w:t>
      </w:r>
      <w:r w:rsidR="007A1CB2">
        <w:rPr>
          <w:sz w:val="22"/>
          <w:szCs w:val="22"/>
        </w:rPr>
        <w:t>report</w:t>
      </w:r>
      <w:r w:rsidR="00B26445">
        <w:rPr>
          <w:sz w:val="22"/>
          <w:szCs w:val="22"/>
        </w:rPr>
        <w:t xml:space="preserve">ed spreading to other countries, including Croatia, </w:t>
      </w:r>
      <w:r w:rsidR="007A1CB2">
        <w:rPr>
          <w:sz w:val="22"/>
          <w:szCs w:val="22"/>
        </w:rPr>
        <w:t xml:space="preserve">Italy, </w:t>
      </w:r>
      <w:r w:rsidR="00BC10C8">
        <w:rPr>
          <w:sz w:val="22"/>
          <w:szCs w:val="22"/>
        </w:rPr>
        <w:t>Ukraine</w:t>
      </w:r>
      <w:r w:rsidR="00B26445">
        <w:rPr>
          <w:sz w:val="22"/>
          <w:szCs w:val="22"/>
        </w:rPr>
        <w:t xml:space="preserve"> and the UK. </w:t>
      </w:r>
      <w:r w:rsidR="00082AC7">
        <w:rPr>
          <w:sz w:val="22"/>
          <w:szCs w:val="22"/>
        </w:rPr>
        <w:t>There are few records of impacts</w:t>
      </w:r>
      <w:r w:rsidR="003D6CA3">
        <w:rPr>
          <w:sz w:val="22"/>
          <w:szCs w:val="22"/>
        </w:rPr>
        <w:t xml:space="preserve">, </w:t>
      </w:r>
      <w:r w:rsidR="00FE740E">
        <w:rPr>
          <w:sz w:val="22"/>
          <w:szCs w:val="22"/>
        </w:rPr>
        <w:t xml:space="preserve">with the exception of Croatia, where some </w:t>
      </w:r>
      <w:r w:rsidR="00FE740E" w:rsidRPr="00FE740E">
        <w:rPr>
          <w:i/>
          <w:iCs/>
          <w:sz w:val="22"/>
          <w:szCs w:val="22"/>
        </w:rPr>
        <w:t>Acer</w:t>
      </w:r>
      <w:r w:rsidR="00FE740E" w:rsidRPr="00FE740E">
        <w:rPr>
          <w:sz w:val="22"/>
          <w:szCs w:val="22"/>
        </w:rPr>
        <w:t> sp. and </w:t>
      </w:r>
      <w:r w:rsidR="00FE740E" w:rsidRPr="00FE740E">
        <w:rPr>
          <w:i/>
          <w:iCs/>
          <w:sz w:val="22"/>
          <w:szCs w:val="22"/>
        </w:rPr>
        <w:t>Morus alba</w:t>
      </w:r>
      <w:r w:rsidR="00FE740E" w:rsidRPr="00FE740E">
        <w:rPr>
          <w:sz w:val="22"/>
          <w:szCs w:val="22"/>
        </w:rPr>
        <w:t xml:space="preserve"> </w:t>
      </w:r>
      <w:r w:rsidR="00356199">
        <w:rPr>
          <w:sz w:val="22"/>
          <w:szCs w:val="22"/>
        </w:rPr>
        <w:t xml:space="preserve">were reported to have </w:t>
      </w:r>
      <w:r w:rsidR="00FE740E" w:rsidRPr="00FE740E">
        <w:rPr>
          <w:sz w:val="22"/>
          <w:szCs w:val="22"/>
        </w:rPr>
        <w:t>suffered significant defoliation and tree decay</w:t>
      </w:r>
      <w:r w:rsidR="00A44BEA">
        <w:rPr>
          <w:sz w:val="22"/>
          <w:szCs w:val="22"/>
        </w:rPr>
        <w:t>. In the absence of</w:t>
      </w:r>
      <w:r w:rsidR="00356199">
        <w:rPr>
          <w:sz w:val="22"/>
          <w:szCs w:val="22"/>
        </w:rPr>
        <w:t xml:space="preserve"> </w:t>
      </w:r>
      <w:r w:rsidR="00540F28">
        <w:rPr>
          <w:sz w:val="22"/>
          <w:szCs w:val="22"/>
        </w:rPr>
        <w:t xml:space="preserve">further impacts, </w:t>
      </w:r>
      <w:r w:rsidR="004C1A0D">
        <w:rPr>
          <w:sz w:val="22"/>
          <w:szCs w:val="22"/>
        </w:rPr>
        <w:t>including evidence of economic losses, this pest would not meet this criterion.</w:t>
      </w:r>
    </w:p>
    <w:p w14:paraId="035A75CD" w14:textId="2EDA5CBE" w:rsidR="008A20C6" w:rsidRDefault="008A20C6" w:rsidP="004B1131">
      <w:pPr>
        <w:spacing w:before="240" w:after="120" w:line="276" w:lineRule="auto"/>
        <w:rPr>
          <w:b/>
          <w:bCs/>
          <w:sz w:val="32"/>
          <w:szCs w:val="32"/>
        </w:rPr>
      </w:pPr>
      <w:r w:rsidRPr="008A20C6">
        <w:rPr>
          <w:b/>
          <w:bCs/>
          <w:sz w:val="32"/>
          <w:szCs w:val="32"/>
        </w:rPr>
        <w:t>Environmental impact</w:t>
      </w:r>
    </w:p>
    <w:p w14:paraId="3CA16B4D" w14:textId="77777777" w:rsidR="009E0A60" w:rsidRDefault="009E0A60" w:rsidP="004B1131">
      <w:pPr>
        <w:spacing w:before="240" w:after="120" w:line="276" w:lineRule="auto"/>
        <w:rPr>
          <w:sz w:val="22"/>
          <w:szCs w:val="22"/>
        </w:rPr>
      </w:pPr>
      <w:r w:rsidRPr="009E0A60">
        <w:rPr>
          <w:sz w:val="22"/>
          <w:szCs w:val="22"/>
        </w:rPr>
        <w:t xml:space="preserve">Aspects for consideration include, but are not limited to: </w:t>
      </w:r>
    </w:p>
    <w:p w14:paraId="1F245B6A" w14:textId="77777777" w:rsidR="009E0A60" w:rsidRDefault="009E0A60" w:rsidP="009E0A60">
      <w:pPr>
        <w:pStyle w:val="ListParagraph"/>
        <w:numPr>
          <w:ilvl w:val="0"/>
          <w:numId w:val="4"/>
        </w:numPr>
        <w:spacing w:before="240" w:after="120" w:line="276" w:lineRule="auto"/>
        <w:rPr>
          <w:sz w:val="22"/>
          <w:szCs w:val="22"/>
        </w:rPr>
      </w:pPr>
      <w:r w:rsidRPr="009E0A60">
        <w:rPr>
          <w:sz w:val="22"/>
          <w:szCs w:val="22"/>
        </w:rPr>
        <w:t xml:space="preserve">Direct impacts </w:t>
      </w:r>
    </w:p>
    <w:p w14:paraId="17D69BE6" w14:textId="77777777" w:rsidR="009E0A60" w:rsidRDefault="009E0A60" w:rsidP="009E0A60">
      <w:pPr>
        <w:pStyle w:val="ListParagraph"/>
        <w:numPr>
          <w:ilvl w:val="1"/>
          <w:numId w:val="4"/>
        </w:numPr>
        <w:spacing w:before="240" w:after="120" w:line="276" w:lineRule="auto"/>
        <w:rPr>
          <w:sz w:val="22"/>
          <w:szCs w:val="22"/>
        </w:rPr>
      </w:pPr>
      <w:r w:rsidRPr="009E0A60">
        <w:rPr>
          <w:sz w:val="22"/>
          <w:szCs w:val="22"/>
        </w:rPr>
        <w:t xml:space="preserve">Reduction of keystone plant species </w:t>
      </w:r>
    </w:p>
    <w:p w14:paraId="5AC43F02" w14:textId="77777777" w:rsidR="009E0A60" w:rsidRDefault="009E0A60" w:rsidP="009E0A60">
      <w:pPr>
        <w:pStyle w:val="ListParagraph"/>
        <w:numPr>
          <w:ilvl w:val="1"/>
          <w:numId w:val="4"/>
        </w:numPr>
        <w:spacing w:before="240" w:after="120" w:line="276" w:lineRule="auto"/>
        <w:rPr>
          <w:sz w:val="22"/>
          <w:szCs w:val="22"/>
        </w:rPr>
      </w:pPr>
      <w:r w:rsidRPr="009E0A60">
        <w:rPr>
          <w:sz w:val="22"/>
          <w:szCs w:val="22"/>
        </w:rPr>
        <w:t xml:space="preserve">Reduction of plant species that are major components of ecosystems (in terms of abundance or size), and endangered native plant species (including effects below species level where there is evidence of such effects being significant) </w:t>
      </w:r>
    </w:p>
    <w:p w14:paraId="78E06F73" w14:textId="77777777" w:rsidR="009E0A60" w:rsidRDefault="009E0A60" w:rsidP="009E0A60">
      <w:pPr>
        <w:pStyle w:val="ListParagraph"/>
        <w:numPr>
          <w:ilvl w:val="1"/>
          <w:numId w:val="4"/>
        </w:numPr>
        <w:spacing w:before="240" w:after="120" w:line="276" w:lineRule="auto"/>
        <w:rPr>
          <w:sz w:val="22"/>
          <w:szCs w:val="22"/>
        </w:rPr>
      </w:pPr>
      <w:r w:rsidRPr="009E0A60">
        <w:rPr>
          <w:sz w:val="22"/>
          <w:szCs w:val="22"/>
        </w:rPr>
        <w:t>Significant reduction, displacement or elimination of other plant species.</w:t>
      </w:r>
    </w:p>
    <w:p w14:paraId="7C3424F9" w14:textId="77777777" w:rsidR="009E0A60" w:rsidRDefault="009E0A60" w:rsidP="009E0A60">
      <w:pPr>
        <w:pStyle w:val="ListParagraph"/>
        <w:numPr>
          <w:ilvl w:val="0"/>
          <w:numId w:val="4"/>
        </w:numPr>
        <w:spacing w:before="240" w:after="120" w:line="276" w:lineRule="auto"/>
        <w:rPr>
          <w:sz w:val="22"/>
          <w:szCs w:val="22"/>
        </w:rPr>
      </w:pPr>
      <w:r w:rsidRPr="009E0A60">
        <w:rPr>
          <w:sz w:val="22"/>
          <w:szCs w:val="22"/>
        </w:rPr>
        <w:t xml:space="preserve">Indirect impacts </w:t>
      </w:r>
    </w:p>
    <w:p w14:paraId="7F9CAEC3" w14:textId="77777777" w:rsidR="009E0A60" w:rsidRDefault="009E0A60" w:rsidP="009E0A60">
      <w:pPr>
        <w:pStyle w:val="ListParagraph"/>
        <w:numPr>
          <w:ilvl w:val="1"/>
          <w:numId w:val="4"/>
        </w:numPr>
        <w:spacing w:before="240" w:after="120" w:line="276" w:lineRule="auto"/>
        <w:rPr>
          <w:sz w:val="22"/>
          <w:szCs w:val="22"/>
        </w:rPr>
      </w:pPr>
      <w:r w:rsidRPr="009E0A60">
        <w:rPr>
          <w:sz w:val="22"/>
          <w:szCs w:val="22"/>
        </w:rPr>
        <w:t xml:space="preserve">Significant effects on plant communities </w:t>
      </w:r>
    </w:p>
    <w:p w14:paraId="279475E7" w14:textId="77777777" w:rsidR="009E0A60" w:rsidRDefault="009E0A60" w:rsidP="009E0A60">
      <w:pPr>
        <w:pStyle w:val="ListParagraph"/>
        <w:numPr>
          <w:ilvl w:val="1"/>
          <w:numId w:val="4"/>
        </w:numPr>
        <w:spacing w:before="240" w:after="120" w:line="276" w:lineRule="auto"/>
        <w:rPr>
          <w:sz w:val="22"/>
          <w:szCs w:val="22"/>
        </w:rPr>
      </w:pPr>
      <w:r w:rsidRPr="009E0A60">
        <w:rPr>
          <w:sz w:val="22"/>
          <w:szCs w:val="22"/>
        </w:rPr>
        <w:t>Significant effects on designated environmentally sensitive or protected areas</w:t>
      </w:r>
    </w:p>
    <w:p w14:paraId="19B943A6" w14:textId="77777777" w:rsidR="009E0A60" w:rsidRDefault="009E0A60" w:rsidP="009E0A60">
      <w:pPr>
        <w:pStyle w:val="ListParagraph"/>
        <w:numPr>
          <w:ilvl w:val="1"/>
          <w:numId w:val="4"/>
        </w:numPr>
        <w:spacing w:before="240" w:after="120" w:line="276" w:lineRule="auto"/>
        <w:rPr>
          <w:sz w:val="22"/>
          <w:szCs w:val="22"/>
        </w:rPr>
      </w:pPr>
      <w:r w:rsidRPr="009E0A60">
        <w:rPr>
          <w:sz w:val="22"/>
          <w:szCs w:val="22"/>
        </w:rPr>
        <w:t xml:space="preserve">Significant change in ecological processes and the structure, stability or processes of an ecosystem (including further effects on plant species, erosion, water table changes, increased fire hazard, nutrient cycling) </w:t>
      </w:r>
    </w:p>
    <w:p w14:paraId="3A0F2BC2" w14:textId="4D986491" w:rsidR="008A20C6" w:rsidRDefault="009E0A60" w:rsidP="009E0A60">
      <w:pPr>
        <w:pStyle w:val="ListParagraph"/>
        <w:numPr>
          <w:ilvl w:val="1"/>
          <w:numId w:val="4"/>
        </w:numPr>
        <w:spacing w:before="240" w:after="120" w:line="276" w:lineRule="auto"/>
        <w:rPr>
          <w:sz w:val="22"/>
          <w:szCs w:val="22"/>
        </w:rPr>
      </w:pPr>
      <w:r w:rsidRPr="009E0A60">
        <w:rPr>
          <w:sz w:val="22"/>
          <w:szCs w:val="22"/>
        </w:rPr>
        <w:t>Costs of environmental restoration</w:t>
      </w:r>
    </w:p>
    <w:p w14:paraId="65AAE663" w14:textId="0A2FE36F" w:rsidR="009E1B93" w:rsidRDefault="009E1B93" w:rsidP="009E0A60">
      <w:pPr>
        <w:pStyle w:val="ListParagraph"/>
        <w:numPr>
          <w:ilvl w:val="1"/>
          <w:numId w:val="4"/>
        </w:numPr>
        <w:spacing w:before="240" w:after="120" w:line="276" w:lineRule="auto"/>
        <w:rPr>
          <w:sz w:val="22"/>
          <w:szCs w:val="22"/>
        </w:rPr>
      </w:pPr>
      <w:r>
        <w:rPr>
          <w:sz w:val="22"/>
          <w:szCs w:val="22"/>
        </w:rPr>
        <w:t>Effects to p</w:t>
      </w:r>
      <w:r w:rsidRPr="009E1B93">
        <w:rPr>
          <w:sz w:val="22"/>
          <w:szCs w:val="22"/>
        </w:rPr>
        <w:t xml:space="preserve">ublic and private gardens </w:t>
      </w:r>
    </w:p>
    <w:p w14:paraId="30EED96B" w14:textId="04C92656" w:rsidR="009E1B93" w:rsidRDefault="009E1B93" w:rsidP="009E0A60">
      <w:pPr>
        <w:pStyle w:val="ListParagraph"/>
        <w:numPr>
          <w:ilvl w:val="1"/>
          <w:numId w:val="4"/>
        </w:numPr>
        <w:spacing w:before="240" w:after="120" w:line="276" w:lineRule="auto"/>
        <w:rPr>
          <w:sz w:val="22"/>
          <w:szCs w:val="22"/>
        </w:rPr>
      </w:pPr>
      <w:r>
        <w:rPr>
          <w:sz w:val="22"/>
          <w:szCs w:val="22"/>
        </w:rPr>
        <w:t>Reduction in p</w:t>
      </w:r>
      <w:r w:rsidRPr="009E1B93">
        <w:rPr>
          <w:sz w:val="22"/>
          <w:szCs w:val="22"/>
        </w:rPr>
        <w:t xml:space="preserve">lants of national importance </w:t>
      </w:r>
    </w:p>
    <w:p w14:paraId="217694E6" w14:textId="4F3ECF85" w:rsidR="009E1B93" w:rsidRDefault="009E1B93" w:rsidP="009E0A60">
      <w:pPr>
        <w:pStyle w:val="ListParagraph"/>
        <w:numPr>
          <w:ilvl w:val="1"/>
          <w:numId w:val="4"/>
        </w:numPr>
        <w:spacing w:before="240" w:after="120" w:line="276" w:lineRule="auto"/>
        <w:rPr>
          <w:sz w:val="22"/>
          <w:szCs w:val="22"/>
        </w:rPr>
      </w:pPr>
      <w:r>
        <w:rPr>
          <w:sz w:val="22"/>
          <w:szCs w:val="22"/>
        </w:rPr>
        <w:lastRenderedPageBreak/>
        <w:t>Impacts to r</w:t>
      </w:r>
      <w:r w:rsidRPr="009E1B93">
        <w:rPr>
          <w:sz w:val="22"/>
          <w:szCs w:val="22"/>
        </w:rPr>
        <w:t>ecreation (e.g., fishing)</w:t>
      </w:r>
    </w:p>
    <w:p w14:paraId="1AA5F2C2" w14:textId="56F6D247" w:rsidR="009E1B93" w:rsidRDefault="3E22CDE6" w:rsidP="2D9E63C3">
      <w:pPr>
        <w:spacing w:before="240" w:after="120" w:line="276" w:lineRule="auto"/>
        <w:rPr>
          <w:sz w:val="22"/>
          <w:szCs w:val="22"/>
        </w:rPr>
      </w:pPr>
      <w:r w:rsidRPr="2D9E63C3">
        <w:rPr>
          <w:b/>
          <w:bCs/>
          <w:sz w:val="22"/>
          <w:szCs w:val="22"/>
        </w:rPr>
        <w:t>Substantial</w:t>
      </w:r>
      <w:r w:rsidRPr="2D9E63C3">
        <w:rPr>
          <w:sz w:val="22"/>
          <w:szCs w:val="22"/>
        </w:rPr>
        <w:t xml:space="preserve"> – </w:t>
      </w:r>
      <w:r w:rsidR="452A7EB9" w:rsidRPr="2D9E63C3">
        <w:rPr>
          <w:sz w:val="22"/>
          <w:szCs w:val="22"/>
        </w:rPr>
        <w:t>environmental impacts are considered to be the most severe for the native and</w:t>
      </w:r>
      <w:r w:rsidR="00CC4BB5">
        <w:rPr>
          <w:sz w:val="22"/>
          <w:szCs w:val="22"/>
        </w:rPr>
        <w:t>/or</w:t>
      </w:r>
      <w:r w:rsidR="452A7EB9" w:rsidRPr="2D9E63C3">
        <w:rPr>
          <w:sz w:val="22"/>
          <w:szCs w:val="22"/>
        </w:rPr>
        <w:t xml:space="preserve"> introduced area. </w:t>
      </w:r>
      <w:r w:rsidR="00CC4BB5">
        <w:rPr>
          <w:sz w:val="22"/>
          <w:szCs w:val="22"/>
        </w:rPr>
        <w:t>For example, t</w:t>
      </w:r>
      <w:r w:rsidR="452A7EB9" w:rsidRPr="2D9E63C3">
        <w:rPr>
          <w:sz w:val="22"/>
          <w:szCs w:val="22"/>
        </w:rPr>
        <w:t xml:space="preserve">he pest is likely to lead to </w:t>
      </w:r>
      <w:r w:rsidR="2862115E" w:rsidRPr="2D9E63C3">
        <w:rPr>
          <w:sz w:val="22"/>
          <w:szCs w:val="22"/>
        </w:rPr>
        <w:t xml:space="preserve">a significant loss of host plant </w:t>
      </w:r>
      <w:r w:rsidR="3CCB2DC7" w:rsidRPr="2D9E63C3">
        <w:rPr>
          <w:sz w:val="22"/>
          <w:szCs w:val="22"/>
        </w:rPr>
        <w:t>re</w:t>
      </w:r>
      <w:r w:rsidR="2862115E" w:rsidRPr="2D9E63C3">
        <w:rPr>
          <w:sz w:val="22"/>
          <w:szCs w:val="22"/>
        </w:rPr>
        <w:t xml:space="preserve">production or </w:t>
      </w:r>
      <w:r w:rsidR="452A7EB9" w:rsidRPr="2D9E63C3">
        <w:rPr>
          <w:sz w:val="22"/>
          <w:szCs w:val="22"/>
        </w:rPr>
        <w:t xml:space="preserve">the death of host plants and cause significant long-term impacts to biodiversity, ecosystem services, and important tree species. </w:t>
      </w:r>
    </w:p>
    <w:p w14:paraId="0B8F4971" w14:textId="77777777" w:rsidR="009E1B93" w:rsidRDefault="009E1B93" w:rsidP="009E1B93">
      <w:pPr>
        <w:spacing w:before="240" w:after="120" w:line="276" w:lineRule="auto"/>
        <w:rPr>
          <w:sz w:val="22"/>
          <w:szCs w:val="22"/>
        </w:rPr>
      </w:pPr>
      <w:r w:rsidRPr="009E1B93">
        <w:rPr>
          <w:b/>
          <w:bCs/>
          <w:sz w:val="22"/>
          <w:szCs w:val="22"/>
        </w:rPr>
        <w:t>Pest examples</w:t>
      </w:r>
    </w:p>
    <w:p w14:paraId="44CC3AB8" w14:textId="7CAE5F98" w:rsidR="009E1B93" w:rsidRDefault="00E17619" w:rsidP="009E1B93">
      <w:pPr>
        <w:spacing w:before="240" w:after="120" w:line="276" w:lineRule="auto"/>
        <w:rPr>
          <w:sz w:val="22"/>
          <w:szCs w:val="22"/>
        </w:rPr>
      </w:pPr>
      <w:r w:rsidRPr="00E17619">
        <w:rPr>
          <w:i/>
          <w:iCs/>
          <w:sz w:val="22"/>
          <w:szCs w:val="22"/>
        </w:rPr>
        <w:t xml:space="preserve">Agrilus </w:t>
      </w:r>
      <w:proofErr w:type="spellStart"/>
      <w:r w:rsidRPr="00E17619">
        <w:rPr>
          <w:i/>
          <w:iCs/>
          <w:sz w:val="22"/>
          <w:szCs w:val="22"/>
        </w:rPr>
        <w:t>planipennis</w:t>
      </w:r>
      <w:proofErr w:type="spellEnd"/>
      <w:r>
        <w:rPr>
          <w:sz w:val="22"/>
          <w:szCs w:val="22"/>
        </w:rPr>
        <w:t xml:space="preserve"> (e</w:t>
      </w:r>
      <w:r w:rsidR="009E1B93">
        <w:rPr>
          <w:sz w:val="22"/>
          <w:szCs w:val="22"/>
        </w:rPr>
        <w:t>merald ash borer</w:t>
      </w:r>
      <w:r>
        <w:rPr>
          <w:sz w:val="22"/>
          <w:szCs w:val="22"/>
        </w:rPr>
        <w:t>)</w:t>
      </w:r>
      <w:r w:rsidR="009E1B93">
        <w:rPr>
          <w:sz w:val="22"/>
          <w:szCs w:val="22"/>
        </w:rPr>
        <w:t xml:space="preserve"> </w:t>
      </w:r>
      <w:r w:rsidR="00431550">
        <w:rPr>
          <w:sz w:val="22"/>
          <w:szCs w:val="22"/>
        </w:rPr>
        <w:t>–</w:t>
      </w:r>
      <w:r>
        <w:rPr>
          <w:sz w:val="22"/>
          <w:szCs w:val="22"/>
        </w:rPr>
        <w:t xml:space="preserve"> l</w:t>
      </w:r>
      <w:r w:rsidRPr="00E17619">
        <w:rPr>
          <w:sz w:val="22"/>
          <w:szCs w:val="22"/>
        </w:rPr>
        <w:t>arvae of the beetle bore into the inner bark and outer sapwood, weakening the tree, and causing discolouration of foliage, thinning, dying branches, and ultimately the death of the tree. This has been particularly evident in North America, where tens of millions of trees have been killed. As a consequence, timber and other forestry products have been lost; ecosystem services, such as water regulation, have been impoverished; and social benefits like shading, recreation and cultural traditions have been affected.</w:t>
      </w:r>
      <w:r>
        <w:rPr>
          <w:sz w:val="22"/>
          <w:szCs w:val="22"/>
        </w:rPr>
        <w:t xml:space="preserve"> This pest would therefore meet this criterion.</w:t>
      </w:r>
    </w:p>
    <w:p w14:paraId="5D98D96D" w14:textId="4609C757" w:rsidR="00E17619" w:rsidRDefault="00E17619" w:rsidP="009E1B93">
      <w:pPr>
        <w:spacing w:before="240" w:after="120" w:line="276" w:lineRule="auto"/>
        <w:rPr>
          <w:sz w:val="22"/>
          <w:szCs w:val="22"/>
        </w:rPr>
      </w:pPr>
      <w:bookmarkStart w:id="10" w:name="_Hlk186717206"/>
      <w:proofErr w:type="spellStart"/>
      <w:r w:rsidRPr="00E17619">
        <w:rPr>
          <w:i/>
          <w:iCs/>
          <w:sz w:val="22"/>
          <w:szCs w:val="22"/>
        </w:rPr>
        <w:t>T</w:t>
      </w:r>
      <w:r w:rsidRPr="005B6D94">
        <w:rPr>
          <w:i/>
          <w:iCs/>
          <w:sz w:val="22"/>
          <w:szCs w:val="22"/>
        </w:rPr>
        <w:t>obamovirus</w:t>
      </w:r>
      <w:proofErr w:type="spellEnd"/>
      <w:r w:rsidRPr="005B6D94">
        <w:rPr>
          <w:i/>
          <w:iCs/>
          <w:sz w:val="22"/>
          <w:szCs w:val="22"/>
        </w:rPr>
        <w:t xml:space="preserve"> </w:t>
      </w:r>
      <w:proofErr w:type="spellStart"/>
      <w:r w:rsidRPr="005B6D94">
        <w:rPr>
          <w:i/>
          <w:iCs/>
          <w:sz w:val="22"/>
          <w:szCs w:val="22"/>
        </w:rPr>
        <w:t>fructirugosum</w:t>
      </w:r>
      <w:proofErr w:type="spellEnd"/>
      <w:r w:rsidRPr="00E17619">
        <w:rPr>
          <w:sz w:val="22"/>
          <w:szCs w:val="22"/>
        </w:rPr>
        <w:t xml:space="preserve"> (tomato brown rugose fruit virus)</w:t>
      </w:r>
      <w:bookmarkEnd w:id="10"/>
      <w:r>
        <w:rPr>
          <w:sz w:val="22"/>
          <w:szCs w:val="22"/>
        </w:rPr>
        <w:t xml:space="preserve"> – while this pest causes substantial economic impacts to tomato and pepper, these hosts are not considered to be environmentally important. </w:t>
      </w:r>
    </w:p>
    <w:p w14:paraId="5E985AAC" w14:textId="12DFD1B6" w:rsidR="00D23550" w:rsidRDefault="00D23550" w:rsidP="009E1B93">
      <w:pPr>
        <w:spacing w:before="240" w:after="120" w:line="276" w:lineRule="auto"/>
        <w:rPr>
          <w:b/>
          <w:bCs/>
          <w:sz w:val="36"/>
          <w:szCs w:val="36"/>
        </w:rPr>
      </w:pPr>
      <w:r w:rsidRPr="00D23550">
        <w:rPr>
          <w:b/>
          <w:bCs/>
          <w:sz w:val="36"/>
          <w:szCs w:val="36"/>
        </w:rPr>
        <w:t>Step 3 guidance</w:t>
      </w:r>
    </w:p>
    <w:p w14:paraId="7D17D21F" w14:textId="45D70AE1" w:rsidR="00D23550" w:rsidRPr="00D23550" w:rsidRDefault="00D23550" w:rsidP="009E1B93">
      <w:pPr>
        <w:spacing w:before="240" w:after="120" w:line="276" w:lineRule="auto"/>
        <w:rPr>
          <w:sz w:val="22"/>
          <w:szCs w:val="22"/>
        </w:rPr>
      </w:pPr>
      <w:r w:rsidRPr="009E0A60">
        <w:rPr>
          <w:sz w:val="22"/>
          <w:szCs w:val="22"/>
        </w:rPr>
        <w:t xml:space="preserve">Most of the elements </w:t>
      </w:r>
      <w:r w:rsidRPr="00D23550">
        <w:rPr>
          <w:sz w:val="22"/>
          <w:szCs w:val="22"/>
        </w:rPr>
        <w:t xml:space="preserve">below </w:t>
      </w:r>
      <w:r w:rsidRPr="009E0A60">
        <w:rPr>
          <w:sz w:val="22"/>
          <w:szCs w:val="22"/>
        </w:rPr>
        <w:t xml:space="preserve">are taken from ISPM 11 with the purpose of assessing emerging pests. </w:t>
      </w:r>
      <w:r w:rsidRPr="00D23550">
        <w:rPr>
          <w:sz w:val="22"/>
          <w:szCs w:val="22"/>
        </w:rPr>
        <w:t>It is not the intention for a pest risk analysis to be conducted</w:t>
      </w:r>
      <w:r w:rsidRPr="009E0A60">
        <w:rPr>
          <w:sz w:val="22"/>
          <w:szCs w:val="22"/>
        </w:rPr>
        <w:t xml:space="preserve">. </w:t>
      </w:r>
      <w:r w:rsidRPr="00D23550">
        <w:rPr>
          <w:sz w:val="22"/>
          <w:szCs w:val="22"/>
        </w:rPr>
        <w:t>However, further guidance can be found in ISPM 11 and supplement 2 of ISPM 5.</w:t>
      </w:r>
    </w:p>
    <w:p w14:paraId="04B1C840" w14:textId="1E4DCCC6" w:rsidR="009E0A60" w:rsidRDefault="13376583" w:rsidP="009E0A60">
      <w:pPr>
        <w:spacing w:before="240" w:after="120" w:line="276" w:lineRule="auto"/>
        <w:rPr>
          <w:b/>
          <w:bCs/>
          <w:sz w:val="32"/>
          <w:szCs w:val="32"/>
          <w:lang w:val="en-US"/>
        </w:rPr>
      </w:pPr>
      <w:r w:rsidRPr="2D9E63C3">
        <w:rPr>
          <w:b/>
          <w:bCs/>
          <w:sz w:val="32"/>
          <w:szCs w:val="32"/>
          <w:lang w:val="en-US"/>
        </w:rPr>
        <w:t>Likelihood of introduction into new areas</w:t>
      </w:r>
    </w:p>
    <w:p w14:paraId="38614D8A" w14:textId="77777777" w:rsidR="00D23550" w:rsidRDefault="00D23550" w:rsidP="009E0A60">
      <w:pPr>
        <w:spacing w:before="240" w:after="120" w:line="276" w:lineRule="auto"/>
        <w:rPr>
          <w:sz w:val="22"/>
          <w:szCs w:val="22"/>
        </w:rPr>
      </w:pPr>
      <w:r>
        <w:rPr>
          <w:b/>
          <w:bCs/>
          <w:sz w:val="22"/>
          <w:szCs w:val="22"/>
          <w:lang w:val="en-US"/>
        </w:rPr>
        <w:t xml:space="preserve">Entry </w:t>
      </w:r>
      <w:r>
        <w:rPr>
          <w:sz w:val="22"/>
          <w:szCs w:val="22"/>
          <w:lang w:val="en-US"/>
        </w:rPr>
        <w:t xml:space="preserve">– </w:t>
      </w:r>
      <w:r>
        <w:rPr>
          <w:sz w:val="22"/>
          <w:szCs w:val="22"/>
        </w:rPr>
        <w:t>aspects for</w:t>
      </w:r>
      <w:r w:rsidRPr="00D23550">
        <w:rPr>
          <w:sz w:val="22"/>
          <w:szCs w:val="22"/>
        </w:rPr>
        <w:t xml:space="preserve"> consideration include, but are not limited to: </w:t>
      </w:r>
    </w:p>
    <w:p w14:paraId="40ABF494" w14:textId="77777777" w:rsidR="00D23550" w:rsidRDefault="00D23550" w:rsidP="00D23550">
      <w:pPr>
        <w:pStyle w:val="ListParagraph"/>
        <w:numPr>
          <w:ilvl w:val="0"/>
          <w:numId w:val="5"/>
        </w:numPr>
        <w:spacing w:before="240" w:after="120" w:line="276" w:lineRule="auto"/>
        <w:rPr>
          <w:sz w:val="22"/>
          <w:szCs w:val="22"/>
        </w:rPr>
      </w:pPr>
      <w:r w:rsidRPr="00D23550">
        <w:rPr>
          <w:sz w:val="22"/>
          <w:szCs w:val="22"/>
        </w:rPr>
        <w:t xml:space="preserve">Number of pathways </w:t>
      </w:r>
    </w:p>
    <w:p w14:paraId="3FF1750A" w14:textId="77777777" w:rsidR="00D23550" w:rsidRDefault="00D23550" w:rsidP="00D23550">
      <w:pPr>
        <w:pStyle w:val="ListParagraph"/>
        <w:numPr>
          <w:ilvl w:val="0"/>
          <w:numId w:val="5"/>
        </w:numPr>
        <w:spacing w:before="240" w:after="120" w:line="276" w:lineRule="auto"/>
        <w:rPr>
          <w:sz w:val="22"/>
          <w:szCs w:val="22"/>
        </w:rPr>
      </w:pPr>
      <w:r w:rsidRPr="00D23550">
        <w:rPr>
          <w:sz w:val="22"/>
          <w:szCs w:val="22"/>
        </w:rPr>
        <w:t xml:space="preserve">Probability of being associated with a pathway </w:t>
      </w:r>
    </w:p>
    <w:p w14:paraId="057B48C7" w14:textId="77777777" w:rsidR="00D23550" w:rsidRDefault="00D23550" w:rsidP="00D23550">
      <w:pPr>
        <w:pStyle w:val="ListParagraph"/>
        <w:numPr>
          <w:ilvl w:val="0"/>
          <w:numId w:val="5"/>
        </w:numPr>
        <w:spacing w:before="240" w:after="120" w:line="276" w:lineRule="auto"/>
        <w:rPr>
          <w:sz w:val="22"/>
          <w:szCs w:val="22"/>
        </w:rPr>
      </w:pPr>
      <w:r w:rsidRPr="00D23550">
        <w:rPr>
          <w:sz w:val="22"/>
          <w:szCs w:val="22"/>
        </w:rPr>
        <w:t xml:space="preserve">Probability of survival during transport or storage </w:t>
      </w:r>
    </w:p>
    <w:p w14:paraId="680B2406" w14:textId="5D577FC7" w:rsidR="00D23550" w:rsidRDefault="00D23550" w:rsidP="00D23550">
      <w:pPr>
        <w:pStyle w:val="ListParagraph"/>
        <w:numPr>
          <w:ilvl w:val="0"/>
          <w:numId w:val="5"/>
        </w:numPr>
        <w:spacing w:before="240" w:after="120" w:line="276" w:lineRule="auto"/>
        <w:rPr>
          <w:sz w:val="22"/>
          <w:szCs w:val="22"/>
        </w:rPr>
      </w:pPr>
      <w:r w:rsidRPr="00D23550">
        <w:rPr>
          <w:sz w:val="22"/>
          <w:szCs w:val="22"/>
        </w:rPr>
        <w:t>Probability of</w:t>
      </w:r>
      <w:r w:rsidR="005B5AE8">
        <w:rPr>
          <w:sz w:val="22"/>
          <w:szCs w:val="22"/>
        </w:rPr>
        <w:t xml:space="preserve"> the</w:t>
      </w:r>
      <w:r w:rsidRPr="00D23550">
        <w:rPr>
          <w:sz w:val="22"/>
          <w:szCs w:val="22"/>
        </w:rPr>
        <w:t xml:space="preserve"> pest surviving existing pest management procedures </w:t>
      </w:r>
    </w:p>
    <w:p w14:paraId="02D1171D" w14:textId="77777777" w:rsidR="00D23550" w:rsidRDefault="00D23550" w:rsidP="00D23550">
      <w:pPr>
        <w:pStyle w:val="ListParagraph"/>
        <w:numPr>
          <w:ilvl w:val="0"/>
          <w:numId w:val="5"/>
        </w:numPr>
        <w:spacing w:before="240" w:after="120" w:line="276" w:lineRule="auto"/>
        <w:rPr>
          <w:sz w:val="22"/>
          <w:szCs w:val="22"/>
        </w:rPr>
      </w:pPr>
      <w:r w:rsidRPr="00D23550">
        <w:rPr>
          <w:sz w:val="22"/>
          <w:szCs w:val="22"/>
        </w:rPr>
        <w:t xml:space="preserve">Probability of transfer to a suitable host </w:t>
      </w:r>
    </w:p>
    <w:p w14:paraId="2C273AEA" w14:textId="2A7059D3" w:rsidR="00D23550" w:rsidRDefault="00D23550" w:rsidP="00D23550">
      <w:pPr>
        <w:pStyle w:val="ListParagraph"/>
        <w:numPr>
          <w:ilvl w:val="0"/>
          <w:numId w:val="5"/>
        </w:numPr>
        <w:spacing w:before="240" w:after="120" w:line="276" w:lineRule="auto"/>
        <w:rPr>
          <w:sz w:val="22"/>
          <w:szCs w:val="22"/>
        </w:rPr>
      </w:pPr>
      <w:r w:rsidRPr="00D23550">
        <w:rPr>
          <w:sz w:val="22"/>
          <w:szCs w:val="22"/>
        </w:rPr>
        <w:t>Potential pathways not documented should also be assessed</w:t>
      </w:r>
    </w:p>
    <w:p w14:paraId="27DEB29D" w14:textId="2F3FA220" w:rsidR="00D23550" w:rsidRDefault="00D23550" w:rsidP="00D23550">
      <w:pPr>
        <w:spacing w:before="240" w:after="120" w:line="276" w:lineRule="auto"/>
        <w:rPr>
          <w:sz w:val="22"/>
          <w:szCs w:val="22"/>
        </w:rPr>
      </w:pPr>
      <w:r w:rsidRPr="00D23550">
        <w:rPr>
          <w:b/>
          <w:bCs/>
          <w:sz w:val="22"/>
          <w:szCs w:val="22"/>
        </w:rPr>
        <w:t>Establishment</w:t>
      </w:r>
      <w:r>
        <w:rPr>
          <w:sz w:val="22"/>
          <w:szCs w:val="22"/>
        </w:rPr>
        <w:t xml:space="preserve"> – a</w:t>
      </w:r>
      <w:r w:rsidRPr="00D23550">
        <w:rPr>
          <w:sz w:val="22"/>
          <w:szCs w:val="22"/>
        </w:rPr>
        <w:t xml:space="preserve">spects for consideration include, but are not limited to: </w:t>
      </w:r>
    </w:p>
    <w:p w14:paraId="6410C02D" w14:textId="77777777" w:rsidR="00D23550" w:rsidRDefault="00D23550" w:rsidP="00D23550">
      <w:pPr>
        <w:pStyle w:val="ListParagraph"/>
        <w:numPr>
          <w:ilvl w:val="0"/>
          <w:numId w:val="6"/>
        </w:numPr>
        <w:spacing w:before="240" w:after="120" w:line="276" w:lineRule="auto"/>
        <w:rPr>
          <w:sz w:val="22"/>
          <w:szCs w:val="22"/>
        </w:rPr>
      </w:pPr>
      <w:r w:rsidRPr="00D23550">
        <w:rPr>
          <w:sz w:val="22"/>
          <w:szCs w:val="22"/>
        </w:rPr>
        <w:t xml:space="preserve">Availability, quantity and distribution of hosts </w:t>
      </w:r>
    </w:p>
    <w:p w14:paraId="1563E099" w14:textId="77777777" w:rsidR="00D23550" w:rsidRDefault="00D23550" w:rsidP="00D23550">
      <w:pPr>
        <w:pStyle w:val="ListParagraph"/>
        <w:numPr>
          <w:ilvl w:val="0"/>
          <w:numId w:val="6"/>
        </w:numPr>
        <w:spacing w:before="240" w:after="120" w:line="276" w:lineRule="auto"/>
        <w:rPr>
          <w:sz w:val="22"/>
          <w:szCs w:val="22"/>
        </w:rPr>
      </w:pPr>
      <w:r w:rsidRPr="00D23550">
        <w:rPr>
          <w:sz w:val="22"/>
          <w:szCs w:val="22"/>
        </w:rPr>
        <w:t xml:space="preserve">Environmental climatic suitability </w:t>
      </w:r>
    </w:p>
    <w:p w14:paraId="40F46090" w14:textId="77777777" w:rsidR="00D23550" w:rsidRDefault="00D23550" w:rsidP="00D23550">
      <w:pPr>
        <w:pStyle w:val="ListParagraph"/>
        <w:numPr>
          <w:ilvl w:val="0"/>
          <w:numId w:val="6"/>
        </w:numPr>
        <w:spacing w:before="240" w:after="120" w:line="276" w:lineRule="auto"/>
        <w:rPr>
          <w:sz w:val="22"/>
          <w:szCs w:val="22"/>
        </w:rPr>
      </w:pPr>
      <w:r w:rsidRPr="00D23550">
        <w:rPr>
          <w:sz w:val="22"/>
          <w:szCs w:val="22"/>
        </w:rPr>
        <w:t xml:space="preserve">Potential for adaptation of the pest </w:t>
      </w:r>
    </w:p>
    <w:p w14:paraId="6A8C959A" w14:textId="77777777" w:rsidR="00D23550" w:rsidRDefault="00D23550" w:rsidP="00D23550">
      <w:pPr>
        <w:pStyle w:val="ListParagraph"/>
        <w:numPr>
          <w:ilvl w:val="0"/>
          <w:numId w:val="6"/>
        </w:numPr>
        <w:spacing w:before="240" w:after="120" w:line="276" w:lineRule="auto"/>
        <w:rPr>
          <w:sz w:val="22"/>
          <w:szCs w:val="22"/>
        </w:rPr>
      </w:pPr>
      <w:r w:rsidRPr="00D23550">
        <w:rPr>
          <w:sz w:val="22"/>
          <w:szCs w:val="22"/>
        </w:rPr>
        <w:t xml:space="preserve">Reproductive strategy of the pest </w:t>
      </w:r>
    </w:p>
    <w:p w14:paraId="3AB88F56" w14:textId="77777777" w:rsidR="00D23550" w:rsidRDefault="00D23550" w:rsidP="00D23550">
      <w:pPr>
        <w:pStyle w:val="ListParagraph"/>
        <w:numPr>
          <w:ilvl w:val="0"/>
          <w:numId w:val="6"/>
        </w:numPr>
        <w:spacing w:before="240" w:after="120" w:line="276" w:lineRule="auto"/>
        <w:rPr>
          <w:sz w:val="22"/>
          <w:szCs w:val="22"/>
        </w:rPr>
      </w:pPr>
      <w:r w:rsidRPr="00D23550">
        <w:rPr>
          <w:sz w:val="22"/>
          <w:szCs w:val="22"/>
        </w:rPr>
        <w:t xml:space="preserve">Method of pest survival </w:t>
      </w:r>
    </w:p>
    <w:p w14:paraId="5A5497EC" w14:textId="00CDE89D" w:rsidR="00DC510D" w:rsidRDefault="00D23550" w:rsidP="00DC510D">
      <w:pPr>
        <w:pStyle w:val="ListParagraph"/>
        <w:numPr>
          <w:ilvl w:val="0"/>
          <w:numId w:val="6"/>
        </w:numPr>
        <w:spacing w:before="240" w:after="120" w:line="276" w:lineRule="auto"/>
        <w:rPr>
          <w:sz w:val="22"/>
          <w:szCs w:val="22"/>
        </w:rPr>
      </w:pPr>
      <w:r w:rsidRPr="00D23550">
        <w:rPr>
          <w:sz w:val="22"/>
          <w:szCs w:val="22"/>
        </w:rPr>
        <w:t>Cultural practices and control measure</w:t>
      </w:r>
      <w:r w:rsidR="005B5AE8">
        <w:rPr>
          <w:sz w:val="22"/>
          <w:szCs w:val="22"/>
        </w:rPr>
        <w:t>s</w:t>
      </w:r>
    </w:p>
    <w:p w14:paraId="4226C8B5" w14:textId="77777777" w:rsidR="002540CB" w:rsidRDefault="002540CB" w:rsidP="00434590">
      <w:pPr>
        <w:spacing w:before="240" w:after="120" w:line="276" w:lineRule="auto"/>
        <w:rPr>
          <w:b/>
          <w:bCs/>
          <w:sz w:val="22"/>
          <w:szCs w:val="22"/>
        </w:rPr>
      </w:pPr>
    </w:p>
    <w:p w14:paraId="4DCE621C" w14:textId="38CA40DA" w:rsidR="00434590" w:rsidRDefault="00434590" w:rsidP="00434590">
      <w:pPr>
        <w:spacing w:before="240" w:after="120" w:line="276" w:lineRule="auto"/>
        <w:rPr>
          <w:b/>
          <w:bCs/>
          <w:sz w:val="22"/>
          <w:szCs w:val="22"/>
        </w:rPr>
      </w:pPr>
      <w:r w:rsidRPr="00434590">
        <w:rPr>
          <w:b/>
          <w:bCs/>
          <w:sz w:val="22"/>
          <w:szCs w:val="22"/>
        </w:rPr>
        <w:lastRenderedPageBreak/>
        <w:t>Pest examples</w:t>
      </w:r>
    </w:p>
    <w:p w14:paraId="2E2BEA53" w14:textId="77777777" w:rsidR="002A25A6" w:rsidRDefault="002A25A6" w:rsidP="002A25A6">
      <w:pPr>
        <w:spacing w:before="240" w:after="120" w:line="276" w:lineRule="auto"/>
        <w:rPr>
          <w:sz w:val="22"/>
          <w:szCs w:val="22"/>
        </w:rPr>
      </w:pPr>
      <w:proofErr w:type="spellStart"/>
      <w:r w:rsidRPr="002A25A6">
        <w:rPr>
          <w:i/>
          <w:iCs/>
          <w:sz w:val="22"/>
          <w:szCs w:val="22"/>
        </w:rPr>
        <w:t>T</w:t>
      </w:r>
      <w:r w:rsidRPr="005B6D94">
        <w:rPr>
          <w:i/>
          <w:iCs/>
          <w:sz w:val="22"/>
          <w:szCs w:val="22"/>
        </w:rPr>
        <w:t>obamovirus</w:t>
      </w:r>
      <w:proofErr w:type="spellEnd"/>
      <w:r w:rsidRPr="005B6D94">
        <w:rPr>
          <w:i/>
          <w:iCs/>
          <w:sz w:val="22"/>
          <w:szCs w:val="22"/>
        </w:rPr>
        <w:t xml:space="preserve"> </w:t>
      </w:r>
      <w:proofErr w:type="spellStart"/>
      <w:r w:rsidRPr="005B6D94">
        <w:rPr>
          <w:i/>
          <w:iCs/>
          <w:sz w:val="22"/>
          <w:szCs w:val="22"/>
        </w:rPr>
        <w:t>fructirugosum</w:t>
      </w:r>
      <w:proofErr w:type="spellEnd"/>
      <w:r w:rsidRPr="002A25A6">
        <w:rPr>
          <w:sz w:val="22"/>
          <w:szCs w:val="22"/>
        </w:rPr>
        <w:t xml:space="preserve"> (tomato brown rugose fruit virus) –</w:t>
      </w:r>
      <w:r>
        <w:rPr>
          <w:sz w:val="22"/>
          <w:szCs w:val="22"/>
        </w:rPr>
        <w:t xml:space="preserve"> </w:t>
      </w:r>
      <w:bookmarkStart w:id="11" w:name="_Toc185514119"/>
      <w:bookmarkStart w:id="12" w:name="_Toc185523049"/>
      <w:r w:rsidRPr="002A25A6">
        <w:rPr>
          <w:sz w:val="22"/>
          <w:szCs w:val="22"/>
        </w:rPr>
        <w:t xml:space="preserve">The main pathways for long distance spread of the virus are seed, plants for planting and fruit. For fruit, the risk is higher if the fruit is stored or repacked at destination in facilities that also grow host fruits, or repacked at destination in facilities that also pack local fruits. The virus can also spread by mechanical transmission on people, equipment, used containers, vehicles, machinery, bees and via plant-to-plant contact, as well as in soil, water and nutrient film solutions. These are important for local transmission and may also allow for long distance spread of the virus. As for other </w:t>
      </w:r>
      <w:proofErr w:type="spellStart"/>
      <w:r w:rsidRPr="002A25A6">
        <w:rPr>
          <w:sz w:val="22"/>
          <w:szCs w:val="22"/>
        </w:rPr>
        <w:t>tobamoviruses</w:t>
      </w:r>
      <w:proofErr w:type="spellEnd"/>
      <w:r w:rsidRPr="002A25A6">
        <w:rPr>
          <w:sz w:val="22"/>
          <w:szCs w:val="22"/>
        </w:rPr>
        <w:t>, the virus can remain stable on a number of different surfaces for weeks and months.</w:t>
      </w:r>
      <w:bookmarkEnd w:id="11"/>
      <w:bookmarkEnd w:id="12"/>
      <w:r>
        <w:rPr>
          <w:sz w:val="22"/>
          <w:szCs w:val="22"/>
        </w:rPr>
        <w:t xml:space="preserve"> When you also consider the rapid spread of this pest to new countries over the last five years, the pest meets this criterion.</w:t>
      </w:r>
    </w:p>
    <w:p w14:paraId="13949BB0" w14:textId="5BB4911B" w:rsidR="002A25A6" w:rsidRPr="002A25A6" w:rsidRDefault="002A25A6" w:rsidP="00434590">
      <w:pPr>
        <w:spacing w:before="240" w:after="120" w:line="276" w:lineRule="auto"/>
        <w:rPr>
          <w:sz w:val="22"/>
          <w:szCs w:val="22"/>
        </w:rPr>
      </w:pPr>
      <w:r w:rsidRPr="54AAC45F">
        <w:rPr>
          <w:sz w:val="22"/>
          <w:szCs w:val="22"/>
        </w:rPr>
        <w:t xml:space="preserve">Pest X – </w:t>
      </w:r>
      <w:r w:rsidR="54261DB9" w:rsidRPr="54AAC45F">
        <w:rPr>
          <w:sz w:val="22"/>
          <w:szCs w:val="22"/>
        </w:rPr>
        <w:t>this pest has a low likelihood of introduction due to official measures being in place that minimise its spread,</w:t>
      </w:r>
      <w:r w:rsidR="5C20EBB4" w:rsidRPr="54AAC45F">
        <w:rPr>
          <w:sz w:val="22"/>
          <w:szCs w:val="22"/>
        </w:rPr>
        <w:t xml:space="preserve"> there being</w:t>
      </w:r>
      <w:r w:rsidR="54261DB9" w:rsidRPr="54AAC45F">
        <w:rPr>
          <w:sz w:val="22"/>
          <w:szCs w:val="22"/>
        </w:rPr>
        <w:t xml:space="preserve"> limited trade </w:t>
      </w:r>
      <w:r w:rsidR="6B969BAF" w:rsidRPr="54AAC45F">
        <w:rPr>
          <w:sz w:val="22"/>
          <w:szCs w:val="22"/>
        </w:rPr>
        <w:t xml:space="preserve">in susceptible commodities </w:t>
      </w:r>
      <w:r w:rsidR="54261DB9" w:rsidRPr="54AAC45F">
        <w:rPr>
          <w:sz w:val="22"/>
          <w:szCs w:val="22"/>
        </w:rPr>
        <w:t xml:space="preserve">to new countries </w:t>
      </w:r>
      <w:r w:rsidR="453E30FC" w:rsidRPr="54AAC45F">
        <w:rPr>
          <w:sz w:val="22"/>
          <w:szCs w:val="22"/>
        </w:rPr>
        <w:t>and/or climate or biogeographic factors impeding natural spread.</w:t>
      </w:r>
    </w:p>
    <w:p w14:paraId="74670789" w14:textId="00B40C00" w:rsidR="001147A1" w:rsidRDefault="00DC510D" w:rsidP="00197022">
      <w:pPr>
        <w:spacing w:before="240" w:after="120" w:line="276" w:lineRule="auto"/>
        <w:rPr>
          <w:sz w:val="32"/>
          <w:szCs w:val="32"/>
        </w:rPr>
      </w:pPr>
      <w:r>
        <w:rPr>
          <w:sz w:val="32"/>
          <w:szCs w:val="32"/>
        </w:rPr>
        <w:t>Scale of impacts in new areas</w:t>
      </w:r>
    </w:p>
    <w:p w14:paraId="19048754" w14:textId="0B4CACDF" w:rsidR="00DC510D" w:rsidRDefault="00197022" w:rsidP="00197022">
      <w:pPr>
        <w:spacing w:before="240" w:after="120" w:line="276" w:lineRule="auto"/>
        <w:rPr>
          <w:sz w:val="22"/>
          <w:szCs w:val="22"/>
        </w:rPr>
      </w:pPr>
      <w:r w:rsidRPr="00197022">
        <w:rPr>
          <w:b/>
          <w:bCs/>
          <w:sz w:val="22"/>
          <w:szCs w:val="22"/>
        </w:rPr>
        <w:t>Predicting impacts</w:t>
      </w:r>
      <w:r>
        <w:rPr>
          <w:sz w:val="22"/>
          <w:szCs w:val="22"/>
        </w:rPr>
        <w:t xml:space="preserve"> </w:t>
      </w:r>
      <w:r w:rsidR="005B5AE8">
        <w:rPr>
          <w:sz w:val="22"/>
          <w:szCs w:val="22"/>
        </w:rPr>
        <w:t>–</w:t>
      </w:r>
      <w:r>
        <w:rPr>
          <w:sz w:val="22"/>
          <w:szCs w:val="22"/>
        </w:rPr>
        <w:t xml:space="preserve"> t</w:t>
      </w:r>
      <w:r w:rsidR="00DC510D" w:rsidRPr="00DC510D">
        <w:rPr>
          <w:sz w:val="22"/>
          <w:szCs w:val="22"/>
        </w:rPr>
        <w:t xml:space="preserve">o estimate the potential </w:t>
      </w:r>
      <w:r w:rsidR="00DC510D">
        <w:rPr>
          <w:sz w:val="22"/>
          <w:szCs w:val="22"/>
        </w:rPr>
        <w:t xml:space="preserve">impacts </w:t>
      </w:r>
      <w:r w:rsidR="00DC510D" w:rsidRPr="00DC510D">
        <w:rPr>
          <w:sz w:val="22"/>
          <w:szCs w:val="22"/>
        </w:rPr>
        <w:t>of the pest</w:t>
      </w:r>
      <w:r w:rsidR="00DC510D">
        <w:rPr>
          <w:sz w:val="22"/>
          <w:szCs w:val="22"/>
        </w:rPr>
        <w:t xml:space="preserve"> in new areas</w:t>
      </w:r>
      <w:r w:rsidR="00DC510D" w:rsidRPr="00DC510D">
        <w:rPr>
          <w:sz w:val="22"/>
          <w:szCs w:val="22"/>
        </w:rPr>
        <w:t xml:space="preserve">, </w:t>
      </w:r>
      <w:r w:rsidR="00DC510D">
        <w:rPr>
          <w:sz w:val="22"/>
          <w:szCs w:val="22"/>
        </w:rPr>
        <w:t>the</w:t>
      </w:r>
      <w:r w:rsidR="00DC510D" w:rsidRPr="00DC510D">
        <w:rPr>
          <w:sz w:val="22"/>
          <w:szCs w:val="22"/>
        </w:rPr>
        <w:t xml:space="preserve"> </w:t>
      </w:r>
      <w:r w:rsidR="00DC510D">
        <w:rPr>
          <w:sz w:val="22"/>
          <w:szCs w:val="22"/>
        </w:rPr>
        <w:t xml:space="preserve">impacts from the native and introduced area (from step 2) should </w:t>
      </w:r>
      <w:r w:rsidR="00DC510D" w:rsidRPr="00DC510D">
        <w:rPr>
          <w:sz w:val="22"/>
          <w:szCs w:val="22"/>
        </w:rPr>
        <w:t xml:space="preserve">be compared with the situation in the </w:t>
      </w:r>
      <w:r w:rsidR="00DC510D">
        <w:rPr>
          <w:sz w:val="22"/>
          <w:szCs w:val="22"/>
        </w:rPr>
        <w:t xml:space="preserve">rest of the endangered </w:t>
      </w:r>
      <w:r w:rsidR="00DC510D" w:rsidRPr="00DC510D">
        <w:rPr>
          <w:sz w:val="22"/>
          <w:szCs w:val="22"/>
        </w:rPr>
        <w:t xml:space="preserve">area. </w:t>
      </w:r>
      <w:r>
        <w:rPr>
          <w:sz w:val="22"/>
          <w:szCs w:val="22"/>
        </w:rPr>
        <w:t>If the habitats and production practices are similar in new areas, this may indicate impacts could be as severe as in the current area of distribution</w:t>
      </w:r>
      <w:r w:rsidRPr="00197022">
        <w:rPr>
          <w:sz w:val="22"/>
          <w:szCs w:val="22"/>
        </w:rPr>
        <w:t>.</w:t>
      </w:r>
      <w:r>
        <w:rPr>
          <w:sz w:val="22"/>
          <w:szCs w:val="22"/>
        </w:rPr>
        <w:t xml:space="preserve"> Factors that may be different between areas include climate, host distribution, production practices (e.g., outdoor vs. protected cultivation), and the presence of a suitable vector. Further guidance is provided in ISPM 11. </w:t>
      </w:r>
    </w:p>
    <w:p w14:paraId="29C5BD78" w14:textId="250A8E01" w:rsidR="003F0383" w:rsidRDefault="003F0383" w:rsidP="00197022">
      <w:pPr>
        <w:spacing w:before="240" w:after="120" w:line="276" w:lineRule="auto"/>
        <w:rPr>
          <w:sz w:val="22"/>
          <w:szCs w:val="22"/>
        </w:rPr>
      </w:pPr>
      <w:r>
        <w:rPr>
          <w:sz w:val="22"/>
          <w:szCs w:val="22"/>
        </w:rPr>
        <w:t xml:space="preserve">Impacts </w:t>
      </w:r>
      <w:r w:rsidR="00B65D34">
        <w:rPr>
          <w:sz w:val="22"/>
          <w:szCs w:val="22"/>
        </w:rPr>
        <w:t>for this criterion</w:t>
      </w:r>
      <w:r>
        <w:rPr>
          <w:sz w:val="22"/>
          <w:szCs w:val="22"/>
        </w:rPr>
        <w:t xml:space="preserve"> refer to unmitigated </w:t>
      </w:r>
      <w:r w:rsidR="00C6620D">
        <w:rPr>
          <w:sz w:val="22"/>
          <w:szCs w:val="22"/>
        </w:rPr>
        <w:t>impacts</w:t>
      </w:r>
      <w:r w:rsidR="00C1468A">
        <w:rPr>
          <w:sz w:val="22"/>
          <w:szCs w:val="22"/>
        </w:rPr>
        <w:t>.</w:t>
      </w:r>
      <w:r w:rsidR="00C1468A" w:rsidRPr="00C1468A">
        <w:rPr>
          <w:color w:val="000000"/>
          <w:sz w:val="27"/>
          <w:szCs w:val="27"/>
        </w:rPr>
        <w:t xml:space="preserve"> </w:t>
      </w:r>
      <w:r w:rsidR="00C1468A" w:rsidRPr="00C1468A">
        <w:rPr>
          <w:sz w:val="22"/>
          <w:szCs w:val="22"/>
        </w:rPr>
        <w:t>This gives an assessment of the risk that a pest poses</w:t>
      </w:r>
      <w:r w:rsidR="00C6620D">
        <w:rPr>
          <w:sz w:val="22"/>
          <w:szCs w:val="22"/>
        </w:rPr>
        <w:t xml:space="preserve"> </w:t>
      </w:r>
      <w:r w:rsidR="00EF5B64">
        <w:rPr>
          <w:sz w:val="22"/>
          <w:szCs w:val="22"/>
        </w:rPr>
        <w:t>in the absence of</w:t>
      </w:r>
      <w:r w:rsidR="00C1468A">
        <w:rPr>
          <w:sz w:val="22"/>
          <w:szCs w:val="22"/>
        </w:rPr>
        <w:t xml:space="preserve"> </w:t>
      </w:r>
      <w:r w:rsidR="00C6620D" w:rsidRPr="00C6620D">
        <w:rPr>
          <w:sz w:val="22"/>
          <w:szCs w:val="22"/>
        </w:rPr>
        <w:t>official regulatory controls</w:t>
      </w:r>
      <w:r w:rsidR="00C1468A">
        <w:rPr>
          <w:sz w:val="22"/>
          <w:szCs w:val="22"/>
        </w:rPr>
        <w:t xml:space="preserve"> </w:t>
      </w:r>
      <w:r w:rsidR="00C6620D" w:rsidRPr="00C6620D">
        <w:rPr>
          <w:sz w:val="22"/>
          <w:szCs w:val="22"/>
        </w:rPr>
        <w:t>being applied</w:t>
      </w:r>
      <w:r w:rsidR="00B65D34">
        <w:rPr>
          <w:sz w:val="22"/>
          <w:szCs w:val="22"/>
        </w:rPr>
        <w:t xml:space="preserve"> to control the pest</w:t>
      </w:r>
      <w:r w:rsidR="00C6620D">
        <w:rPr>
          <w:sz w:val="22"/>
          <w:szCs w:val="22"/>
        </w:rPr>
        <w:t>.</w:t>
      </w:r>
    </w:p>
    <w:p w14:paraId="738509A0" w14:textId="2A2ACB2A" w:rsidR="00197022" w:rsidRDefault="00197022" w:rsidP="00197022">
      <w:pPr>
        <w:spacing w:before="240" w:after="120" w:line="276" w:lineRule="auto"/>
        <w:rPr>
          <w:b/>
          <w:bCs/>
          <w:sz w:val="22"/>
          <w:szCs w:val="22"/>
        </w:rPr>
      </w:pPr>
      <w:r w:rsidRPr="00197022">
        <w:rPr>
          <w:b/>
          <w:bCs/>
          <w:sz w:val="22"/>
          <w:szCs w:val="22"/>
        </w:rPr>
        <w:t>Pest examples</w:t>
      </w:r>
    </w:p>
    <w:p w14:paraId="2E1A6CDC" w14:textId="4153CD01" w:rsidR="005C7200" w:rsidRPr="005C7200" w:rsidRDefault="005C7200" w:rsidP="00197022">
      <w:pPr>
        <w:spacing w:before="240" w:after="120" w:line="276" w:lineRule="auto"/>
        <w:rPr>
          <w:sz w:val="22"/>
          <w:szCs w:val="22"/>
        </w:rPr>
      </w:pPr>
      <w:proofErr w:type="spellStart"/>
      <w:r w:rsidRPr="005C7200">
        <w:rPr>
          <w:i/>
          <w:iCs/>
          <w:sz w:val="22"/>
          <w:szCs w:val="22"/>
        </w:rPr>
        <w:t>T</w:t>
      </w:r>
      <w:r w:rsidRPr="005B6D94">
        <w:rPr>
          <w:i/>
          <w:iCs/>
          <w:sz w:val="22"/>
          <w:szCs w:val="22"/>
        </w:rPr>
        <w:t>obamovirus</w:t>
      </w:r>
      <w:proofErr w:type="spellEnd"/>
      <w:r w:rsidRPr="005B6D94">
        <w:rPr>
          <w:i/>
          <w:iCs/>
          <w:sz w:val="22"/>
          <w:szCs w:val="22"/>
        </w:rPr>
        <w:t xml:space="preserve"> </w:t>
      </w:r>
      <w:proofErr w:type="spellStart"/>
      <w:r w:rsidRPr="005B6D94">
        <w:rPr>
          <w:i/>
          <w:iCs/>
          <w:sz w:val="22"/>
          <w:szCs w:val="22"/>
        </w:rPr>
        <w:t>fructirugosum</w:t>
      </w:r>
      <w:proofErr w:type="spellEnd"/>
      <w:r w:rsidRPr="005C7200">
        <w:rPr>
          <w:sz w:val="22"/>
          <w:szCs w:val="22"/>
        </w:rPr>
        <w:t xml:space="preserve"> (tomato brown rugose fruit virus)</w:t>
      </w:r>
      <w:r>
        <w:rPr>
          <w:sz w:val="22"/>
          <w:szCs w:val="22"/>
        </w:rPr>
        <w:t xml:space="preserve"> – see example for current economic impacts. Given the virus has spread rapidly to a large number of countries and has shown substantial impacts in those countries, it is likely that it will be able to cause similar impacts in other countries that it is introduced into. </w:t>
      </w:r>
    </w:p>
    <w:p w14:paraId="0CB9783F" w14:textId="4BE2BD09" w:rsidR="005C7200" w:rsidRPr="005C7200" w:rsidRDefault="005C7200" w:rsidP="00197022">
      <w:pPr>
        <w:spacing w:before="240" w:after="120" w:line="276" w:lineRule="auto"/>
        <w:rPr>
          <w:sz w:val="22"/>
          <w:szCs w:val="22"/>
        </w:rPr>
      </w:pPr>
      <w:r w:rsidRPr="54AAC45F">
        <w:rPr>
          <w:sz w:val="22"/>
          <w:szCs w:val="22"/>
        </w:rPr>
        <w:t xml:space="preserve">Pest X – </w:t>
      </w:r>
      <w:r w:rsidR="1DBE27C2" w:rsidRPr="54AAC45F">
        <w:rPr>
          <w:sz w:val="22"/>
          <w:szCs w:val="22"/>
        </w:rPr>
        <w:t>this pest has low impacts in new areas, despite having substantial impacts in its native and introduced area, due to new areas n</w:t>
      </w:r>
      <w:r w:rsidR="08182BE8" w:rsidRPr="54AAC45F">
        <w:rPr>
          <w:sz w:val="22"/>
          <w:szCs w:val="22"/>
        </w:rPr>
        <w:t xml:space="preserve">ot having a climate that will allow the pest to reach damaging levels. </w:t>
      </w:r>
    </w:p>
    <w:p w14:paraId="32A4BBE0" w14:textId="79FA0238" w:rsidR="00197022" w:rsidRDefault="00197022" w:rsidP="003A6E88">
      <w:pPr>
        <w:spacing w:before="240" w:after="120" w:line="276" w:lineRule="auto"/>
        <w:rPr>
          <w:b/>
          <w:bCs/>
          <w:sz w:val="32"/>
          <w:szCs w:val="32"/>
        </w:rPr>
      </w:pPr>
      <w:r w:rsidRPr="00197022">
        <w:rPr>
          <w:b/>
          <w:bCs/>
          <w:sz w:val="32"/>
          <w:szCs w:val="32"/>
        </w:rPr>
        <w:t>Risk management</w:t>
      </w:r>
    </w:p>
    <w:p w14:paraId="6D84D5E5" w14:textId="67C8D807" w:rsidR="008F0A30" w:rsidRDefault="000C040D" w:rsidP="003A6E88">
      <w:pPr>
        <w:spacing w:before="240" w:after="120" w:line="276" w:lineRule="auto"/>
        <w:rPr>
          <w:sz w:val="22"/>
          <w:szCs w:val="22"/>
        </w:rPr>
      </w:pPr>
      <w:r w:rsidRPr="000C040D">
        <w:rPr>
          <w:b/>
          <w:bCs/>
          <w:sz w:val="22"/>
          <w:szCs w:val="22"/>
        </w:rPr>
        <w:t>Effectiveness</w:t>
      </w:r>
      <w:r>
        <w:rPr>
          <w:sz w:val="22"/>
          <w:szCs w:val="22"/>
        </w:rPr>
        <w:t xml:space="preserve"> –</w:t>
      </w:r>
      <w:r w:rsidR="00CA2D3C">
        <w:rPr>
          <w:sz w:val="22"/>
          <w:szCs w:val="22"/>
        </w:rPr>
        <w:t xml:space="preserve"> to measure efficacy, </w:t>
      </w:r>
      <w:r>
        <w:rPr>
          <w:sz w:val="22"/>
          <w:szCs w:val="22"/>
        </w:rPr>
        <w:t>r</w:t>
      </w:r>
      <w:r w:rsidR="008E6753">
        <w:rPr>
          <w:sz w:val="22"/>
          <w:szCs w:val="22"/>
        </w:rPr>
        <w:t>isk management measures</w:t>
      </w:r>
      <w:r w:rsidR="00BB3837">
        <w:rPr>
          <w:sz w:val="22"/>
          <w:szCs w:val="22"/>
        </w:rPr>
        <w:t xml:space="preserve"> (both official and unofficial)</w:t>
      </w:r>
      <w:r w:rsidR="008E6753">
        <w:rPr>
          <w:sz w:val="22"/>
          <w:szCs w:val="22"/>
        </w:rPr>
        <w:t xml:space="preserve"> </w:t>
      </w:r>
      <w:r>
        <w:rPr>
          <w:sz w:val="22"/>
          <w:szCs w:val="22"/>
        </w:rPr>
        <w:t xml:space="preserve">that </w:t>
      </w:r>
      <w:r w:rsidR="000C09D8">
        <w:rPr>
          <w:sz w:val="22"/>
          <w:szCs w:val="22"/>
        </w:rPr>
        <w:t xml:space="preserve">currently </w:t>
      </w:r>
      <w:r>
        <w:rPr>
          <w:sz w:val="22"/>
          <w:szCs w:val="22"/>
        </w:rPr>
        <w:t>exist in new area</w:t>
      </w:r>
      <w:r w:rsidR="000C09D8">
        <w:rPr>
          <w:sz w:val="22"/>
          <w:szCs w:val="22"/>
        </w:rPr>
        <w:t>s</w:t>
      </w:r>
      <w:r w:rsidR="0073254A">
        <w:rPr>
          <w:sz w:val="22"/>
          <w:szCs w:val="22"/>
        </w:rPr>
        <w:t xml:space="preserve"> should be considered</w:t>
      </w:r>
      <w:r w:rsidR="007746A8">
        <w:rPr>
          <w:sz w:val="22"/>
          <w:szCs w:val="22"/>
        </w:rPr>
        <w:t xml:space="preserve"> (not measures that could potentially be applied in new areas)</w:t>
      </w:r>
      <w:r w:rsidR="000C09D8">
        <w:rPr>
          <w:sz w:val="22"/>
          <w:szCs w:val="22"/>
        </w:rPr>
        <w:t xml:space="preserve">. </w:t>
      </w:r>
      <w:r w:rsidR="00B30B2D">
        <w:rPr>
          <w:sz w:val="22"/>
          <w:szCs w:val="22"/>
        </w:rPr>
        <w:t>R</w:t>
      </w:r>
      <w:r w:rsidR="00F17DBB">
        <w:rPr>
          <w:sz w:val="22"/>
          <w:szCs w:val="22"/>
        </w:rPr>
        <w:t>isk management measures</w:t>
      </w:r>
      <w:r w:rsidR="008F0A30">
        <w:rPr>
          <w:sz w:val="22"/>
          <w:szCs w:val="22"/>
        </w:rPr>
        <w:t xml:space="preserve"> include</w:t>
      </w:r>
      <w:r w:rsidR="00B30B2D">
        <w:rPr>
          <w:sz w:val="22"/>
          <w:szCs w:val="22"/>
        </w:rPr>
        <w:t>, but are not limited to</w:t>
      </w:r>
      <w:r w:rsidR="008F0A30">
        <w:rPr>
          <w:sz w:val="22"/>
          <w:szCs w:val="22"/>
        </w:rPr>
        <w:t>:</w:t>
      </w:r>
    </w:p>
    <w:p w14:paraId="0E24016F" w14:textId="09E56AC9" w:rsidR="008F0A30" w:rsidRPr="008F0A30" w:rsidRDefault="008F0A30" w:rsidP="008F0A30">
      <w:pPr>
        <w:pStyle w:val="ListParagraph"/>
        <w:numPr>
          <w:ilvl w:val="1"/>
          <w:numId w:val="9"/>
        </w:numPr>
        <w:spacing w:before="240" w:after="120" w:line="276" w:lineRule="auto"/>
        <w:rPr>
          <w:sz w:val="22"/>
          <w:szCs w:val="22"/>
        </w:rPr>
      </w:pPr>
      <w:r w:rsidRPr="008F0A30">
        <w:rPr>
          <w:sz w:val="22"/>
          <w:szCs w:val="22"/>
        </w:rPr>
        <w:lastRenderedPageBreak/>
        <w:t>Regulation</w:t>
      </w:r>
      <w:r w:rsidR="0073254A">
        <w:rPr>
          <w:sz w:val="22"/>
          <w:szCs w:val="22"/>
        </w:rPr>
        <w:t xml:space="preserve"> of the </w:t>
      </w:r>
      <w:r w:rsidRPr="008F0A30">
        <w:rPr>
          <w:sz w:val="22"/>
          <w:szCs w:val="22"/>
        </w:rPr>
        <w:t>pest or a key pathway</w:t>
      </w:r>
      <w:r w:rsidR="0073254A">
        <w:rPr>
          <w:sz w:val="22"/>
          <w:szCs w:val="22"/>
        </w:rPr>
        <w:t xml:space="preserve"> </w:t>
      </w:r>
      <w:r w:rsidRPr="008F0A30">
        <w:rPr>
          <w:sz w:val="22"/>
          <w:szCs w:val="22"/>
        </w:rPr>
        <w:t xml:space="preserve">in plant health legislation </w:t>
      </w:r>
    </w:p>
    <w:p w14:paraId="1657B128" w14:textId="72461D4A" w:rsidR="008F0A30" w:rsidRPr="008F0A30" w:rsidRDefault="008F0A30" w:rsidP="008F0A30">
      <w:pPr>
        <w:pStyle w:val="ListParagraph"/>
        <w:numPr>
          <w:ilvl w:val="1"/>
          <w:numId w:val="9"/>
        </w:numPr>
        <w:spacing w:before="240" w:after="120" w:line="276" w:lineRule="auto"/>
        <w:rPr>
          <w:sz w:val="22"/>
          <w:szCs w:val="22"/>
        </w:rPr>
      </w:pPr>
      <w:r w:rsidRPr="008F0A30">
        <w:rPr>
          <w:sz w:val="22"/>
          <w:szCs w:val="22"/>
        </w:rPr>
        <w:t xml:space="preserve">Surveillance, </w:t>
      </w:r>
      <w:r w:rsidR="0073254A">
        <w:rPr>
          <w:sz w:val="22"/>
          <w:szCs w:val="22"/>
        </w:rPr>
        <w:t xml:space="preserve">either by </w:t>
      </w:r>
      <w:r w:rsidRPr="008F0A30">
        <w:rPr>
          <w:sz w:val="22"/>
          <w:szCs w:val="22"/>
        </w:rPr>
        <w:t>targeted official surveys or general monitoring</w:t>
      </w:r>
    </w:p>
    <w:p w14:paraId="3D33F6FD" w14:textId="62D8A50D" w:rsidR="008F0A30" w:rsidRPr="008F0A30" w:rsidRDefault="008F0A30" w:rsidP="008F0A30">
      <w:pPr>
        <w:pStyle w:val="ListParagraph"/>
        <w:numPr>
          <w:ilvl w:val="1"/>
          <w:numId w:val="9"/>
        </w:numPr>
        <w:spacing w:before="240" w:after="120" w:line="276" w:lineRule="auto"/>
        <w:rPr>
          <w:sz w:val="22"/>
          <w:szCs w:val="22"/>
        </w:rPr>
      </w:pPr>
      <w:r w:rsidRPr="008F0A30">
        <w:rPr>
          <w:sz w:val="22"/>
          <w:szCs w:val="22"/>
        </w:rPr>
        <w:t>Industry scheme</w:t>
      </w:r>
      <w:r w:rsidR="00763B1E">
        <w:rPr>
          <w:sz w:val="22"/>
          <w:szCs w:val="22"/>
        </w:rPr>
        <w:t>s, such as</w:t>
      </w:r>
      <w:r w:rsidRPr="008F0A30">
        <w:rPr>
          <w:sz w:val="22"/>
          <w:szCs w:val="22"/>
        </w:rPr>
        <w:t xml:space="preserve"> certification schemes </w:t>
      </w:r>
    </w:p>
    <w:p w14:paraId="0D972F3D" w14:textId="5FFA1BDC" w:rsidR="008F0A30" w:rsidRPr="008F0A30" w:rsidRDefault="008F0A30" w:rsidP="008F0A30">
      <w:pPr>
        <w:pStyle w:val="ListParagraph"/>
        <w:numPr>
          <w:ilvl w:val="1"/>
          <w:numId w:val="9"/>
        </w:numPr>
        <w:spacing w:before="240" w:after="120" w:line="276" w:lineRule="auto"/>
        <w:rPr>
          <w:sz w:val="22"/>
          <w:szCs w:val="22"/>
        </w:rPr>
      </w:pPr>
      <w:r w:rsidRPr="008F0A30">
        <w:rPr>
          <w:sz w:val="22"/>
          <w:szCs w:val="22"/>
        </w:rPr>
        <w:t>Contingency plan</w:t>
      </w:r>
      <w:r w:rsidR="00763B1E">
        <w:rPr>
          <w:sz w:val="22"/>
          <w:szCs w:val="22"/>
        </w:rPr>
        <w:t>s, both generic and those specific to the pest</w:t>
      </w:r>
    </w:p>
    <w:p w14:paraId="7BFBFD24" w14:textId="54815E80" w:rsidR="008F0A30" w:rsidRPr="008F0A30" w:rsidRDefault="008F0A30" w:rsidP="008F0A30">
      <w:pPr>
        <w:pStyle w:val="ListParagraph"/>
        <w:numPr>
          <w:ilvl w:val="1"/>
          <w:numId w:val="9"/>
        </w:numPr>
        <w:spacing w:before="240" w:after="120" w:line="276" w:lineRule="auto"/>
        <w:rPr>
          <w:sz w:val="22"/>
          <w:szCs w:val="22"/>
        </w:rPr>
      </w:pPr>
      <w:r w:rsidRPr="008F0A30">
        <w:rPr>
          <w:sz w:val="22"/>
          <w:szCs w:val="22"/>
        </w:rPr>
        <w:t>Awareness</w:t>
      </w:r>
      <w:r w:rsidR="00763B1E">
        <w:rPr>
          <w:sz w:val="22"/>
          <w:szCs w:val="22"/>
        </w:rPr>
        <w:t xml:space="preserve"> materials,</w:t>
      </w:r>
      <w:r w:rsidRPr="008F0A30">
        <w:rPr>
          <w:sz w:val="22"/>
          <w:szCs w:val="22"/>
        </w:rPr>
        <w:t xml:space="preserve"> </w:t>
      </w:r>
      <w:r w:rsidR="00763B1E">
        <w:rPr>
          <w:sz w:val="22"/>
          <w:szCs w:val="22"/>
        </w:rPr>
        <w:t xml:space="preserve">including </w:t>
      </w:r>
      <w:r w:rsidRPr="008F0A30">
        <w:rPr>
          <w:sz w:val="22"/>
          <w:szCs w:val="22"/>
        </w:rPr>
        <w:t>plant pest factsheets</w:t>
      </w:r>
      <w:r w:rsidR="00763B1E">
        <w:rPr>
          <w:sz w:val="22"/>
          <w:szCs w:val="22"/>
        </w:rPr>
        <w:t xml:space="preserve"> and alerts</w:t>
      </w:r>
    </w:p>
    <w:p w14:paraId="780FFEC4" w14:textId="4D14702C" w:rsidR="008F0A30" w:rsidRDefault="002F27DC" w:rsidP="00A445C0">
      <w:pPr>
        <w:pStyle w:val="ListParagraph"/>
        <w:numPr>
          <w:ilvl w:val="1"/>
          <w:numId w:val="9"/>
        </w:numPr>
        <w:spacing w:before="240" w:after="120" w:line="276" w:lineRule="auto"/>
        <w:rPr>
          <w:sz w:val="22"/>
          <w:szCs w:val="22"/>
        </w:rPr>
      </w:pPr>
      <w:r>
        <w:rPr>
          <w:sz w:val="22"/>
          <w:szCs w:val="22"/>
        </w:rPr>
        <w:t>Chemical pesticides and biological control agents</w:t>
      </w:r>
      <w:r w:rsidR="00057EB5">
        <w:rPr>
          <w:sz w:val="22"/>
          <w:szCs w:val="22"/>
        </w:rPr>
        <w:t xml:space="preserve"> that are effective against the pest</w:t>
      </w:r>
    </w:p>
    <w:p w14:paraId="0BE77051" w14:textId="10C7E58B" w:rsidR="002F27DC" w:rsidRDefault="002F27DC" w:rsidP="00A445C0">
      <w:pPr>
        <w:pStyle w:val="ListParagraph"/>
        <w:numPr>
          <w:ilvl w:val="1"/>
          <w:numId w:val="9"/>
        </w:numPr>
        <w:spacing w:before="240" w:after="120" w:line="276" w:lineRule="auto"/>
        <w:rPr>
          <w:sz w:val="22"/>
          <w:szCs w:val="22"/>
        </w:rPr>
      </w:pPr>
      <w:r>
        <w:rPr>
          <w:sz w:val="22"/>
          <w:szCs w:val="22"/>
        </w:rPr>
        <w:t>Production practices and cultural control measures</w:t>
      </w:r>
    </w:p>
    <w:p w14:paraId="1F579E66" w14:textId="41B179FC" w:rsidR="002F27DC" w:rsidRDefault="002F27DC" w:rsidP="00A445C0">
      <w:pPr>
        <w:pStyle w:val="ListParagraph"/>
        <w:numPr>
          <w:ilvl w:val="1"/>
          <w:numId w:val="9"/>
        </w:numPr>
        <w:spacing w:before="240" w:after="120" w:line="276" w:lineRule="auto"/>
        <w:rPr>
          <w:sz w:val="22"/>
          <w:szCs w:val="22"/>
        </w:rPr>
      </w:pPr>
      <w:r>
        <w:rPr>
          <w:sz w:val="22"/>
          <w:szCs w:val="22"/>
        </w:rPr>
        <w:t>Resistant plant cultivars or varieties</w:t>
      </w:r>
    </w:p>
    <w:p w14:paraId="09AEC8FE" w14:textId="028CA718" w:rsidR="00280A9E" w:rsidRDefault="00556C53" w:rsidP="00280A9E">
      <w:pPr>
        <w:spacing w:before="240" w:after="120" w:line="276" w:lineRule="auto"/>
        <w:rPr>
          <w:sz w:val="22"/>
          <w:szCs w:val="22"/>
        </w:rPr>
      </w:pPr>
      <w:r>
        <w:rPr>
          <w:sz w:val="22"/>
          <w:szCs w:val="22"/>
        </w:rPr>
        <w:t>T</w:t>
      </w:r>
      <w:r w:rsidR="00280A9E">
        <w:rPr>
          <w:sz w:val="22"/>
          <w:szCs w:val="22"/>
        </w:rPr>
        <w:t>here should be recognition that while some countries could be prepared for the introduction of a pest and management may not be difficult, other countries will not be as prepared</w:t>
      </w:r>
      <w:r w:rsidR="0083413B">
        <w:rPr>
          <w:sz w:val="22"/>
          <w:szCs w:val="22"/>
        </w:rPr>
        <w:t xml:space="preserve">. If there are a significant number of countries which fall into the latter, a pest may meet this criterion. </w:t>
      </w:r>
    </w:p>
    <w:p w14:paraId="2A950AE5" w14:textId="37645CED" w:rsidR="008B6DA7" w:rsidRDefault="00C661C6" w:rsidP="00280A9E">
      <w:pPr>
        <w:spacing w:before="240" w:after="120" w:line="276" w:lineRule="auto"/>
        <w:rPr>
          <w:sz w:val="22"/>
          <w:szCs w:val="22"/>
        </w:rPr>
      </w:pPr>
      <w:r>
        <w:rPr>
          <w:sz w:val="22"/>
          <w:szCs w:val="22"/>
        </w:rPr>
        <w:t xml:space="preserve">Another factor that may impact </w:t>
      </w:r>
      <w:r w:rsidR="00773FFC">
        <w:rPr>
          <w:sz w:val="22"/>
          <w:szCs w:val="22"/>
        </w:rPr>
        <w:t xml:space="preserve">the management of a pest is whether the host is </w:t>
      </w:r>
      <w:r w:rsidR="00D979B1">
        <w:rPr>
          <w:sz w:val="22"/>
          <w:szCs w:val="22"/>
        </w:rPr>
        <w:t xml:space="preserve">mainly grown outdoors or under protection. </w:t>
      </w:r>
      <w:r w:rsidR="005F2A37">
        <w:rPr>
          <w:sz w:val="22"/>
          <w:szCs w:val="22"/>
        </w:rPr>
        <w:t>Depending on the pest’s biology, it may be easier to manage</w:t>
      </w:r>
      <w:r w:rsidR="00C56509">
        <w:rPr>
          <w:sz w:val="22"/>
          <w:szCs w:val="22"/>
        </w:rPr>
        <w:t xml:space="preserve"> the pest</w:t>
      </w:r>
      <w:r w:rsidR="005F2A37">
        <w:rPr>
          <w:sz w:val="22"/>
          <w:szCs w:val="22"/>
        </w:rPr>
        <w:t xml:space="preserve"> under protection. </w:t>
      </w:r>
    </w:p>
    <w:p w14:paraId="266D1E01" w14:textId="1A8B50E5" w:rsidR="00357024" w:rsidRDefault="00357024" w:rsidP="00280A9E">
      <w:pPr>
        <w:spacing w:before="240" w:after="120" w:line="276" w:lineRule="auto"/>
        <w:rPr>
          <w:b/>
          <w:bCs/>
          <w:sz w:val="22"/>
          <w:szCs w:val="22"/>
        </w:rPr>
      </w:pPr>
      <w:r w:rsidRPr="001E13E9">
        <w:rPr>
          <w:b/>
          <w:bCs/>
          <w:sz w:val="22"/>
          <w:szCs w:val="22"/>
        </w:rPr>
        <w:t>Pest examples</w:t>
      </w:r>
    </w:p>
    <w:p w14:paraId="587D34BE" w14:textId="6487DF81" w:rsidR="00431550" w:rsidRPr="00431550" w:rsidRDefault="00431550" w:rsidP="00280A9E">
      <w:pPr>
        <w:spacing w:before="240" w:after="120" w:line="276" w:lineRule="auto"/>
        <w:rPr>
          <w:sz w:val="22"/>
          <w:szCs w:val="22"/>
        </w:rPr>
      </w:pPr>
      <w:r w:rsidRPr="00431550">
        <w:rPr>
          <w:i/>
          <w:iCs/>
          <w:sz w:val="22"/>
          <w:szCs w:val="22"/>
        </w:rPr>
        <w:t xml:space="preserve">Agrilus </w:t>
      </w:r>
      <w:proofErr w:type="spellStart"/>
      <w:r w:rsidRPr="00431550">
        <w:rPr>
          <w:i/>
          <w:iCs/>
          <w:sz w:val="22"/>
          <w:szCs w:val="22"/>
        </w:rPr>
        <w:t>planipennis</w:t>
      </w:r>
      <w:proofErr w:type="spellEnd"/>
      <w:r w:rsidRPr="00431550">
        <w:rPr>
          <w:sz w:val="22"/>
          <w:szCs w:val="22"/>
        </w:rPr>
        <w:t xml:space="preserve"> (emerald ash borer) </w:t>
      </w:r>
      <w:r w:rsidR="00957AFE">
        <w:rPr>
          <w:sz w:val="22"/>
          <w:szCs w:val="22"/>
        </w:rPr>
        <w:t>–</w:t>
      </w:r>
      <w:r>
        <w:rPr>
          <w:sz w:val="22"/>
          <w:szCs w:val="22"/>
        </w:rPr>
        <w:t xml:space="preserve"> </w:t>
      </w:r>
      <w:r w:rsidR="00957AFE">
        <w:rPr>
          <w:sz w:val="22"/>
          <w:szCs w:val="22"/>
        </w:rPr>
        <w:t>this pest can remain undetected for many years following introduction and has the c</w:t>
      </w:r>
      <w:r w:rsidR="00483303">
        <w:rPr>
          <w:sz w:val="22"/>
          <w:szCs w:val="22"/>
        </w:rPr>
        <w:t>apability to fly</w:t>
      </w:r>
      <w:r w:rsidR="00883FA0">
        <w:rPr>
          <w:sz w:val="22"/>
          <w:szCs w:val="22"/>
        </w:rPr>
        <w:t xml:space="preserve"> several kilometres. </w:t>
      </w:r>
      <w:r w:rsidR="004E1452">
        <w:rPr>
          <w:sz w:val="22"/>
          <w:szCs w:val="22"/>
        </w:rPr>
        <w:t xml:space="preserve">Attempts at eradication have generally been unsuccessful. While there are </w:t>
      </w:r>
      <w:r w:rsidR="00C56509">
        <w:rPr>
          <w:sz w:val="22"/>
          <w:szCs w:val="22"/>
        </w:rPr>
        <w:t>several</w:t>
      </w:r>
      <w:r w:rsidR="004E1452">
        <w:rPr>
          <w:sz w:val="22"/>
          <w:szCs w:val="22"/>
        </w:rPr>
        <w:t xml:space="preserve"> control measures </w:t>
      </w:r>
      <w:r w:rsidR="00A15AD9">
        <w:rPr>
          <w:sz w:val="22"/>
          <w:szCs w:val="22"/>
        </w:rPr>
        <w:t xml:space="preserve">which have shown </w:t>
      </w:r>
      <w:r w:rsidR="003042A1">
        <w:rPr>
          <w:sz w:val="22"/>
          <w:szCs w:val="22"/>
        </w:rPr>
        <w:t>some efficacy against the pest</w:t>
      </w:r>
      <w:r w:rsidR="004E1452">
        <w:rPr>
          <w:sz w:val="22"/>
          <w:szCs w:val="22"/>
        </w:rPr>
        <w:t>, including trunk injections</w:t>
      </w:r>
      <w:r w:rsidR="003042A1">
        <w:rPr>
          <w:sz w:val="22"/>
          <w:szCs w:val="22"/>
        </w:rPr>
        <w:t xml:space="preserve"> and </w:t>
      </w:r>
      <w:r w:rsidR="004E1452">
        <w:rPr>
          <w:sz w:val="22"/>
          <w:szCs w:val="22"/>
        </w:rPr>
        <w:t>biological control agents</w:t>
      </w:r>
      <w:r w:rsidR="003042A1">
        <w:rPr>
          <w:sz w:val="22"/>
          <w:szCs w:val="22"/>
        </w:rPr>
        <w:t xml:space="preserve">, </w:t>
      </w:r>
      <w:r w:rsidR="00A15AD9">
        <w:rPr>
          <w:sz w:val="22"/>
          <w:szCs w:val="22"/>
        </w:rPr>
        <w:t xml:space="preserve">these are not </w:t>
      </w:r>
      <w:r w:rsidR="003042A1">
        <w:rPr>
          <w:sz w:val="22"/>
          <w:szCs w:val="22"/>
        </w:rPr>
        <w:t>available in many countries.</w:t>
      </w:r>
      <w:r w:rsidR="00693E6A">
        <w:rPr>
          <w:sz w:val="22"/>
          <w:szCs w:val="22"/>
        </w:rPr>
        <w:t xml:space="preserve"> The pest therefore meets this criterion.</w:t>
      </w:r>
    </w:p>
    <w:p w14:paraId="1ED34453" w14:textId="5D5875B7" w:rsidR="001E13E9" w:rsidRPr="001E13E9" w:rsidRDefault="00476DE7" w:rsidP="00280A9E">
      <w:pPr>
        <w:spacing w:before="240" w:after="120" w:line="276" w:lineRule="auto"/>
        <w:rPr>
          <w:sz w:val="22"/>
          <w:szCs w:val="22"/>
        </w:rPr>
      </w:pPr>
      <w:proofErr w:type="spellStart"/>
      <w:r w:rsidRPr="00476DE7">
        <w:rPr>
          <w:i/>
          <w:iCs/>
          <w:sz w:val="22"/>
          <w:szCs w:val="22"/>
        </w:rPr>
        <w:t>Daktulosphaira</w:t>
      </w:r>
      <w:proofErr w:type="spellEnd"/>
      <w:r w:rsidRPr="00476DE7">
        <w:rPr>
          <w:i/>
          <w:iCs/>
          <w:sz w:val="22"/>
          <w:szCs w:val="22"/>
        </w:rPr>
        <w:t xml:space="preserve"> </w:t>
      </w:r>
      <w:proofErr w:type="spellStart"/>
      <w:r w:rsidRPr="00476DE7">
        <w:rPr>
          <w:i/>
          <w:iCs/>
          <w:sz w:val="22"/>
          <w:szCs w:val="22"/>
        </w:rPr>
        <w:t>vitifoliae</w:t>
      </w:r>
      <w:proofErr w:type="spellEnd"/>
      <w:r>
        <w:rPr>
          <w:sz w:val="22"/>
          <w:szCs w:val="22"/>
        </w:rPr>
        <w:t xml:space="preserve"> (grape phylloxera) </w:t>
      </w:r>
      <w:r w:rsidR="007748C7">
        <w:rPr>
          <w:sz w:val="22"/>
          <w:szCs w:val="22"/>
        </w:rPr>
        <w:t>–</w:t>
      </w:r>
      <w:r>
        <w:rPr>
          <w:sz w:val="22"/>
          <w:szCs w:val="22"/>
        </w:rPr>
        <w:t xml:space="preserve"> </w:t>
      </w:r>
      <w:r w:rsidR="007748C7">
        <w:rPr>
          <w:sz w:val="22"/>
          <w:szCs w:val="22"/>
        </w:rPr>
        <w:t xml:space="preserve">this </w:t>
      </w:r>
      <w:r w:rsidR="007748C7" w:rsidRPr="007748C7">
        <w:rPr>
          <w:sz w:val="22"/>
          <w:szCs w:val="22"/>
        </w:rPr>
        <w:t>is a hemipteran insect pest of grapevines</w:t>
      </w:r>
      <w:r w:rsidR="007748C7">
        <w:rPr>
          <w:sz w:val="22"/>
          <w:szCs w:val="22"/>
        </w:rPr>
        <w:t xml:space="preserve">. </w:t>
      </w:r>
      <w:r w:rsidR="00E35BA7" w:rsidRPr="00E35BA7">
        <w:rPr>
          <w:sz w:val="22"/>
          <w:szCs w:val="22"/>
        </w:rPr>
        <w:t>When it was first introduced</w:t>
      </w:r>
      <w:r w:rsidR="006C63D7">
        <w:rPr>
          <w:sz w:val="22"/>
          <w:szCs w:val="22"/>
        </w:rPr>
        <w:t xml:space="preserve"> into Europe,</w:t>
      </w:r>
      <w:r w:rsidR="00E35BA7" w:rsidRPr="00E35BA7">
        <w:rPr>
          <w:sz w:val="22"/>
          <w:szCs w:val="22"/>
        </w:rPr>
        <w:t xml:space="preserve"> it had a devastating impact on grapevines. </w:t>
      </w:r>
      <w:r w:rsidR="006C63D7">
        <w:rPr>
          <w:sz w:val="22"/>
          <w:szCs w:val="22"/>
        </w:rPr>
        <w:t xml:space="preserve">When it arrived in </w:t>
      </w:r>
      <w:r w:rsidR="00E35BA7" w:rsidRPr="00E35BA7">
        <w:rPr>
          <w:sz w:val="22"/>
          <w:szCs w:val="22"/>
        </w:rPr>
        <w:t>France in the 1800’s</w:t>
      </w:r>
      <w:r w:rsidR="006C63D7">
        <w:rPr>
          <w:sz w:val="22"/>
          <w:szCs w:val="22"/>
        </w:rPr>
        <w:t>, for example,</w:t>
      </w:r>
      <w:r w:rsidR="00E35BA7" w:rsidRPr="00E35BA7">
        <w:rPr>
          <w:sz w:val="22"/>
          <w:szCs w:val="22"/>
        </w:rPr>
        <w:t xml:space="preserve"> it was responsible for the loss of 1</w:t>
      </w:r>
      <w:r w:rsidR="006C63D7">
        <w:rPr>
          <w:sz w:val="22"/>
          <w:szCs w:val="22"/>
        </w:rPr>
        <w:t>,</w:t>
      </w:r>
      <w:r w:rsidR="00E35BA7" w:rsidRPr="00E35BA7">
        <w:rPr>
          <w:sz w:val="22"/>
          <w:szCs w:val="22"/>
        </w:rPr>
        <w:t>000</w:t>
      </w:r>
      <w:r w:rsidR="006C63D7">
        <w:rPr>
          <w:sz w:val="22"/>
          <w:szCs w:val="22"/>
        </w:rPr>
        <w:t>,</w:t>
      </w:r>
      <w:r w:rsidR="00E35BA7" w:rsidRPr="00E35BA7">
        <w:rPr>
          <w:sz w:val="22"/>
          <w:szCs w:val="22"/>
        </w:rPr>
        <w:t xml:space="preserve">000 ha of vineyard. </w:t>
      </w:r>
      <w:r w:rsidR="006C63D7">
        <w:rPr>
          <w:sz w:val="22"/>
          <w:szCs w:val="22"/>
        </w:rPr>
        <w:t>However</w:t>
      </w:r>
      <w:r w:rsidR="00E35BA7" w:rsidRPr="00E35BA7">
        <w:rPr>
          <w:sz w:val="22"/>
          <w:szCs w:val="22"/>
        </w:rPr>
        <w:t>, grapevines are</w:t>
      </w:r>
      <w:r w:rsidR="006C63D7">
        <w:rPr>
          <w:sz w:val="22"/>
          <w:szCs w:val="22"/>
        </w:rPr>
        <w:t xml:space="preserve"> now</w:t>
      </w:r>
      <w:r w:rsidR="00E35BA7" w:rsidRPr="00E35BA7">
        <w:rPr>
          <w:sz w:val="22"/>
          <w:szCs w:val="22"/>
        </w:rPr>
        <w:t xml:space="preserve"> largely grafted onto American rootstock, which are more tolerant to the pest.</w:t>
      </w:r>
      <w:r w:rsidR="00431550">
        <w:rPr>
          <w:sz w:val="22"/>
          <w:szCs w:val="22"/>
        </w:rPr>
        <w:t xml:space="preserve"> Given the availability of tolerant rootstock to countries, this pest would not meet this criterion.</w:t>
      </w:r>
    </w:p>
    <w:p w14:paraId="371AA984" w14:textId="2203E4BC" w:rsidR="00197022" w:rsidRDefault="003A6E88" w:rsidP="003A6E88">
      <w:pPr>
        <w:spacing w:before="240" w:after="120" w:line="276" w:lineRule="auto"/>
        <w:rPr>
          <w:b/>
          <w:bCs/>
          <w:sz w:val="36"/>
          <w:szCs w:val="36"/>
        </w:rPr>
      </w:pPr>
      <w:r w:rsidRPr="003A6E88">
        <w:rPr>
          <w:b/>
          <w:bCs/>
          <w:sz w:val="36"/>
          <w:szCs w:val="36"/>
        </w:rPr>
        <w:t>Uncertainty</w:t>
      </w:r>
    </w:p>
    <w:p w14:paraId="74718792" w14:textId="1C7E8182" w:rsidR="003A6E88" w:rsidRDefault="003A6E88" w:rsidP="003A6E88">
      <w:pPr>
        <w:spacing w:before="240" w:after="120" w:line="276" w:lineRule="auto"/>
        <w:rPr>
          <w:sz w:val="22"/>
          <w:szCs w:val="22"/>
        </w:rPr>
      </w:pPr>
      <w:r>
        <w:rPr>
          <w:sz w:val="22"/>
          <w:szCs w:val="22"/>
        </w:rPr>
        <w:t xml:space="preserve">When assessing a criterion, if there is uncertainty as to whether the pest meets the criterion based on current information, this should be recorded and the assessment should continue. </w:t>
      </w:r>
      <w:r w:rsidR="000C0278">
        <w:rPr>
          <w:sz w:val="22"/>
          <w:szCs w:val="22"/>
        </w:rPr>
        <w:t xml:space="preserve">If, by the end of the assessment, the overall uncertainty is considered to be low, the pest should qualify as an emerging pest. However, if the overall uncertainty is considered to be high, the pest should be added to the watch list for ongoing observation. </w:t>
      </w:r>
    </w:p>
    <w:p w14:paraId="419E5A28" w14:textId="5DCECB01" w:rsidR="000C0278" w:rsidRDefault="000C0278" w:rsidP="003A6E88">
      <w:pPr>
        <w:spacing w:before="240" w:after="120" w:line="276" w:lineRule="auto"/>
        <w:rPr>
          <w:sz w:val="22"/>
          <w:szCs w:val="22"/>
        </w:rPr>
      </w:pPr>
      <w:r>
        <w:rPr>
          <w:sz w:val="22"/>
          <w:szCs w:val="22"/>
        </w:rPr>
        <w:t>Areas of uncertainty may include:</w:t>
      </w:r>
    </w:p>
    <w:p w14:paraId="26435178" w14:textId="5A4CEE04" w:rsidR="000C0278" w:rsidRDefault="000C0278" w:rsidP="000C0278">
      <w:pPr>
        <w:pStyle w:val="ListParagraph"/>
        <w:numPr>
          <w:ilvl w:val="0"/>
          <w:numId w:val="7"/>
        </w:numPr>
        <w:spacing w:before="240" w:after="120" w:line="276" w:lineRule="auto"/>
        <w:rPr>
          <w:sz w:val="22"/>
          <w:szCs w:val="22"/>
        </w:rPr>
      </w:pPr>
      <w:r>
        <w:rPr>
          <w:sz w:val="22"/>
          <w:szCs w:val="22"/>
        </w:rPr>
        <w:t>Whether recent pest outbreaks are far enough apart to show a significant expansion of the pest’s range</w:t>
      </w:r>
    </w:p>
    <w:p w14:paraId="35E1291D" w14:textId="6AB8F371" w:rsidR="000C0278" w:rsidRDefault="000C0278" w:rsidP="000C0278">
      <w:pPr>
        <w:pStyle w:val="ListParagraph"/>
        <w:numPr>
          <w:ilvl w:val="0"/>
          <w:numId w:val="7"/>
        </w:numPr>
        <w:spacing w:before="240" w:after="120" w:line="276" w:lineRule="auto"/>
        <w:rPr>
          <w:sz w:val="22"/>
          <w:szCs w:val="22"/>
        </w:rPr>
      </w:pPr>
      <w:r>
        <w:rPr>
          <w:sz w:val="22"/>
          <w:szCs w:val="22"/>
        </w:rPr>
        <w:t>What the current distribution of the pest is, as the pest may be under recorded, making it difficult to conclude whether it has a limited distribution in its endangered area</w:t>
      </w:r>
    </w:p>
    <w:p w14:paraId="196281AF" w14:textId="73A92757" w:rsidR="000C0278" w:rsidRDefault="000C0278" w:rsidP="000C0278">
      <w:pPr>
        <w:pStyle w:val="ListParagraph"/>
        <w:numPr>
          <w:ilvl w:val="0"/>
          <w:numId w:val="7"/>
        </w:numPr>
        <w:spacing w:before="240" w:after="120" w:line="276" w:lineRule="auto"/>
        <w:rPr>
          <w:sz w:val="22"/>
          <w:szCs w:val="22"/>
        </w:rPr>
      </w:pPr>
      <w:r>
        <w:rPr>
          <w:sz w:val="22"/>
          <w:szCs w:val="22"/>
        </w:rPr>
        <w:lastRenderedPageBreak/>
        <w:t>Whether impacts are still substantial if new control measures are being used and are starting to show good efficacy in some areas</w:t>
      </w:r>
    </w:p>
    <w:p w14:paraId="639270F4" w14:textId="33FF2932" w:rsidR="000C0278" w:rsidRDefault="000C0278" w:rsidP="000C0278">
      <w:pPr>
        <w:pStyle w:val="ListParagraph"/>
        <w:numPr>
          <w:ilvl w:val="0"/>
          <w:numId w:val="7"/>
        </w:numPr>
        <w:spacing w:before="240" w:after="120" w:line="276" w:lineRule="auto"/>
        <w:rPr>
          <w:sz w:val="22"/>
          <w:szCs w:val="22"/>
        </w:rPr>
      </w:pPr>
      <w:r>
        <w:rPr>
          <w:sz w:val="22"/>
          <w:szCs w:val="22"/>
        </w:rPr>
        <w:t>What climate conditions the pest thrives in, making it difficult to assess establishment potential</w:t>
      </w:r>
    </w:p>
    <w:p w14:paraId="1652201E" w14:textId="761E7F49" w:rsidR="00C96A1C" w:rsidRPr="000C0278" w:rsidRDefault="00C96A1C" w:rsidP="000C0278">
      <w:pPr>
        <w:pStyle w:val="ListParagraph"/>
        <w:numPr>
          <w:ilvl w:val="0"/>
          <w:numId w:val="7"/>
        </w:numPr>
        <w:spacing w:before="240" w:after="120" w:line="276" w:lineRule="auto"/>
        <w:rPr>
          <w:sz w:val="22"/>
          <w:szCs w:val="22"/>
        </w:rPr>
      </w:pPr>
      <w:r>
        <w:rPr>
          <w:sz w:val="22"/>
          <w:szCs w:val="22"/>
        </w:rPr>
        <w:t>What production practices are used across the endangered area, making it difficult to assess the scale of impacts in new areas</w:t>
      </w:r>
    </w:p>
    <w:sectPr w:rsidR="00C96A1C" w:rsidRPr="000C02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riangela Ciampitti" w:date="2025-01-09T18:49:00Z" w:initials="MC">
    <w:p w14:paraId="0460F038" w14:textId="1EAD1E84" w:rsidR="00CB5EFE" w:rsidRDefault="00CB5EFE">
      <w:r>
        <w:annotationRef/>
      </w:r>
      <w:r w:rsidRPr="4CE02B4D">
        <w:t>???</w:t>
      </w:r>
    </w:p>
  </w:comment>
  <w:comment w:id="3" w:author="BeltranMontoya, Camilo (NSP)" w:date="2025-01-13T14:49:00Z" w:initials="CB">
    <w:p w14:paraId="48BAFA40" w14:textId="77777777" w:rsidR="00EE48F3" w:rsidRDefault="00EE48F3" w:rsidP="00EE48F3">
      <w:pPr>
        <w:pStyle w:val="CommentText"/>
      </w:pPr>
      <w:r>
        <w:rPr>
          <w:rStyle w:val="CommentReference"/>
        </w:rPr>
        <w:annotationRef/>
      </w:r>
      <w:r>
        <w:t xml:space="preserve">To check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60F038" w15:done="0"/>
  <w15:commentEx w15:paraId="48BAFA40" w15:paraIdParent="0460F0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373938" w16cex:dateUtc="2025-01-09T17:49:00Z"/>
  <w16cex:commentExtensible w16cex:durableId="2FA08E38" w16cex:dateUtc="2025-01-1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60F038" w16cid:durableId="6E373938"/>
  <w16cid:commentId w16cid:paraId="48BAFA40" w16cid:durableId="2FA08E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B66A9" w14:textId="77777777" w:rsidR="00DA5B97" w:rsidRDefault="00DA5B97" w:rsidP="00906DD4">
      <w:r>
        <w:separator/>
      </w:r>
    </w:p>
  </w:endnote>
  <w:endnote w:type="continuationSeparator" w:id="0">
    <w:p w14:paraId="019EA300" w14:textId="77777777" w:rsidR="00DA5B97" w:rsidRDefault="00DA5B97" w:rsidP="00906DD4">
      <w:r>
        <w:continuationSeparator/>
      </w:r>
    </w:p>
  </w:endnote>
  <w:endnote w:type="continuationNotice" w:id="1">
    <w:p w14:paraId="50C04CAD" w14:textId="77777777" w:rsidR="00DA5B97" w:rsidRDefault="00DA5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628D6" w14:textId="77777777" w:rsidR="00DA5B97" w:rsidRDefault="00DA5B97" w:rsidP="00906DD4">
      <w:r>
        <w:separator/>
      </w:r>
    </w:p>
  </w:footnote>
  <w:footnote w:type="continuationSeparator" w:id="0">
    <w:p w14:paraId="38EE64DF" w14:textId="77777777" w:rsidR="00DA5B97" w:rsidRDefault="00DA5B97" w:rsidP="00906DD4">
      <w:r>
        <w:continuationSeparator/>
      </w:r>
    </w:p>
  </w:footnote>
  <w:footnote w:type="continuationNotice" w:id="1">
    <w:p w14:paraId="28E68B6E" w14:textId="77777777" w:rsidR="00DA5B97" w:rsidRDefault="00DA5B97"/>
  </w:footnote>
  <w:footnote w:id="2">
    <w:p w14:paraId="6A3448A6" w14:textId="77777777" w:rsidR="00906DD4" w:rsidRPr="00812FA1" w:rsidRDefault="00906DD4" w:rsidP="00906DD4">
      <w:pPr>
        <w:pStyle w:val="FootnoteText"/>
        <w:rPr>
          <w:rFonts w:ascii="Times" w:hAnsi="Times" w:cs="Times"/>
          <w:sz w:val="18"/>
          <w:szCs w:val="22"/>
        </w:rPr>
      </w:pPr>
      <w:r w:rsidRPr="00812FA1">
        <w:rPr>
          <w:rStyle w:val="FootnoteReference"/>
          <w:rFonts w:ascii="Times" w:hAnsi="Times" w:cs="Times"/>
          <w:sz w:val="18"/>
          <w:szCs w:val="22"/>
        </w:rPr>
        <w:footnoteRef/>
      </w:r>
      <w:r w:rsidRPr="00812FA1">
        <w:rPr>
          <w:rFonts w:ascii="Times" w:hAnsi="Times" w:cs="Times"/>
          <w:sz w:val="18"/>
          <w:szCs w:val="22"/>
        </w:rPr>
        <w:t xml:space="preserve"> A recently detected pest population, including an incursion, or a sudden significant increase of an established pest population in an area [FAO, 1995; revised ICPM, 2003] (ISPM 5)</w:t>
      </w:r>
    </w:p>
  </w:footnote>
  <w:footnote w:id="3">
    <w:p w14:paraId="72D3E60A" w14:textId="77777777" w:rsidR="00906DD4" w:rsidRPr="00812FA1" w:rsidRDefault="00906DD4" w:rsidP="00906DD4">
      <w:pPr>
        <w:rPr>
          <w:rFonts w:ascii="Times" w:hAnsi="Times" w:cs="Times"/>
          <w:szCs w:val="22"/>
        </w:rPr>
      </w:pPr>
      <w:r w:rsidRPr="00812FA1">
        <w:rPr>
          <w:rStyle w:val="FootnoteReference"/>
          <w:rFonts w:ascii="Times" w:hAnsi="Times" w:cs="Times"/>
          <w:szCs w:val="22"/>
        </w:rPr>
        <w:footnoteRef/>
      </w:r>
      <w:r w:rsidRPr="00812FA1">
        <w:rPr>
          <w:rFonts w:ascii="Times" w:hAnsi="Times" w:cs="Times"/>
          <w:szCs w:val="22"/>
        </w:rPr>
        <w:t xml:space="preserve"> </w:t>
      </w:r>
      <w:r w:rsidRPr="00812FA1">
        <w:rPr>
          <w:rFonts w:ascii="Times" w:hAnsi="Times" w:cs="Times"/>
          <w:szCs w:val="22"/>
          <w:vertAlign w:val="superscript"/>
        </w:rPr>
        <w:t>1</w:t>
      </w:r>
      <w:r w:rsidRPr="00812FA1">
        <w:rPr>
          <w:rFonts w:ascii="Times" w:hAnsi="Times" w:cs="Times"/>
          <w:szCs w:val="22"/>
        </w:rPr>
        <w:t>An area where ecological factors favour the establishment of a pest whose presence in the area will result in economically important loss [ISPM 2, 1995] (ISPM 5).</w:t>
      </w:r>
    </w:p>
  </w:footnote>
  <w:footnote w:id="4">
    <w:p w14:paraId="462CF063" w14:textId="77777777" w:rsidR="00906DD4" w:rsidRPr="00812FA1" w:rsidRDefault="00906DD4" w:rsidP="00906DD4">
      <w:pPr>
        <w:pStyle w:val="FootnoteText"/>
        <w:rPr>
          <w:rFonts w:ascii="Times" w:hAnsi="Times" w:cs="Times"/>
          <w:sz w:val="18"/>
          <w:szCs w:val="22"/>
        </w:rPr>
      </w:pPr>
      <w:r w:rsidRPr="00812FA1">
        <w:rPr>
          <w:rStyle w:val="FootnoteReference"/>
          <w:rFonts w:ascii="Times" w:hAnsi="Times" w:cs="Times"/>
          <w:sz w:val="18"/>
          <w:szCs w:val="22"/>
        </w:rPr>
        <w:footnoteRef/>
      </w:r>
      <w:r w:rsidRPr="00812FA1">
        <w:rPr>
          <w:rFonts w:ascii="Times" w:hAnsi="Times" w:cs="Times"/>
          <w:sz w:val="18"/>
          <w:szCs w:val="22"/>
        </w:rPr>
        <w:t xml:space="preserve"> SUPPLEMENT 2: Guidelines on the understanding of “potential economic importance” and related terms including reference to environmental considerations </w:t>
      </w:r>
    </w:p>
  </w:footnote>
  <w:footnote w:id="5">
    <w:p w14:paraId="450EEF64" w14:textId="77777777" w:rsidR="00906DD4" w:rsidRPr="00BF6C4C" w:rsidRDefault="00906DD4" w:rsidP="00906DD4">
      <w:pPr>
        <w:pStyle w:val="FootnoteText"/>
      </w:pPr>
      <w:r w:rsidRPr="00812FA1">
        <w:rPr>
          <w:rStyle w:val="FootnoteReference"/>
          <w:rFonts w:ascii="Times" w:hAnsi="Times" w:cs="Times"/>
          <w:sz w:val="18"/>
          <w:szCs w:val="22"/>
        </w:rPr>
        <w:footnoteRef/>
      </w:r>
      <w:r w:rsidRPr="00812FA1">
        <w:rPr>
          <w:rFonts w:ascii="Times" w:hAnsi="Times" w:cs="Times"/>
          <w:sz w:val="18"/>
          <w:szCs w:val="22"/>
        </w:rPr>
        <w:t xml:space="preserve"> SUPPLEMENT 2: Guidelines on the understanding of “potential economic importance” and related terms including reference to environmental considerations</w:t>
      </w:r>
      <w:r w:rsidRPr="00812FA1">
        <w:rPr>
          <w:sz w:val="18"/>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2D95"/>
    <w:multiLevelType w:val="hybridMultilevel"/>
    <w:tmpl w:val="AC6A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C0FCB"/>
    <w:multiLevelType w:val="hybridMultilevel"/>
    <w:tmpl w:val="14EE4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46469"/>
    <w:multiLevelType w:val="hybridMultilevel"/>
    <w:tmpl w:val="5C081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C030D"/>
    <w:multiLevelType w:val="hybridMultilevel"/>
    <w:tmpl w:val="64BE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041C2"/>
    <w:multiLevelType w:val="hybridMultilevel"/>
    <w:tmpl w:val="D020D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E34EC"/>
    <w:multiLevelType w:val="hybridMultilevel"/>
    <w:tmpl w:val="92FAF5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ED110E"/>
    <w:multiLevelType w:val="hybridMultilevel"/>
    <w:tmpl w:val="E4540DFE"/>
    <w:lvl w:ilvl="0" w:tplc="4964E8BE">
      <w:start w:val="1"/>
      <w:numFmt w:val="bullet"/>
      <w:lvlText w:val=""/>
      <w:lvlJc w:val="left"/>
      <w:pPr>
        <w:ind w:left="1080" w:hanging="360"/>
      </w:pPr>
      <w:rPr>
        <w:rFonts w:ascii="Symbol" w:hAnsi="Symbol" w:hint="default"/>
      </w:rPr>
    </w:lvl>
    <w:lvl w:ilvl="1" w:tplc="4CA4A57A" w:tentative="1">
      <w:start w:val="1"/>
      <w:numFmt w:val="bullet"/>
      <w:lvlText w:val="o"/>
      <w:lvlJc w:val="left"/>
      <w:pPr>
        <w:ind w:left="1800" w:hanging="360"/>
      </w:pPr>
      <w:rPr>
        <w:rFonts w:ascii="Courier New" w:hAnsi="Courier New" w:hint="default"/>
      </w:rPr>
    </w:lvl>
    <w:lvl w:ilvl="2" w:tplc="CA303096" w:tentative="1">
      <w:start w:val="1"/>
      <w:numFmt w:val="bullet"/>
      <w:lvlText w:val=""/>
      <w:lvlJc w:val="left"/>
      <w:pPr>
        <w:ind w:left="2520" w:hanging="360"/>
      </w:pPr>
      <w:rPr>
        <w:rFonts w:ascii="Wingdings" w:hAnsi="Wingdings" w:hint="default"/>
      </w:rPr>
    </w:lvl>
    <w:lvl w:ilvl="3" w:tplc="4B429484" w:tentative="1">
      <w:start w:val="1"/>
      <w:numFmt w:val="bullet"/>
      <w:lvlText w:val=""/>
      <w:lvlJc w:val="left"/>
      <w:pPr>
        <w:ind w:left="3240" w:hanging="360"/>
      </w:pPr>
      <w:rPr>
        <w:rFonts w:ascii="Symbol" w:hAnsi="Symbol" w:hint="default"/>
      </w:rPr>
    </w:lvl>
    <w:lvl w:ilvl="4" w:tplc="21343F34" w:tentative="1">
      <w:start w:val="1"/>
      <w:numFmt w:val="bullet"/>
      <w:lvlText w:val="o"/>
      <w:lvlJc w:val="left"/>
      <w:pPr>
        <w:ind w:left="3960" w:hanging="360"/>
      </w:pPr>
      <w:rPr>
        <w:rFonts w:ascii="Courier New" w:hAnsi="Courier New" w:hint="default"/>
      </w:rPr>
    </w:lvl>
    <w:lvl w:ilvl="5" w:tplc="13DC20C6" w:tentative="1">
      <w:start w:val="1"/>
      <w:numFmt w:val="bullet"/>
      <w:lvlText w:val=""/>
      <w:lvlJc w:val="left"/>
      <w:pPr>
        <w:ind w:left="4680" w:hanging="360"/>
      </w:pPr>
      <w:rPr>
        <w:rFonts w:ascii="Wingdings" w:hAnsi="Wingdings" w:hint="default"/>
      </w:rPr>
    </w:lvl>
    <w:lvl w:ilvl="6" w:tplc="990E5344" w:tentative="1">
      <w:start w:val="1"/>
      <w:numFmt w:val="bullet"/>
      <w:lvlText w:val=""/>
      <w:lvlJc w:val="left"/>
      <w:pPr>
        <w:ind w:left="5400" w:hanging="360"/>
      </w:pPr>
      <w:rPr>
        <w:rFonts w:ascii="Symbol" w:hAnsi="Symbol" w:hint="default"/>
      </w:rPr>
    </w:lvl>
    <w:lvl w:ilvl="7" w:tplc="B2B0B960" w:tentative="1">
      <w:start w:val="1"/>
      <w:numFmt w:val="bullet"/>
      <w:lvlText w:val="o"/>
      <w:lvlJc w:val="left"/>
      <w:pPr>
        <w:ind w:left="6120" w:hanging="360"/>
      </w:pPr>
      <w:rPr>
        <w:rFonts w:ascii="Courier New" w:hAnsi="Courier New" w:hint="default"/>
      </w:rPr>
    </w:lvl>
    <w:lvl w:ilvl="8" w:tplc="212ACF88" w:tentative="1">
      <w:start w:val="1"/>
      <w:numFmt w:val="bullet"/>
      <w:lvlText w:val=""/>
      <w:lvlJc w:val="left"/>
      <w:pPr>
        <w:ind w:left="6840" w:hanging="360"/>
      </w:pPr>
      <w:rPr>
        <w:rFonts w:ascii="Wingdings" w:hAnsi="Wingdings" w:hint="default"/>
      </w:rPr>
    </w:lvl>
  </w:abstractNum>
  <w:abstractNum w:abstractNumId="7" w15:restartNumberingAfterBreak="0">
    <w:nsid w:val="6AAF76C9"/>
    <w:multiLevelType w:val="hybridMultilevel"/>
    <w:tmpl w:val="980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C04BB5"/>
    <w:multiLevelType w:val="hybridMultilevel"/>
    <w:tmpl w:val="07129F54"/>
    <w:lvl w:ilvl="0" w:tplc="08090001">
      <w:start w:val="1"/>
      <w:numFmt w:val="bullet"/>
      <w:lvlText w:val=""/>
      <w:lvlJc w:val="left"/>
      <w:pPr>
        <w:ind w:left="720" w:hanging="360"/>
      </w:pPr>
      <w:rPr>
        <w:rFonts w:ascii="Symbol" w:hAnsi="Symbol" w:hint="default"/>
      </w:rPr>
    </w:lvl>
    <w:lvl w:ilvl="1" w:tplc="E9BC930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367057">
    <w:abstractNumId w:val="4"/>
  </w:num>
  <w:num w:numId="2" w16cid:durableId="449083665">
    <w:abstractNumId w:val="6"/>
  </w:num>
  <w:num w:numId="3" w16cid:durableId="694575728">
    <w:abstractNumId w:val="2"/>
  </w:num>
  <w:num w:numId="4" w16cid:durableId="190074445">
    <w:abstractNumId w:val="1"/>
  </w:num>
  <w:num w:numId="5" w16cid:durableId="477461364">
    <w:abstractNumId w:val="8"/>
  </w:num>
  <w:num w:numId="6" w16cid:durableId="1921597016">
    <w:abstractNumId w:val="0"/>
  </w:num>
  <w:num w:numId="7" w16cid:durableId="1289165289">
    <w:abstractNumId w:val="3"/>
  </w:num>
  <w:num w:numId="8" w16cid:durableId="1060517793">
    <w:abstractNumId w:val="7"/>
  </w:num>
  <w:num w:numId="9" w16cid:durableId="20423164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ngela Ciampitti">
    <w15:presenceInfo w15:providerId="AD" w15:userId="S::mariangela_ciampitti_regione.lombardia.it#ext#@unfao.onmicrosoft.com::a5016a2d-06d9-4072-9d3b-ebce2922921c"/>
  </w15:person>
  <w15:person w15:author="BeltranMontoya, Camilo (NSP)">
    <w15:presenceInfo w15:providerId="AD" w15:userId="S::Camilo.BeltranMontoya@fao.org::c6617a72-ddab-40a4-ab08-9da8697dd8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yMTc2MjMwMzY2MTBR0lEKTi0uzszPAykwqgUAXOzMpiwAAAA="/>
  </w:docVars>
  <w:rsids>
    <w:rsidRoot w:val="00D32920"/>
    <w:rsid w:val="00010FA9"/>
    <w:rsid w:val="000433E2"/>
    <w:rsid w:val="000437BF"/>
    <w:rsid w:val="00047043"/>
    <w:rsid w:val="00050B21"/>
    <w:rsid w:val="00057EB5"/>
    <w:rsid w:val="00066ABE"/>
    <w:rsid w:val="00082AC7"/>
    <w:rsid w:val="000922C2"/>
    <w:rsid w:val="000A40A7"/>
    <w:rsid w:val="000B04DB"/>
    <w:rsid w:val="000C0278"/>
    <w:rsid w:val="000C040D"/>
    <w:rsid w:val="000C09D8"/>
    <w:rsid w:val="000C141C"/>
    <w:rsid w:val="000D0629"/>
    <w:rsid w:val="000D35BD"/>
    <w:rsid w:val="000D6FA6"/>
    <w:rsid w:val="000E3F40"/>
    <w:rsid w:val="000F0C9C"/>
    <w:rsid w:val="000F1032"/>
    <w:rsid w:val="000F1035"/>
    <w:rsid w:val="00114271"/>
    <w:rsid w:val="001147A1"/>
    <w:rsid w:val="0014014D"/>
    <w:rsid w:val="00151FDA"/>
    <w:rsid w:val="001605DB"/>
    <w:rsid w:val="00162413"/>
    <w:rsid w:val="00173909"/>
    <w:rsid w:val="001831BB"/>
    <w:rsid w:val="00196A3A"/>
    <w:rsid w:val="00197022"/>
    <w:rsid w:val="001A7D3F"/>
    <w:rsid w:val="001B28BB"/>
    <w:rsid w:val="001B5D46"/>
    <w:rsid w:val="001C51A7"/>
    <w:rsid w:val="001D259F"/>
    <w:rsid w:val="001E13E9"/>
    <w:rsid w:val="001E1C0C"/>
    <w:rsid w:val="001E5D72"/>
    <w:rsid w:val="001F70AB"/>
    <w:rsid w:val="00200423"/>
    <w:rsid w:val="0020781F"/>
    <w:rsid w:val="002207D2"/>
    <w:rsid w:val="0022373C"/>
    <w:rsid w:val="00224867"/>
    <w:rsid w:val="00236FFD"/>
    <w:rsid w:val="002370B0"/>
    <w:rsid w:val="00252265"/>
    <w:rsid w:val="002540CB"/>
    <w:rsid w:val="00255014"/>
    <w:rsid w:val="00280A9E"/>
    <w:rsid w:val="0028517E"/>
    <w:rsid w:val="00287926"/>
    <w:rsid w:val="002A25A6"/>
    <w:rsid w:val="002B57B1"/>
    <w:rsid w:val="002C7112"/>
    <w:rsid w:val="002D5F94"/>
    <w:rsid w:val="002E024D"/>
    <w:rsid w:val="002E6492"/>
    <w:rsid w:val="002F27DC"/>
    <w:rsid w:val="003042A1"/>
    <w:rsid w:val="00353FF4"/>
    <w:rsid w:val="00356199"/>
    <w:rsid w:val="003568F2"/>
    <w:rsid w:val="00357024"/>
    <w:rsid w:val="00365225"/>
    <w:rsid w:val="00396141"/>
    <w:rsid w:val="003A6E88"/>
    <w:rsid w:val="003B4E0F"/>
    <w:rsid w:val="003B5512"/>
    <w:rsid w:val="003C7138"/>
    <w:rsid w:val="003D2B84"/>
    <w:rsid w:val="003D6CA3"/>
    <w:rsid w:val="003E3C7A"/>
    <w:rsid w:val="003F0383"/>
    <w:rsid w:val="003F32D8"/>
    <w:rsid w:val="00411C11"/>
    <w:rsid w:val="00415449"/>
    <w:rsid w:val="00422397"/>
    <w:rsid w:val="004302A3"/>
    <w:rsid w:val="00431550"/>
    <w:rsid w:val="00434590"/>
    <w:rsid w:val="00435B0E"/>
    <w:rsid w:val="00450C11"/>
    <w:rsid w:val="00461142"/>
    <w:rsid w:val="00462BBB"/>
    <w:rsid w:val="00473731"/>
    <w:rsid w:val="0047424B"/>
    <w:rsid w:val="00476DE7"/>
    <w:rsid w:val="00483303"/>
    <w:rsid w:val="004B1131"/>
    <w:rsid w:val="004C00D4"/>
    <w:rsid w:val="004C1A0D"/>
    <w:rsid w:val="004C1DE2"/>
    <w:rsid w:val="004C7675"/>
    <w:rsid w:val="004D3BDF"/>
    <w:rsid w:val="004E1452"/>
    <w:rsid w:val="004E32DF"/>
    <w:rsid w:val="004E6395"/>
    <w:rsid w:val="004F4955"/>
    <w:rsid w:val="005132D8"/>
    <w:rsid w:val="005148DE"/>
    <w:rsid w:val="00534B9A"/>
    <w:rsid w:val="00540F28"/>
    <w:rsid w:val="00551E84"/>
    <w:rsid w:val="005520EF"/>
    <w:rsid w:val="005556FC"/>
    <w:rsid w:val="00556C53"/>
    <w:rsid w:val="0056086E"/>
    <w:rsid w:val="00565A88"/>
    <w:rsid w:val="0058614F"/>
    <w:rsid w:val="005905CC"/>
    <w:rsid w:val="00594FD3"/>
    <w:rsid w:val="005A595A"/>
    <w:rsid w:val="005A78AA"/>
    <w:rsid w:val="005B02F2"/>
    <w:rsid w:val="005B5AE8"/>
    <w:rsid w:val="005B6D94"/>
    <w:rsid w:val="005C7200"/>
    <w:rsid w:val="005D7E28"/>
    <w:rsid w:val="005F0532"/>
    <w:rsid w:val="005F2A37"/>
    <w:rsid w:val="0060030B"/>
    <w:rsid w:val="00607E19"/>
    <w:rsid w:val="00611A50"/>
    <w:rsid w:val="00613DD5"/>
    <w:rsid w:val="0062622D"/>
    <w:rsid w:val="006419F6"/>
    <w:rsid w:val="00647173"/>
    <w:rsid w:val="006527EE"/>
    <w:rsid w:val="00671360"/>
    <w:rsid w:val="00674DE6"/>
    <w:rsid w:val="00693E6A"/>
    <w:rsid w:val="006B0495"/>
    <w:rsid w:val="006C63D7"/>
    <w:rsid w:val="006D5D51"/>
    <w:rsid w:val="006E184B"/>
    <w:rsid w:val="006E6D55"/>
    <w:rsid w:val="00701C37"/>
    <w:rsid w:val="0070346E"/>
    <w:rsid w:val="00725CBA"/>
    <w:rsid w:val="00731136"/>
    <w:rsid w:val="0073254A"/>
    <w:rsid w:val="00763B1E"/>
    <w:rsid w:val="00765A37"/>
    <w:rsid w:val="00773FFC"/>
    <w:rsid w:val="007746A8"/>
    <w:rsid w:val="007748C7"/>
    <w:rsid w:val="007935B7"/>
    <w:rsid w:val="0079573D"/>
    <w:rsid w:val="007A1CB2"/>
    <w:rsid w:val="007C4E19"/>
    <w:rsid w:val="007F33EB"/>
    <w:rsid w:val="007F58A0"/>
    <w:rsid w:val="007F680B"/>
    <w:rsid w:val="008026DC"/>
    <w:rsid w:val="00812B64"/>
    <w:rsid w:val="00816273"/>
    <w:rsid w:val="0082193B"/>
    <w:rsid w:val="0083413B"/>
    <w:rsid w:val="00855B7E"/>
    <w:rsid w:val="00857335"/>
    <w:rsid w:val="00863ACE"/>
    <w:rsid w:val="00882293"/>
    <w:rsid w:val="00883FA0"/>
    <w:rsid w:val="00890FA1"/>
    <w:rsid w:val="008A20C6"/>
    <w:rsid w:val="008B22D7"/>
    <w:rsid w:val="008B6DA7"/>
    <w:rsid w:val="008E3D85"/>
    <w:rsid w:val="008E6753"/>
    <w:rsid w:val="008E6826"/>
    <w:rsid w:val="008F0A30"/>
    <w:rsid w:val="008F4611"/>
    <w:rsid w:val="00906DD4"/>
    <w:rsid w:val="00911397"/>
    <w:rsid w:val="0093256D"/>
    <w:rsid w:val="0093412C"/>
    <w:rsid w:val="00957AFE"/>
    <w:rsid w:val="0096293A"/>
    <w:rsid w:val="009867CC"/>
    <w:rsid w:val="009B50AB"/>
    <w:rsid w:val="009E0A60"/>
    <w:rsid w:val="009E1B93"/>
    <w:rsid w:val="009E54F5"/>
    <w:rsid w:val="009F3AED"/>
    <w:rsid w:val="009F5A4A"/>
    <w:rsid w:val="009F5DC1"/>
    <w:rsid w:val="009F6689"/>
    <w:rsid w:val="00A15AD9"/>
    <w:rsid w:val="00A16851"/>
    <w:rsid w:val="00A300C0"/>
    <w:rsid w:val="00A32C22"/>
    <w:rsid w:val="00A40E34"/>
    <w:rsid w:val="00A44BEA"/>
    <w:rsid w:val="00A44E01"/>
    <w:rsid w:val="00A539FD"/>
    <w:rsid w:val="00A85529"/>
    <w:rsid w:val="00A86678"/>
    <w:rsid w:val="00A941F5"/>
    <w:rsid w:val="00A95E93"/>
    <w:rsid w:val="00AA1B67"/>
    <w:rsid w:val="00AB5EE4"/>
    <w:rsid w:val="00AC2809"/>
    <w:rsid w:val="00AC3E8A"/>
    <w:rsid w:val="00AC3F81"/>
    <w:rsid w:val="00AC43CE"/>
    <w:rsid w:val="00AC78FB"/>
    <w:rsid w:val="00AC7E13"/>
    <w:rsid w:val="00AD667B"/>
    <w:rsid w:val="00B00CC3"/>
    <w:rsid w:val="00B13F3A"/>
    <w:rsid w:val="00B26445"/>
    <w:rsid w:val="00B30B2D"/>
    <w:rsid w:val="00B35407"/>
    <w:rsid w:val="00B36EBB"/>
    <w:rsid w:val="00B421D7"/>
    <w:rsid w:val="00B427D8"/>
    <w:rsid w:val="00B54723"/>
    <w:rsid w:val="00B65D34"/>
    <w:rsid w:val="00B83892"/>
    <w:rsid w:val="00B864FA"/>
    <w:rsid w:val="00BA5523"/>
    <w:rsid w:val="00BB3837"/>
    <w:rsid w:val="00BB3CCD"/>
    <w:rsid w:val="00BC10C8"/>
    <w:rsid w:val="00BD48C0"/>
    <w:rsid w:val="00BE2B9E"/>
    <w:rsid w:val="00C00733"/>
    <w:rsid w:val="00C0551F"/>
    <w:rsid w:val="00C05DC6"/>
    <w:rsid w:val="00C1468A"/>
    <w:rsid w:val="00C3031A"/>
    <w:rsid w:val="00C448E5"/>
    <w:rsid w:val="00C539B9"/>
    <w:rsid w:val="00C56509"/>
    <w:rsid w:val="00C61B07"/>
    <w:rsid w:val="00C661C6"/>
    <w:rsid w:val="00C6620D"/>
    <w:rsid w:val="00C75017"/>
    <w:rsid w:val="00C80B51"/>
    <w:rsid w:val="00C85540"/>
    <w:rsid w:val="00C96A1C"/>
    <w:rsid w:val="00CA2D3C"/>
    <w:rsid w:val="00CB2456"/>
    <w:rsid w:val="00CB5EFE"/>
    <w:rsid w:val="00CC4BB5"/>
    <w:rsid w:val="00CD2BA1"/>
    <w:rsid w:val="00CD3013"/>
    <w:rsid w:val="00CE264F"/>
    <w:rsid w:val="00CE4E31"/>
    <w:rsid w:val="00D028C8"/>
    <w:rsid w:val="00D110F4"/>
    <w:rsid w:val="00D22226"/>
    <w:rsid w:val="00D2293A"/>
    <w:rsid w:val="00D23550"/>
    <w:rsid w:val="00D32920"/>
    <w:rsid w:val="00D707F5"/>
    <w:rsid w:val="00D756D1"/>
    <w:rsid w:val="00D76E19"/>
    <w:rsid w:val="00D979B1"/>
    <w:rsid w:val="00DA5B97"/>
    <w:rsid w:val="00DB09DC"/>
    <w:rsid w:val="00DB1D2F"/>
    <w:rsid w:val="00DB2A17"/>
    <w:rsid w:val="00DC510D"/>
    <w:rsid w:val="00E16677"/>
    <w:rsid w:val="00E17619"/>
    <w:rsid w:val="00E314BE"/>
    <w:rsid w:val="00E35BA7"/>
    <w:rsid w:val="00E71FF1"/>
    <w:rsid w:val="00E74A1B"/>
    <w:rsid w:val="00EB4C28"/>
    <w:rsid w:val="00ED3249"/>
    <w:rsid w:val="00ED4133"/>
    <w:rsid w:val="00EE48F3"/>
    <w:rsid w:val="00EE78B0"/>
    <w:rsid w:val="00EF5531"/>
    <w:rsid w:val="00EF5B64"/>
    <w:rsid w:val="00F06958"/>
    <w:rsid w:val="00F17DBB"/>
    <w:rsid w:val="00F206E4"/>
    <w:rsid w:val="00F20F31"/>
    <w:rsid w:val="00F22A11"/>
    <w:rsid w:val="00F87D09"/>
    <w:rsid w:val="00F96052"/>
    <w:rsid w:val="00FA21FA"/>
    <w:rsid w:val="00FA5283"/>
    <w:rsid w:val="00FB35D9"/>
    <w:rsid w:val="00FD434B"/>
    <w:rsid w:val="00FD603B"/>
    <w:rsid w:val="00FE740E"/>
    <w:rsid w:val="00FF09A2"/>
    <w:rsid w:val="021701A2"/>
    <w:rsid w:val="02233E8A"/>
    <w:rsid w:val="02593EF3"/>
    <w:rsid w:val="02A9D5E5"/>
    <w:rsid w:val="042E2955"/>
    <w:rsid w:val="04663019"/>
    <w:rsid w:val="051BFA37"/>
    <w:rsid w:val="0565BAC8"/>
    <w:rsid w:val="061F2EA4"/>
    <w:rsid w:val="06E1196C"/>
    <w:rsid w:val="06F58303"/>
    <w:rsid w:val="0711766E"/>
    <w:rsid w:val="07481708"/>
    <w:rsid w:val="07704D79"/>
    <w:rsid w:val="08182BE8"/>
    <w:rsid w:val="083692B6"/>
    <w:rsid w:val="087EE98D"/>
    <w:rsid w:val="08CE1273"/>
    <w:rsid w:val="08F73A38"/>
    <w:rsid w:val="0968256F"/>
    <w:rsid w:val="0AAAE738"/>
    <w:rsid w:val="0B6D018E"/>
    <w:rsid w:val="0CA6942E"/>
    <w:rsid w:val="0DDC66D1"/>
    <w:rsid w:val="0E86F4DA"/>
    <w:rsid w:val="0EE5BD1B"/>
    <w:rsid w:val="101BBD6F"/>
    <w:rsid w:val="1262CEB3"/>
    <w:rsid w:val="13241042"/>
    <w:rsid w:val="13376583"/>
    <w:rsid w:val="1421E119"/>
    <w:rsid w:val="15444E77"/>
    <w:rsid w:val="15BE1C81"/>
    <w:rsid w:val="1636ADAB"/>
    <w:rsid w:val="172ABBD1"/>
    <w:rsid w:val="1733534B"/>
    <w:rsid w:val="18562A25"/>
    <w:rsid w:val="18E5ABDB"/>
    <w:rsid w:val="19333E6F"/>
    <w:rsid w:val="19A2DEA8"/>
    <w:rsid w:val="1A611296"/>
    <w:rsid w:val="1B758906"/>
    <w:rsid w:val="1C9CFA4C"/>
    <w:rsid w:val="1CC0B2AC"/>
    <w:rsid w:val="1DAE6A64"/>
    <w:rsid w:val="1DBE27C2"/>
    <w:rsid w:val="1F6A75D2"/>
    <w:rsid w:val="1FB158F9"/>
    <w:rsid w:val="1FBD9FB0"/>
    <w:rsid w:val="204E22F3"/>
    <w:rsid w:val="2076303A"/>
    <w:rsid w:val="223A1C6B"/>
    <w:rsid w:val="226C6504"/>
    <w:rsid w:val="22C0DFDE"/>
    <w:rsid w:val="23EFACBA"/>
    <w:rsid w:val="23F598BC"/>
    <w:rsid w:val="241728D4"/>
    <w:rsid w:val="2498749B"/>
    <w:rsid w:val="26D0E7D8"/>
    <w:rsid w:val="270C1824"/>
    <w:rsid w:val="27310345"/>
    <w:rsid w:val="2799E848"/>
    <w:rsid w:val="27B1EED6"/>
    <w:rsid w:val="27BAE2E3"/>
    <w:rsid w:val="28047D02"/>
    <w:rsid w:val="2814A63C"/>
    <w:rsid w:val="2862115E"/>
    <w:rsid w:val="289C0FD4"/>
    <w:rsid w:val="28F4AEC7"/>
    <w:rsid w:val="29084D4F"/>
    <w:rsid w:val="290E21D4"/>
    <w:rsid w:val="29526303"/>
    <w:rsid w:val="2A9C7555"/>
    <w:rsid w:val="2BFDC8A0"/>
    <w:rsid w:val="2C39779B"/>
    <w:rsid w:val="2D968682"/>
    <w:rsid w:val="2D9E63C3"/>
    <w:rsid w:val="2DA5A5E6"/>
    <w:rsid w:val="2E5C2AC7"/>
    <w:rsid w:val="2ED99571"/>
    <w:rsid w:val="30F31410"/>
    <w:rsid w:val="30F6893F"/>
    <w:rsid w:val="328B7A02"/>
    <w:rsid w:val="329660C2"/>
    <w:rsid w:val="342B1BE8"/>
    <w:rsid w:val="34759AAB"/>
    <w:rsid w:val="35919A71"/>
    <w:rsid w:val="38763B12"/>
    <w:rsid w:val="3886E10C"/>
    <w:rsid w:val="395B3770"/>
    <w:rsid w:val="3985C577"/>
    <w:rsid w:val="3AAC2CF1"/>
    <w:rsid w:val="3AF28A30"/>
    <w:rsid w:val="3B003D10"/>
    <w:rsid w:val="3B3AF250"/>
    <w:rsid w:val="3BD6DEDF"/>
    <w:rsid w:val="3BE7EA3F"/>
    <w:rsid w:val="3CACEDA0"/>
    <w:rsid w:val="3CCB2DC7"/>
    <w:rsid w:val="3D8FC70D"/>
    <w:rsid w:val="3E22CDE6"/>
    <w:rsid w:val="3E948D7B"/>
    <w:rsid w:val="3F23CC98"/>
    <w:rsid w:val="3F41A17C"/>
    <w:rsid w:val="3F53CD3D"/>
    <w:rsid w:val="3F76A6CA"/>
    <w:rsid w:val="4052DE74"/>
    <w:rsid w:val="40A3541A"/>
    <w:rsid w:val="4109333E"/>
    <w:rsid w:val="4148C604"/>
    <w:rsid w:val="4182DCB8"/>
    <w:rsid w:val="42AFCB4B"/>
    <w:rsid w:val="45171671"/>
    <w:rsid w:val="452A7EB9"/>
    <w:rsid w:val="453E30FC"/>
    <w:rsid w:val="45674D56"/>
    <w:rsid w:val="461C8C3A"/>
    <w:rsid w:val="464DC4E6"/>
    <w:rsid w:val="466A6F55"/>
    <w:rsid w:val="46DE5BCD"/>
    <w:rsid w:val="479079D5"/>
    <w:rsid w:val="484188B0"/>
    <w:rsid w:val="4A0C92C1"/>
    <w:rsid w:val="4B789BA7"/>
    <w:rsid w:val="4BFD7026"/>
    <w:rsid w:val="4C8146A0"/>
    <w:rsid w:val="4DA0AB92"/>
    <w:rsid w:val="4E3CE206"/>
    <w:rsid w:val="4EBE3024"/>
    <w:rsid w:val="4F35C55A"/>
    <w:rsid w:val="4F41204F"/>
    <w:rsid w:val="4FF3049C"/>
    <w:rsid w:val="50053301"/>
    <w:rsid w:val="5173F5DC"/>
    <w:rsid w:val="52497B9A"/>
    <w:rsid w:val="524F1EE9"/>
    <w:rsid w:val="5275A5C8"/>
    <w:rsid w:val="537F619D"/>
    <w:rsid w:val="53C8D68F"/>
    <w:rsid w:val="53E308B0"/>
    <w:rsid w:val="54261DB9"/>
    <w:rsid w:val="548ADDE2"/>
    <w:rsid w:val="54AAC45F"/>
    <w:rsid w:val="5508E1C8"/>
    <w:rsid w:val="5595F958"/>
    <w:rsid w:val="55B53863"/>
    <w:rsid w:val="561BFC6F"/>
    <w:rsid w:val="56276052"/>
    <w:rsid w:val="57CCABA3"/>
    <w:rsid w:val="57E3E879"/>
    <w:rsid w:val="5885C586"/>
    <w:rsid w:val="594B0607"/>
    <w:rsid w:val="597880A7"/>
    <w:rsid w:val="5A47BDE9"/>
    <w:rsid w:val="5ADE2BBC"/>
    <w:rsid w:val="5BEE5762"/>
    <w:rsid w:val="5C20EBB4"/>
    <w:rsid w:val="5C51FF24"/>
    <w:rsid w:val="5CEAFE7A"/>
    <w:rsid w:val="5CF66022"/>
    <w:rsid w:val="5D628B22"/>
    <w:rsid w:val="5E22DCB9"/>
    <w:rsid w:val="5EB9964D"/>
    <w:rsid w:val="5EE39FA8"/>
    <w:rsid w:val="5F993890"/>
    <w:rsid w:val="604FD45F"/>
    <w:rsid w:val="6188054C"/>
    <w:rsid w:val="61A8006F"/>
    <w:rsid w:val="61D81B6B"/>
    <w:rsid w:val="6215940E"/>
    <w:rsid w:val="634DD0D7"/>
    <w:rsid w:val="63A85D54"/>
    <w:rsid w:val="64325B12"/>
    <w:rsid w:val="64918E5F"/>
    <w:rsid w:val="64A27524"/>
    <w:rsid w:val="6502499B"/>
    <w:rsid w:val="65FA5CD5"/>
    <w:rsid w:val="661B75F5"/>
    <w:rsid w:val="679589FF"/>
    <w:rsid w:val="67DCB9CC"/>
    <w:rsid w:val="68D81FCB"/>
    <w:rsid w:val="69A86640"/>
    <w:rsid w:val="6A09A513"/>
    <w:rsid w:val="6B969BAF"/>
    <w:rsid w:val="6CAF1950"/>
    <w:rsid w:val="6D1D6175"/>
    <w:rsid w:val="6D7FE640"/>
    <w:rsid w:val="6DD7E93F"/>
    <w:rsid w:val="6E038324"/>
    <w:rsid w:val="6E1E351A"/>
    <w:rsid w:val="6EB39CDD"/>
    <w:rsid w:val="7043E225"/>
    <w:rsid w:val="70CB82F5"/>
    <w:rsid w:val="70FD9365"/>
    <w:rsid w:val="7120A382"/>
    <w:rsid w:val="71B69640"/>
    <w:rsid w:val="72AB0B82"/>
    <w:rsid w:val="72D3A10A"/>
    <w:rsid w:val="76D929BC"/>
    <w:rsid w:val="775938F9"/>
    <w:rsid w:val="776982ED"/>
    <w:rsid w:val="77EF3C14"/>
    <w:rsid w:val="794BEC69"/>
    <w:rsid w:val="79C43F02"/>
    <w:rsid w:val="79E28FA9"/>
    <w:rsid w:val="7A8988F3"/>
    <w:rsid w:val="7AA66EF9"/>
    <w:rsid w:val="7AAB1A80"/>
    <w:rsid w:val="7ACFE7E5"/>
    <w:rsid w:val="7BBC4EE2"/>
    <w:rsid w:val="7C088ABD"/>
    <w:rsid w:val="7C65EC74"/>
    <w:rsid w:val="7CB9BA4E"/>
    <w:rsid w:val="7CD11F5A"/>
    <w:rsid w:val="7D414087"/>
    <w:rsid w:val="7DF9F19B"/>
    <w:rsid w:val="7E50BF13"/>
    <w:rsid w:val="7F3BD3E2"/>
    <w:rsid w:val="7F76CD7A"/>
    <w:rsid w:val="7FCE63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2CAA5"/>
  <w15:chartTrackingRefBased/>
  <w15:docId w15:val="{6106B069-572F-4BD7-BD2F-BC2C7875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FD"/>
  </w:style>
  <w:style w:type="paragraph" w:styleId="Heading1">
    <w:name w:val="heading 1"/>
    <w:basedOn w:val="Normal"/>
    <w:next w:val="Normal"/>
    <w:link w:val="Heading1Char"/>
    <w:uiPriority w:val="9"/>
    <w:qFormat/>
    <w:rsid w:val="00D32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9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9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292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292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292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292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292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265"/>
    <w:rPr>
      <w:rFonts w:ascii="Tahoma" w:eastAsia="Times New Roman" w:hAnsi="Tahoma" w:cs="Tahoma"/>
      <w:kern w:val="0"/>
      <w:sz w:val="16"/>
      <w:szCs w:val="16"/>
      <w:lang w:val="en-IE"/>
      <w14:ligatures w14:val="none"/>
    </w:rPr>
  </w:style>
  <w:style w:type="character" w:customStyle="1" w:styleId="BalloonTextChar">
    <w:name w:val="Balloon Text Char"/>
    <w:basedOn w:val="DefaultParagraphFont"/>
    <w:link w:val="BalloonText"/>
    <w:uiPriority w:val="99"/>
    <w:semiHidden/>
    <w:rsid w:val="00252265"/>
    <w:rPr>
      <w:rFonts w:ascii="Tahoma" w:eastAsia="Times New Roman" w:hAnsi="Tahoma" w:cs="Tahoma"/>
      <w:kern w:val="0"/>
      <w:sz w:val="16"/>
      <w:szCs w:val="16"/>
      <w:lang w:val="en-IE"/>
      <w14:ligatures w14:val="none"/>
    </w:rPr>
  </w:style>
  <w:style w:type="character" w:customStyle="1" w:styleId="Heading1Char">
    <w:name w:val="Heading 1 Char"/>
    <w:basedOn w:val="DefaultParagraphFont"/>
    <w:link w:val="Heading1"/>
    <w:uiPriority w:val="9"/>
    <w:rsid w:val="00D32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92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92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292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29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29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29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29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29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92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9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29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2920"/>
    <w:rPr>
      <w:i/>
      <w:iCs/>
      <w:color w:val="404040" w:themeColor="text1" w:themeTint="BF"/>
    </w:rPr>
  </w:style>
  <w:style w:type="paragraph" w:styleId="ListParagraph">
    <w:name w:val="List Paragraph"/>
    <w:basedOn w:val="Normal"/>
    <w:uiPriority w:val="34"/>
    <w:qFormat/>
    <w:rsid w:val="00D32920"/>
    <w:pPr>
      <w:ind w:left="720"/>
      <w:contextualSpacing/>
    </w:pPr>
  </w:style>
  <w:style w:type="character" w:styleId="IntenseEmphasis">
    <w:name w:val="Intense Emphasis"/>
    <w:basedOn w:val="DefaultParagraphFont"/>
    <w:uiPriority w:val="21"/>
    <w:qFormat/>
    <w:rsid w:val="00D32920"/>
    <w:rPr>
      <w:i/>
      <w:iCs/>
      <w:color w:val="0F4761" w:themeColor="accent1" w:themeShade="BF"/>
    </w:rPr>
  </w:style>
  <w:style w:type="paragraph" w:styleId="IntenseQuote">
    <w:name w:val="Intense Quote"/>
    <w:basedOn w:val="Normal"/>
    <w:next w:val="Normal"/>
    <w:link w:val="IntenseQuoteChar"/>
    <w:uiPriority w:val="30"/>
    <w:qFormat/>
    <w:rsid w:val="00D32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920"/>
    <w:rPr>
      <w:i/>
      <w:iCs/>
      <w:color w:val="0F4761" w:themeColor="accent1" w:themeShade="BF"/>
    </w:rPr>
  </w:style>
  <w:style w:type="character" w:styleId="IntenseReference">
    <w:name w:val="Intense Reference"/>
    <w:basedOn w:val="DefaultParagraphFont"/>
    <w:uiPriority w:val="32"/>
    <w:qFormat/>
    <w:rsid w:val="00D32920"/>
    <w:rPr>
      <w:b/>
      <w:bCs/>
      <w:smallCaps/>
      <w:color w:val="0F4761" w:themeColor="accent1" w:themeShade="BF"/>
      <w:spacing w:val="5"/>
    </w:rPr>
  </w:style>
  <w:style w:type="character" w:customStyle="1" w:styleId="normaltextrun">
    <w:name w:val="normaltextrun"/>
    <w:basedOn w:val="DefaultParagraphFont"/>
    <w:rsid w:val="00435B0E"/>
  </w:style>
  <w:style w:type="table" w:styleId="TableGrid">
    <w:name w:val="Table Grid"/>
    <w:basedOn w:val="TableNormal"/>
    <w:uiPriority w:val="39"/>
    <w:rsid w:val="00906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6DD4"/>
  </w:style>
  <w:style w:type="character" w:customStyle="1" w:styleId="FootnoteTextChar">
    <w:name w:val="Footnote Text Char"/>
    <w:basedOn w:val="DefaultParagraphFont"/>
    <w:link w:val="FootnoteText"/>
    <w:uiPriority w:val="99"/>
    <w:semiHidden/>
    <w:rsid w:val="00906DD4"/>
  </w:style>
  <w:style w:type="character" w:styleId="FootnoteReference">
    <w:name w:val="footnote reference"/>
    <w:aliases w:val="16 Point,Superscript 6 Point,Ref,de nota al pie,Footnote Reference1,Ref1,de nota al pie1,註腳內容,de nota al pie + (Asian) MS Mincho,11 pt,Footnote text"/>
    <w:basedOn w:val="DefaultParagraphFont"/>
    <w:rsid w:val="00906DD4"/>
    <w:rPr>
      <w:vertAlign w:val="superscript"/>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32C22"/>
  </w:style>
  <w:style w:type="paragraph" w:styleId="Header">
    <w:name w:val="header"/>
    <w:basedOn w:val="Normal"/>
    <w:link w:val="HeaderChar"/>
    <w:uiPriority w:val="99"/>
    <w:semiHidden/>
    <w:unhideWhenUsed/>
    <w:rsid w:val="000D0629"/>
    <w:pPr>
      <w:tabs>
        <w:tab w:val="center" w:pos="4680"/>
        <w:tab w:val="right" w:pos="9360"/>
      </w:tabs>
    </w:pPr>
  </w:style>
  <w:style w:type="character" w:customStyle="1" w:styleId="HeaderChar">
    <w:name w:val="Header Char"/>
    <w:basedOn w:val="DefaultParagraphFont"/>
    <w:link w:val="Header"/>
    <w:uiPriority w:val="99"/>
    <w:semiHidden/>
    <w:rsid w:val="000D0629"/>
  </w:style>
  <w:style w:type="paragraph" w:styleId="Footer">
    <w:name w:val="footer"/>
    <w:basedOn w:val="Normal"/>
    <w:link w:val="FooterChar"/>
    <w:uiPriority w:val="99"/>
    <w:semiHidden/>
    <w:unhideWhenUsed/>
    <w:rsid w:val="000D0629"/>
    <w:pPr>
      <w:tabs>
        <w:tab w:val="center" w:pos="4680"/>
        <w:tab w:val="right" w:pos="9360"/>
      </w:tabs>
    </w:pPr>
  </w:style>
  <w:style w:type="character" w:customStyle="1" w:styleId="FooterChar">
    <w:name w:val="Footer Char"/>
    <w:basedOn w:val="DefaultParagraphFont"/>
    <w:link w:val="Footer"/>
    <w:uiPriority w:val="99"/>
    <w:semiHidden/>
    <w:rsid w:val="000D0629"/>
  </w:style>
  <w:style w:type="paragraph" w:styleId="CommentSubject">
    <w:name w:val="annotation subject"/>
    <w:basedOn w:val="CommentText"/>
    <w:next w:val="CommentText"/>
    <w:link w:val="CommentSubjectChar"/>
    <w:uiPriority w:val="99"/>
    <w:semiHidden/>
    <w:unhideWhenUsed/>
    <w:rsid w:val="00EE48F3"/>
    <w:rPr>
      <w:b/>
      <w:bCs/>
    </w:rPr>
  </w:style>
  <w:style w:type="character" w:customStyle="1" w:styleId="CommentSubjectChar">
    <w:name w:val="Comment Subject Char"/>
    <w:basedOn w:val="CommentTextChar"/>
    <w:link w:val="CommentSubject"/>
    <w:uiPriority w:val="99"/>
    <w:semiHidden/>
    <w:rsid w:val="00EE4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967939">
      <w:bodyDiv w:val="1"/>
      <w:marLeft w:val="0"/>
      <w:marRight w:val="0"/>
      <w:marTop w:val="0"/>
      <w:marBottom w:val="0"/>
      <w:divBdr>
        <w:top w:val="none" w:sz="0" w:space="0" w:color="auto"/>
        <w:left w:val="none" w:sz="0" w:space="0" w:color="auto"/>
        <w:bottom w:val="none" w:sz="0" w:space="0" w:color="auto"/>
        <w:right w:val="none" w:sz="0" w:space="0" w:color="auto"/>
      </w:divBdr>
    </w:div>
    <w:div w:id="19369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1B987699-DFFE-46E7-9205-E0EFE0341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4144E-F65A-4AAA-B96B-CA684B1C1B3D}">
  <ds:schemaRefs>
    <ds:schemaRef ds:uri="http://schemas.microsoft.com/sharepoint/v3/contenttype/forms"/>
  </ds:schemaRefs>
</ds:datastoreItem>
</file>

<file path=customXml/itemProps3.xml><?xml version="1.0" encoding="utf-8"?>
<ds:datastoreItem xmlns:ds="http://schemas.openxmlformats.org/officeDocument/2006/customXml" ds:itemID="{D8DA4F1E-35A8-4489-A79E-E57DBD230EDE}">
  <ds:schemaRefs>
    <ds:schemaRef ds:uri="ea6feb38-a85a-45e8-92e9-814486bbe375"/>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a05d7f75-f42e-4288-8809-604fd4d9691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3202</Words>
  <Characters>18252</Characters>
  <Application>Microsoft Office Word</Application>
  <DocSecurity>0</DocSecurity>
  <Lines>152</Lines>
  <Paragraphs>42</Paragraphs>
  <ScaleCrop>false</ScaleCrop>
  <Company>Defra</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Everatt, Matthew</dc:creator>
  <cp:keywords/>
  <dc:description/>
  <cp:lastModifiedBy>Everatt, Matthew</cp:lastModifiedBy>
  <cp:revision>72</cp:revision>
  <dcterms:created xsi:type="dcterms:W3CDTF">2025-01-28T18:21:00Z</dcterms:created>
  <dcterms:modified xsi:type="dcterms:W3CDTF">2025-01-29T07:11:00Z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