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3F74" w14:textId="5FF59016" w:rsidR="004E0E6D" w:rsidRPr="00DA6C57" w:rsidRDefault="004E0E6D" w:rsidP="00CB2842">
      <w:pPr>
        <w:pStyle w:val="IPPHeadSection"/>
        <w:spacing w:before="240"/>
        <w:jc w:val="center"/>
        <w:rPr>
          <w:rFonts w:cs="Times New Roman"/>
        </w:rPr>
      </w:pPr>
      <w:r w:rsidRPr="00DA6C57">
        <w:rPr>
          <w:rFonts w:cs="Times New Roman"/>
        </w:rPr>
        <w:t xml:space="preserve">Standard Setting Unit (SSU) </w:t>
      </w:r>
      <w:r w:rsidR="00E66A2F">
        <w:rPr>
          <w:rFonts w:cs="Times New Roman"/>
        </w:rPr>
        <w:t>2025</w:t>
      </w:r>
      <w:r w:rsidRPr="00DA6C57">
        <w:rPr>
          <w:rFonts w:cs="Times New Roman"/>
        </w:rPr>
        <w:t xml:space="preserve"> tentative work plan</w:t>
      </w:r>
    </w:p>
    <w:p w14:paraId="7A54025B" w14:textId="77777777" w:rsidR="004E0E6D" w:rsidRPr="00DA6C57" w:rsidRDefault="004E0E6D" w:rsidP="004E0E6D">
      <w:pPr>
        <w:jc w:val="center"/>
        <w:rPr>
          <w:rFonts w:ascii="Times New Roman" w:hAnsi="Times New Roman" w:cs="Times New Roman"/>
          <w:i/>
        </w:rPr>
      </w:pPr>
      <w:r w:rsidRPr="00DA6C57">
        <w:rPr>
          <w:rFonts w:ascii="Times New Roman" w:hAnsi="Times New Roman" w:cs="Times New Roman"/>
          <w:i/>
        </w:rPr>
        <w:t>(Prepared by the IPPC Secretariat)</w:t>
      </w:r>
    </w:p>
    <w:p w14:paraId="03EB4643" w14:textId="4F25F2FD" w:rsidR="004E0E6D" w:rsidRPr="00DA6C57" w:rsidRDefault="004E0E6D" w:rsidP="004E0E6D">
      <w:pPr>
        <w:pStyle w:val="IPPHeading1"/>
        <w:rPr>
          <w:rFonts w:cs="Times New Roman"/>
        </w:rPr>
      </w:pPr>
      <w:r w:rsidRPr="00DA6C57">
        <w:rPr>
          <w:rFonts w:cs="Times New Roman"/>
        </w:rPr>
        <w:t>Background</w:t>
      </w:r>
    </w:p>
    <w:p w14:paraId="73F32CB6" w14:textId="6186F503" w:rsidR="00DA51F4" w:rsidRPr="00BC4F7F" w:rsidRDefault="59072A5C" w:rsidP="00CB2842">
      <w:pPr>
        <w:pStyle w:val="IPPParagraphnumbering"/>
        <w:rPr>
          <w:rFonts w:cs="Times New Roman"/>
          <w:szCs w:val="22"/>
        </w:rPr>
      </w:pPr>
      <w:r w:rsidRPr="57FED0F0">
        <w:rPr>
          <w:rFonts w:cs="Times New Roman"/>
        </w:rPr>
        <w:t xml:space="preserve">This paper presents a </w:t>
      </w:r>
      <w:r w:rsidR="7548101A" w:rsidRPr="57FED0F0">
        <w:rPr>
          <w:rFonts w:eastAsia="Times New Roman" w:cs="Times New Roman"/>
        </w:rPr>
        <w:t xml:space="preserve">tentative work plan for </w:t>
      </w:r>
      <w:r w:rsidR="00E66A2F">
        <w:rPr>
          <w:rFonts w:eastAsia="Times New Roman" w:cs="Times New Roman"/>
        </w:rPr>
        <w:t>2025</w:t>
      </w:r>
      <w:r w:rsidR="7548101A" w:rsidRPr="57FED0F0">
        <w:rPr>
          <w:rFonts w:eastAsia="Times New Roman" w:cs="Times New Roman"/>
        </w:rPr>
        <w:t xml:space="preserve"> </w:t>
      </w:r>
      <w:r w:rsidRPr="57FED0F0">
        <w:rPr>
          <w:rFonts w:cs="Times New Roman"/>
        </w:rPr>
        <w:t xml:space="preserve">of the work of the Standard Setting Unit (SSU). The current SSU staff and their main areas of work are presented in the </w:t>
      </w:r>
      <w:hyperlink r:id="rId11">
        <w:r w:rsidRPr="57FED0F0">
          <w:rPr>
            <w:rStyle w:val="Hyperlink"/>
            <w:rFonts w:cs="Times New Roman"/>
          </w:rPr>
          <w:t>linked chart</w:t>
        </w:r>
      </w:hyperlink>
      <w:r w:rsidRPr="57FED0F0">
        <w:rPr>
          <w:rFonts w:cs="Times New Roman"/>
        </w:rPr>
        <w:t xml:space="preserve">. </w:t>
      </w:r>
    </w:p>
    <w:p w14:paraId="5307410B" w14:textId="27E4AA68" w:rsidR="004E0E6D" w:rsidRPr="00954901" w:rsidRDefault="59072A5C" w:rsidP="00954901">
      <w:pPr>
        <w:pStyle w:val="IPPParagraphnumbering"/>
        <w:rPr>
          <w:rFonts w:cs="Times New Roman"/>
        </w:rPr>
      </w:pPr>
      <w:r w:rsidRPr="00954901">
        <w:rPr>
          <w:rFonts w:cs="Times New Roman"/>
        </w:rPr>
        <w:t xml:space="preserve">A </w:t>
      </w:r>
      <w:r w:rsidR="7548101A" w:rsidRPr="00954901">
        <w:rPr>
          <w:rFonts w:cs="Times New Roman"/>
        </w:rPr>
        <w:t xml:space="preserve">tentative </w:t>
      </w:r>
      <w:r w:rsidRPr="00954901">
        <w:rPr>
          <w:rFonts w:cs="Times New Roman"/>
        </w:rPr>
        <w:t xml:space="preserve">work plan for the </w:t>
      </w:r>
      <w:r w:rsidR="00C803C8">
        <w:rPr>
          <w:rFonts w:cs="Times New Roman"/>
        </w:rPr>
        <w:t>2024</w:t>
      </w:r>
      <w:r w:rsidRPr="00954901">
        <w:rPr>
          <w:rFonts w:cs="Times New Roman"/>
        </w:rPr>
        <w:t xml:space="preserve"> year was presented to the Standards Committee (SC) in </w:t>
      </w:r>
      <w:r w:rsidR="7548101A" w:rsidRPr="00954901">
        <w:rPr>
          <w:rFonts w:cs="Times New Roman"/>
        </w:rPr>
        <w:t xml:space="preserve">November </w:t>
      </w:r>
      <w:r w:rsidR="00C803C8">
        <w:t>2023</w:t>
      </w:r>
      <w:r w:rsidRPr="00355EF8">
        <w:t xml:space="preserve"> in the paper </w:t>
      </w:r>
      <w:r w:rsidR="746BEB89" w:rsidRPr="00355EF8">
        <w:t>“</w:t>
      </w:r>
      <w:r w:rsidR="00802562">
        <w:t>19</w:t>
      </w:r>
      <w:r w:rsidR="0BD54CAF" w:rsidRPr="00355EF8">
        <w:t>_SC_</w:t>
      </w:r>
      <w:r w:rsidR="00802562">
        <w:t>2023</w:t>
      </w:r>
      <w:r w:rsidR="0BD54CAF" w:rsidRPr="00355EF8">
        <w:t>_Nov</w:t>
      </w:r>
      <w:r w:rsidR="746BEB89" w:rsidRPr="00355EF8">
        <w:t xml:space="preserve">” </w:t>
      </w:r>
      <w:r w:rsidRPr="00355EF8">
        <w:t>and</w:t>
      </w:r>
      <w:r w:rsidRPr="00954901">
        <w:rPr>
          <w:rFonts w:cs="Times New Roman"/>
        </w:rPr>
        <w:t xml:space="preserve"> is available on the </w:t>
      </w:r>
      <w:r w:rsidR="7548101A" w:rsidRPr="00954901">
        <w:rPr>
          <w:rFonts w:cs="Times New Roman"/>
        </w:rPr>
        <w:t>International Phytosanitary Portal (</w:t>
      </w:r>
      <w:r w:rsidRPr="00954901">
        <w:rPr>
          <w:rFonts w:cs="Times New Roman"/>
        </w:rPr>
        <w:t>IPP</w:t>
      </w:r>
      <w:r w:rsidR="7548101A" w:rsidRPr="00954901">
        <w:rPr>
          <w:rFonts w:cs="Times New Roman"/>
        </w:rPr>
        <w:t>)</w:t>
      </w:r>
      <w:r w:rsidR="00ED2290">
        <w:rPr>
          <w:rFonts w:cs="Times New Roman"/>
        </w:rPr>
        <w:t>.</w:t>
      </w:r>
      <w:r w:rsidR="004E0E6D" w:rsidRPr="00DA6C57">
        <w:rPr>
          <w:rStyle w:val="FootnoteReference"/>
          <w:rFonts w:cs="Times New Roman"/>
        </w:rPr>
        <w:footnoteReference w:id="2"/>
      </w:r>
    </w:p>
    <w:p w14:paraId="585737CF" w14:textId="25D65FC2" w:rsidR="00DA51F4" w:rsidRPr="00DA6C57" w:rsidRDefault="790DF6EF" w:rsidP="6FF706A8">
      <w:pPr>
        <w:pStyle w:val="IPPParagraphnumbering"/>
        <w:rPr>
          <w:rFonts w:eastAsia="Times New Roman" w:cs="Times New Roman"/>
        </w:rPr>
      </w:pPr>
      <w:r w:rsidRPr="57FED0F0">
        <w:rPr>
          <w:rFonts w:cs="Times New Roman"/>
        </w:rPr>
        <w:t xml:space="preserve">A tentative </w:t>
      </w:r>
      <w:r w:rsidR="009F422D">
        <w:rPr>
          <w:rFonts w:cs="Times New Roman"/>
        </w:rPr>
        <w:t>work</w:t>
      </w:r>
      <w:r w:rsidR="00C51913">
        <w:rPr>
          <w:rFonts w:cs="Times New Roman"/>
        </w:rPr>
        <w:t xml:space="preserve"> plan </w:t>
      </w:r>
      <w:r w:rsidRPr="57FED0F0">
        <w:rPr>
          <w:rFonts w:cs="Times New Roman"/>
        </w:rPr>
        <w:t xml:space="preserve">for </w:t>
      </w:r>
      <w:r w:rsidR="009676EA">
        <w:rPr>
          <w:rFonts w:cs="Times New Roman"/>
        </w:rPr>
        <w:t>2025</w:t>
      </w:r>
      <w:r w:rsidRPr="57FED0F0">
        <w:rPr>
          <w:rFonts w:cs="Times New Roman"/>
        </w:rPr>
        <w:t xml:space="preserve"> is provided in </w:t>
      </w:r>
      <w:r w:rsidRPr="57FED0F0">
        <w:rPr>
          <w:rFonts w:cs="Times New Roman"/>
          <w:u w:val="single"/>
        </w:rPr>
        <w:t>Annex 1</w:t>
      </w:r>
      <w:r w:rsidRPr="57FED0F0">
        <w:rPr>
          <w:rFonts w:cs="Times New Roman"/>
        </w:rPr>
        <w:t xml:space="preserve">. A tentative calendar is provided in </w:t>
      </w:r>
      <w:r w:rsidRPr="57FED0F0">
        <w:rPr>
          <w:rFonts w:cs="Times New Roman"/>
          <w:u w:val="single"/>
        </w:rPr>
        <w:t>Annex 2</w:t>
      </w:r>
      <w:r w:rsidRPr="57FED0F0">
        <w:rPr>
          <w:rFonts w:cs="Times New Roman"/>
        </w:rPr>
        <w:t>. A</w:t>
      </w:r>
      <w:r w:rsidR="061B6787" w:rsidRPr="57FED0F0">
        <w:rPr>
          <w:rFonts w:eastAsia="Times New Roman" w:cs="Times New Roman"/>
        </w:rPr>
        <w:t xml:space="preserve">fter the </w:t>
      </w:r>
      <w:r w:rsidRPr="57FED0F0">
        <w:rPr>
          <w:rFonts w:eastAsia="Times New Roman" w:cs="Times New Roman"/>
        </w:rPr>
        <w:t xml:space="preserve">November </w:t>
      </w:r>
      <w:r w:rsidR="00ED2290">
        <w:rPr>
          <w:rFonts w:eastAsia="Times New Roman" w:cs="Times New Roman"/>
        </w:rPr>
        <w:t xml:space="preserve">2024 </w:t>
      </w:r>
      <w:r w:rsidRPr="57FED0F0">
        <w:rPr>
          <w:rFonts w:eastAsia="Times New Roman" w:cs="Times New Roman"/>
        </w:rPr>
        <w:t>SC meeting, this document and its annexes will be made available on the IPP (</w:t>
      </w:r>
      <w:hyperlink r:id="rId12">
        <w:r w:rsidRPr="57FED0F0">
          <w:rPr>
            <w:rStyle w:val="Hyperlink"/>
            <w:rFonts w:eastAsia="Times New Roman" w:cs="Times New Roman"/>
          </w:rPr>
          <w:t>https://www.ippc.int/en/core-activities/standards-setting/</w:t>
        </w:r>
      </w:hyperlink>
      <w:r w:rsidRPr="57FED0F0">
        <w:rPr>
          <w:rFonts w:eastAsia="Times New Roman" w:cs="Times New Roman"/>
        </w:rPr>
        <w:t xml:space="preserve">). </w:t>
      </w:r>
    </w:p>
    <w:p w14:paraId="4131C23C" w14:textId="77777777" w:rsidR="00185AF8" w:rsidRPr="00185AF8" w:rsidRDefault="73991D8E" w:rsidP="0039793E">
      <w:pPr>
        <w:pStyle w:val="IPPParagraphnumbering"/>
        <w:spacing w:after="0"/>
        <w:rPr>
          <w:rFonts w:eastAsia="Times New Roman" w:cs="Times New Roman"/>
        </w:rPr>
      </w:pPr>
      <w:r w:rsidRPr="57FED0F0">
        <w:rPr>
          <w:rFonts w:eastAsia="Times New Roman" w:cs="Times New Roman"/>
        </w:rPr>
        <w:t>Besides providing support to the Standards Committee (SC) and its direct activities (</w:t>
      </w:r>
      <w:r w:rsidR="2A428342" w:rsidRPr="57FED0F0">
        <w:rPr>
          <w:rFonts w:eastAsia="Times New Roman" w:cs="Times New Roman"/>
        </w:rPr>
        <w:t>e.g.</w:t>
      </w:r>
      <w:r w:rsidRPr="57FED0F0">
        <w:rPr>
          <w:rFonts w:eastAsia="Times New Roman" w:cs="Times New Roman"/>
        </w:rPr>
        <w:t xml:space="preserve"> discussion papers, calls, e-decisions and meetings organization), the SSU also provides support to the overall management and activities of the </w:t>
      </w:r>
      <w:r w:rsidR="79C1CD20" w:rsidRPr="57FED0F0">
        <w:rPr>
          <w:rFonts w:eastAsia="Times New Roman" w:cs="Times New Roman"/>
        </w:rPr>
        <w:t xml:space="preserve">IPPC Technical Panels, </w:t>
      </w:r>
      <w:r w:rsidR="56893483" w:rsidRPr="57FED0F0">
        <w:rPr>
          <w:rFonts w:eastAsia="Times New Roman" w:cs="Times New Roman"/>
        </w:rPr>
        <w:t xml:space="preserve">some CPM focus groups, </w:t>
      </w:r>
      <w:r w:rsidR="4B8CBFC4" w:rsidRPr="57FED0F0">
        <w:rPr>
          <w:rFonts w:eastAsia="Times New Roman" w:cs="Times New Roman"/>
        </w:rPr>
        <w:t xml:space="preserve">liaison with FAO translation services, </w:t>
      </w:r>
      <w:r w:rsidR="79C1CD20" w:rsidRPr="57FED0F0">
        <w:rPr>
          <w:rFonts w:eastAsia="Times New Roman" w:cs="Times New Roman"/>
        </w:rPr>
        <w:t xml:space="preserve">and of the </w:t>
      </w:r>
      <w:r w:rsidRPr="57FED0F0">
        <w:rPr>
          <w:rFonts w:eastAsia="Times New Roman" w:cs="Times New Roman"/>
        </w:rPr>
        <w:t>IPPC Secretariat. The SSU also provides support to other IPPC subsidiary bodies (</w:t>
      </w:r>
      <w:r w:rsidR="2A428342" w:rsidRPr="57FED0F0">
        <w:rPr>
          <w:rFonts w:eastAsia="Times New Roman" w:cs="Times New Roman"/>
        </w:rPr>
        <w:t>e.g.</w:t>
      </w:r>
      <w:r w:rsidRPr="57FED0F0">
        <w:rPr>
          <w:rFonts w:eastAsia="Times New Roman" w:cs="Times New Roman"/>
        </w:rPr>
        <w:t xml:space="preserve"> CPM Bureau and Strategic Planning Group (SPG)</w:t>
      </w:r>
      <w:r w:rsidR="00481566" w:rsidRPr="57FED0F0">
        <w:rPr>
          <w:rFonts w:eastAsia="Times New Roman" w:cs="Times New Roman"/>
        </w:rPr>
        <w:t>) and</w:t>
      </w:r>
      <w:r w:rsidR="0EB6F597">
        <w:t xml:space="preserve"> continue</w:t>
      </w:r>
      <w:r w:rsidR="775788EF">
        <w:t>s</w:t>
      </w:r>
      <w:r>
        <w:t xml:space="preserve"> to </w:t>
      </w:r>
      <w:r w:rsidR="79C1CD20">
        <w:t xml:space="preserve">be the focal points for </w:t>
      </w:r>
      <w:r>
        <w:t>the activities related to</w:t>
      </w:r>
      <w:r w:rsidR="00EE069E">
        <w:t xml:space="preserve"> </w:t>
      </w:r>
      <w:r w:rsidR="49ED3F06">
        <w:t>two</w:t>
      </w:r>
      <w:r>
        <w:t xml:space="preserve"> development agenda items in the IPPC </w:t>
      </w:r>
      <w:r w:rsidR="2A428342">
        <w:t xml:space="preserve">Strategic Framework </w:t>
      </w:r>
      <w:r>
        <w:t>2020-2030: (1) commodity and pathways standards, (</w:t>
      </w:r>
      <w:r w:rsidR="42386CE6">
        <w:t>2</w:t>
      </w:r>
      <w:r>
        <w:t>) laboratory diagnostic networking.</w:t>
      </w:r>
      <w:r w:rsidR="00FB231F">
        <w:t xml:space="preserve"> </w:t>
      </w:r>
      <w:r>
        <w:t xml:space="preserve">The SSU members also represent IPPC Secretariat in different meetings organized by FAO and partners. </w:t>
      </w:r>
    </w:p>
    <w:p w14:paraId="17217005" w14:textId="648935B1" w:rsidR="00E87BDF" w:rsidRPr="00DA6C57" w:rsidRDefault="775788EF" w:rsidP="0039793E">
      <w:pPr>
        <w:pStyle w:val="IPPParagraphnumbering"/>
        <w:spacing w:after="0"/>
        <w:rPr>
          <w:rFonts w:eastAsia="Times New Roman" w:cs="Times New Roman"/>
        </w:rPr>
      </w:pPr>
      <w:r w:rsidRPr="57FED0F0">
        <w:rPr>
          <w:rFonts w:eastAsia="Times New Roman" w:cs="Times New Roman"/>
        </w:rPr>
        <w:t>I</w:t>
      </w:r>
      <w:r w:rsidR="790DF6EF" w:rsidRPr="57FED0F0">
        <w:rPr>
          <w:rFonts w:eastAsia="Times New Roman" w:cs="Times New Roman"/>
        </w:rPr>
        <w:t xml:space="preserve">t is </w:t>
      </w:r>
      <w:r w:rsidR="0EB6F597" w:rsidRPr="57FED0F0">
        <w:rPr>
          <w:rFonts w:eastAsia="Times New Roman" w:cs="Times New Roman"/>
        </w:rPr>
        <w:t>planned that</w:t>
      </w:r>
      <w:r w:rsidR="790DF6EF" w:rsidRPr="57FED0F0">
        <w:rPr>
          <w:rFonts w:eastAsia="Times New Roman" w:cs="Times New Roman"/>
        </w:rPr>
        <w:t xml:space="preserve"> the </w:t>
      </w:r>
      <w:r w:rsidR="00185AF8">
        <w:rPr>
          <w:rFonts w:eastAsia="Times New Roman" w:cs="Times New Roman"/>
        </w:rPr>
        <w:t>2025</w:t>
      </w:r>
      <w:r w:rsidR="790DF6EF" w:rsidRPr="57FED0F0">
        <w:rPr>
          <w:rFonts w:eastAsia="Times New Roman" w:cs="Times New Roman"/>
        </w:rPr>
        <w:t xml:space="preserve"> </w:t>
      </w:r>
      <w:r w:rsidR="4522D3D8" w:rsidRPr="57FED0F0">
        <w:rPr>
          <w:rFonts w:eastAsia="Times New Roman" w:cs="Times New Roman"/>
        </w:rPr>
        <w:t xml:space="preserve">SC </w:t>
      </w:r>
      <w:r w:rsidR="790DF6EF" w:rsidRPr="57FED0F0">
        <w:rPr>
          <w:rFonts w:eastAsia="Times New Roman" w:cs="Times New Roman"/>
        </w:rPr>
        <w:t>meetings</w:t>
      </w:r>
      <w:r w:rsidR="0EB6F597" w:rsidRPr="57FED0F0">
        <w:rPr>
          <w:rFonts w:eastAsia="Times New Roman" w:cs="Times New Roman"/>
        </w:rPr>
        <w:t xml:space="preserve"> </w:t>
      </w:r>
      <w:r w:rsidR="000517B7" w:rsidRPr="57FED0F0">
        <w:rPr>
          <w:rFonts w:eastAsia="Times New Roman" w:cs="Times New Roman"/>
        </w:rPr>
        <w:t>will take</w:t>
      </w:r>
      <w:r w:rsidR="790DF6EF" w:rsidRPr="57FED0F0">
        <w:rPr>
          <w:rFonts w:eastAsia="Times New Roman" w:cs="Times New Roman"/>
        </w:rPr>
        <w:t xml:space="preserve"> place </w:t>
      </w:r>
      <w:r w:rsidR="0EB6F597" w:rsidRPr="57FED0F0">
        <w:rPr>
          <w:rFonts w:eastAsia="Times New Roman" w:cs="Times New Roman"/>
        </w:rPr>
        <w:t>physically in FAO HQ</w:t>
      </w:r>
      <w:r w:rsidR="790DF6EF" w:rsidRPr="57FED0F0">
        <w:rPr>
          <w:rFonts w:eastAsia="Times New Roman" w:cs="Times New Roman"/>
        </w:rPr>
        <w:t>, on the pre-agreed dates of:</w:t>
      </w:r>
    </w:p>
    <w:p w14:paraId="0E1D5450" w14:textId="17F4F36A" w:rsidR="00E87BDF" w:rsidRPr="00DA6C57" w:rsidRDefault="6210C987" w:rsidP="0039793E">
      <w:pPr>
        <w:pStyle w:val="IPPBullet1"/>
        <w:spacing w:before="60" w:after="0"/>
      </w:pPr>
      <w:r w:rsidRPr="00DA6C57">
        <w:rPr>
          <w:b/>
        </w:rPr>
        <w:t>SC May:</w:t>
      </w:r>
      <w:r w:rsidRPr="00DA6C57">
        <w:t xml:space="preserve"> </w:t>
      </w:r>
      <w:r w:rsidR="0044552B">
        <w:t>12</w:t>
      </w:r>
      <w:r w:rsidRPr="00DA6C57">
        <w:t xml:space="preserve"> to </w:t>
      </w:r>
      <w:r w:rsidR="0044552B">
        <w:t>16</w:t>
      </w:r>
      <w:r w:rsidRPr="00DA6C57">
        <w:t xml:space="preserve"> May </w:t>
      </w:r>
      <w:r w:rsidR="0044552B">
        <w:t>2025</w:t>
      </w:r>
    </w:p>
    <w:p w14:paraId="42F7DD38" w14:textId="736E7251" w:rsidR="00E87BDF" w:rsidRPr="00DA6C57" w:rsidRDefault="6210C987" w:rsidP="0039793E">
      <w:pPr>
        <w:pStyle w:val="IPPBullet1"/>
        <w:spacing w:before="60" w:after="0"/>
      </w:pPr>
      <w:r w:rsidRPr="00DA6C57">
        <w:rPr>
          <w:b/>
        </w:rPr>
        <w:t xml:space="preserve">SC-7: </w:t>
      </w:r>
      <w:r w:rsidR="008C7B27">
        <w:t>19</w:t>
      </w:r>
      <w:r w:rsidRPr="00DA6C57">
        <w:t xml:space="preserve"> to </w:t>
      </w:r>
      <w:r w:rsidR="0059799C">
        <w:t>22</w:t>
      </w:r>
      <w:r w:rsidRPr="00DA6C57">
        <w:t xml:space="preserve"> May </w:t>
      </w:r>
      <w:r w:rsidR="008C7B27">
        <w:t>2025</w:t>
      </w:r>
      <w:r w:rsidRPr="00DA6C57">
        <w:t xml:space="preserve"> </w:t>
      </w:r>
    </w:p>
    <w:p w14:paraId="3058FC79" w14:textId="38945FB5" w:rsidR="00E87BDF" w:rsidRPr="00DA6C57" w:rsidRDefault="6210C987" w:rsidP="0039793E">
      <w:pPr>
        <w:pStyle w:val="IPPBullet1"/>
        <w:spacing w:before="60" w:after="0"/>
      </w:pPr>
      <w:r w:rsidRPr="00DA6C57">
        <w:rPr>
          <w:b/>
        </w:rPr>
        <w:t>SC November:</w:t>
      </w:r>
      <w:r w:rsidRPr="00DA6C57">
        <w:t xml:space="preserve"> </w:t>
      </w:r>
      <w:r w:rsidR="007E5014">
        <w:t>17</w:t>
      </w:r>
      <w:r w:rsidRPr="00DA6C57">
        <w:t xml:space="preserve"> to </w:t>
      </w:r>
      <w:r w:rsidR="007E5014">
        <w:t>21</w:t>
      </w:r>
      <w:r w:rsidRPr="00DA6C57">
        <w:t xml:space="preserve"> November </w:t>
      </w:r>
      <w:r w:rsidR="007E5014">
        <w:t>2025</w:t>
      </w:r>
      <w:r w:rsidRPr="00DA6C57">
        <w:t xml:space="preserve"> </w:t>
      </w:r>
    </w:p>
    <w:p w14:paraId="0E1AC4C7" w14:textId="2C244AFA" w:rsidR="004E0E6D" w:rsidRPr="00DA6C57" w:rsidRDefault="59072A5C" w:rsidP="003069E3">
      <w:pPr>
        <w:pStyle w:val="IPPParagraphnumbering"/>
        <w:rPr>
          <w:rFonts w:eastAsia="Times New Roman" w:cs="Times New Roman"/>
        </w:rPr>
      </w:pPr>
      <w:r w:rsidRPr="00DA6C57">
        <w:rPr>
          <w:rFonts w:eastAsia="Times New Roman" w:cs="Times New Roman"/>
        </w:rPr>
        <w:t xml:space="preserve">Pending decisions </w:t>
      </w:r>
      <w:r w:rsidR="5BC11660" w:rsidRPr="00DA6C57">
        <w:rPr>
          <w:rFonts w:eastAsia="Times New Roman" w:cs="Times New Roman"/>
        </w:rPr>
        <w:t xml:space="preserve">to be </w:t>
      </w:r>
      <w:r w:rsidRPr="00DA6C57">
        <w:rPr>
          <w:rFonts w:eastAsia="Times New Roman" w:cs="Times New Roman"/>
        </w:rPr>
        <w:t xml:space="preserve">taken by </w:t>
      </w:r>
      <w:r w:rsidR="10D23A27" w:rsidRPr="00DA6C57">
        <w:rPr>
          <w:rFonts w:eastAsia="Times New Roman" w:cs="Times New Roman"/>
        </w:rPr>
        <w:t xml:space="preserve">the </w:t>
      </w:r>
      <w:r w:rsidRPr="00DA6C57">
        <w:rPr>
          <w:rFonts w:eastAsia="Times New Roman" w:cs="Times New Roman"/>
        </w:rPr>
        <w:t xml:space="preserve">SC, the following </w:t>
      </w:r>
      <w:r w:rsidR="5BC11660" w:rsidRPr="00DA6C57">
        <w:rPr>
          <w:rFonts w:eastAsia="Times New Roman" w:cs="Times New Roman"/>
        </w:rPr>
        <w:t>draft ISPMs</w:t>
      </w:r>
      <w:r w:rsidRPr="00DA6C57">
        <w:rPr>
          <w:rFonts w:eastAsia="Times New Roman" w:cs="Times New Roman"/>
        </w:rPr>
        <w:t xml:space="preserve"> </w:t>
      </w:r>
      <w:r w:rsidR="5BC11660" w:rsidRPr="00DA6C57">
        <w:rPr>
          <w:rFonts w:eastAsia="Times New Roman" w:cs="Times New Roman"/>
        </w:rPr>
        <w:t xml:space="preserve">and documents </w:t>
      </w:r>
      <w:r w:rsidRPr="00DA6C57">
        <w:rPr>
          <w:rFonts w:eastAsia="Times New Roman" w:cs="Times New Roman"/>
        </w:rPr>
        <w:t xml:space="preserve">are planned to be presented for </w:t>
      </w:r>
      <w:r w:rsidR="68FABD9C" w:rsidRPr="00DA6C57">
        <w:rPr>
          <w:rFonts w:eastAsia="Times New Roman" w:cs="Times New Roman"/>
        </w:rPr>
        <w:t xml:space="preserve">adoption and </w:t>
      </w:r>
      <w:r w:rsidRPr="00DA6C57">
        <w:rPr>
          <w:rFonts w:eastAsia="Times New Roman" w:cs="Times New Roman"/>
        </w:rPr>
        <w:t>consultation</w:t>
      </w:r>
      <w:r w:rsidR="297BFE5A" w:rsidRPr="00DA6C57">
        <w:rPr>
          <w:rFonts w:eastAsia="Times New Roman" w:cs="Times New Roman"/>
        </w:rPr>
        <w:t xml:space="preserve"> </w:t>
      </w:r>
      <w:r w:rsidR="68FABD9C" w:rsidRPr="00DA6C57">
        <w:rPr>
          <w:rFonts w:eastAsia="Times New Roman" w:cs="Times New Roman"/>
        </w:rPr>
        <w:t>periods</w:t>
      </w:r>
      <w:r w:rsidR="297BFE5A" w:rsidRPr="00DA6C57">
        <w:rPr>
          <w:rFonts w:eastAsia="Times New Roman" w:cs="Times New Roman"/>
        </w:rPr>
        <w:t xml:space="preserve"> for 202</w:t>
      </w:r>
      <w:r w:rsidR="006D0612">
        <w:rPr>
          <w:rFonts w:eastAsia="Times New Roman" w:cs="Times New Roman"/>
        </w:rPr>
        <w:t>5</w:t>
      </w:r>
      <w:r w:rsidR="00ED2290">
        <w:rPr>
          <w:rFonts w:eastAsia="Times New Roman" w:cs="Times New Roman"/>
        </w:rPr>
        <w:t>.</w:t>
      </w:r>
      <w:r w:rsidR="00430D1A" w:rsidRPr="00DA6C57">
        <w:rPr>
          <w:rStyle w:val="FootnoteReference"/>
          <w:rFonts w:eastAsia="Times New Roman" w:cs="Times New Roman"/>
        </w:rPr>
        <w:footnoteReference w:id="3"/>
      </w:r>
    </w:p>
    <w:p w14:paraId="1C1378CA" w14:textId="473940B2" w:rsidR="00BE447A" w:rsidRPr="00DA6C57" w:rsidRDefault="6FF706A8" w:rsidP="003069E3">
      <w:pPr>
        <w:pStyle w:val="IPPParagraphnumbering"/>
        <w:numPr>
          <w:ilvl w:val="0"/>
          <w:numId w:val="0"/>
        </w:numPr>
        <w:rPr>
          <w:rStyle w:val="normaltextrun"/>
          <w:b/>
          <w:bCs/>
          <w:u w:val="single"/>
        </w:rPr>
      </w:pPr>
      <w:r w:rsidRPr="00DA6C57">
        <w:rPr>
          <w:rStyle w:val="normaltextrun"/>
          <w:b/>
          <w:bCs/>
          <w:u w:val="single"/>
        </w:rPr>
        <w:t>Adoption by CPM-</w:t>
      </w:r>
      <w:r w:rsidR="00B62181">
        <w:rPr>
          <w:rStyle w:val="normaltextrun"/>
          <w:b/>
          <w:bCs/>
          <w:u w:val="single"/>
        </w:rPr>
        <w:t>19</w:t>
      </w:r>
      <w:r w:rsidRPr="00DA6C57">
        <w:rPr>
          <w:rStyle w:val="normaltextrun"/>
          <w:b/>
          <w:bCs/>
          <w:u w:val="single"/>
        </w:rPr>
        <w:t xml:space="preserve"> (</w:t>
      </w:r>
      <w:r w:rsidR="00B62181">
        <w:rPr>
          <w:rStyle w:val="normaltextrun"/>
          <w:b/>
          <w:bCs/>
          <w:u w:val="single"/>
        </w:rPr>
        <w:t>2025</w:t>
      </w:r>
      <w:r w:rsidRPr="00DA6C57">
        <w:rPr>
          <w:rStyle w:val="normaltextrun"/>
          <w:b/>
          <w:bCs/>
          <w:u w:val="single"/>
        </w:rPr>
        <w:t>)</w:t>
      </w:r>
      <w:r w:rsidR="006E46A0">
        <w:rPr>
          <w:rStyle w:val="normaltextrun"/>
          <w:b/>
          <w:bCs/>
          <w:u w:val="single"/>
        </w:rPr>
        <w:t>:</w:t>
      </w:r>
    </w:p>
    <w:p w14:paraId="1A26449A" w14:textId="2D251F24" w:rsidR="00BE447A" w:rsidRPr="00DA6C57" w:rsidRDefault="790DF6EF" w:rsidP="003069E3">
      <w:pPr>
        <w:pStyle w:val="IPPParagraphnumbering"/>
        <w:rPr>
          <w:rFonts w:ascii="Calibri" w:hAnsi="Calibri" w:cs="Calibri"/>
        </w:rPr>
      </w:pPr>
      <w:r w:rsidRPr="57FED0F0">
        <w:rPr>
          <w:rStyle w:val="normaltextrun"/>
        </w:rPr>
        <w:t xml:space="preserve">It is foreseen that the following </w:t>
      </w:r>
      <w:r w:rsidR="4628FD99" w:rsidRPr="102BB9E8">
        <w:rPr>
          <w:rStyle w:val="normaltextrun"/>
        </w:rPr>
        <w:t xml:space="preserve">draft </w:t>
      </w:r>
      <w:r w:rsidRPr="57FED0F0">
        <w:rPr>
          <w:rStyle w:val="normaltextrun"/>
        </w:rPr>
        <w:t>ISPMs will be presented to the CPM-</w:t>
      </w:r>
      <w:r w:rsidR="00B62181">
        <w:rPr>
          <w:rStyle w:val="normaltextrun"/>
        </w:rPr>
        <w:t>19</w:t>
      </w:r>
      <w:r w:rsidRPr="57FED0F0">
        <w:rPr>
          <w:rStyle w:val="normaltextrun"/>
        </w:rPr>
        <w:t xml:space="preserve"> (</w:t>
      </w:r>
      <w:r w:rsidR="00B62181">
        <w:rPr>
          <w:rStyle w:val="normaltextrun"/>
        </w:rPr>
        <w:t>March</w:t>
      </w:r>
      <w:r w:rsidRPr="57FED0F0">
        <w:rPr>
          <w:rStyle w:val="normaltextrun"/>
        </w:rPr>
        <w:t xml:space="preserve"> </w:t>
      </w:r>
      <w:r w:rsidR="00B62181">
        <w:rPr>
          <w:rStyle w:val="normaltextrun"/>
        </w:rPr>
        <w:t>2025</w:t>
      </w:r>
      <w:r w:rsidRPr="57FED0F0">
        <w:rPr>
          <w:rStyle w:val="normaltextrun"/>
        </w:rPr>
        <w:t>) for adoption:</w:t>
      </w:r>
    </w:p>
    <w:p w14:paraId="014E2EC8" w14:textId="77777777" w:rsidR="00DB54B1" w:rsidRPr="00DB54B1" w:rsidRDefault="001E484D" w:rsidP="008C6F09">
      <w:pPr>
        <w:pStyle w:val="IPPBullet1"/>
        <w:numPr>
          <w:ilvl w:val="0"/>
          <w:numId w:val="0"/>
        </w:numPr>
        <w:ind w:left="450" w:hanging="360"/>
        <w:rPr>
          <w:rFonts w:ascii="Calibri" w:hAnsi="Calibri" w:cs="Calibri"/>
        </w:rPr>
      </w:pPr>
      <w:r w:rsidRPr="64AF8B6D">
        <w:rPr>
          <w:rStyle w:val="normaltextrun"/>
          <w:color w:val="000000" w:themeColor="text1"/>
          <w:u w:val="single"/>
        </w:rPr>
        <w:t>2</w:t>
      </w:r>
      <w:r w:rsidR="13E725B2" w:rsidRPr="64AF8B6D">
        <w:rPr>
          <w:rStyle w:val="normaltextrun"/>
          <w:color w:val="000000" w:themeColor="text1"/>
          <w:u w:val="single"/>
        </w:rPr>
        <w:t xml:space="preserve"> draft ISPMs</w:t>
      </w:r>
      <w:r w:rsidR="13E725B2" w:rsidRPr="64AF8B6D">
        <w:rPr>
          <w:rStyle w:val="normaltextrun"/>
          <w:color w:val="000000" w:themeColor="text1"/>
        </w:rPr>
        <w:t>:</w:t>
      </w:r>
    </w:p>
    <w:p w14:paraId="41A7306D" w14:textId="396B023F" w:rsidR="00DB54B1" w:rsidRPr="00DB54B1" w:rsidRDefault="001E484D" w:rsidP="00C364C1">
      <w:pPr>
        <w:pStyle w:val="IPPBullet1"/>
        <w:numPr>
          <w:ilvl w:val="1"/>
          <w:numId w:val="8"/>
        </w:numPr>
        <w:ind w:left="567" w:hanging="283"/>
        <w:rPr>
          <w:rStyle w:val="normaltextrun"/>
          <w:rFonts w:ascii="Calibri" w:hAnsi="Calibri" w:cs="Calibri"/>
        </w:rPr>
      </w:pPr>
      <w:r w:rsidRPr="64AF8B6D">
        <w:rPr>
          <w:rStyle w:val="normaltextrun"/>
          <w:color w:val="000000" w:themeColor="text1"/>
        </w:rPr>
        <w:t xml:space="preserve">Draft annex International movement of fresh </w:t>
      </w:r>
      <w:r w:rsidRPr="64AF8B6D">
        <w:rPr>
          <w:rStyle w:val="normaltextrun"/>
          <w:i/>
          <w:iCs/>
          <w:color w:val="000000" w:themeColor="text1"/>
        </w:rPr>
        <w:t>Mangifera indica</w:t>
      </w:r>
      <w:r w:rsidRPr="64AF8B6D">
        <w:rPr>
          <w:rStyle w:val="normaltextrun"/>
          <w:color w:val="000000" w:themeColor="text1"/>
        </w:rPr>
        <w:t xml:space="preserve"> fruit (2021-011) to ISPM 46 (</w:t>
      </w:r>
      <w:r w:rsidRPr="64AF8B6D">
        <w:rPr>
          <w:rStyle w:val="normaltextrun"/>
          <w:i/>
          <w:iCs/>
          <w:color w:val="000000" w:themeColor="text1"/>
        </w:rPr>
        <w:t>Commodity-specific standards for phytosanitary measures</w:t>
      </w:r>
      <w:r w:rsidRPr="64AF8B6D">
        <w:rPr>
          <w:rStyle w:val="normaltextrun"/>
          <w:color w:val="000000" w:themeColor="text1"/>
        </w:rPr>
        <w:t>)</w:t>
      </w:r>
      <w:r w:rsidR="00DB54B1">
        <w:rPr>
          <w:rStyle w:val="normaltextrun"/>
          <w:color w:val="000000" w:themeColor="text1"/>
        </w:rPr>
        <w:t>; and</w:t>
      </w:r>
    </w:p>
    <w:p w14:paraId="0E0D76E3" w14:textId="36F22DCA" w:rsidR="1AD8954E" w:rsidRPr="008C6F09" w:rsidRDefault="00C561D2" w:rsidP="00C364C1">
      <w:pPr>
        <w:pStyle w:val="IPPBullet1"/>
        <w:numPr>
          <w:ilvl w:val="1"/>
          <w:numId w:val="8"/>
        </w:numPr>
        <w:ind w:left="567" w:hanging="283"/>
        <w:rPr>
          <w:rStyle w:val="normaltextrun"/>
          <w:rFonts w:ascii="Calibri" w:hAnsi="Calibri" w:cs="Calibri"/>
        </w:rPr>
      </w:pPr>
      <w:r w:rsidRPr="64AF8B6D">
        <w:rPr>
          <w:rStyle w:val="normaltextrun"/>
          <w:color w:val="000000" w:themeColor="text1"/>
        </w:rPr>
        <w:t>Draft annex Use of systems approaches in managing the pest risk associated with the movement of wood (2015-004) to ISPM 39 (</w:t>
      </w:r>
      <w:r w:rsidRPr="64AF8B6D">
        <w:rPr>
          <w:rStyle w:val="normaltextrun"/>
          <w:i/>
          <w:iCs/>
          <w:color w:val="000000" w:themeColor="text1"/>
        </w:rPr>
        <w:t>International movement of wood</w:t>
      </w:r>
      <w:r w:rsidRPr="64AF8B6D">
        <w:rPr>
          <w:rStyle w:val="normaltextrun"/>
          <w:color w:val="000000" w:themeColor="text1"/>
        </w:rPr>
        <w:t>).</w:t>
      </w:r>
    </w:p>
    <w:p w14:paraId="00E77E9B" w14:textId="641C4388" w:rsidR="2596AD5D" w:rsidRDefault="2596AD5D" w:rsidP="00C364C1">
      <w:pPr>
        <w:pStyle w:val="IPPParagraphnumbering"/>
        <w:rPr>
          <w:rStyle w:val="normaltextrun"/>
          <w:b/>
          <w:bCs/>
          <w:u w:val="single"/>
        </w:rPr>
      </w:pPr>
      <w:r w:rsidRPr="1AD8954E">
        <w:rPr>
          <w:rStyle w:val="normaltextrun"/>
          <w:b/>
          <w:bCs/>
          <w:u w:val="single"/>
        </w:rPr>
        <w:t>3 diagnostic protocols adopted by the SC to CPM-19 for noting</w:t>
      </w:r>
      <w:r w:rsidR="58E9B891" w:rsidRPr="1AD8954E">
        <w:rPr>
          <w:rStyle w:val="normaltextrun"/>
          <w:b/>
          <w:bCs/>
          <w:u w:val="single"/>
        </w:rPr>
        <w:t xml:space="preserve"> (from the July – August 2024, 45 days DP notification period)</w:t>
      </w:r>
      <w:r w:rsidRPr="1AD8954E">
        <w:rPr>
          <w:rStyle w:val="normaltextrun"/>
          <w:b/>
          <w:bCs/>
          <w:u w:val="single"/>
        </w:rPr>
        <w:t xml:space="preserve">: </w:t>
      </w:r>
    </w:p>
    <w:p w14:paraId="443BF98F" w14:textId="0CFBACB4" w:rsidR="040BA886" w:rsidRPr="008C6F09" w:rsidRDefault="040BA886" w:rsidP="00C364C1">
      <w:pPr>
        <w:pStyle w:val="IPPBullet1"/>
        <w:numPr>
          <w:ilvl w:val="0"/>
          <w:numId w:val="15"/>
        </w:numPr>
        <w:rPr>
          <w:rStyle w:val="normaltextrun"/>
          <w:color w:val="000000" w:themeColor="text1"/>
        </w:rPr>
      </w:pPr>
      <w:r w:rsidRPr="008C6F09">
        <w:rPr>
          <w:rStyle w:val="normaltextrun"/>
          <w:color w:val="000000" w:themeColor="text1"/>
        </w:rPr>
        <w:t xml:space="preserve">Revision of DP 09 </w:t>
      </w:r>
      <w:r w:rsidRPr="008C6F09">
        <w:rPr>
          <w:rStyle w:val="normaltextrun"/>
          <w:i/>
          <w:iCs/>
          <w:color w:val="000000" w:themeColor="text1"/>
        </w:rPr>
        <w:t>Genus Anastrepha</w:t>
      </w:r>
      <w:r w:rsidRPr="008C6F09">
        <w:rPr>
          <w:rStyle w:val="normaltextrun"/>
          <w:color w:val="000000" w:themeColor="text1"/>
        </w:rPr>
        <w:t xml:space="preserve"> (2021-002)</w:t>
      </w:r>
    </w:p>
    <w:p w14:paraId="4E51F505" w14:textId="2E1D365B" w:rsidR="040BA886" w:rsidRPr="008C6F09" w:rsidRDefault="040BA886" w:rsidP="00C364C1">
      <w:pPr>
        <w:pStyle w:val="IPPBullet1"/>
        <w:numPr>
          <w:ilvl w:val="0"/>
          <w:numId w:val="15"/>
        </w:numPr>
        <w:rPr>
          <w:rStyle w:val="normaltextrun"/>
          <w:color w:val="000000" w:themeColor="text1"/>
        </w:rPr>
      </w:pPr>
      <w:r w:rsidRPr="008C6F09">
        <w:rPr>
          <w:rStyle w:val="normaltextrun"/>
          <w:color w:val="000000" w:themeColor="text1"/>
        </w:rPr>
        <w:t xml:space="preserve">Revision of DP 25 </w:t>
      </w:r>
      <w:r w:rsidRPr="008C6F09">
        <w:rPr>
          <w:rStyle w:val="normaltextrun"/>
          <w:i/>
          <w:iCs/>
          <w:color w:val="000000" w:themeColor="text1"/>
        </w:rPr>
        <w:t>Xylella fastidiosa</w:t>
      </w:r>
      <w:r w:rsidRPr="008C6F09">
        <w:rPr>
          <w:rStyle w:val="normaltextrun"/>
          <w:color w:val="000000" w:themeColor="text1"/>
        </w:rPr>
        <w:t xml:space="preserve"> (2021-003)</w:t>
      </w:r>
    </w:p>
    <w:p w14:paraId="1E24841F" w14:textId="19E9743A" w:rsidR="1AD8954E" w:rsidRPr="006C3230" w:rsidRDefault="040BA886" w:rsidP="00C364C1">
      <w:pPr>
        <w:pStyle w:val="IPPBullet1"/>
        <w:numPr>
          <w:ilvl w:val="0"/>
          <w:numId w:val="15"/>
        </w:numPr>
        <w:rPr>
          <w:rStyle w:val="normaltextrun"/>
          <w:color w:val="000000" w:themeColor="text1"/>
        </w:rPr>
      </w:pPr>
      <w:r w:rsidRPr="008C6F09">
        <w:rPr>
          <w:rStyle w:val="normaltextrun"/>
          <w:color w:val="000000" w:themeColor="text1"/>
        </w:rPr>
        <w:t xml:space="preserve">Revision of DP 27 </w:t>
      </w:r>
      <w:r w:rsidRPr="008C6F09">
        <w:rPr>
          <w:rStyle w:val="normaltextrun"/>
          <w:i/>
          <w:iCs/>
          <w:color w:val="000000" w:themeColor="text1"/>
        </w:rPr>
        <w:t>Ips spp</w:t>
      </w:r>
      <w:r w:rsidRPr="008C6F09">
        <w:rPr>
          <w:rStyle w:val="normaltextrun"/>
          <w:color w:val="000000" w:themeColor="text1"/>
        </w:rPr>
        <w:t>. (2021-004</w:t>
      </w:r>
      <w:r w:rsidR="008C6F09">
        <w:rPr>
          <w:rStyle w:val="normaltextrun"/>
          <w:color w:val="000000" w:themeColor="text1"/>
        </w:rPr>
        <w:t>)</w:t>
      </w:r>
    </w:p>
    <w:p w14:paraId="2F090423" w14:textId="66C8C8AC" w:rsidR="00327F04" w:rsidRPr="00F12BEB" w:rsidRDefault="3DC51E64" w:rsidP="00C364C1">
      <w:pPr>
        <w:pStyle w:val="IPPParagraphnumbering"/>
        <w:rPr>
          <w:rStyle w:val="normaltextrun"/>
          <w:b/>
          <w:bCs/>
          <w:u w:val="single"/>
        </w:rPr>
      </w:pPr>
      <w:r w:rsidRPr="2448B7D2">
        <w:rPr>
          <w:rStyle w:val="normaltextrun"/>
          <w:b/>
          <w:bCs/>
          <w:u w:val="single"/>
        </w:rPr>
        <w:lastRenderedPageBreak/>
        <w:t>Approval by CPM-19 (2025)</w:t>
      </w:r>
      <w:r w:rsidR="46C43FC8" w:rsidRPr="2448B7D2">
        <w:rPr>
          <w:rStyle w:val="normaltextrun"/>
          <w:b/>
          <w:bCs/>
          <w:u w:val="single"/>
        </w:rPr>
        <w:t xml:space="preserve"> (following review by CPM FG Safe</w:t>
      </w:r>
      <w:r w:rsidR="413B1FF5" w:rsidRPr="2448B7D2">
        <w:rPr>
          <w:rStyle w:val="normaltextrun"/>
          <w:b/>
          <w:bCs/>
          <w:u w:val="single"/>
        </w:rPr>
        <w:t xml:space="preserve"> Aid and SC November 2024)</w:t>
      </w:r>
      <w:r w:rsidRPr="2448B7D2">
        <w:rPr>
          <w:rStyle w:val="normaltextrun"/>
          <w:b/>
          <w:bCs/>
          <w:u w:val="single"/>
        </w:rPr>
        <w:t xml:space="preserve">: </w:t>
      </w:r>
    </w:p>
    <w:p w14:paraId="544A23E7" w14:textId="1CD7B2BC" w:rsidR="1AD8954E" w:rsidRDefault="07637857" w:rsidP="006C3230">
      <w:pPr>
        <w:pStyle w:val="IPPBullet1"/>
        <w:rPr>
          <w:rStyle w:val="normaltextrun"/>
          <w:color w:val="000000" w:themeColor="text1"/>
          <w:u w:val="single"/>
        </w:rPr>
      </w:pPr>
      <w:r w:rsidRPr="00133F87">
        <w:rPr>
          <w:rStyle w:val="normaltextrun"/>
          <w:u w:val="single"/>
        </w:rPr>
        <w:t>1 dr</w:t>
      </w:r>
      <w:r w:rsidRPr="00133F87">
        <w:rPr>
          <w:rStyle w:val="normaltextrun"/>
          <w:rFonts w:eastAsia="Times New Roman"/>
          <w:u w:val="single"/>
        </w:rPr>
        <w:t xml:space="preserve">aft Specification: </w:t>
      </w:r>
      <w:r w:rsidR="64CAF134" w:rsidRPr="00133F87">
        <w:rPr>
          <w:rStyle w:val="normaltextrun"/>
          <w:rFonts w:eastAsia="Times New Roman"/>
          <w:u w:val="single"/>
        </w:rPr>
        <w:t>Safe Provision of Food and Other Humanitarian Aid (2021-020)</w:t>
      </w:r>
    </w:p>
    <w:p w14:paraId="3B91D1BA" w14:textId="77777777" w:rsidR="006C3230" w:rsidRPr="006C3230" w:rsidRDefault="006C3230" w:rsidP="006C3230">
      <w:pPr>
        <w:pStyle w:val="IPPBullet1"/>
        <w:numPr>
          <w:ilvl w:val="0"/>
          <w:numId w:val="0"/>
        </w:numPr>
        <w:ind w:left="450"/>
        <w:rPr>
          <w:rStyle w:val="normaltextrun"/>
          <w:color w:val="000000" w:themeColor="text1"/>
          <w:u w:val="single"/>
        </w:rPr>
      </w:pPr>
    </w:p>
    <w:p w14:paraId="114AEA59" w14:textId="36E8F6D0" w:rsidR="00327F04" w:rsidRPr="00F12BEB" w:rsidRDefault="211D20FE" w:rsidP="00C364C1">
      <w:pPr>
        <w:pStyle w:val="IPPParagraphnumbering"/>
        <w:rPr>
          <w:b/>
          <w:bCs/>
          <w:u w:val="single"/>
        </w:rPr>
      </w:pPr>
      <w:r w:rsidRPr="00F12BEB">
        <w:rPr>
          <w:b/>
          <w:bCs/>
          <w:u w:val="single"/>
        </w:rPr>
        <w:t>Consultation period on draft Specifications</w:t>
      </w:r>
      <w:r w:rsidRPr="00F12BEB">
        <w:rPr>
          <w:b/>
          <w:bCs/>
        </w:rPr>
        <w:t xml:space="preserve"> (01 July to 30 </w:t>
      </w:r>
      <w:r w:rsidR="002D3E24" w:rsidRPr="00F12BEB">
        <w:rPr>
          <w:b/>
          <w:bCs/>
        </w:rPr>
        <w:t>September</w:t>
      </w:r>
      <w:r w:rsidRPr="00F12BEB">
        <w:rPr>
          <w:b/>
          <w:bCs/>
        </w:rPr>
        <w:t xml:space="preserve">, </w:t>
      </w:r>
      <w:r w:rsidR="00F12BEB" w:rsidRPr="00F12BEB">
        <w:rPr>
          <w:b/>
          <w:bCs/>
        </w:rPr>
        <w:t>90</w:t>
      </w:r>
      <w:r w:rsidRPr="00F12BEB">
        <w:rPr>
          <w:b/>
          <w:bCs/>
        </w:rPr>
        <w:t xml:space="preserve"> days)</w:t>
      </w:r>
    </w:p>
    <w:p w14:paraId="5782B6EC" w14:textId="7D912237" w:rsidR="00112AAB" w:rsidRDefault="008832BD" w:rsidP="003D405F">
      <w:pPr>
        <w:pStyle w:val="IPPBullet1"/>
      </w:pPr>
      <w:bookmarkStart w:id="0" w:name="_Hlk156912664"/>
      <w:r w:rsidRPr="008832BD">
        <w:t xml:space="preserve">Annex Remote audits to ISPM 47 (Audit in the phytosanitary context) - Priority 1 </w:t>
      </w:r>
      <w:r w:rsidR="003D405F">
        <w:t>(</w:t>
      </w:r>
      <w:r w:rsidR="00942F46">
        <w:t>TBD by</w:t>
      </w:r>
      <w:r w:rsidR="003D405F">
        <w:t xml:space="preserve"> SC)</w:t>
      </w:r>
    </w:p>
    <w:p w14:paraId="6634BD27" w14:textId="32916F0A" w:rsidR="008832BD" w:rsidRDefault="006B245E" w:rsidP="003D405F">
      <w:pPr>
        <w:pStyle w:val="IPPBullet1"/>
      </w:pPr>
      <w:r w:rsidRPr="006B245E">
        <w:t>Revision of ISPM 12 (Phytosanitary certificates) - Priority 1</w:t>
      </w:r>
      <w:r w:rsidR="00C45B5C">
        <w:t xml:space="preserve"> (TBD by SC)</w:t>
      </w:r>
    </w:p>
    <w:p w14:paraId="1ACB3C61" w14:textId="71169903" w:rsidR="00951A24" w:rsidRDefault="00C45B5C" w:rsidP="003D405F">
      <w:pPr>
        <w:pStyle w:val="IPPBullet1"/>
      </w:pPr>
      <w:r w:rsidRPr="00C45B5C">
        <w:t>Revision of ISPM 23 (Guidelines for inspection)- Priority 2</w:t>
      </w:r>
      <w:r>
        <w:t xml:space="preserve"> (TBD by SC)</w:t>
      </w:r>
    </w:p>
    <w:bookmarkEnd w:id="0"/>
    <w:p w14:paraId="147EB405" w14:textId="3405825C" w:rsidR="6FF706A8" w:rsidRPr="00A75256" w:rsidRDefault="790DF6EF" w:rsidP="112AC225">
      <w:pPr>
        <w:pStyle w:val="IPPParagraphnumbering"/>
        <w:rPr>
          <w:rFonts w:asciiTheme="minorHAnsi" w:eastAsiaTheme="minorEastAsia" w:hAnsiTheme="minorHAnsi"/>
          <w:b/>
          <w:bCs/>
        </w:rPr>
      </w:pPr>
      <w:r w:rsidRPr="00A75256">
        <w:rPr>
          <w:b/>
          <w:bCs/>
          <w:u w:val="single"/>
        </w:rPr>
        <w:t xml:space="preserve">Diagnostic Protocol Notification Period </w:t>
      </w:r>
      <w:r w:rsidR="00B62181">
        <w:rPr>
          <w:b/>
          <w:bCs/>
          <w:u w:val="single"/>
        </w:rPr>
        <w:t>2025</w:t>
      </w:r>
      <w:r w:rsidRPr="00A75256">
        <w:rPr>
          <w:b/>
          <w:bCs/>
        </w:rPr>
        <w:t xml:space="preserve"> (05 January- 20 February or 1 July – 15 August):</w:t>
      </w:r>
    </w:p>
    <w:p w14:paraId="03F0377D" w14:textId="25B15260" w:rsidR="005233BA" w:rsidRPr="008C6F09" w:rsidRDefault="00C50639" w:rsidP="00713D6B">
      <w:pPr>
        <w:pStyle w:val="IPPBullet1"/>
        <w:rPr>
          <w:lang w:val="fr-FR"/>
        </w:rPr>
      </w:pPr>
      <w:r w:rsidRPr="008C6F09">
        <w:rPr>
          <w:i/>
          <w:iCs/>
          <w:lang w:val="fr-FR"/>
        </w:rPr>
        <w:t>Genus Pospiviroid</w:t>
      </w:r>
      <w:r w:rsidRPr="008C6F09">
        <w:rPr>
          <w:lang w:val="fr-FR"/>
        </w:rPr>
        <w:t xml:space="preserve"> (2018-031</w:t>
      </w:r>
      <w:r w:rsidR="2485D2CA" w:rsidRPr="008C6F09">
        <w:rPr>
          <w:lang w:val="fr-FR"/>
        </w:rPr>
        <w:t>)</w:t>
      </w:r>
      <w:r w:rsidR="7E1A0846" w:rsidRPr="008C6F09">
        <w:rPr>
          <w:lang w:val="fr-FR"/>
        </w:rPr>
        <w:t>, except PSTVD (DP 07</w:t>
      </w:r>
      <w:r w:rsidRPr="008C6F09">
        <w:rPr>
          <w:lang w:val="fr-FR"/>
        </w:rPr>
        <w:t>)</w:t>
      </w:r>
    </w:p>
    <w:p w14:paraId="75F77747" w14:textId="72B079BB" w:rsidR="00C50639" w:rsidRDefault="003A6F87" w:rsidP="00713D6B">
      <w:pPr>
        <w:pStyle w:val="IPPBullet1"/>
      </w:pPr>
      <w:r w:rsidRPr="003444AF">
        <w:rPr>
          <w:i/>
        </w:rPr>
        <w:t>Heterobasidion annosum sensu lato</w:t>
      </w:r>
      <w:r w:rsidRPr="003444AF">
        <w:t xml:space="preserve"> (2021-015)</w:t>
      </w:r>
    </w:p>
    <w:p w14:paraId="36DE6A7A" w14:textId="075D26D3" w:rsidR="003A6F87" w:rsidRDefault="00226401" w:rsidP="00713D6B">
      <w:pPr>
        <w:pStyle w:val="IPPBullet1"/>
      </w:pPr>
      <w:r w:rsidRPr="003444AF">
        <w:rPr>
          <w:i/>
        </w:rPr>
        <w:t>Meloidogyne mali</w:t>
      </w:r>
      <w:r w:rsidRPr="003444AF">
        <w:t xml:space="preserve"> (2018-019)</w:t>
      </w:r>
    </w:p>
    <w:p w14:paraId="33FBD040" w14:textId="33D25820" w:rsidR="004E0E6D" w:rsidRPr="00DA6C57" w:rsidRDefault="790DF6EF" w:rsidP="00D63F21">
      <w:pPr>
        <w:pStyle w:val="IPPParagraphnumbering"/>
        <w:rPr>
          <w:b/>
          <w:bCs/>
        </w:rPr>
      </w:pPr>
      <w:r w:rsidRPr="57FED0F0">
        <w:rPr>
          <w:b/>
          <w:bCs/>
          <w:u w:val="single"/>
        </w:rPr>
        <w:t xml:space="preserve">First consultation </w:t>
      </w:r>
      <w:r w:rsidR="00B62181">
        <w:rPr>
          <w:b/>
          <w:bCs/>
          <w:u w:val="single"/>
        </w:rPr>
        <w:t>2025</w:t>
      </w:r>
      <w:r w:rsidRPr="57FED0F0">
        <w:rPr>
          <w:b/>
          <w:bCs/>
        </w:rPr>
        <w:t xml:space="preserve"> (01 July- 30 September. 90 days consultation period):</w:t>
      </w:r>
    </w:p>
    <w:p w14:paraId="209C56A6" w14:textId="6952DA0F" w:rsidR="00C61671" w:rsidRDefault="00041410" w:rsidP="00F7512B">
      <w:pPr>
        <w:pStyle w:val="IPPBullet1"/>
        <w:numPr>
          <w:ilvl w:val="0"/>
          <w:numId w:val="0"/>
        </w:numPr>
        <w:ind w:left="567" w:hanging="567"/>
      </w:pPr>
      <w:r>
        <w:rPr>
          <w:u w:val="single"/>
        </w:rPr>
        <w:t>D</w:t>
      </w:r>
      <w:r w:rsidR="004E0E6D" w:rsidRPr="00DA6C57">
        <w:rPr>
          <w:u w:val="single"/>
        </w:rPr>
        <w:t>raft ISPMs</w:t>
      </w:r>
      <w:r w:rsidR="004E0E6D" w:rsidRPr="00DA6C57">
        <w:t>:</w:t>
      </w:r>
      <w:r w:rsidR="00A90692" w:rsidRPr="00A90692">
        <w:tab/>
      </w:r>
    </w:p>
    <w:p w14:paraId="278A1B0B" w14:textId="412515D8" w:rsidR="62D8D853" w:rsidRDefault="00577D2C" w:rsidP="1AD8954E">
      <w:pPr>
        <w:pStyle w:val="IPPBullet1"/>
      </w:pPr>
      <w:r w:rsidRPr="00577D2C">
        <w:t>International movement of fresh taro (Colocasia esculenta) for consumption (2023-023)</w:t>
      </w:r>
    </w:p>
    <w:p w14:paraId="50E1230F" w14:textId="212EA74D" w:rsidR="00577D2C" w:rsidRDefault="0081411C" w:rsidP="1AD8954E">
      <w:pPr>
        <w:pStyle w:val="IPPBullet1"/>
      </w:pPr>
      <w:r w:rsidRPr="0081411C">
        <w:t>International movement of fresh banana (Musa paradisiaca) fruit (2023-028)</w:t>
      </w:r>
    </w:p>
    <w:p w14:paraId="0343AB45" w14:textId="15D4EC6C" w:rsidR="00F7512B" w:rsidRPr="002D397D" w:rsidRDefault="00E427DD" w:rsidP="00713D6B">
      <w:pPr>
        <w:pStyle w:val="IPPBullet1"/>
        <w:numPr>
          <w:ilvl w:val="0"/>
          <w:numId w:val="0"/>
        </w:numPr>
        <w:ind w:left="90"/>
      </w:pPr>
      <w:r w:rsidRPr="002D397D">
        <w:rPr>
          <w:u w:val="single"/>
        </w:rPr>
        <w:t>1</w:t>
      </w:r>
      <w:r w:rsidR="00642E5D" w:rsidRPr="002D397D">
        <w:rPr>
          <w:u w:val="single"/>
        </w:rPr>
        <w:t xml:space="preserve"> </w:t>
      </w:r>
      <w:r w:rsidR="00347343" w:rsidRPr="002D397D">
        <w:rPr>
          <w:u w:val="single"/>
        </w:rPr>
        <w:t>D</w:t>
      </w:r>
      <w:r w:rsidR="00F7512B" w:rsidRPr="002D397D">
        <w:rPr>
          <w:u w:val="single"/>
        </w:rPr>
        <w:t xml:space="preserve">raft </w:t>
      </w:r>
      <w:r w:rsidR="00347343" w:rsidRPr="002D397D">
        <w:rPr>
          <w:u w:val="single"/>
        </w:rPr>
        <w:t>P</w:t>
      </w:r>
      <w:r w:rsidR="00F7512B" w:rsidRPr="002D397D">
        <w:rPr>
          <w:u w:val="single"/>
        </w:rPr>
        <w:t xml:space="preserve">hytosanitary </w:t>
      </w:r>
      <w:r w:rsidR="00347343" w:rsidRPr="002D397D">
        <w:rPr>
          <w:u w:val="single"/>
        </w:rPr>
        <w:t>T</w:t>
      </w:r>
      <w:r w:rsidR="00F7512B" w:rsidRPr="002D397D">
        <w:rPr>
          <w:u w:val="single"/>
        </w:rPr>
        <w:t>reatment (PT)</w:t>
      </w:r>
      <w:r w:rsidR="00F7512B" w:rsidRPr="002D397D">
        <w:t xml:space="preserve">: </w:t>
      </w:r>
    </w:p>
    <w:p w14:paraId="7972126A" w14:textId="06A944CA" w:rsidR="007530E9" w:rsidRPr="002D397D" w:rsidRDefault="00D97783" w:rsidP="00B62181">
      <w:pPr>
        <w:pStyle w:val="IPPBullet1"/>
      </w:pPr>
      <w:r w:rsidRPr="002D397D">
        <w:rPr>
          <w:lang w:eastAsia="en-GB"/>
        </w:rPr>
        <w:t xml:space="preserve">Draft annex to ISPM 28: </w:t>
      </w:r>
      <w:r w:rsidR="00D00340" w:rsidRPr="002D397D">
        <w:rPr>
          <w:lang w:eastAsia="en-GB"/>
        </w:rPr>
        <w:t xml:space="preserve">Irradiation treatment for </w:t>
      </w:r>
      <w:r w:rsidR="00D00340" w:rsidRPr="002D397D">
        <w:rPr>
          <w:i/>
          <w:iCs/>
          <w:lang w:eastAsia="en-GB"/>
        </w:rPr>
        <w:t>Epiphyas postvittana</w:t>
      </w:r>
      <w:r w:rsidR="00D00340" w:rsidRPr="002D397D">
        <w:rPr>
          <w:lang w:eastAsia="en-GB"/>
        </w:rPr>
        <w:t xml:space="preserve"> (2017-018) – priority 1</w:t>
      </w:r>
    </w:p>
    <w:p w14:paraId="4A0F7D04" w14:textId="247EAE99" w:rsidR="00F7512B" w:rsidRPr="00DA6C57" w:rsidRDefault="5DC7F3F7" w:rsidP="008C6F09">
      <w:pPr>
        <w:pStyle w:val="IPPParagraphnumbering"/>
        <w:rPr>
          <w:b/>
          <w:bCs/>
        </w:rPr>
      </w:pPr>
      <w:r w:rsidRPr="1AD8954E">
        <w:rPr>
          <w:u w:val="single"/>
        </w:rPr>
        <w:t>4</w:t>
      </w:r>
      <w:r w:rsidR="00F774A9" w:rsidRPr="3E817326">
        <w:rPr>
          <w:u w:val="single"/>
        </w:rPr>
        <w:t xml:space="preserve"> </w:t>
      </w:r>
      <w:r w:rsidR="00347343">
        <w:rPr>
          <w:u w:val="single"/>
        </w:rPr>
        <w:t>D</w:t>
      </w:r>
      <w:r w:rsidR="00DA0A23" w:rsidRPr="3E817326">
        <w:rPr>
          <w:u w:val="single"/>
        </w:rPr>
        <w:t xml:space="preserve">raft </w:t>
      </w:r>
      <w:r w:rsidR="00347343">
        <w:rPr>
          <w:u w:val="single"/>
        </w:rPr>
        <w:t>D</w:t>
      </w:r>
      <w:r w:rsidR="00DA0A23" w:rsidRPr="3E817326">
        <w:rPr>
          <w:u w:val="single"/>
        </w:rPr>
        <w:t xml:space="preserve">iagnostic </w:t>
      </w:r>
      <w:r w:rsidR="00347343">
        <w:rPr>
          <w:u w:val="single"/>
        </w:rPr>
        <w:t>P</w:t>
      </w:r>
      <w:r w:rsidR="00DA0A23" w:rsidRPr="3E817326">
        <w:rPr>
          <w:u w:val="single"/>
        </w:rPr>
        <w:t>rotocols (DPs)</w:t>
      </w:r>
      <w:r w:rsidR="00DA0A23">
        <w:t>:</w:t>
      </w:r>
      <w:r w:rsidR="00430D1A">
        <w:t xml:space="preserve"> </w:t>
      </w:r>
      <w:r w:rsidR="346E2A49" w:rsidRPr="1AD8954E">
        <w:rPr>
          <w:b/>
          <w:bCs/>
        </w:rPr>
        <w:t xml:space="preserve"> (01 July- 30 September. 90 days consultation period):</w:t>
      </w:r>
    </w:p>
    <w:p w14:paraId="24465144" w14:textId="64FA86D2" w:rsidR="4B26AF08" w:rsidRPr="0045473B" w:rsidRDefault="1ABDE861" w:rsidP="1AD8954E">
      <w:pPr>
        <w:pStyle w:val="IPPBullet1"/>
        <w:rPr>
          <w:lang w:val="fr-FR" w:eastAsia="en-GB"/>
        </w:rPr>
      </w:pPr>
      <w:r w:rsidRPr="0045473B">
        <w:rPr>
          <w:i/>
          <w:iCs/>
          <w:lang w:val="fr-FR" w:eastAsia="en-GB"/>
        </w:rPr>
        <w:t>Drosophila suzukii (Diptera: Drosophilidae</w:t>
      </w:r>
      <w:r w:rsidRPr="0045473B">
        <w:rPr>
          <w:lang w:val="fr-FR" w:eastAsia="en-GB"/>
        </w:rPr>
        <w:t>) (2021-017), priority 1</w:t>
      </w:r>
    </w:p>
    <w:p w14:paraId="3DF0A8E1" w14:textId="2F5D7C5C" w:rsidR="74DCFC28" w:rsidRDefault="74DCFC28" w:rsidP="1AD8954E">
      <w:pPr>
        <w:pStyle w:val="IPPBullet1"/>
        <w:rPr>
          <w:lang w:eastAsia="en-GB"/>
        </w:rPr>
      </w:pPr>
      <w:hyperlink r:id="rId13" w:history="1">
        <w:r w:rsidRPr="0045473B">
          <w:rPr>
            <w:i/>
            <w:iCs/>
            <w:lang w:eastAsia="en-GB"/>
          </w:rPr>
          <w:t>Tephritidae</w:t>
        </w:r>
        <w:r w:rsidRPr="0045473B">
          <w:rPr>
            <w:lang w:eastAsia="en-GB"/>
          </w:rPr>
          <w:t>: Identification of immature stages of fruit flies of economic importance by molecular techniques</w:t>
        </w:r>
      </w:hyperlink>
      <w:r w:rsidRPr="0045473B">
        <w:rPr>
          <w:lang w:eastAsia="en-GB"/>
        </w:rPr>
        <w:t xml:space="preserve"> (2006- 028), priority 1</w:t>
      </w:r>
    </w:p>
    <w:p w14:paraId="5B02CD56" w14:textId="7A132032" w:rsidR="002D397D" w:rsidRPr="0045473B" w:rsidRDefault="7AD4B041" w:rsidP="1AD8954E">
      <w:pPr>
        <w:pStyle w:val="IPPBullet1"/>
        <w:rPr>
          <w:lang w:eastAsia="en-GB"/>
        </w:rPr>
      </w:pPr>
      <w:r w:rsidRPr="0045473B">
        <w:rPr>
          <w:i/>
          <w:iCs/>
          <w:lang w:eastAsia="en-GB"/>
        </w:rPr>
        <w:t>Dickeya spp.</w:t>
      </w:r>
      <w:r w:rsidRPr="0045473B">
        <w:rPr>
          <w:lang w:eastAsia="en-GB"/>
        </w:rPr>
        <w:t xml:space="preserve"> on potato (2021-013), priority 2</w:t>
      </w:r>
    </w:p>
    <w:p w14:paraId="17AAFCA8" w14:textId="54C2A49D" w:rsidR="002D397D" w:rsidRPr="0045473B" w:rsidRDefault="7AD4B041" w:rsidP="1AD8954E">
      <w:pPr>
        <w:pStyle w:val="IPPBullet1"/>
        <w:rPr>
          <w:lang w:eastAsia="en-GB"/>
        </w:rPr>
      </w:pPr>
      <w:r w:rsidRPr="0045473B">
        <w:rPr>
          <w:i/>
          <w:iCs/>
          <w:lang w:eastAsia="en-GB"/>
        </w:rPr>
        <w:t>Bactrocera zonata</w:t>
      </w:r>
      <w:r w:rsidRPr="0045473B">
        <w:rPr>
          <w:lang w:eastAsia="en-GB"/>
        </w:rPr>
        <w:t xml:space="preserve"> and </w:t>
      </w:r>
      <w:r w:rsidRPr="0045473B">
        <w:rPr>
          <w:i/>
          <w:iCs/>
          <w:lang w:eastAsia="en-GB"/>
        </w:rPr>
        <w:t>Bactrocera correcta</w:t>
      </w:r>
      <w:r w:rsidRPr="0045473B">
        <w:rPr>
          <w:lang w:eastAsia="en-GB"/>
        </w:rPr>
        <w:t xml:space="preserve"> (2021-013), priority 2</w:t>
      </w:r>
    </w:p>
    <w:p w14:paraId="02026AD3" w14:textId="346B7434" w:rsidR="00DA0A23" w:rsidRPr="00DA6C57" w:rsidRDefault="790DF6EF" w:rsidP="00D63F21">
      <w:pPr>
        <w:pStyle w:val="IPPParagraphnumbering"/>
        <w:rPr>
          <w:b/>
          <w:bCs/>
        </w:rPr>
      </w:pPr>
      <w:r w:rsidRPr="57FED0F0">
        <w:rPr>
          <w:b/>
          <w:bCs/>
          <w:u w:val="single"/>
        </w:rPr>
        <w:t xml:space="preserve">Second consultation </w:t>
      </w:r>
      <w:r w:rsidR="002D397D">
        <w:rPr>
          <w:b/>
          <w:bCs/>
          <w:u w:val="single"/>
        </w:rPr>
        <w:t>2025</w:t>
      </w:r>
      <w:r w:rsidR="71F3E4D7" w:rsidRPr="57FED0F0">
        <w:rPr>
          <w:b/>
          <w:bCs/>
        </w:rPr>
        <w:t xml:space="preserve"> </w:t>
      </w:r>
      <w:r w:rsidRPr="57FED0F0">
        <w:rPr>
          <w:b/>
          <w:bCs/>
        </w:rPr>
        <w:t>(01 July – 30 September. 90 days consultation period):</w:t>
      </w:r>
    </w:p>
    <w:p w14:paraId="5C9946AF" w14:textId="63015BAB" w:rsidR="00F7512B" w:rsidRPr="00DA6C57" w:rsidRDefault="00FE1316" w:rsidP="273A1107">
      <w:pPr>
        <w:pStyle w:val="IPPBullet1"/>
        <w:numPr>
          <w:ilvl w:val="0"/>
          <w:numId w:val="0"/>
        </w:numPr>
        <w:ind w:left="567" w:hanging="567"/>
        <w:rPr>
          <w:rFonts w:asciiTheme="minorHAnsi" w:eastAsiaTheme="minorEastAsia" w:hAnsiTheme="minorHAnsi"/>
        </w:rPr>
      </w:pPr>
      <w:r>
        <w:rPr>
          <w:color w:val="000000" w:themeColor="text1"/>
          <w:u w:val="single"/>
        </w:rPr>
        <w:t>3</w:t>
      </w:r>
      <w:r w:rsidR="00DF61A3" w:rsidRPr="00DA6C57">
        <w:rPr>
          <w:color w:val="000000" w:themeColor="text1"/>
          <w:u w:val="single"/>
        </w:rPr>
        <w:t xml:space="preserve"> </w:t>
      </w:r>
      <w:r w:rsidR="00347343">
        <w:rPr>
          <w:color w:val="000000" w:themeColor="text1"/>
          <w:u w:val="single"/>
        </w:rPr>
        <w:t>D</w:t>
      </w:r>
      <w:r w:rsidR="77296DE2" w:rsidRPr="00DA6C57">
        <w:rPr>
          <w:color w:val="000000" w:themeColor="text1"/>
          <w:u w:val="single"/>
        </w:rPr>
        <w:t>raft ISPMs</w:t>
      </w:r>
      <w:r w:rsidR="77296DE2" w:rsidRPr="00DA6C57">
        <w:rPr>
          <w:color w:val="000000" w:themeColor="text1"/>
        </w:rPr>
        <w:t xml:space="preserve">: </w:t>
      </w:r>
    </w:p>
    <w:p w14:paraId="24338E9E" w14:textId="77777777" w:rsidR="00FE1316" w:rsidRDefault="00FE1316" w:rsidP="00FE1316">
      <w:pPr>
        <w:pStyle w:val="IPPBullet1"/>
      </w:pPr>
      <w:bookmarkStart w:id="1" w:name="_Hlk177646885"/>
      <w:r>
        <w:t>Draft revision of ISPM 26 (</w:t>
      </w:r>
      <w:r w:rsidRPr="00FE1316">
        <w:rPr>
          <w:i/>
          <w:iCs/>
        </w:rPr>
        <w:t>Establishment and maintenance of pest free areas for fruit flies (Tephritidae)</w:t>
      </w:r>
      <w:r>
        <w:t>) (2021-010);</w:t>
      </w:r>
    </w:p>
    <w:p w14:paraId="68F3057C" w14:textId="77467ACC" w:rsidR="00FE1316" w:rsidRDefault="00FE1316" w:rsidP="00FE1316">
      <w:pPr>
        <w:pStyle w:val="IPPBullet1"/>
      </w:pPr>
      <w:r>
        <w:t>Draft annex to ISPM 23 (</w:t>
      </w:r>
      <w:r w:rsidRPr="00FE1316">
        <w:rPr>
          <w:i/>
          <w:iCs/>
        </w:rPr>
        <w:t>Guidelines for inspection</w:t>
      </w:r>
      <w:r>
        <w:t>) on field inspection (2021-018);</w:t>
      </w:r>
      <w:r w:rsidR="752376AD">
        <w:t xml:space="preserve"> and</w:t>
      </w:r>
    </w:p>
    <w:p w14:paraId="6B133D42" w14:textId="6D9C6BA5" w:rsidR="00483E12" w:rsidRDefault="00FE1316" w:rsidP="00FE1316">
      <w:pPr>
        <w:pStyle w:val="IPPBullet1"/>
      </w:pPr>
      <w:r>
        <w:t>Draft annex to ISPM 38 (</w:t>
      </w:r>
      <w:r w:rsidRPr="00FE1316">
        <w:rPr>
          <w:i/>
          <w:iCs/>
        </w:rPr>
        <w:t>International movement of seeds</w:t>
      </w:r>
      <w:r>
        <w:t>) on the design and use of systems approaches for the phytosanitary certification of seeds. (2018-009).</w:t>
      </w:r>
      <w:bookmarkEnd w:id="1"/>
    </w:p>
    <w:p w14:paraId="7EB3098E" w14:textId="462695B3" w:rsidR="00505369" w:rsidRPr="00505369" w:rsidRDefault="00535F54" w:rsidP="007138E0">
      <w:pPr>
        <w:pStyle w:val="IPPParagraphnumbering"/>
        <w:rPr>
          <w:u w:val="single"/>
        </w:rPr>
      </w:pPr>
      <w:r w:rsidRPr="00505369">
        <w:rPr>
          <w:u w:val="single"/>
        </w:rPr>
        <w:t>Draft</w:t>
      </w:r>
      <w:r w:rsidR="00505369" w:rsidRPr="00505369">
        <w:rPr>
          <w:u w:val="single"/>
        </w:rPr>
        <w:t xml:space="preserve"> Phytosanitary Treatments (PTs): </w:t>
      </w:r>
    </w:p>
    <w:p w14:paraId="4F06F06F" w14:textId="3AA61E3C" w:rsidR="03A7FEEC" w:rsidRPr="008C6F09" w:rsidRDefault="03A7FEEC" w:rsidP="008C6F09">
      <w:pPr>
        <w:pStyle w:val="IPPBullet1"/>
      </w:pPr>
      <w:r w:rsidRPr="008C6F09">
        <w:t xml:space="preserve">Draft annex to ISPM 28: Combination of irradiation and modified atmosphere treatment for </w:t>
      </w:r>
      <w:r w:rsidRPr="008C6F09">
        <w:rPr>
          <w:i/>
          <w:iCs/>
        </w:rPr>
        <w:t>Trogoderma granarium</w:t>
      </w:r>
      <w:r w:rsidRPr="008C6F09">
        <w:t xml:space="preserve"> (2023-032)</w:t>
      </w:r>
    </w:p>
    <w:p w14:paraId="05341FC3" w14:textId="40FBF02A" w:rsidR="03A7FEEC" w:rsidRPr="008C6F09" w:rsidRDefault="03A7FEEC" w:rsidP="008C6F09">
      <w:pPr>
        <w:pStyle w:val="IPPBullet1"/>
      </w:pPr>
      <w:r w:rsidRPr="008C6F09">
        <w:t xml:space="preserve">Draft annex to ISPM 28: Irradiation treatment for </w:t>
      </w:r>
      <w:r w:rsidRPr="008C6F09">
        <w:rPr>
          <w:i/>
          <w:iCs/>
        </w:rPr>
        <w:t>Pseudococcus baliteus</w:t>
      </w:r>
      <w:r w:rsidRPr="008C6F09">
        <w:t xml:space="preserve"> (2023-033)</w:t>
      </w:r>
    </w:p>
    <w:p w14:paraId="613921A6" w14:textId="5A85B8E9" w:rsidR="03A7FEEC" w:rsidRDefault="03A7FEEC" w:rsidP="008C6F09">
      <w:pPr>
        <w:pStyle w:val="IPPBullet1"/>
      </w:pPr>
      <w:r w:rsidRPr="008C6F09">
        <w:t xml:space="preserve">Draft annex to ISPM 28: Irradiation treatment for </w:t>
      </w:r>
      <w:r w:rsidRPr="008C6F09">
        <w:rPr>
          <w:i/>
          <w:iCs/>
        </w:rPr>
        <w:t xml:space="preserve">Paracoccus marginatus </w:t>
      </w:r>
      <w:r w:rsidRPr="008C6F09">
        <w:t>(2023-034)</w:t>
      </w:r>
    </w:p>
    <w:p w14:paraId="703B2C82" w14:textId="1B30CE66" w:rsidR="007D43FC" w:rsidRPr="008C6F09" w:rsidRDefault="03A7FEEC" w:rsidP="2448B7D2">
      <w:pPr>
        <w:pStyle w:val="IPPBullet1"/>
      </w:pPr>
      <w:r w:rsidRPr="008C6F09">
        <w:t xml:space="preserve">Draft annex to ISPM 28: Irradiation treatment for </w:t>
      </w:r>
      <w:r w:rsidRPr="008C6F09">
        <w:rPr>
          <w:i/>
          <w:iCs/>
        </w:rPr>
        <w:t>Planococuss lilacinus</w:t>
      </w:r>
      <w:r w:rsidRPr="008C6F09">
        <w:t xml:space="preserve"> (2023-035)</w:t>
      </w:r>
    </w:p>
    <w:p w14:paraId="26662163" w14:textId="15800570" w:rsidR="00430D1A" w:rsidRPr="00DA6C57" w:rsidRDefault="790DF6EF" w:rsidP="00327F04">
      <w:pPr>
        <w:pStyle w:val="IPPParagraphnumbering"/>
        <w:keepNext/>
        <w:ind w:hanging="475"/>
        <w:rPr>
          <w:b/>
          <w:bCs/>
        </w:rPr>
      </w:pPr>
      <w:r w:rsidRPr="57FED0F0">
        <w:rPr>
          <w:b/>
          <w:bCs/>
        </w:rPr>
        <w:t xml:space="preserve">Planned meetings for </w:t>
      </w:r>
      <w:r w:rsidR="00103126">
        <w:rPr>
          <w:b/>
          <w:bCs/>
        </w:rPr>
        <w:t>2025</w:t>
      </w:r>
      <w:r w:rsidR="006E46A0">
        <w:rPr>
          <w:b/>
          <w:bCs/>
        </w:rPr>
        <w:t>:</w:t>
      </w:r>
    </w:p>
    <w:p w14:paraId="7E3B9CDF" w14:textId="5ED8CD0D" w:rsidR="00DB3BA7" w:rsidRPr="00DA6C57" w:rsidRDefault="5967E990" w:rsidP="006E34FC">
      <w:pPr>
        <w:pStyle w:val="IPPBullet1"/>
      </w:pPr>
      <w:r>
        <w:t>SC May, SC-7 and SC November</w:t>
      </w:r>
      <w:r w:rsidR="619F4107">
        <w:t xml:space="preserve">, </w:t>
      </w:r>
      <w:r>
        <w:t>Technical panels:</w:t>
      </w:r>
    </w:p>
    <w:p w14:paraId="37BC264F" w14:textId="0AC5E5AC" w:rsidR="00430D1A" w:rsidRPr="00DA6C57" w:rsidRDefault="297BFE5A" w:rsidP="00C364C1">
      <w:pPr>
        <w:pStyle w:val="IPPBullet1"/>
        <w:numPr>
          <w:ilvl w:val="1"/>
          <w:numId w:val="8"/>
        </w:numPr>
      </w:pPr>
      <w:r>
        <w:t>Technical Panel on Diagnostic Protocols (TPDP)</w:t>
      </w:r>
      <w:r w:rsidR="6054F5D3">
        <w:t xml:space="preserve">: Tentative October/November </w:t>
      </w:r>
      <w:r w:rsidR="005E6A49">
        <w:t>2025</w:t>
      </w:r>
    </w:p>
    <w:p w14:paraId="481677DF" w14:textId="65089CCC" w:rsidR="00430D1A" w:rsidRPr="00DA6C57" w:rsidRDefault="00430D1A" w:rsidP="00C364C1">
      <w:pPr>
        <w:pStyle w:val="IPPBullet1"/>
        <w:numPr>
          <w:ilvl w:val="1"/>
          <w:numId w:val="8"/>
        </w:numPr>
      </w:pPr>
      <w:r w:rsidRPr="00DA6C57">
        <w:t>Technical Panel on Phytosanitary Treatments (TPPT)</w:t>
      </w:r>
      <w:r w:rsidR="0026183A">
        <w:t>: Tentative</w:t>
      </w:r>
      <w:r w:rsidR="00E4395E">
        <w:t xml:space="preserve"> June 2025</w:t>
      </w:r>
    </w:p>
    <w:p w14:paraId="21017151" w14:textId="3AE1C990" w:rsidR="00430D1A" w:rsidRPr="00DA6C57" w:rsidRDefault="00430D1A" w:rsidP="00C364C1">
      <w:pPr>
        <w:pStyle w:val="IPPBullet1"/>
        <w:numPr>
          <w:ilvl w:val="1"/>
          <w:numId w:val="8"/>
        </w:numPr>
      </w:pPr>
      <w:r w:rsidRPr="00DA6C57">
        <w:t>Technical Panel for the Glossary (TPG)</w:t>
      </w:r>
      <w:r w:rsidR="0026183A">
        <w:t xml:space="preserve">: </w:t>
      </w:r>
      <w:r w:rsidR="00515A1E">
        <w:t xml:space="preserve">Tentative December </w:t>
      </w:r>
      <w:r w:rsidR="005E6A49">
        <w:t>2025</w:t>
      </w:r>
    </w:p>
    <w:p w14:paraId="7540BAE9" w14:textId="4FB9C72F" w:rsidR="003D2B42" w:rsidRPr="0015129B" w:rsidRDefault="7478C50E">
      <w:pPr>
        <w:pStyle w:val="IPPBullet1"/>
        <w:rPr>
          <w:rStyle w:val="normaltextrun"/>
        </w:rPr>
      </w:pPr>
      <w:r>
        <w:t xml:space="preserve">Technical Panel </w:t>
      </w:r>
      <w:r w:rsidR="503605E6">
        <w:t xml:space="preserve">on </w:t>
      </w:r>
      <w:r>
        <w:t>Commodity Standards (TPCS)</w:t>
      </w:r>
      <w:r w:rsidR="0026183A">
        <w:t>: Tentative</w:t>
      </w:r>
      <w:r w:rsidR="27CEE801">
        <w:t xml:space="preserve">: </w:t>
      </w:r>
      <w:r w:rsidR="007D43FC">
        <w:t>June</w:t>
      </w:r>
      <w:r w:rsidR="008E266E">
        <w:t xml:space="preserve"> and </w:t>
      </w:r>
      <w:r w:rsidR="005E6A49">
        <w:t>December 2025</w:t>
      </w:r>
      <w:r w:rsidR="45756271">
        <w:t>)</w:t>
      </w:r>
    </w:p>
    <w:p w14:paraId="1E55EFD2" w14:textId="1DEF185F" w:rsidR="009F341C" w:rsidRPr="003A0D7C" w:rsidRDefault="009F341C" w:rsidP="00C364C1">
      <w:pPr>
        <w:pStyle w:val="IPPBullet1"/>
        <w:numPr>
          <w:ilvl w:val="0"/>
          <w:numId w:val="11"/>
        </w:numPr>
        <w:ind w:left="450"/>
        <w:rPr>
          <w:rStyle w:val="normaltextrun"/>
          <w:szCs w:val="22"/>
        </w:rPr>
      </w:pPr>
      <w:r w:rsidRPr="00F06379">
        <w:rPr>
          <w:rStyle w:val="normaltextrun"/>
          <w:b/>
          <w:bCs/>
          <w:color w:val="000000" w:themeColor="text1"/>
          <w:szCs w:val="22"/>
        </w:rPr>
        <w:lastRenderedPageBreak/>
        <w:t>EWG</w:t>
      </w:r>
    </w:p>
    <w:p w14:paraId="26B218AE" w14:textId="134B858B" w:rsidR="1AD8954E" w:rsidRPr="00922612" w:rsidRDefault="004711B8" w:rsidP="00C364C1">
      <w:pPr>
        <w:pStyle w:val="ListParagraph"/>
        <w:numPr>
          <w:ilvl w:val="1"/>
          <w:numId w:val="8"/>
        </w:numPr>
        <w:ind w:leftChars="0"/>
        <w:rPr>
          <w:rStyle w:val="normaltextrun"/>
          <w:rFonts w:eastAsia="Times"/>
          <w:color w:val="000000" w:themeColor="text1"/>
          <w:u w:val="single"/>
        </w:rPr>
      </w:pPr>
      <w:r w:rsidRPr="004711B8">
        <w:rPr>
          <w:rFonts w:ascii="Times New Roman" w:eastAsia="Times" w:hAnsi="Times New Roman" w:cs="Times New Roman"/>
          <w:sz w:val="22"/>
          <w:szCs w:val="22"/>
          <w:lang w:val="en-US" w:eastAsia="en-US"/>
        </w:rPr>
        <w:t>Draft specification on revision of the draft reorganized pest risk analysis ISPM (2023-037)</w:t>
      </w:r>
    </w:p>
    <w:p w14:paraId="2A44FE85" w14:textId="3463460F" w:rsidR="743D4977" w:rsidRDefault="743D4977" w:rsidP="1AD8954E">
      <w:pPr>
        <w:pStyle w:val="IPPBullet1"/>
        <w:rPr>
          <w:rStyle w:val="normaltextrun"/>
        </w:rPr>
      </w:pPr>
      <w:r w:rsidRPr="1AD8954E">
        <w:rPr>
          <w:rStyle w:val="normaltextrun"/>
          <w:b/>
          <w:bCs/>
          <w:color w:val="000000" w:themeColor="text1"/>
        </w:rPr>
        <w:t>EWG (</w:t>
      </w:r>
      <w:r w:rsidR="005A0E03">
        <w:rPr>
          <w:rStyle w:val="normaltextrun"/>
          <w:b/>
          <w:bCs/>
          <w:color w:val="000000" w:themeColor="text1"/>
        </w:rPr>
        <w:t>following decision of</w:t>
      </w:r>
      <w:r w:rsidR="007F023F">
        <w:rPr>
          <w:rStyle w:val="normaltextrun"/>
          <w:b/>
          <w:bCs/>
          <w:color w:val="000000" w:themeColor="text1"/>
        </w:rPr>
        <w:t xml:space="preserve"> </w:t>
      </w:r>
      <w:r w:rsidRPr="1AD8954E">
        <w:rPr>
          <w:rStyle w:val="normaltextrun"/>
          <w:b/>
          <w:bCs/>
          <w:color w:val="000000" w:themeColor="text1"/>
        </w:rPr>
        <w:t>CPM-19)</w:t>
      </w:r>
      <w:r w:rsidRPr="1AD8954E">
        <w:rPr>
          <w:rStyle w:val="normaltextrun"/>
          <w:rFonts w:eastAsia="Times New Roman"/>
          <w:u w:val="single"/>
        </w:rPr>
        <w:t xml:space="preserve"> </w:t>
      </w:r>
    </w:p>
    <w:p w14:paraId="5131736E" w14:textId="058C748F" w:rsidR="1AD8954E" w:rsidRPr="00E8687A" w:rsidRDefault="743D4977" w:rsidP="00C364C1">
      <w:pPr>
        <w:pStyle w:val="ListParagraph"/>
        <w:numPr>
          <w:ilvl w:val="0"/>
          <w:numId w:val="14"/>
        </w:numPr>
        <w:ind w:leftChars="0"/>
        <w:rPr>
          <w:rFonts w:eastAsia="Times"/>
          <w:szCs w:val="22"/>
        </w:rPr>
      </w:pPr>
      <w:r w:rsidRPr="00E8687A">
        <w:rPr>
          <w:rStyle w:val="normaltextrun"/>
          <w:rFonts w:ascii="Times New Roman" w:hAnsi="Times New Roman" w:cs="Times New Roman"/>
          <w:lang w:val="en-US"/>
        </w:rPr>
        <w:t>Draft Specification: Safe Provision of Food and Other Humanitarian Aid (2021-020)</w:t>
      </w:r>
    </w:p>
    <w:p w14:paraId="685675B7" w14:textId="16538C16" w:rsidR="00F418C3" w:rsidRPr="00DA6C57" w:rsidRDefault="1D900FAF" w:rsidP="00327F04">
      <w:pPr>
        <w:pStyle w:val="IPPBullet1"/>
      </w:pPr>
      <w:r>
        <w:t xml:space="preserve">CPM Focus </w:t>
      </w:r>
      <w:r w:rsidR="65AF5D93">
        <w:t>Group</w:t>
      </w:r>
      <w:r w:rsidR="06E294DD">
        <w:t>,</w:t>
      </w:r>
    </w:p>
    <w:p w14:paraId="5440D16F" w14:textId="436708CF" w:rsidR="7BC775B1" w:rsidRPr="0015129B" w:rsidRDefault="00F774A9" w:rsidP="1AD8954E">
      <w:pPr>
        <w:pStyle w:val="IPPBullet1"/>
        <w:rPr>
          <w:color w:val="000000" w:themeColor="text1"/>
        </w:rPr>
      </w:pPr>
      <w:r>
        <w:t>CPM Focus Group on Food and Other Humanitarian Aid</w:t>
      </w:r>
      <w:r w:rsidR="7C597354">
        <w:t xml:space="preserve"> (tentative: 16-20 June 2025)</w:t>
      </w:r>
    </w:p>
    <w:p w14:paraId="4CFA43B4" w14:textId="11D4EAF2" w:rsidR="00586E83" w:rsidRPr="004711B8" w:rsidRDefault="00586E83" w:rsidP="1AD8954E">
      <w:pPr>
        <w:pStyle w:val="IPPBullet1"/>
        <w:rPr>
          <w:color w:val="000000" w:themeColor="text1"/>
        </w:rPr>
      </w:pPr>
      <w:r>
        <w:t>CPM Focus Group on Laboratory Diagnostic Network</w:t>
      </w:r>
      <w:r w:rsidR="640B5161">
        <w:t xml:space="preserve"> (tentative: </w:t>
      </w:r>
      <w:r w:rsidR="1EDEB4AD">
        <w:t>07-11</w:t>
      </w:r>
      <w:r w:rsidR="640B5161">
        <w:t xml:space="preserve"> </w:t>
      </w:r>
      <w:r w:rsidR="3852A2F6">
        <w:t>July</w:t>
      </w:r>
      <w:r w:rsidR="640B5161">
        <w:t xml:space="preserve"> 2025)</w:t>
      </w:r>
    </w:p>
    <w:p w14:paraId="4A3720EF" w14:textId="18DB8EEB" w:rsidR="004711B8" w:rsidRPr="00466C82" w:rsidRDefault="004711B8" w:rsidP="00C364C1">
      <w:pPr>
        <w:pStyle w:val="IPPBullet1"/>
        <w:numPr>
          <w:ilvl w:val="1"/>
          <w:numId w:val="8"/>
        </w:numPr>
        <w:rPr>
          <w:color w:val="000000" w:themeColor="text1"/>
        </w:rPr>
      </w:pPr>
      <w:r>
        <w:t>CPM Focus Group on Sea Containers</w:t>
      </w:r>
    </w:p>
    <w:p w14:paraId="37DD576E" w14:textId="1C6F7B40" w:rsidR="542D71F1" w:rsidRPr="00DA6C57" w:rsidRDefault="40078210" w:rsidP="7BC775B1">
      <w:pPr>
        <w:pStyle w:val="IPPBullet1"/>
      </w:pPr>
      <w:r>
        <w:t>Other meetings</w:t>
      </w:r>
      <w:r w:rsidR="0C86EB74">
        <w:t>:</w:t>
      </w:r>
      <w:r>
        <w:t xml:space="preserve"> </w:t>
      </w:r>
    </w:p>
    <w:p w14:paraId="4100170E" w14:textId="7B6EA084" w:rsidR="7FB9C9AF" w:rsidRDefault="7FB9C9AF" w:rsidP="1AD8954E">
      <w:pPr>
        <w:pStyle w:val="IPPBullet1"/>
        <w:rPr>
          <w:color w:val="000000" w:themeColor="text1"/>
        </w:rPr>
      </w:pPr>
      <w:r w:rsidRPr="1AD8954E">
        <w:rPr>
          <w:color w:val="000000" w:themeColor="text1"/>
        </w:rPr>
        <w:t>Side session during CPM-19 (2025): IPPC commodity standards (TBC by Bureau)</w:t>
      </w:r>
    </w:p>
    <w:p w14:paraId="76F99755" w14:textId="40DAEF4F" w:rsidR="00FD33D0" w:rsidRPr="00400AE9" w:rsidRDefault="00AB6614" w:rsidP="00C364C1">
      <w:pPr>
        <w:pStyle w:val="IPPBullet1"/>
        <w:numPr>
          <w:ilvl w:val="1"/>
          <w:numId w:val="8"/>
        </w:numPr>
        <w:rPr>
          <w:color w:val="000000" w:themeColor="text1"/>
        </w:rPr>
      </w:pPr>
      <w:r>
        <w:t>System approach side session</w:t>
      </w:r>
    </w:p>
    <w:p w14:paraId="54AA95C1" w14:textId="62876BB6" w:rsidR="00400AE9" w:rsidRPr="00400AE9" w:rsidRDefault="4B0C97CD" w:rsidP="1AD8954E">
      <w:pPr>
        <w:pStyle w:val="IPPBullet1"/>
        <w:rPr>
          <w:color w:val="000000" w:themeColor="text1"/>
        </w:rPr>
      </w:pPr>
      <w:r>
        <w:t xml:space="preserve">Webinar on </w:t>
      </w:r>
      <w:r w:rsidR="028822BE" w:rsidRPr="1AD8954E">
        <w:rPr>
          <w:color w:val="000000" w:themeColor="text1"/>
        </w:rPr>
        <w:t>Safe provisions of food and other humanitarian aid</w:t>
      </w:r>
    </w:p>
    <w:p w14:paraId="4A3667C3" w14:textId="7F7DEEE7" w:rsidR="003F1524" w:rsidRPr="00DA6C57" w:rsidRDefault="003F1524" w:rsidP="00C364C1">
      <w:pPr>
        <w:pStyle w:val="IPPBullet1"/>
        <w:numPr>
          <w:ilvl w:val="1"/>
          <w:numId w:val="8"/>
        </w:numPr>
        <w:rPr>
          <w:color w:val="000000" w:themeColor="text1"/>
        </w:rPr>
      </w:pPr>
      <w:r>
        <w:t xml:space="preserve">Workshop on </w:t>
      </w:r>
      <w:r w:rsidR="004A464B" w:rsidRPr="004A464B">
        <w:t>system approaches</w:t>
      </w:r>
      <w:r w:rsidR="004A464B">
        <w:t>.</w:t>
      </w:r>
    </w:p>
    <w:p w14:paraId="5381682E" w14:textId="1FCA3E7B" w:rsidR="00FD2CDC" w:rsidRPr="00DA6C57" w:rsidRDefault="790DF6EF" w:rsidP="00D63F21">
      <w:pPr>
        <w:pStyle w:val="IPPParagraphnumbering"/>
        <w:rPr>
          <w:b/>
          <w:bCs/>
        </w:rPr>
      </w:pPr>
      <w:r w:rsidRPr="57FED0F0">
        <w:rPr>
          <w:b/>
          <w:bCs/>
        </w:rPr>
        <w:t xml:space="preserve">Other activities: </w:t>
      </w:r>
    </w:p>
    <w:p w14:paraId="66B921C9" w14:textId="26D945A9" w:rsidR="00D9677E" w:rsidRDefault="00D9677E" w:rsidP="006E34FC">
      <w:pPr>
        <w:pStyle w:val="IPPBullet1"/>
      </w:pPr>
      <w:r>
        <w:t>IPPC 2025 Call for Topics: Standards and Implementation</w:t>
      </w:r>
    </w:p>
    <w:p w14:paraId="1495F3D2" w14:textId="593D58DC" w:rsidR="000F661D" w:rsidRDefault="000F661D" w:rsidP="006E34FC">
      <w:pPr>
        <w:pStyle w:val="IPPBullet1"/>
      </w:pPr>
      <w:r>
        <w:t>Meetings of Task Force for Topics</w:t>
      </w:r>
    </w:p>
    <w:p w14:paraId="0495718B" w14:textId="66AF1B59" w:rsidR="00AD74CE" w:rsidRPr="00DA6C57" w:rsidRDefault="5967E990" w:rsidP="006E34FC">
      <w:pPr>
        <w:pStyle w:val="IPPBullet1"/>
      </w:pPr>
      <w:r>
        <w:t>Publication of adopted ISPMs</w:t>
      </w:r>
      <w:r w:rsidR="784D56FC">
        <w:t xml:space="preserve"> (all FAO languages)</w:t>
      </w:r>
    </w:p>
    <w:p w14:paraId="7431A108" w14:textId="081B08EE" w:rsidR="00AD74CE" w:rsidRPr="00DA6C57" w:rsidRDefault="5967E990" w:rsidP="006E34FC">
      <w:pPr>
        <w:pStyle w:val="IPPBullet1"/>
      </w:pPr>
      <w:r>
        <w:t>Ink amendments to adopted ISPMs</w:t>
      </w:r>
      <w:r w:rsidR="6D4A6593">
        <w:t xml:space="preserve"> </w:t>
      </w:r>
      <w:r w:rsidR="29F02696">
        <w:t>(all FAO languages)</w:t>
      </w:r>
    </w:p>
    <w:p w14:paraId="2EFBB14F" w14:textId="0686F832" w:rsidR="00AD74CE" w:rsidRPr="00DA6C57" w:rsidRDefault="5967E990" w:rsidP="006E34FC">
      <w:pPr>
        <w:pStyle w:val="IPPBullet1"/>
      </w:pPr>
      <w:r>
        <w:t>Language review groups (LRGs</w:t>
      </w:r>
      <w:r w:rsidR="272E2FA0">
        <w:t xml:space="preserve">, in Ar, Ch, </w:t>
      </w:r>
      <w:r w:rsidR="4BE97940">
        <w:t xml:space="preserve">Ru and </w:t>
      </w:r>
      <w:r w:rsidR="57260944">
        <w:t>Sp</w:t>
      </w:r>
      <w:r>
        <w:t>)</w:t>
      </w:r>
    </w:p>
    <w:p w14:paraId="4D148E2F" w14:textId="0925B487" w:rsidR="4FB270DA" w:rsidRDefault="4FB270DA" w:rsidP="1AD8954E">
      <w:pPr>
        <w:pStyle w:val="IPPBullet1"/>
        <w:rPr>
          <w:rFonts w:eastAsia="Times New Roman"/>
          <w:color w:val="000000" w:themeColor="text1"/>
        </w:rPr>
      </w:pPr>
      <w:r w:rsidRPr="1AD8954E">
        <w:rPr>
          <w:rFonts w:eastAsia="Times New Roman"/>
          <w:color w:val="000000" w:themeColor="text1"/>
        </w:rPr>
        <w:t>Calls for technical panel members (tentative: TPDP – mycologist and TPCS)</w:t>
      </w:r>
    </w:p>
    <w:p w14:paraId="5411E8E3" w14:textId="37A470D0" w:rsidR="00FA0DF1" w:rsidRPr="00DA6C57" w:rsidRDefault="5967E990" w:rsidP="006E34FC">
      <w:pPr>
        <w:pStyle w:val="IPPBullet1"/>
        <w:rPr>
          <w:rFonts w:eastAsia="Times New Roman"/>
          <w:color w:val="000000"/>
        </w:rPr>
      </w:pPr>
      <w:r w:rsidRPr="57FED0F0">
        <w:rPr>
          <w:rFonts w:eastAsia="Times New Roman"/>
          <w:color w:val="000000" w:themeColor="text1"/>
        </w:rPr>
        <w:t xml:space="preserve">Calls for experts, </w:t>
      </w:r>
      <w:r w:rsidR="007867D2">
        <w:rPr>
          <w:rFonts w:eastAsia="Times New Roman"/>
          <w:color w:val="000000" w:themeColor="text1"/>
        </w:rPr>
        <w:t xml:space="preserve">call for DP </w:t>
      </w:r>
      <w:r w:rsidR="00C71D4C">
        <w:rPr>
          <w:rFonts w:eastAsia="Times New Roman"/>
          <w:color w:val="000000" w:themeColor="text1"/>
        </w:rPr>
        <w:t xml:space="preserve">authors, </w:t>
      </w:r>
      <w:r w:rsidRPr="57FED0F0">
        <w:rPr>
          <w:rFonts w:eastAsia="Times New Roman"/>
          <w:color w:val="000000" w:themeColor="text1"/>
        </w:rPr>
        <w:t>calls for discussion papers</w:t>
      </w:r>
    </w:p>
    <w:p w14:paraId="3FEBD2B2" w14:textId="5584D79F" w:rsidR="003C69BF" w:rsidRPr="00DA6C57" w:rsidRDefault="5967E990" w:rsidP="006E34FC">
      <w:pPr>
        <w:pStyle w:val="IPPBullet1"/>
        <w:rPr>
          <w:rFonts w:eastAsia="Times New Roman"/>
          <w:color w:val="000000"/>
        </w:rPr>
      </w:pPr>
      <w:r w:rsidRPr="57FED0F0">
        <w:rPr>
          <w:rFonts w:eastAsia="Times New Roman"/>
          <w:color w:val="000000" w:themeColor="text1"/>
        </w:rPr>
        <w:t>E-Decisions</w:t>
      </w:r>
    </w:p>
    <w:p w14:paraId="1C825566" w14:textId="77777777" w:rsidR="00EA19F5" w:rsidRPr="00EA19F5" w:rsidRDefault="6210C987" w:rsidP="00EA19F5">
      <w:pPr>
        <w:pStyle w:val="IPPBullet1"/>
        <w:rPr>
          <w:rFonts w:eastAsia="Times New Roman"/>
          <w:color w:val="000000"/>
        </w:rPr>
      </w:pPr>
      <w:r w:rsidRPr="00EA19F5">
        <w:rPr>
          <w:rFonts w:eastAsia="Times New Roman"/>
          <w:color w:val="000000" w:themeColor="text1"/>
        </w:rPr>
        <w:t xml:space="preserve">Expert Consultation on Diagnostic Protocols </w:t>
      </w:r>
    </w:p>
    <w:p w14:paraId="790B9832" w14:textId="19A5336F" w:rsidR="00E67EFB" w:rsidRPr="009438DF" w:rsidRDefault="012BC5BF" w:rsidP="009438DF">
      <w:pPr>
        <w:pStyle w:val="IPPBullet1"/>
        <w:rPr>
          <w:rFonts w:eastAsia="Times New Roman"/>
          <w:color w:val="000000"/>
        </w:rPr>
      </w:pPr>
      <w:r w:rsidRPr="00EA19F5">
        <w:t>Webinar</w:t>
      </w:r>
      <w:r w:rsidR="5CC71966" w:rsidRPr="00EA19F5">
        <w:t>s</w:t>
      </w:r>
      <w:r w:rsidRPr="00EA19F5">
        <w:t>:</w:t>
      </w:r>
    </w:p>
    <w:p w14:paraId="6B86F394" w14:textId="1C675D7D" w:rsidR="00E67EFB" w:rsidRPr="0015129B" w:rsidRDefault="00E67EFB" w:rsidP="00794F94">
      <w:pPr>
        <w:pStyle w:val="IPPParagraphnumbering"/>
        <w:spacing w:before="120"/>
        <w:ind w:hanging="475"/>
        <w:rPr>
          <w:b/>
          <w:bCs/>
        </w:rPr>
      </w:pPr>
      <w:r w:rsidRPr="0015129B">
        <w:rPr>
          <w:b/>
          <w:bCs/>
        </w:rPr>
        <w:t>SSU awareness raising and training materials</w:t>
      </w:r>
      <w:r w:rsidR="006E46A0">
        <w:rPr>
          <w:b/>
          <w:bCs/>
        </w:rPr>
        <w:t>:</w:t>
      </w:r>
    </w:p>
    <w:p w14:paraId="1463DE09" w14:textId="6E1B592B" w:rsidR="00844AD6" w:rsidRDefault="00844AD6" w:rsidP="008C6F09">
      <w:pPr>
        <w:pStyle w:val="IPPBullet1"/>
      </w:pPr>
      <w:r>
        <w:t xml:space="preserve">Videos on Standard Committee and Technical Panels </w:t>
      </w:r>
    </w:p>
    <w:p w14:paraId="238C970D" w14:textId="573BD7BC" w:rsidR="00D163CA" w:rsidRDefault="00AA3C63" w:rsidP="008C6F09">
      <w:pPr>
        <w:pStyle w:val="IPPBullet1"/>
      </w:pPr>
      <w:r>
        <w:t>OCS Training video</w:t>
      </w:r>
    </w:p>
    <w:p w14:paraId="26C5F5FC" w14:textId="749CFA5C" w:rsidR="00744AAE" w:rsidRPr="0015129B" w:rsidRDefault="005A2F5B" w:rsidP="008C6F09">
      <w:pPr>
        <w:pStyle w:val="IPPBullet1"/>
      </w:pPr>
      <w:r>
        <w:t>Training videos on Call for Topics</w:t>
      </w:r>
    </w:p>
    <w:p w14:paraId="7E4742A7" w14:textId="528C4D86" w:rsidR="003C69BF" w:rsidRPr="00DA6C57" w:rsidRDefault="40DBF4F1" w:rsidP="000762E9">
      <w:pPr>
        <w:pStyle w:val="IPPParagraphnumbering"/>
        <w:spacing w:before="120"/>
        <w:ind w:hanging="475"/>
      </w:pPr>
      <w:r w:rsidRPr="00DA6C57">
        <w:rPr>
          <w:b/>
          <w:bCs/>
        </w:rPr>
        <w:t>Liaison:</w:t>
      </w:r>
      <w:r w:rsidRPr="00DA6C57">
        <w:t xml:space="preserve"> On behalf of </w:t>
      </w:r>
      <w:r w:rsidR="095F9862" w:rsidRPr="00DA6C57">
        <w:t xml:space="preserve">the </w:t>
      </w:r>
      <w:r w:rsidRPr="00DA6C57">
        <w:t>IPPC, some SSU staff conduct liaison activities with the following organizations</w:t>
      </w:r>
      <w:r w:rsidR="006420A1" w:rsidRPr="00DA6C57">
        <w:rPr>
          <w:rStyle w:val="FootnoteReference"/>
          <w:rFonts w:eastAsia="Times New Roman" w:cs="Times New Roman"/>
          <w:color w:val="000000"/>
        </w:rPr>
        <w:footnoteReference w:id="4"/>
      </w:r>
      <w:r w:rsidR="095F9862" w:rsidRPr="00DA6C57">
        <w:t xml:space="preserve"> (and others):</w:t>
      </w:r>
    </w:p>
    <w:p w14:paraId="3D05FC27" w14:textId="725A7D1E" w:rsidR="006420A1" w:rsidRPr="00DA6C57" w:rsidRDefault="7913D806" w:rsidP="00D8665B">
      <w:pPr>
        <w:pStyle w:val="IPPBullet1"/>
        <w:spacing w:after="0"/>
        <w:ind w:left="562" w:hanging="562"/>
      </w:pPr>
      <w:r>
        <w:t>Convention on Biological Diversity (CBD)</w:t>
      </w:r>
    </w:p>
    <w:p w14:paraId="13E301CA" w14:textId="1BC135EB" w:rsidR="006420A1" w:rsidRPr="00DA6C57" w:rsidRDefault="7913D806" w:rsidP="00D8665B">
      <w:pPr>
        <w:pStyle w:val="IPPBullet1"/>
        <w:spacing w:after="0"/>
        <w:ind w:left="562" w:hanging="562"/>
      </w:pPr>
      <w:r>
        <w:t>International Atomic Energy Agency (IAEA)</w:t>
      </w:r>
      <w:r w:rsidR="187CF2AA">
        <w:t xml:space="preserve"> - FAO Joint Division </w:t>
      </w:r>
    </w:p>
    <w:p w14:paraId="4781DD35" w14:textId="15C7EF2A" w:rsidR="006420A1" w:rsidRPr="00DA6C57" w:rsidRDefault="7913D806" w:rsidP="00327F04">
      <w:pPr>
        <w:pStyle w:val="IPPBullet1"/>
        <w:spacing w:after="0"/>
        <w:ind w:left="562" w:hanging="562"/>
        <w:rPr>
          <w:rFonts w:asciiTheme="minorHAnsi" w:eastAsiaTheme="minorEastAsia" w:hAnsiTheme="minorHAnsi" w:cstheme="minorBidi"/>
        </w:rPr>
      </w:pPr>
      <w:r>
        <w:t>Phytosanitary Measures Research Group (PMRG)</w:t>
      </w:r>
    </w:p>
    <w:p w14:paraId="6F5349CE" w14:textId="77777777" w:rsidR="009B4A81" w:rsidRPr="00DA6C57" w:rsidRDefault="267A8912" w:rsidP="009B4A81">
      <w:pPr>
        <w:pStyle w:val="IPPBullet1"/>
        <w:spacing w:after="0"/>
        <w:ind w:left="562" w:hanging="562"/>
        <w:rPr>
          <w:rFonts w:asciiTheme="minorHAnsi" w:eastAsiaTheme="minorEastAsia" w:hAnsiTheme="minorHAnsi" w:cstheme="minorBidi"/>
        </w:rPr>
      </w:pPr>
      <w:r>
        <w:t>International Forestry Quarantine Research Group (IFQRG)</w:t>
      </w:r>
    </w:p>
    <w:p w14:paraId="4F15384A" w14:textId="63892AEB" w:rsidR="00D8665B" w:rsidRPr="00DA6C57" w:rsidRDefault="2EAEBC16" w:rsidP="3E817326">
      <w:pPr>
        <w:pStyle w:val="IPPBullet1"/>
        <w:spacing w:after="0"/>
        <w:ind w:left="562" w:hanging="562"/>
        <w:rPr>
          <w:rFonts w:asciiTheme="minorHAnsi" w:eastAsiaTheme="minorEastAsia" w:hAnsiTheme="minorHAnsi" w:cstheme="minorBidi"/>
        </w:rPr>
      </w:pPr>
      <w:r>
        <w:t xml:space="preserve">World Trade Organization – </w:t>
      </w:r>
      <w:r w:rsidR="00C428CF">
        <w:t>Sanitary and Phytosanitary (</w:t>
      </w:r>
      <w:r>
        <w:t>SPS</w:t>
      </w:r>
      <w:r w:rsidR="00C428CF">
        <w:t>)</w:t>
      </w:r>
      <w:r>
        <w:t xml:space="preserve"> Committee </w:t>
      </w:r>
      <w:r w:rsidR="00C428CF">
        <w:t>and Secretariat</w:t>
      </w:r>
    </w:p>
    <w:p w14:paraId="26E1C712" w14:textId="5599867D" w:rsidR="42A00D16" w:rsidRDefault="05B9B65B" w:rsidP="3E817326">
      <w:pPr>
        <w:pStyle w:val="IPPBullet1"/>
        <w:spacing w:after="0"/>
        <w:ind w:left="562" w:hanging="562"/>
      </w:pPr>
      <w:r w:rsidRPr="57FED0F0">
        <w:t>World Food Programme (WFP)</w:t>
      </w:r>
    </w:p>
    <w:p w14:paraId="4C58CFC2" w14:textId="76A16A44" w:rsidR="6210C987" w:rsidRPr="00DA6C57" w:rsidRDefault="5967E990" w:rsidP="57FED0F0">
      <w:pPr>
        <w:pStyle w:val="IPPBullet1"/>
        <w:spacing w:after="0"/>
        <w:ind w:left="562" w:hanging="562"/>
        <w:rPr>
          <w:rFonts w:asciiTheme="minorHAnsi" w:eastAsiaTheme="minorEastAsia" w:hAnsiTheme="minorHAnsi" w:cstheme="minorBidi"/>
        </w:rPr>
      </w:pPr>
      <w:r>
        <w:t>International Maritime Organization</w:t>
      </w:r>
      <w:r w:rsidR="76E918AE">
        <w:t xml:space="preserve"> (IMO)</w:t>
      </w:r>
    </w:p>
    <w:p w14:paraId="34F302D5" w14:textId="19A166AF" w:rsidR="6210C987" w:rsidRPr="00DA6C57" w:rsidRDefault="5967E990" w:rsidP="57FED0F0">
      <w:pPr>
        <w:pStyle w:val="IPPBullet1"/>
        <w:spacing w:after="0"/>
        <w:ind w:left="562" w:hanging="562"/>
        <w:rPr>
          <w:rFonts w:asciiTheme="minorHAnsi" w:eastAsiaTheme="minorEastAsia" w:hAnsiTheme="minorHAnsi" w:cstheme="minorBidi"/>
        </w:rPr>
      </w:pPr>
      <w:r>
        <w:t>World Custom Organization</w:t>
      </w:r>
      <w:r w:rsidR="651F9460">
        <w:t xml:space="preserve"> (WCO)</w:t>
      </w:r>
    </w:p>
    <w:p w14:paraId="655F8FC1" w14:textId="166F01F0" w:rsidR="6210C987" w:rsidRPr="00DA6C57" w:rsidRDefault="7913D806" w:rsidP="57FED0F0">
      <w:pPr>
        <w:pStyle w:val="IPPBullet1"/>
        <w:spacing w:after="0"/>
        <w:ind w:left="562" w:hanging="562"/>
        <w:rPr>
          <w:rFonts w:asciiTheme="minorHAnsi" w:eastAsiaTheme="minorEastAsia" w:hAnsiTheme="minorHAnsi" w:cstheme="minorBidi"/>
        </w:rPr>
      </w:pPr>
      <w:r>
        <w:t xml:space="preserve">United Nations Economic Commission for Europe </w:t>
      </w:r>
      <w:r w:rsidR="267A8912">
        <w:t>(</w:t>
      </w:r>
      <w:r>
        <w:t>UNECE</w:t>
      </w:r>
      <w:r w:rsidR="267A8912">
        <w:t>)</w:t>
      </w:r>
    </w:p>
    <w:p w14:paraId="028EA537" w14:textId="6F49039B" w:rsidR="2CDBAF5B" w:rsidRDefault="2CDBAF5B" w:rsidP="57FED0F0">
      <w:pPr>
        <w:pStyle w:val="IPPBullet1"/>
        <w:spacing w:after="0"/>
        <w:ind w:left="562" w:hanging="562"/>
      </w:pPr>
      <w:r w:rsidRPr="57FED0F0">
        <w:t>World Organization for Animal Health (WOAH)</w:t>
      </w:r>
    </w:p>
    <w:p w14:paraId="65463E73" w14:textId="072C1B31" w:rsidR="6210C987" w:rsidRPr="00DA6C57" w:rsidRDefault="00314F9D" w:rsidP="6210C987">
      <w:pPr>
        <w:pStyle w:val="IPPBullet1"/>
        <w:spacing w:after="0"/>
        <w:ind w:left="562" w:hanging="562"/>
      </w:pPr>
      <w:r w:rsidRPr="00314F9D">
        <w:t xml:space="preserve">Biological Weapons Convention (BWC) </w:t>
      </w:r>
    </w:p>
    <w:p w14:paraId="3E8B2FE7" w14:textId="2AA1E46C" w:rsidR="00B91ABD" w:rsidRPr="00DA6C57" w:rsidRDefault="00B91ABD" w:rsidP="00B91ABD">
      <w:pPr>
        <w:pStyle w:val="IPPHeading1"/>
      </w:pPr>
      <w:r w:rsidRPr="00DA6C57">
        <w:lastRenderedPageBreak/>
        <w:t>Recommendations to the Standards Committee (SC):</w:t>
      </w:r>
    </w:p>
    <w:p w14:paraId="7CB97972" w14:textId="77777777" w:rsidR="00B91ABD" w:rsidRPr="006D68C4" w:rsidRDefault="790DF6EF" w:rsidP="000E3C08">
      <w:pPr>
        <w:pStyle w:val="IPPParagraphnumbering"/>
        <w:rPr>
          <w:szCs w:val="22"/>
        </w:rPr>
      </w:pPr>
      <w:r w:rsidRPr="006D68C4">
        <w:rPr>
          <w:szCs w:val="22"/>
        </w:rPr>
        <w:t>The SC is invited to:</w:t>
      </w:r>
    </w:p>
    <w:p w14:paraId="774B510E" w14:textId="044EB5E5" w:rsidR="00893A8E" w:rsidRPr="006D68C4" w:rsidRDefault="00893A8E" w:rsidP="6BAD87FB">
      <w:pPr>
        <w:pStyle w:val="IPPNumberedList"/>
        <w:rPr>
          <w:szCs w:val="22"/>
        </w:rPr>
      </w:pPr>
      <w:r w:rsidRPr="006D68C4">
        <w:rPr>
          <w:i/>
          <w:iCs/>
          <w:szCs w:val="22"/>
        </w:rPr>
        <w:t>discuss</w:t>
      </w:r>
      <w:r w:rsidRPr="006D68C4">
        <w:rPr>
          <w:szCs w:val="22"/>
        </w:rPr>
        <w:t xml:space="preserve"> any potential EWG for </w:t>
      </w:r>
      <w:r w:rsidR="00203507" w:rsidRPr="006D68C4">
        <w:rPr>
          <w:szCs w:val="22"/>
        </w:rPr>
        <w:t>2025</w:t>
      </w:r>
      <w:r w:rsidR="002E5428" w:rsidRPr="006D68C4">
        <w:rPr>
          <w:szCs w:val="22"/>
        </w:rPr>
        <w:t>;</w:t>
      </w:r>
    </w:p>
    <w:p w14:paraId="63FCE8D8" w14:textId="53CA5E05" w:rsidR="009B4A81" w:rsidRPr="006D68C4" w:rsidRDefault="00D8665B" w:rsidP="6BAD87FB">
      <w:pPr>
        <w:pStyle w:val="IPPNumberedList"/>
        <w:rPr>
          <w:szCs w:val="22"/>
        </w:rPr>
      </w:pPr>
      <w:r w:rsidRPr="006D68C4">
        <w:rPr>
          <w:i/>
          <w:iCs/>
          <w:szCs w:val="22"/>
        </w:rPr>
        <w:t xml:space="preserve">provide </w:t>
      </w:r>
      <w:r w:rsidRPr="006D68C4">
        <w:rPr>
          <w:szCs w:val="22"/>
        </w:rPr>
        <w:t>comments and suggestions</w:t>
      </w:r>
      <w:r w:rsidR="009B4A81" w:rsidRPr="006D68C4">
        <w:rPr>
          <w:szCs w:val="22"/>
        </w:rPr>
        <w:t>;</w:t>
      </w:r>
      <w:r w:rsidR="009B4A81" w:rsidRPr="006D68C4">
        <w:rPr>
          <w:i/>
          <w:iCs/>
          <w:szCs w:val="22"/>
        </w:rPr>
        <w:t xml:space="preserve"> </w:t>
      </w:r>
    </w:p>
    <w:p w14:paraId="259D628F" w14:textId="7F5F7A65" w:rsidR="003D2B42" w:rsidRPr="006D68C4" w:rsidRDefault="009B4A81" w:rsidP="6BAD87FB">
      <w:pPr>
        <w:pStyle w:val="IPPNumberedList"/>
        <w:rPr>
          <w:szCs w:val="22"/>
        </w:rPr>
      </w:pPr>
      <w:r w:rsidRPr="006D68C4">
        <w:rPr>
          <w:i/>
          <w:iCs/>
          <w:szCs w:val="22"/>
        </w:rPr>
        <w:t>note</w:t>
      </w:r>
      <w:r w:rsidRPr="006D68C4">
        <w:rPr>
          <w:szCs w:val="22"/>
        </w:rPr>
        <w:t xml:space="preserve"> the tentative list of activities for </w:t>
      </w:r>
      <w:r w:rsidR="00203507" w:rsidRPr="006D68C4">
        <w:rPr>
          <w:szCs w:val="22"/>
        </w:rPr>
        <w:t>2025</w:t>
      </w:r>
      <w:r w:rsidR="003D2B42" w:rsidRPr="006D68C4">
        <w:rPr>
          <w:szCs w:val="22"/>
        </w:rPr>
        <w:t>;</w:t>
      </w:r>
      <w:r w:rsidR="006D68C4">
        <w:rPr>
          <w:szCs w:val="22"/>
        </w:rPr>
        <w:t xml:space="preserve"> and</w:t>
      </w:r>
    </w:p>
    <w:p w14:paraId="4497C762" w14:textId="211F6376" w:rsidR="004012AC" w:rsidRPr="006D68C4" w:rsidRDefault="003D2B42" w:rsidP="6BAD87FB">
      <w:pPr>
        <w:pStyle w:val="IPPNumberedList"/>
        <w:rPr>
          <w:szCs w:val="22"/>
        </w:rPr>
      </w:pPr>
      <w:r w:rsidRPr="006D68C4">
        <w:rPr>
          <w:i/>
          <w:iCs/>
          <w:szCs w:val="22"/>
        </w:rPr>
        <w:t xml:space="preserve">note </w:t>
      </w:r>
      <w:r w:rsidRPr="006D68C4">
        <w:rPr>
          <w:szCs w:val="22"/>
        </w:rPr>
        <w:t xml:space="preserve">the tentative dates for the SC meetings in </w:t>
      </w:r>
      <w:r w:rsidR="00203507" w:rsidRPr="006D68C4">
        <w:rPr>
          <w:szCs w:val="22"/>
        </w:rPr>
        <w:t>2025</w:t>
      </w:r>
      <w:r w:rsidR="008A496A" w:rsidRPr="006D68C4">
        <w:rPr>
          <w:szCs w:val="22"/>
        </w:rPr>
        <w:t>.</w:t>
      </w:r>
    </w:p>
    <w:p w14:paraId="3641027F" w14:textId="12BC60E7" w:rsidR="00B91ABD" w:rsidRPr="00DA6C57" w:rsidRDefault="00B91ABD" w:rsidP="00036DC1">
      <w:pPr>
        <w:pStyle w:val="IPPNumberedList"/>
        <w:numPr>
          <w:ilvl w:val="0"/>
          <w:numId w:val="0"/>
        </w:numPr>
        <w:rPr>
          <w:b/>
          <w:sz w:val="24"/>
        </w:rPr>
      </w:pPr>
    </w:p>
    <w:p w14:paraId="7709989A" w14:textId="77777777" w:rsidR="00DA0A23" w:rsidRPr="00DA6C57" w:rsidRDefault="00DA0A23">
      <w:pPr>
        <w:rPr>
          <w:rFonts w:ascii="Times New Roman" w:hAnsi="Times New Roman" w:cs="Times New Roman"/>
        </w:rPr>
      </w:pPr>
    </w:p>
    <w:p w14:paraId="46303D50" w14:textId="77777777" w:rsidR="00DA0A23" w:rsidRPr="00DA6C57" w:rsidRDefault="00DA0A23">
      <w:pPr>
        <w:rPr>
          <w:rFonts w:ascii="Times New Roman" w:hAnsi="Times New Roman" w:cs="Times New Roman"/>
        </w:rPr>
        <w:sectPr w:rsidR="00DA0A23" w:rsidRPr="00DA6C57" w:rsidSect="00D9357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559" w:right="1418" w:bottom="1418" w:left="1350" w:header="850" w:footer="850" w:gutter="0"/>
          <w:cols w:space="720"/>
          <w:titlePg/>
          <w:docGrid w:linePitch="360"/>
        </w:sectPr>
      </w:pPr>
    </w:p>
    <w:p w14:paraId="43ACF928" w14:textId="01EA0499" w:rsidR="004E0E6D" w:rsidRPr="00DA6C57" w:rsidRDefault="0099757F" w:rsidP="004E0E6D">
      <w:pPr>
        <w:pStyle w:val="IPPNormal"/>
        <w:rPr>
          <w:rFonts w:cs="Times New Roman"/>
        </w:rPr>
      </w:pPr>
      <w:bookmarkStart w:id="2" w:name="Annex1"/>
      <w:r w:rsidRPr="00DA6C57">
        <w:rPr>
          <w:rFonts w:eastAsiaTheme="minorHAnsi" w:cs="Times New Roman"/>
          <w:b/>
        </w:rPr>
        <w:lastRenderedPageBreak/>
        <w:t xml:space="preserve">Annex </w:t>
      </w:r>
      <w:r w:rsidR="004E0E6D" w:rsidRPr="00DA6C57">
        <w:rPr>
          <w:rFonts w:eastAsiaTheme="minorHAnsi" w:cs="Times New Roman"/>
          <w:b/>
        </w:rPr>
        <w:t>1</w:t>
      </w:r>
      <w:bookmarkEnd w:id="2"/>
    </w:p>
    <w:p w14:paraId="5DDF5E3A" w14:textId="77777777" w:rsidR="004E0E6D" w:rsidRPr="00DA6C57" w:rsidRDefault="004E0E6D" w:rsidP="004E0E6D">
      <w:pPr>
        <w:pStyle w:val="IPPHeading1"/>
        <w:jc w:val="center"/>
        <w:rPr>
          <w:rFonts w:cs="Times New Roman"/>
        </w:rPr>
      </w:pPr>
      <w:r w:rsidRPr="00DA6C57">
        <w:rPr>
          <w:rFonts w:cs="Times New Roman"/>
        </w:rPr>
        <w:t>IPPC Secretariat - Standard Setting Unit (SSU)</w:t>
      </w:r>
    </w:p>
    <w:p w14:paraId="5D2ECA15" w14:textId="7D906473" w:rsidR="004E0E6D" w:rsidRPr="00DA6C57" w:rsidRDefault="003B766C" w:rsidP="004E0E6D">
      <w:pPr>
        <w:pStyle w:val="IPPHeading1"/>
        <w:jc w:val="center"/>
        <w:rPr>
          <w:rFonts w:cs="Times New Roman"/>
        </w:rPr>
      </w:pPr>
      <w:r>
        <w:rPr>
          <w:rFonts w:cs="Times New Roman"/>
        </w:rPr>
        <w:t>2025</w:t>
      </w:r>
      <w:r w:rsidR="004E0E6D" w:rsidRPr="00DA6C57">
        <w:rPr>
          <w:rFonts w:cs="Times New Roman"/>
        </w:rPr>
        <w:t xml:space="preserve"> work plan – </w:t>
      </w:r>
      <w:r w:rsidR="00B025F4" w:rsidRPr="00DA6C57">
        <w:rPr>
          <w:rFonts w:cs="Times New Roman"/>
        </w:rPr>
        <w:t>TENTATIVE</w:t>
      </w:r>
    </w:p>
    <w:p w14:paraId="670B80DC" w14:textId="5A4B1DB9" w:rsidR="004E0E6D" w:rsidRPr="00DA6C57" w:rsidRDefault="004E0E6D" w:rsidP="0CC337BD">
      <w:pPr>
        <w:jc w:val="center"/>
        <w:rPr>
          <w:rFonts w:ascii="Times New Roman" w:hAnsi="Times New Roman" w:cs="Times New Roman"/>
          <w:i/>
          <w:iCs/>
        </w:rPr>
      </w:pPr>
      <w:r w:rsidRPr="00DA6C57">
        <w:rPr>
          <w:rFonts w:ascii="Times New Roman" w:hAnsi="Times New Roman" w:cs="Times New Roman"/>
          <w:i/>
          <w:iCs/>
        </w:rPr>
        <w:t xml:space="preserve">(Updated on </w:t>
      </w:r>
      <w:r w:rsidR="003A5275">
        <w:rPr>
          <w:rFonts w:ascii="Times New Roman" w:hAnsi="Times New Roman" w:cs="Times New Roman"/>
          <w:i/>
          <w:iCs/>
        </w:rPr>
        <w:t>2024</w:t>
      </w:r>
      <w:r w:rsidR="6C590D9A" w:rsidRPr="00DA6C57">
        <w:rPr>
          <w:rFonts w:ascii="Times New Roman" w:hAnsi="Times New Roman" w:cs="Times New Roman"/>
          <w:i/>
          <w:iCs/>
        </w:rPr>
        <w:t>-</w:t>
      </w:r>
      <w:r w:rsidR="003A5275">
        <w:rPr>
          <w:rFonts w:ascii="Times New Roman" w:hAnsi="Times New Roman" w:cs="Times New Roman"/>
          <w:i/>
          <w:iCs/>
        </w:rPr>
        <w:t>09</w:t>
      </w:r>
      <w:r w:rsidR="6C590D9A" w:rsidRPr="00DA6C57">
        <w:rPr>
          <w:rFonts w:ascii="Times New Roman" w:hAnsi="Times New Roman" w:cs="Times New Roman"/>
          <w:i/>
          <w:iCs/>
        </w:rPr>
        <w:t>-</w:t>
      </w:r>
      <w:r w:rsidR="002654D8">
        <w:rPr>
          <w:rFonts w:ascii="Times New Roman" w:hAnsi="Times New Roman" w:cs="Times New Roman"/>
          <w:i/>
          <w:iCs/>
        </w:rPr>
        <w:t>23</w:t>
      </w:r>
      <w:r w:rsidRPr="00DA6C57">
        <w:rPr>
          <w:rFonts w:ascii="Times New Roman" w:hAnsi="Times New Roman" w:cs="Times New Roman"/>
          <w:i/>
          <w:iCs/>
        </w:rPr>
        <w:t>)</w:t>
      </w:r>
    </w:p>
    <w:p w14:paraId="5916A946" w14:textId="1D365675" w:rsidR="004E0E6D" w:rsidRPr="00ED2290" w:rsidRDefault="6210C987" w:rsidP="0CC337BD">
      <w:pPr>
        <w:pStyle w:val="ListParagraph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Chars="0" w:left="360"/>
        <w:rPr>
          <w:rFonts w:ascii="Times New Roman" w:hAnsi="Times New Roman" w:cs="Times New Roman"/>
          <w:b/>
          <w:bCs/>
          <w:sz w:val="24"/>
          <w:u w:val="single"/>
        </w:rPr>
      </w:pPr>
      <w:r w:rsidRPr="7B9001C3">
        <w:rPr>
          <w:rFonts w:ascii="Times New Roman" w:hAnsi="Times New Roman" w:cs="Times New Roman"/>
          <w:b/>
          <w:bCs/>
          <w:sz w:val="24"/>
          <w:u w:val="single"/>
        </w:rPr>
        <w:t xml:space="preserve">Standards Committee (SC) May </w:t>
      </w:r>
      <w:r w:rsidR="003A5275" w:rsidRPr="7B9001C3">
        <w:rPr>
          <w:rFonts w:ascii="Times New Roman" w:hAnsi="Times New Roman" w:cs="Times New Roman"/>
          <w:b/>
          <w:bCs/>
          <w:sz w:val="24"/>
          <w:u w:val="single"/>
        </w:rPr>
        <w:t>2025</w:t>
      </w:r>
      <w:r w:rsidRPr="7B9001C3">
        <w:rPr>
          <w:rFonts w:ascii="Times New Roman" w:hAnsi="Times New Roman" w:cs="Times New Roman"/>
          <w:b/>
          <w:bCs/>
          <w:sz w:val="24"/>
          <w:u w:val="single"/>
        </w:rPr>
        <w:t xml:space="preserve"> (</w:t>
      </w:r>
      <w:r w:rsidR="00123B5F" w:rsidRPr="7B9001C3">
        <w:rPr>
          <w:rFonts w:ascii="Times New Roman" w:hAnsi="Times New Roman" w:cs="Times New Roman"/>
          <w:b/>
          <w:bCs/>
          <w:sz w:val="24"/>
          <w:u w:val="single"/>
        </w:rPr>
        <w:t>12 to 16 May 2025</w:t>
      </w:r>
      <w:r w:rsidRPr="7B9001C3">
        <w:rPr>
          <w:rFonts w:ascii="Times New Roman" w:hAnsi="Times New Roman" w:cs="Times New Roman"/>
          <w:b/>
          <w:bCs/>
          <w:sz w:val="24"/>
          <w:u w:val="single"/>
        </w:rPr>
        <w:t>):</w:t>
      </w:r>
    </w:p>
    <w:p w14:paraId="06058568" w14:textId="260A8F0F" w:rsidR="0015048F" w:rsidRPr="00DA6C57" w:rsidRDefault="0015048F" w:rsidP="4095E88C">
      <w:pPr>
        <w:rPr>
          <w:rFonts w:ascii="Times New Roman" w:hAnsi="Times New Roman" w:cs="Times New Roman"/>
          <w:b/>
          <w:bCs/>
          <w:i/>
          <w:iCs/>
        </w:rPr>
      </w:pPr>
    </w:p>
    <w:p w14:paraId="5568D2E5" w14:textId="3C8644AD" w:rsidR="004E0E6D" w:rsidRPr="00DA6C57" w:rsidRDefault="004E0E6D" w:rsidP="004E0E6D">
      <w:pPr>
        <w:rPr>
          <w:rFonts w:ascii="Times New Roman" w:hAnsi="Times New Roman" w:cs="Times New Roman"/>
          <w:b/>
          <w:bCs/>
        </w:rPr>
      </w:pPr>
      <w:r w:rsidRPr="00DA6C57">
        <w:rPr>
          <w:rFonts w:ascii="Times New Roman" w:hAnsi="Times New Roman" w:cs="Times New Roman"/>
          <w:b/>
          <w:bCs/>
        </w:rPr>
        <w:t>Tentative points for agenda:</w:t>
      </w:r>
    </w:p>
    <w:p w14:paraId="316F8DAF" w14:textId="394E185B" w:rsidR="004E0E6D" w:rsidRPr="00ED2290" w:rsidRDefault="004E0E6D" w:rsidP="00C364C1">
      <w:pPr>
        <w:pStyle w:val="ListParagraph"/>
        <w:numPr>
          <w:ilvl w:val="0"/>
          <w:numId w:val="3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7B9001C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Draft ISPMs for approval for first consultation:</w:t>
      </w:r>
    </w:p>
    <w:p w14:paraId="361A1304" w14:textId="07BACC59" w:rsidR="00595DA0" w:rsidRPr="00DA6C57" w:rsidRDefault="6210C987" w:rsidP="0F9D3B1F">
      <w:pPr>
        <w:pStyle w:val="IPPParagraphnumbering"/>
        <w:numPr>
          <w:ilvl w:val="0"/>
          <w:numId w:val="0"/>
        </w:numPr>
        <w:spacing w:before="120" w:after="120"/>
        <w:ind w:left="360"/>
        <w:rPr>
          <w:rFonts w:asciiTheme="minorHAnsi" w:eastAsiaTheme="minorEastAsia" w:hAnsiTheme="minorHAnsi"/>
          <w:color w:val="000000"/>
        </w:rPr>
      </w:pPr>
      <w:r w:rsidRPr="00DA6C57">
        <w:rPr>
          <w:rFonts w:eastAsia="Times New Roman" w:cs="Times New Roman"/>
          <w:color w:val="000000" w:themeColor="text1"/>
          <w:u w:val="single"/>
        </w:rPr>
        <w:t>draft ISPMs</w:t>
      </w:r>
      <w:r w:rsidRPr="00DA6C57">
        <w:rPr>
          <w:rFonts w:eastAsia="Times New Roman" w:cs="Times New Roman"/>
          <w:color w:val="000000" w:themeColor="text1"/>
        </w:rPr>
        <w:t xml:space="preserve">: </w:t>
      </w:r>
    </w:p>
    <w:p w14:paraId="1827FD8D" w14:textId="3EAC283F" w:rsidR="00CB04A0" w:rsidRDefault="00CB04A0" w:rsidP="00C364C1">
      <w:pPr>
        <w:pStyle w:val="IPPBullet1"/>
        <w:numPr>
          <w:ilvl w:val="0"/>
          <w:numId w:val="6"/>
        </w:numPr>
      </w:pPr>
      <w:r>
        <w:t>International movement of fresh taro (</w:t>
      </w:r>
      <w:r w:rsidRPr="00CB04A0">
        <w:rPr>
          <w:i/>
          <w:iCs/>
        </w:rPr>
        <w:t>Colocasia esculenta</w:t>
      </w:r>
      <w:r>
        <w:t>) for consumption (2023-023)</w:t>
      </w:r>
    </w:p>
    <w:p w14:paraId="38ECA8A8" w14:textId="3B6EC16A" w:rsidR="00FD2F6D" w:rsidRDefault="00CB04A0" w:rsidP="00C364C1">
      <w:pPr>
        <w:pStyle w:val="IPPBullet1"/>
        <w:numPr>
          <w:ilvl w:val="0"/>
          <w:numId w:val="6"/>
        </w:numPr>
      </w:pPr>
      <w:r>
        <w:t>International movement of fresh banana (</w:t>
      </w:r>
      <w:r w:rsidRPr="00CB04A0">
        <w:rPr>
          <w:i/>
          <w:iCs/>
        </w:rPr>
        <w:t>Musa paradisiaca</w:t>
      </w:r>
      <w:r>
        <w:t>) fruit (2023-028)</w:t>
      </w:r>
    </w:p>
    <w:p w14:paraId="29D00A98" w14:textId="77777777" w:rsidR="000762E9" w:rsidRPr="00ED2290" w:rsidRDefault="3594C146" w:rsidP="00C364C1">
      <w:pPr>
        <w:pStyle w:val="ListParagraph"/>
        <w:numPr>
          <w:ilvl w:val="0"/>
          <w:numId w:val="3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7B9001C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Draft Specifications for approval for </w:t>
      </w:r>
      <w:r w:rsidR="729EA2E8" w:rsidRPr="7B9001C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consultation</w:t>
      </w:r>
    </w:p>
    <w:p w14:paraId="36071A0B" w14:textId="77777777" w:rsidR="000E09FE" w:rsidRDefault="000E09FE" w:rsidP="00C364C1">
      <w:pPr>
        <w:pStyle w:val="IPPBullet1"/>
        <w:numPr>
          <w:ilvl w:val="0"/>
          <w:numId w:val="6"/>
        </w:numPr>
      </w:pPr>
      <w:r>
        <w:t>Annex Remote audits to ISPM 47 (Audit in the phytosanitary context) - Priority 1 (TBD by SC)</w:t>
      </w:r>
    </w:p>
    <w:p w14:paraId="497EF881" w14:textId="77777777" w:rsidR="000E09FE" w:rsidRDefault="000E09FE" w:rsidP="00C364C1">
      <w:pPr>
        <w:pStyle w:val="IPPBullet1"/>
        <w:numPr>
          <w:ilvl w:val="0"/>
          <w:numId w:val="6"/>
        </w:numPr>
      </w:pPr>
      <w:r>
        <w:t>Revision of ISPM 12 (Phytosanitary certificates) - Priority 1 (TBD by SC)</w:t>
      </w:r>
    </w:p>
    <w:p w14:paraId="15B0A994" w14:textId="719D8B96" w:rsidR="00FD2F6D" w:rsidRPr="000762E9" w:rsidRDefault="000E09FE" w:rsidP="00C364C1">
      <w:pPr>
        <w:pStyle w:val="IPPBullet1"/>
        <w:numPr>
          <w:ilvl w:val="0"/>
          <w:numId w:val="6"/>
        </w:numPr>
      </w:pPr>
      <w:r>
        <w:t>Revision of ISPM 23 (Guidelines for inspection)- Priority 2 (TBD by SC)</w:t>
      </w:r>
    </w:p>
    <w:p w14:paraId="31B2A691" w14:textId="5CD66AD7" w:rsidR="004012AC" w:rsidRPr="00C81C2E" w:rsidRDefault="003D2B42" w:rsidP="00C364C1">
      <w:pPr>
        <w:pStyle w:val="ListParagraph"/>
        <w:numPr>
          <w:ilvl w:val="0"/>
          <w:numId w:val="3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C81C2E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Summary of e</w:t>
      </w:r>
      <w:r w:rsidR="00595DA0" w:rsidRPr="00C81C2E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-decisions </w:t>
      </w:r>
    </w:p>
    <w:p w14:paraId="23A7EBCD" w14:textId="00C5EEB3" w:rsidR="00A1269D" w:rsidRPr="00ED2290" w:rsidRDefault="00A1269D" w:rsidP="00C364C1">
      <w:pPr>
        <w:pStyle w:val="ListParagraph"/>
        <w:numPr>
          <w:ilvl w:val="0"/>
          <w:numId w:val="3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7B9001C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Review of technical panels (from May </w:t>
      </w:r>
      <w:r w:rsidR="00423A8C" w:rsidRPr="7B9001C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2024</w:t>
      </w:r>
      <w:r w:rsidRPr="7B9001C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to April 2025)</w:t>
      </w:r>
      <w:r w:rsidR="59072A5C" w:rsidRPr="7B9001C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:</w:t>
      </w:r>
    </w:p>
    <w:p w14:paraId="65AA3487" w14:textId="77777777" w:rsidR="004E0E6D" w:rsidRPr="00ED2290" w:rsidRDefault="004E0E6D" w:rsidP="00C364C1">
      <w:pPr>
        <w:pStyle w:val="ListParagraph"/>
        <w:numPr>
          <w:ilvl w:val="0"/>
          <w:numId w:val="4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7B9001C3">
        <w:rPr>
          <w:rFonts w:ascii="Times New Roman" w:hAnsi="Times New Roman" w:cs="Times New Roman"/>
          <w:sz w:val="22"/>
          <w:szCs w:val="22"/>
          <w:lang w:eastAsia="en-US"/>
        </w:rPr>
        <w:t>Technical Panel for the Glossary (TPG)</w:t>
      </w:r>
    </w:p>
    <w:p w14:paraId="4DAE1893" w14:textId="7A4C7BA5" w:rsidR="004E0E6D" w:rsidRPr="00ED2290" w:rsidRDefault="004E0E6D" w:rsidP="00C364C1">
      <w:pPr>
        <w:pStyle w:val="ListParagraph"/>
        <w:numPr>
          <w:ilvl w:val="0"/>
          <w:numId w:val="4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7B9001C3">
        <w:rPr>
          <w:rFonts w:ascii="Times New Roman" w:hAnsi="Times New Roman" w:cs="Times New Roman"/>
          <w:sz w:val="22"/>
          <w:szCs w:val="22"/>
          <w:lang w:eastAsia="en-US"/>
        </w:rPr>
        <w:t xml:space="preserve">Technical Panel on Phytosanitary </w:t>
      </w:r>
      <w:r w:rsidR="3CD84367" w:rsidRPr="7B9001C3">
        <w:rPr>
          <w:rFonts w:ascii="Times New Roman" w:hAnsi="Times New Roman" w:cs="Times New Roman"/>
          <w:sz w:val="22"/>
          <w:szCs w:val="22"/>
          <w:lang w:eastAsia="en-US"/>
        </w:rPr>
        <w:t>Treatments</w:t>
      </w:r>
      <w:r w:rsidRPr="7B9001C3">
        <w:rPr>
          <w:rFonts w:ascii="Times New Roman" w:hAnsi="Times New Roman" w:cs="Times New Roman"/>
          <w:sz w:val="22"/>
          <w:szCs w:val="22"/>
          <w:lang w:eastAsia="en-US"/>
        </w:rPr>
        <w:t xml:space="preserve"> (TPPT)</w:t>
      </w:r>
    </w:p>
    <w:p w14:paraId="2AF1B112" w14:textId="128CB130" w:rsidR="004E0E6D" w:rsidRPr="00ED2290" w:rsidRDefault="004E0E6D" w:rsidP="00C364C1">
      <w:pPr>
        <w:pStyle w:val="ListParagraph"/>
        <w:numPr>
          <w:ilvl w:val="0"/>
          <w:numId w:val="4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7B9001C3">
        <w:rPr>
          <w:rFonts w:ascii="Times New Roman" w:hAnsi="Times New Roman" w:cs="Times New Roman"/>
          <w:sz w:val="22"/>
          <w:szCs w:val="22"/>
          <w:lang w:eastAsia="en-US"/>
        </w:rPr>
        <w:t>Technical Panel on Diagnostic Protocols (TPDP)</w:t>
      </w:r>
    </w:p>
    <w:p w14:paraId="3A7645EB" w14:textId="7ED947BC" w:rsidR="003D2B42" w:rsidRPr="00ED2290" w:rsidRDefault="003D2B42" w:rsidP="00C364C1">
      <w:pPr>
        <w:pStyle w:val="ListParagraph"/>
        <w:numPr>
          <w:ilvl w:val="0"/>
          <w:numId w:val="4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ED2290">
        <w:rPr>
          <w:rFonts w:ascii="Times New Roman" w:hAnsi="Times New Roman" w:cs="Times New Roman"/>
          <w:sz w:val="22"/>
          <w:szCs w:val="22"/>
          <w:lang w:val="en-US" w:eastAsia="en-US"/>
        </w:rPr>
        <w:t>Technical Panel on Commodity Standards (TPCS)</w:t>
      </w:r>
    </w:p>
    <w:p w14:paraId="3E311803" w14:textId="26DF699E" w:rsidR="00572D9F" w:rsidRPr="00ED2290" w:rsidRDefault="00572D9F" w:rsidP="00C364C1">
      <w:pPr>
        <w:pStyle w:val="ListParagraph"/>
        <w:numPr>
          <w:ilvl w:val="0"/>
          <w:numId w:val="3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7B9001C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Review of the List of Topics for IPPC standards (LOT)</w:t>
      </w:r>
    </w:p>
    <w:p w14:paraId="1202F68B" w14:textId="69DE5AB0" w:rsidR="00CE50AE" w:rsidRPr="00CE50AE" w:rsidRDefault="00CE50AE" w:rsidP="00C364C1">
      <w:pPr>
        <w:pStyle w:val="ListParagraph"/>
        <w:numPr>
          <w:ilvl w:val="0"/>
          <w:numId w:val="3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DA6C5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CPM-</w:t>
      </w:r>
      <w:r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19</w:t>
      </w:r>
      <w:r w:rsidRPr="00DA6C5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follow-ups</w:t>
      </w:r>
    </w:p>
    <w:p w14:paraId="6C5DED8E" w14:textId="53161A7C" w:rsidR="00587CAB" w:rsidRDefault="00587CAB" w:rsidP="00C364C1">
      <w:pPr>
        <w:pStyle w:val="ListParagraph"/>
        <w:numPr>
          <w:ilvl w:val="0"/>
          <w:numId w:val="3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587CAB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Standards committee</w:t>
      </w:r>
    </w:p>
    <w:p w14:paraId="78C4EB78" w14:textId="0C850A34" w:rsidR="00C75CDA" w:rsidRPr="00ED2290" w:rsidRDefault="00C75CDA" w:rsidP="00C364C1">
      <w:pPr>
        <w:pStyle w:val="ListParagraph"/>
        <w:numPr>
          <w:ilvl w:val="0"/>
          <w:numId w:val="3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</w:pPr>
      <w:r w:rsidRPr="00ED2290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>SC &amp; IC update and enhancing synergies</w:t>
      </w:r>
    </w:p>
    <w:p w14:paraId="482DC185" w14:textId="77777777" w:rsidR="004E0E6D" w:rsidRPr="00DA6C57" w:rsidRDefault="004E0E6D" w:rsidP="004E0E6D">
      <w:pPr>
        <w:rPr>
          <w:rFonts w:ascii="Times New Roman" w:hAnsi="Times New Roman" w:cs="Times New Roman"/>
          <w:b/>
          <w:bCs/>
          <w:u w:val="single"/>
        </w:rPr>
      </w:pPr>
    </w:p>
    <w:p w14:paraId="3F4F5A9C" w14:textId="5E0AAFE2" w:rsidR="6210C987" w:rsidRPr="004012AC" w:rsidRDefault="6210C987" w:rsidP="004012AC">
      <w:r w:rsidRPr="00DA6C57">
        <w:rPr>
          <w:rFonts w:ascii="Times New Roman" w:hAnsi="Times New Roman" w:cs="Times New Roman"/>
          <w:b/>
          <w:bCs/>
          <w:sz w:val="24"/>
          <w:szCs w:val="24"/>
          <w:u w:val="single"/>
        </w:rPr>
        <w:t>Standards Committee working group (SC</w:t>
      </w:r>
      <w:r w:rsidRPr="009616CD">
        <w:rPr>
          <w:rFonts w:ascii="Times New Roman" w:hAnsi="Times New Roman" w:cs="Times New Roman"/>
          <w:b/>
          <w:bCs/>
          <w:u w:val="single"/>
        </w:rPr>
        <w:t xml:space="preserve">-7) May </w:t>
      </w:r>
      <w:r w:rsidR="003A3A6C">
        <w:rPr>
          <w:rFonts w:ascii="Times New Roman" w:hAnsi="Times New Roman" w:cs="Times New Roman"/>
          <w:b/>
          <w:u w:val="single"/>
        </w:rPr>
        <w:t>2025</w:t>
      </w:r>
      <w:r w:rsidRPr="009616CD">
        <w:rPr>
          <w:rFonts w:ascii="Times New Roman" w:hAnsi="Times New Roman" w:cs="Times New Roman"/>
          <w:b/>
          <w:u w:val="single"/>
        </w:rPr>
        <w:t xml:space="preserve"> (</w:t>
      </w:r>
      <w:r w:rsidR="007F4DBC" w:rsidRPr="007F4DBC">
        <w:rPr>
          <w:rFonts w:ascii="Times New Roman" w:hAnsi="Times New Roman" w:cs="Times New Roman"/>
          <w:b/>
          <w:u w:val="single"/>
        </w:rPr>
        <w:t>19 to 23 May 2025</w:t>
      </w:r>
      <w:r w:rsidR="004B28A6" w:rsidRPr="009616CD">
        <w:rPr>
          <w:rFonts w:ascii="Times New Roman" w:hAnsi="Times New Roman" w:cs="Times New Roman"/>
          <w:b/>
          <w:u w:val="single"/>
        </w:rPr>
        <w:t>)</w:t>
      </w:r>
      <w:r w:rsidRPr="009616CD">
        <w:rPr>
          <w:rFonts w:ascii="Times New Roman" w:hAnsi="Times New Roman" w:cs="Times New Roman"/>
          <w:b/>
          <w:u w:val="single"/>
        </w:rPr>
        <w:t>, draft ISPMs:</w:t>
      </w:r>
      <w:r w:rsidRPr="00DA6C5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17AE775" w14:textId="4EA32FA5" w:rsidR="009616CD" w:rsidRPr="009616CD" w:rsidRDefault="009616CD" w:rsidP="00C364C1">
      <w:pPr>
        <w:pStyle w:val="IPPParagraphnumbering"/>
        <w:numPr>
          <w:ilvl w:val="0"/>
          <w:numId w:val="7"/>
        </w:numPr>
        <w:spacing w:before="60" w:after="60"/>
        <w:rPr>
          <w:rFonts w:cs="Times New Roman"/>
          <w:b/>
          <w:bCs/>
        </w:rPr>
      </w:pPr>
      <w:r w:rsidRPr="009616CD">
        <w:rPr>
          <w:rFonts w:cs="Times New Roman"/>
          <w:b/>
          <w:bCs/>
        </w:rPr>
        <w:t xml:space="preserve">Draft ISPMs for approval for </w:t>
      </w:r>
      <w:r>
        <w:rPr>
          <w:rFonts w:cs="Times New Roman"/>
          <w:b/>
          <w:bCs/>
        </w:rPr>
        <w:t>second</w:t>
      </w:r>
      <w:r w:rsidRPr="009616CD">
        <w:rPr>
          <w:rFonts w:cs="Times New Roman"/>
          <w:b/>
          <w:bCs/>
        </w:rPr>
        <w:t xml:space="preserve"> consultation:</w:t>
      </w:r>
    </w:p>
    <w:p w14:paraId="2125FB12" w14:textId="0DF64C91" w:rsidR="004E0E6D" w:rsidRDefault="009616CD" w:rsidP="009616CD">
      <w:pPr>
        <w:pStyle w:val="IPPParagraphnumbering"/>
        <w:numPr>
          <w:ilvl w:val="0"/>
          <w:numId w:val="0"/>
        </w:numPr>
        <w:spacing w:before="60" w:after="60"/>
        <w:ind w:left="720"/>
        <w:rPr>
          <w:rFonts w:cs="Times New Roman"/>
          <w:bCs/>
          <w:u w:val="single"/>
        </w:rPr>
      </w:pPr>
      <w:r w:rsidRPr="009616CD">
        <w:rPr>
          <w:rFonts w:cs="Times New Roman"/>
          <w:bCs/>
          <w:u w:val="single"/>
        </w:rPr>
        <w:t xml:space="preserve">draft ISPMs: </w:t>
      </w:r>
    </w:p>
    <w:p w14:paraId="72745D6E" w14:textId="77777777" w:rsidR="00C364C1" w:rsidRPr="00CA7B02" w:rsidRDefault="00C364C1" w:rsidP="00C364C1">
      <w:pPr>
        <w:pStyle w:val="IPPParagraphnumbering"/>
        <w:numPr>
          <w:ilvl w:val="0"/>
          <w:numId w:val="6"/>
        </w:numPr>
        <w:spacing w:before="60" w:after="60"/>
        <w:rPr>
          <w:rFonts w:cs="Times New Roman"/>
          <w:bCs/>
        </w:rPr>
      </w:pPr>
      <w:r w:rsidRPr="00CA7B02">
        <w:rPr>
          <w:rFonts w:cs="Times New Roman"/>
          <w:bCs/>
        </w:rPr>
        <w:t>Draft revision of ISPM 26 (</w:t>
      </w:r>
      <w:r w:rsidRPr="00CA7B02">
        <w:rPr>
          <w:rFonts w:cs="Times New Roman"/>
          <w:bCs/>
          <w:i/>
          <w:iCs/>
        </w:rPr>
        <w:t>Establishment and maintenance of pest free areas for fruit flies (Tephritidae</w:t>
      </w:r>
      <w:r w:rsidRPr="00CA7B02">
        <w:rPr>
          <w:rFonts w:cs="Times New Roman"/>
          <w:bCs/>
        </w:rPr>
        <w:t>)) (2021-010);</w:t>
      </w:r>
    </w:p>
    <w:p w14:paraId="7531282A" w14:textId="77777777" w:rsidR="00C364C1" w:rsidRPr="00CA7B02" w:rsidRDefault="00C364C1" w:rsidP="00C364C1">
      <w:pPr>
        <w:pStyle w:val="IPPParagraphnumbering"/>
        <w:numPr>
          <w:ilvl w:val="0"/>
          <w:numId w:val="6"/>
        </w:numPr>
        <w:spacing w:before="60" w:after="60"/>
        <w:rPr>
          <w:rFonts w:cs="Times New Roman"/>
          <w:bCs/>
        </w:rPr>
      </w:pPr>
      <w:r w:rsidRPr="00CA7B02">
        <w:rPr>
          <w:rFonts w:cs="Times New Roman"/>
          <w:bCs/>
        </w:rPr>
        <w:t>Draft annex to ISPM 23 (</w:t>
      </w:r>
      <w:r w:rsidRPr="00CA7B02">
        <w:rPr>
          <w:rFonts w:cs="Times New Roman"/>
          <w:bCs/>
          <w:i/>
          <w:iCs/>
        </w:rPr>
        <w:t>Guidelines for inspection</w:t>
      </w:r>
      <w:r w:rsidRPr="00CA7B02">
        <w:rPr>
          <w:rFonts w:cs="Times New Roman"/>
          <w:bCs/>
        </w:rPr>
        <w:t>) on field inspection (2021-018);</w:t>
      </w:r>
    </w:p>
    <w:p w14:paraId="1C732AA5" w14:textId="65514C8F" w:rsidR="00CD57B8" w:rsidRPr="00C364C1" w:rsidRDefault="00C364C1" w:rsidP="00C364C1">
      <w:pPr>
        <w:pStyle w:val="IPPParagraphnumbering"/>
        <w:numPr>
          <w:ilvl w:val="0"/>
          <w:numId w:val="6"/>
        </w:numPr>
        <w:spacing w:before="60" w:after="60"/>
        <w:rPr>
          <w:rFonts w:cs="Times New Roman"/>
          <w:bCs/>
        </w:rPr>
      </w:pPr>
      <w:r w:rsidRPr="00CA7B02">
        <w:rPr>
          <w:rFonts w:cs="Times New Roman"/>
          <w:bCs/>
        </w:rPr>
        <w:t>Draft annex to ISPM 38 (</w:t>
      </w:r>
      <w:r w:rsidRPr="00CA7B02">
        <w:rPr>
          <w:rFonts w:cs="Times New Roman"/>
          <w:bCs/>
          <w:i/>
          <w:iCs/>
        </w:rPr>
        <w:t>International movement of seeds</w:t>
      </w:r>
      <w:r w:rsidRPr="00CA7B02">
        <w:rPr>
          <w:rFonts w:cs="Times New Roman"/>
          <w:bCs/>
        </w:rPr>
        <w:t>) on the design and use of systems approaches for the phytosanitary certification of seeds. (2018-009).</w:t>
      </w:r>
    </w:p>
    <w:p w14:paraId="094EC80A" w14:textId="77777777" w:rsidR="009616CD" w:rsidRPr="009616CD" w:rsidRDefault="009616CD" w:rsidP="009616CD">
      <w:pPr>
        <w:pStyle w:val="IPPParagraphnumbering"/>
        <w:numPr>
          <w:ilvl w:val="0"/>
          <w:numId w:val="0"/>
        </w:numPr>
        <w:spacing w:before="60" w:after="60"/>
        <w:rPr>
          <w:rFonts w:cs="Times New Roman"/>
          <w:bCs/>
        </w:rPr>
      </w:pPr>
    </w:p>
    <w:p w14:paraId="23CE9EB9" w14:textId="1D8C3592" w:rsidR="00C81C2E" w:rsidRPr="00F026FE" w:rsidRDefault="6210C987" w:rsidP="00F026F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60"/>
        <w:rPr>
          <w:rFonts w:ascii="Times New Roman" w:hAnsi="Times New Roman" w:cs="Times New Roman"/>
          <w:b/>
          <w:bCs/>
          <w:sz w:val="24"/>
          <w:u w:val="single"/>
          <w:lang w:val="en-US"/>
        </w:rPr>
      </w:pPr>
      <w:r w:rsidRPr="00ED2290">
        <w:rPr>
          <w:rFonts w:ascii="Times New Roman" w:hAnsi="Times New Roman" w:cs="Times New Roman"/>
          <w:b/>
          <w:bCs/>
          <w:sz w:val="24"/>
          <w:u w:val="single"/>
          <w:lang w:val="en-US"/>
        </w:rPr>
        <w:t xml:space="preserve">Standards Committee November </w:t>
      </w:r>
      <w:r w:rsidR="00C36DE4" w:rsidRPr="00ED2290">
        <w:rPr>
          <w:rFonts w:ascii="Times New Roman" w:hAnsi="Times New Roman" w:cs="Times New Roman"/>
          <w:b/>
          <w:bCs/>
          <w:sz w:val="24"/>
          <w:u w:val="single"/>
          <w:lang w:val="en-US"/>
        </w:rPr>
        <w:t>2025</w:t>
      </w:r>
      <w:r w:rsidR="007C61A0" w:rsidRPr="00ED2290">
        <w:rPr>
          <w:rFonts w:ascii="Times New Roman" w:hAnsi="Times New Roman" w:cs="Times New Roman"/>
          <w:b/>
          <w:bCs/>
          <w:sz w:val="24"/>
          <w:u w:val="single"/>
          <w:lang w:val="en-US"/>
        </w:rPr>
        <w:t xml:space="preserve"> </w:t>
      </w:r>
      <w:r w:rsidRPr="00ED2290">
        <w:rPr>
          <w:rFonts w:ascii="Times New Roman" w:hAnsi="Times New Roman" w:cs="Times New Roman"/>
          <w:sz w:val="24"/>
          <w:u w:val="single"/>
          <w:lang w:val="en-US"/>
        </w:rPr>
        <w:t>(</w:t>
      </w:r>
      <w:r w:rsidR="00D06490" w:rsidRPr="00ED2290">
        <w:rPr>
          <w:rFonts w:ascii="Times New Roman" w:hAnsi="Times New Roman" w:cs="Times New Roman"/>
          <w:b/>
          <w:bCs/>
          <w:sz w:val="24"/>
          <w:u w:val="single"/>
          <w:lang w:val="en-US"/>
        </w:rPr>
        <w:t>17 to 21 November 2025</w:t>
      </w:r>
      <w:r w:rsidRPr="00ED2290">
        <w:rPr>
          <w:rFonts w:ascii="Times New Roman" w:hAnsi="Times New Roman" w:cs="Times New Roman"/>
          <w:b/>
          <w:bCs/>
          <w:sz w:val="24"/>
          <w:u w:val="single"/>
          <w:lang w:val="en-US"/>
        </w:rPr>
        <w:t>, FAO HQ</w:t>
      </w:r>
      <w:r w:rsidR="00321162" w:rsidRPr="00ED2290">
        <w:rPr>
          <w:rFonts w:ascii="Times New Roman" w:hAnsi="Times New Roman" w:cs="Times New Roman"/>
          <w:b/>
          <w:bCs/>
          <w:sz w:val="24"/>
          <w:u w:val="single"/>
          <w:lang w:val="en-US"/>
        </w:rPr>
        <w:t>)</w:t>
      </w:r>
      <w:r w:rsidRPr="00ED2290">
        <w:rPr>
          <w:rFonts w:ascii="Times New Roman" w:hAnsi="Times New Roman" w:cs="Times New Roman"/>
          <w:b/>
          <w:bCs/>
          <w:sz w:val="24"/>
          <w:u w:val="single"/>
          <w:lang w:val="en-US"/>
        </w:rPr>
        <w:t>:</w:t>
      </w:r>
    </w:p>
    <w:p w14:paraId="1279C322" w14:textId="302F5B4E" w:rsidR="004E0E6D" w:rsidRPr="00DA6C57" w:rsidRDefault="004E0E6D" w:rsidP="004E0E6D">
      <w:pPr>
        <w:rPr>
          <w:rFonts w:ascii="Times New Roman" w:hAnsi="Times New Roman" w:cs="Times New Roman"/>
          <w:b/>
          <w:bCs/>
        </w:rPr>
      </w:pPr>
      <w:r w:rsidRPr="00DA6C57">
        <w:rPr>
          <w:rFonts w:ascii="Times New Roman" w:hAnsi="Times New Roman" w:cs="Times New Roman"/>
          <w:b/>
          <w:bCs/>
        </w:rPr>
        <w:t>Tentative points for agenda:</w:t>
      </w:r>
    </w:p>
    <w:p w14:paraId="701A42EF" w14:textId="1FBA42CB" w:rsidR="004E0E6D" w:rsidRPr="00ED2290" w:rsidRDefault="004E0E6D" w:rsidP="00C364C1">
      <w:pPr>
        <w:pStyle w:val="ListParagraph"/>
        <w:numPr>
          <w:ilvl w:val="0"/>
          <w:numId w:val="13"/>
        </w:numPr>
        <w:spacing w:line="240" w:lineRule="auto"/>
        <w:ind w:leftChars="0" w:left="284" w:hanging="284"/>
        <w:rPr>
          <w:rFonts w:ascii="Times New Roman" w:hAnsi="Times New Roman" w:cs="Times New Roman"/>
          <w:lang w:val="en-US"/>
        </w:rPr>
      </w:pPr>
      <w:r w:rsidRPr="00ED2290">
        <w:rPr>
          <w:rFonts w:ascii="Times New Roman" w:hAnsi="Times New Roman" w:cs="Times New Roman"/>
          <w:b/>
          <w:bCs/>
          <w:lang w:val="en-US"/>
        </w:rPr>
        <w:lastRenderedPageBreak/>
        <w:t>Draft ISPMs for approval for recommendation to the Commission on</w:t>
      </w:r>
      <w:r w:rsidR="00CC2C73" w:rsidRPr="00ED2290">
        <w:rPr>
          <w:rFonts w:ascii="Times New Roman" w:hAnsi="Times New Roman" w:cs="Times New Roman"/>
          <w:b/>
          <w:bCs/>
          <w:lang w:val="en-US"/>
        </w:rPr>
        <w:t xml:space="preserve"> Phytosanitary Measures (CPM-</w:t>
      </w:r>
      <w:r w:rsidR="00C527E1" w:rsidRPr="00ED2290">
        <w:rPr>
          <w:rFonts w:ascii="Times New Roman" w:hAnsi="Times New Roman" w:cs="Times New Roman"/>
          <w:b/>
          <w:bCs/>
          <w:lang w:val="en-US"/>
        </w:rPr>
        <w:t>20</w:t>
      </w:r>
      <w:r w:rsidRPr="00ED2290">
        <w:rPr>
          <w:rFonts w:ascii="Times New Roman" w:hAnsi="Times New Roman" w:cs="Times New Roman"/>
          <w:b/>
          <w:bCs/>
          <w:lang w:val="en-US"/>
        </w:rPr>
        <w:t>) for adoption:</w:t>
      </w:r>
    </w:p>
    <w:p w14:paraId="68F75F52" w14:textId="77777777" w:rsidR="00CA7B02" w:rsidRPr="00CA7B02" w:rsidRDefault="00CA7B02" w:rsidP="00C364C1">
      <w:pPr>
        <w:pStyle w:val="IPPParagraphnumbering"/>
        <w:numPr>
          <w:ilvl w:val="0"/>
          <w:numId w:val="9"/>
        </w:numPr>
        <w:spacing w:before="60" w:after="60"/>
        <w:rPr>
          <w:rFonts w:cs="Times New Roman"/>
          <w:bCs/>
        </w:rPr>
      </w:pPr>
      <w:r w:rsidRPr="00CA7B02">
        <w:rPr>
          <w:rFonts w:cs="Times New Roman"/>
          <w:bCs/>
        </w:rPr>
        <w:t>Draft revision of ISPM 26 (</w:t>
      </w:r>
      <w:r w:rsidRPr="00CA7B02">
        <w:rPr>
          <w:rFonts w:cs="Times New Roman"/>
          <w:bCs/>
          <w:i/>
          <w:iCs/>
        </w:rPr>
        <w:t>Establishment and maintenance of pest free areas for fruit flies (Tephritidae</w:t>
      </w:r>
      <w:r w:rsidRPr="00CA7B02">
        <w:rPr>
          <w:rFonts w:cs="Times New Roman"/>
          <w:bCs/>
        </w:rPr>
        <w:t>)) (2021-010);</w:t>
      </w:r>
    </w:p>
    <w:p w14:paraId="7510AABF" w14:textId="77777777" w:rsidR="00CA7B02" w:rsidRPr="00CA7B02" w:rsidRDefault="00CA7B02" w:rsidP="00C364C1">
      <w:pPr>
        <w:pStyle w:val="IPPParagraphnumbering"/>
        <w:numPr>
          <w:ilvl w:val="0"/>
          <w:numId w:val="9"/>
        </w:numPr>
        <w:spacing w:before="60" w:after="60"/>
        <w:rPr>
          <w:rFonts w:cs="Times New Roman"/>
          <w:bCs/>
        </w:rPr>
      </w:pPr>
      <w:r w:rsidRPr="00CA7B02">
        <w:rPr>
          <w:rFonts w:cs="Times New Roman"/>
          <w:bCs/>
        </w:rPr>
        <w:t>Draft annex to ISPM 23 (</w:t>
      </w:r>
      <w:r w:rsidRPr="00CA7B02">
        <w:rPr>
          <w:rFonts w:cs="Times New Roman"/>
          <w:bCs/>
          <w:i/>
          <w:iCs/>
        </w:rPr>
        <w:t>Guidelines for inspection</w:t>
      </w:r>
      <w:r w:rsidRPr="00CA7B02">
        <w:rPr>
          <w:rFonts w:cs="Times New Roman"/>
          <w:bCs/>
        </w:rPr>
        <w:t>) on field inspection (2021-018);</w:t>
      </w:r>
    </w:p>
    <w:p w14:paraId="05AFC0BA" w14:textId="1B73590D" w:rsidR="00CA7B02" w:rsidRPr="00881A31" w:rsidRDefault="00CA7B02" w:rsidP="00C364C1">
      <w:pPr>
        <w:pStyle w:val="IPPParagraphnumbering"/>
        <w:numPr>
          <w:ilvl w:val="0"/>
          <w:numId w:val="9"/>
        </w:numPr>
        <w:spacing w:before="60" w:after="60"/>
        <w:rPr>
          <w:rFonts w:cs="Times New Roman"/>
          <w:bCs/>
        </w:rPr>
      </w:pPr>
      <w:r w:rsidRPr="00CA7B02">
        <w:rPr>
          <w:rFonts w:cs="Times New Roman"/>
          <w:bCs/>
        </w:rPr>
        <w:t>Draft annex to ISPM 38 (</w:t>
      </w:r>
      <w:r w:rsidRPr="00CA7B02">
        <w:rPr>
          <w:rFonts w:cs="Times New Roman"/>
          <w:bCs/>
          <w:i/>
          <w:iCs/>
        </w:rPr>
        <w:t>International movement of seeds</w:t>
      </w:r>
      <w:r w:rsidRPr="00CA7B02">
        <w:rPr>
          <w:rFonts w:cs="Times New Roman"/>
          <w:bCs/>
        </w:rPr>
        <w:t>) on the design and use of systems approaches for the phytosanitary certification of seeds. (2018-009).</w:t>
      </w:r>
    </w:p>
    <w:p w14:paraId="3648C6B8" w14:textId="77777777" w:rsidR="00A01318" w:rsidRPr="00ED2290" w:rsidRDefault="00816D1D" w:rsidP="00C364C1">
      <w:pPr>
        <w:pStyle w:val="ListParagraph"/>
        <w:numPr>
          <w:ilvl w:val="0"/>
          <w:numId w:val="13"/>
        </w:numPr>
        <w:spacing w:line="240" w:lineRule="auto"/>
        <w:ind w:leftChars="0" w:left="284" w:hanging="284"/>
        <w:rPr>
          <w:rFonts w:ascii="Times New Roman" w:hAnsi="Times New Roman" w:cs="Times New Roman"/>
          <w:b/>
          <w:bCs/>
          <w:lang w:val="en-US"/>
        </w:rPr>
      </w:pPr>
      <w:r w:rsidRPr="00ED2290">
        <w:rPr>
          <w:rFonts w:ascii="Times New Roman" w:hAnsi="Times New Roman" w:cs="Times New Roman"/>
          <w:b/>
          <w:bCs/>
          <w:lang w:val="en-US"/>
        </w:rPr>
        <w:t>Issues raised from the first consultation period</w:t>
      </w:r>
    </w:p>
    <w:p w14:paraId="655CBF0A" w14:textId="77777777" w:rsidR="00A01318" w:rsidRPr="00A01318" w:rsidRDefault="0056508E" w:rsidP="00C364C1">
      <w:pPr>
        <w:pStyle w:val="ListParagraph"/>
        <w:numPr>
          <w:ilvl w:val="0"/>
          <w:numId w:val="13"/>
        </w:numPr>
        <w:spacing w:line="240" w:lineRule="auto"/>
        <w:ind w:leftChars="0" w:left="284" w:hanging="284"/>
        <w:rPr>
          <w:rFonts w:ascii="Times New Roman" w:hAnsi="Times New Roman" w:cs="Times New Roman"/>
          <w:b/>
          <w:bCs/>
        </w:rPr>
      </w:pPr>
      <w:r w:rsidRPr="00A01318">
        <w:rPr>
          <w:rFonts w:ascii="Times New Roman" w:hAnsi="Times New Roman" w:cs="Times New Roman"/>
          <w:b/>
          <w:color w:val="000000"/>
          <w:szCs w:val="22"/>
        </w:rPr>
        <w:t>Approval of draft specifications</w:t>
      </w:r>
    </w:p>
    <w:p w14:paraId="25726482" w14:textId="77777777" w:rsidR="00A01318" w:rsidRPr="00A01318" w:rsidRDefault="00D13D1B" w:rsidP="00C364C1">
      <w:pPr>
        <w:pStyle w:val="ListParagraph"/>
        <w:numPr>
          <w:ilvl w:val="0"/>
          <w:numId w:val="13"/>
        </w:numPr>
        <w:spacing w:line="240" w:lineRule="auto"/>
        <w:ind w:leftChars="0" w:left="284" w:hanging="284"/>
        <w:rPr>
          <w:rFonts w:ascii="Times New Roman" w:hAnsi="Times New Roman" w:cs="Times New Roman"/>
          <w:b/>
          <w:bCs/>
        </w:rPr>
      </w:pPr>
      <w:r w:rsidRPr="00A01318">
        <w:rPr>
          <w:rFonts w:ascii="Times New Roman" w:hAnsi="Times New Roman" w:cs="Times New Roman"/>
          <w:b/>
          <w:color w:val="000000"/>
          <w:szCs w:val="22"/>
        </w:rPr>
        <w:t xml:space="preserve">Summary of </w:t>
      </w:r>
      <w:r w:rsidR="00CC2C73" w:rsidRPr="00A01318">
        <w:rPr>
          <w:rFonts w:ascii="Times New Roman" w:hAnsi="Times New Roman" w:cs="Times New Roman"/>
          <w:b/>
          <w:color w:val="000000"/>
          <w:szCs w:val="22"/>
        </w:rPr>
        <w:t xml:space="preserve">E-decisions </w:t>
      </w:r>
    </w:p>
    <w:p w14:paraId="6333D4B6" w14:textId="77777777" w:rsidR="00811486" w:rsidRPr="00811486" w:rsidRDefault="00AD74CE" w:rsidP="00C364C1">
      <w:pPr>
        <w:pStyle w:val="ListParagraph"/>
        <w:numPr>
          <w:ilvl w:val="0"/>
          <w:numId w:val="13"/>
        </w:numPr>
        <w:spacing w:line="240" w:lineRule="auto"/>
        <w:ind w:leftChars="0" w:left="284" w:hanging="284"/>
        <w:rPr>
          <w:rFonts w:ascii="Times New Roman" w:hAnsi="Times New Roman" w:cs="Times New Roman"/>
          <w:b/>
          <w:bCs/>
        </w:rPr>
      </w:pPr>
      <w:r w:rsidRPr="00A01318">
        <w:rPr>
          <w:rFonts w:ascii="Times New Roman" w:hAnsi="Times New Roman" w:cs="Times New Roman"/>
          <w:b/>
        </w:rPr>
        <w:t>SC / IC interactions</w:t>
      </w:r>
    </w:p>
    <w:p w14:paraId="2F465DD3" w14:textId="33BFE152" w:rsidR="00B025F4" w:rsidRPr="00811486" w:rsidRDefault="00811486" w:rsidP="00C364C1">
      <w:pPr>
        <w:pStyle w:val="ListParagraph"/>
        <w:numPr>
          <w:ilvl w:val="0"/>
          <w:numId w:val="13"/>
        </w:numPr>
        <w:spacing w:line="240" w:lineRule="auto"/>
        <w:ind w:leftChars="0" w:left="284" w:hanging="284"/>
        <w:rPr>
          <w:rFonts w:ascii="Times New Roman" w:hAnsi="Times New Roman" w:cs="Times New Roman"/>
          <w:b/>
          <w:bCs/>
        </w:rPr>
      </w:pPr>
      <w:r w:rsidRPr="00811486">
        <w:rPr>
          <w:rFonts w:ascii="Times New Roman" w:hAnsi="Times New Roman" w:cs="Times New Roman"/>
          <w:b/>
          <w:bCs/>
        </w:rPr>
        <w:t xml:space="preserve">Updates </w:t>
      </w:r>
      <w:r w:rsidR="00B025F4" w:rsidRPr="00811486">
        <w:rPr>
          <w:rFonts w:ascii="Times New Roman" w:hAnsi="Times New Roman" w:cs="Times New Roman"/>
          <w:b/>
          <w:szCs w:val="20"/>
          <w:u w:val="single"/>
        </w:rPr>
        <w:br w:type="page"/>
      </w:r>
    </w:p>
    <w:p w14:paraId="2160900E" w14:textId="405EFBB4" w:rsidR="00433164" w:rsidRPr="00DA6C57" w:rsidRDefault="00433164" w:rsidP="003C7AFF">
      <w:pPr>
        <w:rPr>
          <w:rFonts w:ascii="Times New Roman" w:hAnsi="Times New Roman" w:cs="Times New Roman"/>
          <w:b/>
        </w:rPr>
      </w:pPr>
      <w:r w:rsidRPr="00DA6C57">
        <w:rPr>
          <w:rFonts w:ascii="Times New Roman" w:hAnsi="Times New Roman" w:cs="Times New Roman"/>
          <w:b/>
        </w:rPr>
        <w:lastRenderedPageBreak/>
        <w:t>Annex 2</w:t>
      </w:r>
    </w:p>
    <w:p w14:paraId="398A41CB" w14:textId="68D6F7E5" w:rsidR="003C7AFF" w:rsidRPr="00DA6C57" w:rsidRDefault="7241D2E1" w:rsidP="7241D2E1">
      <w:pPr>
        <w:rPr>
          <w:rFonts w:ascii="Times New Roman" w:hAnsi="Times New Roman" w:cs="Times New Roman"/>
          <w:b/>
          <w:bCs/>
        </w:rPr>
      </w:pPr>
      <w:r w:rsidRPr="00DA6C57">
        <w:rPr>
          <w:rFonts w:ascii="Times New Roman" w:hAnsi="Times New Roman" w:cs="Times New Roman"/>
          <w:b/>
          <w:bCs/>
        </w:rPr>
        <w:t xml:space="preserve">STANDARD SETTING </w:t>
      </w:r>
      <w:r w:rsidR="00C86442">
        <w:rPr>
          <w:rFonts w:ascii="Times New Roman" w:hAnsi="Times New Roman" w:cs="Times New Roman"/>
          <w:b/>
          <w:bCs/>
        </w:rPr>
        <w:t>2025</w:t>
      </w:r>
      <w:r w:rsidRPr="00DA6C57">
        <w:rPr>
          <w:rFonts w:ascii="Times New Roman" w:hAnsi="Times New Roman" w:cs="Times New Roman"/>
          <w:b/>
          <w:bCs/>
        </w:rPr>
        <w:t xml:space="preserve"> - </w:t>
      </w:r>
      <w:r w:rsidRPr="00DA6C57">
        <w:rPr>
          <w:rFonts w:ascii="Times New Roman" w:hAnsi="Times New Roman" w:cs="Times New Roman"/>
          <w:b/>
          <w:bCs/>
          <w:u w:val="single"/>
        </w:rPr>
        <w:t>TENTATIVE CALENDAR</w:t>
      </w:r>
      <w:r w:rsidRPr="00DA6C57">
        <w:rPr>
          <w:rFonts w:ascii="Times New Roman" w:hAnsi="Times New Roman" w:cs="Times New Roman"/>
          <w:b/>
          <w:bCs/>
        </w:rPr>
        <w:t xml:space="preserve"> </w:t>
      </w:r>
    </w:p>
    <w:p w14:paraId="21D7A65E" w14:textId="77777777" w:rsidR="003C7AFF" w:rsidRPr="00DA6C57" w:rsidRDefault="003C7AFF" w:rsidP="003C7AFF">
      <w:pPr>
        <w:rPr>
          <w:rFonts w:ascii="Times New Roman" w:hAnsi="Times New Roman" w:cs="Times New Roman"/>
        </w:rPr>
      </w:pPr>
      <w:r w:rsidRPr="00DA6C57">
        <w:rPr>
          <w:rFonts w:ascii="Times New Roman" w:hAnsi="Times New Roman" w:cs="Times New Roman"/>
        </w:rPr>
        <w:t xml:space="preserve">For updates, please check the IPPC calendar at </w:t>
      </w:r>
      <w:hyperlink r:id="rId20" w:history="1">
        <w:r w:rsidRPr="00DA6C57">
          <w:rPr>
            <w:rStyle w:val="Hyperlink"/>
            <w:rFonts w:ascii="Times New Roman" w:hAnsi="Times New Roman" w:cs="Times New Roman"/>
          </w:rPr>
          <w:t>https://www.ippc.int/en/year/calendar/</w:t>
        </w:r>
      </w:hyperlink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90"/>
        <w:gridCol w:w="1709"/>
        <w:gridCol w:w="2443"/>
        <w:gridCol w:w="1944"/>
        <w:gridCol w:w="1975"/>
      </w:tblGrid>
      <w:tr w:rsidR="00111717" w:rsidRPr="00DA6C57" w14:paraId="55BC226F" w14:textId="77777777" w:rsidTr="00A96FF2">
        <w:trPr>
          <w:tblHeader/>
          <w:jc w:val="center"/>
        </w:trPr>
        <w:tc>
          <w:tcPr>
            <w:tcW w:w="546" w:type="pct"/>
            <w:shd w:val="clear" w:color="auto" w:fill="000000" w:themeFill="text1"/>
          </w:tcPr>
          <w:p w14:paraId="11A3EE7A" w14:textId="5A011BB4" w:rsidR="00111717" w:rsidRPr="00DA6C57" w:rsidRDefault="00981CD3" w:rsidP="00BF75AE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6C57">
              <w:rPr>
                <w:rFonts w:ascii="Times New Roman" w:hAnsi="Times New Roman" w:cs="Times New Roman"/>
                <w:b/>
                <w:color w:val="FFFFFF" w:themeColor="background1"/>
              </w:rPr>
              <w:t>Quarter</w:t>
            </w:r>
          </w:p>
        </w:tc>
        <w:tc>
          <w:tcPr>
            <w:tcW w:w="943" w:type="pct"/>
            <w:shd w:val="clear" w:color="auto" w:fill="000000" w:themeFill="text1"/>
          </w:tcPr>
          <w:p w14:paraId="691633DF" w14:textId="016EC5B9" w:rsidR="00111717" w:rsidRPr="00DA6C57" w:rsidRDefault="00111717" w:rsidP="00BF75AE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6C5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Date </w:t>
            </w:r>
          </w:p>
        </w:tc>
        <w:tc>
          <w:tcPr>
            <w:tcW w:w="1348" w:type="pct"/>
            <w:shd w:val="clear" w:color="auto" w:fill="000000" w:themeFill="text1"/>
          </w:tcPr>
          <w:p w14:paraId="13D0D60B" w14:textId="77777777" w:rsidR="00111717" w:rsidRPr="00DA6C57" w:rsidRDefault="00111717" w:rsidP="00BF75AE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6C57">
              <w:rPr>
                <w:rFonts w:ascii="Times New Roman" w:hAnsi="Times New Roman" w:cs="Times New Roman"/>
                <w:b/>
                <w:color w:val="FFFFFF" w:themeColor="background1"/>
              </w:rPr>
              <w:t>Activity</w:t>
            </w:r>
          </w:p>
        </w:tc>
        <w:tc>
          <w:tcPr>
            <w:tcW w:w="1073" w:type="pct"/>
            <w:shd w:val="clear" w:color="auto" w:fill="000000" w:themeFill="text1"/>
          </w:tcPr>
          <w:p w14:paraId="4DB02A47" w14:textId="77777777" w:rsidR="00111717" w:rsidRPr="00DA6C57" w:rsidRDefault="00111717" w:rsidP="00BF75AE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6C57">
              <w:rPr>
                <w:rFonts w:ascii="Times New Roman" w:hAnsi="Times New Roman" w:cs="Times New Roman"/>
                <w:b/>
                <w:color w:val="FFFFFF" w:themeColor="background1"/>
              </w:rPr>
              <w:t>Venue</w:t>
            </w:r>
          </w:p>
        </w:tc>
        <w:tc>
          <w:tcPr>
            <w:tcW w:w="1090" w:type="pct"/>
            <w:shd w:val="clear" w:color="auto" w:fill="000000" w:themeFill="text1"/>
          </w:tcPr>
          <w:p w14:paraId="7A52CE2A" w14:textId="77777777" w:rsidR="00111717" w:rsidRPr="00DA6C57" w:rsidRDefault="00111717" w:rsidP="00BF75AE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6C57">
              <w:rPr>
                <w:rFonts w:ascii="Times New Roman" w:hAnsi="Times New Roman" w:cs="Times New Roman"/>
                <w:b/>
                <w:color w:val="FFFFFF" w:themeColor="background1"/>
              </w:rPr>
              <w:t>Category</w:t>
            </w:r>
          </w:p>
        </w:tc>
      </w:tr>
      <w:tr w:rsidR="00525E60" w:rsidRPr="00DA6C57" w14:paraId="467EFD08" w14:textId="77777777" w:rsidTr="00A96FF2">
        <w:trPr>
          <w:trHeight w:val="262"/>
          <w:jc w:val="center"/>
        </w:trPr>
        <w:tc>
          <w:tcPr>
            <w:tcW w:w="546" w:type="pct"/>
            <w:vMerge w:val="restart"/>
            <w:shd w:val="clear" w:color="auto" w:fill="E2EFD9" w:themeFill="accent6" w:themeFillTint="33"/>
            <w:vAlign w:val="center"/>
          </w:tcPr>
          <w:p w14:paraId="009C01FA" w14:textId="01BF6688" w:rsidR="00525E60" w:rsidRPr="00DA6C57" w:rsidRDefault="00525E60" w:rsidP="00BF75AE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st 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943" w:type="pct"/>
            <w:shd w:val="clear" w:color="auto" w:fill="E2EFD9" w:themeFill="accent6" w:themeFillTint="33"/>
          </w:tcPr>
          <w:p w14:paraId="2D81DBDC" w14:textId="5F124F7C" w:rsidR="00525E60" w:rsidRPr="00174924" w:rsidRDefault="00525E60" w:rsidP="00174924">
            <w:pPr>
              <w:rPr>
                <w:rFonts w:ascii="Arial" w:hAnsi="Arial" w:cs="Arial"/>
                <w:sz w:val="18"/>
                <w:szCs w:val="18"/>
              </w:rPr>
            </w:pPr>
            <w:r w:rsidRPr="00174924">
              <w:rPr>
                <w:rFonts w:ascii="Arial" w:hAnsi="Arial" w:cs="Arial"/>
                <w:sz w:val="18"/>
                <w:szCs w:val="18"/>
              </w:rPr>
              <w:t xml:space="preserve">05 January – 20 Feb </w:t>
            </w:r>
            <w:r w:rsidR="00C86442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48" w:type="pct"/>
            <w:shd w:val="clear" w:color="auto" w:fill="E2EFD9" w:themeFill="accent6" w:themeFillTint="33"/>
          </w:tcPr>
          <w:p w14:paraId="69DC5119" w14:textId="77777777" w:rsidR="00525E60" w:rsidRPr="00174924" w:rsidRDefault="00525E60" w:rsidP="00174924">
            <w:pPr>
              <w:rPr>
                <w:rFonts w:ascii="Arial" w:hAnsi="Arial" w:cs="Arial"/>
                <w:sz w:val="18"/>
                <w:szCs w:val="18"/>
              </w:rPr>
            </w:pPr>
            <w:r w:rsidRPr="00174924">
              <w:rPr>
                <w:rFonts w:ascii="Arial" w:hAnsi="Arial" w:cs="Arial"/>
                <w:sz w:val="18"/>
                <w:szCs w:val="18"/>
              </w:rPr>
              <w:t>DP notification period</w:t>
            </w:r>
          </w:p>
        </w:tc>
        <w:tc>
          <w:tcPr>
            <w:tcW w:w="1073" w:type="pct"/>
            <w:shd w:val="clear" w:color="auto" w:fill="E2EFD9" w:themeFill="accent6" w:themeFillTint="33"/>
          </w:tcPr>
          <w:p w14:paraId="4420258A" w14:textId="3A99C81B" w:rsidR="00525E60" w:rsidRPr="00DA6C57" w:rsidRDefault="00525E60" w:rsidP="00BF75AE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090" w:type="pct"/>
            <w:shd w:val="clear" w:color="auto" w:fill="E2EFD9" w:themeFill="accent6" w:themeFillTint="33"/>
          </w:tcPr>
          <w:p w14:paraId="204D09D5" w14:textId="5E07F1F7" w:rsidR="00525E60" w:rsidRPr="00DA6C57" w:rsidRDefault="00525E60" w:rsidP="00BF75AE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525E60" w:rsidRPr="00DA6C57" w14:paraId="2BB08E12" w14:textId="77777777" w:rsidTr="00A96FF2">
        <w:trPr>
          <w:trHeight w:val="262"/>
          <w:jc w:val="center"/>
        </w:trPr>
        <w:tc>
          <w:tcPr>
            <w:tcW w:w="546" w:type="pct"/>
            <w:vMerge/>
            <w:shd w:val="clear" w:color="auto" w:fill="E2EFD9" w:themeFill="accent6" w:themeFillTint="33"/>
            <w:vAlign w:val="center"/>
          </w:tcPr>
          <w:p w14:paraId="026E5027" w14:textId="77777777" w:rsidR="00525E60" w:rsidRDefault="00525E60" w:rsidP="00BF75AE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E2EFD9" w:themeFill="accent6" w:themeFillTint="33"/>
          </w:tcPr>
          <w:p w14:paraId="5D0586F6" w14:textId="0F5B37A7" w:rsidR="00525E60" w:rsidRPr="00174924" w:rsidRDefault="002B1EDA" w:rsidP="001749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</w:t>
            </w:r>
            <w:r w:rsidR="00525E60">
              <w:rPr>
                <w:rFonts w:ascii="Arial" w:hAnsi="Arial" w:cs="Arial"/>
                <w:sz w:val="18"/>
                <w:szCs w:val="18"/>
              </w:rPr>
              <w:t>January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D51642">
              <w:rPr>
                <w:rFonts w:ascii="Arial" w:hAnsi="Arial" w:cs="Arial"/>
                <w:sz w:val="18"/>
                <w:szCs w:val="18"/>
              </w:rPr>
              <w:t>03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1642">
              <w:rPr>
                <w:rFonts w:ascii="Arial" w:hAnsi="Arial" w:cs="Arial"/>
                <w:sz w:val="18"/>
                <w:szCs w:val="18"/>
              </w:rPr>
              <w:t>May</w:t>
            </w:r>
            <w:r w:rsidR="00115CBA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1348" w:type="pct"/>
            <w:shd w:val="clear" w:color="auto" w:fill="E2EFD9" w:themeFill="accent6" w:themeFillTint="33"/>
          </w:tcPr>
          <w:p w14:paraId="38177E4F" w14:textId="1F59EF00" w:rsidR="00525E60" w:rsidRPr="00174924" w:rsidRDefault="00525E60" w:rsidP="00525E60">
            <w:pPr>
              <w:rPr>
                <w:rFonts w:ascii="Arial" w:hAnsi="Arial" w:cs="Arial"/>
                <w:sz w:val="18"/>
                <w:szCs w:val="18"/>
              </w:rPr>
            </w:pPr>
            <w:r w:rsidRPr="00174924">
              <w:rPr>
                <w:rFonts w:ascii="Arial" w:hAnsi="Arial" w:cs="Arial"/>
                <w:sz w:val="18"/>
                <w:szCs w:val="18"/>
              </w:rPr>
              <w:t xml:space="preserve">DP </w:t>
            </w:r>
            <w:r>
              <w:rPr>
                <w:rFonts w:ascii="Arial" w:hAnsi="Arial" w:cs="Arial"/>
                <w:sz w:val="18"/>
                <w:szCs w:val="18"/>
              </w:rPr>
              <w:t>consultation</w:t>
            </w:r>
            <w:r w:rsidRPr="00174924">
              <w:rPr>
                <w:rFonts w:ascii="Arial" w:hAnsi="Arial" w:cs="Arial"/>
                <w:sz w:val="18"/>
                <w:szCs w:val="18"/>
              </w:rPr>
              <w:t xml:space="preserve"> period</w:t>
            </w:r>
          </w:p>
        </w:tc>
        <w:tc>
          <w:tcPr>
            <w:tcW w:w="1073" w:type="pct"/>
            <w:shd w:val="clear" w:color="auto" w:fill="E2EFD9" w:themeFill="accent6" w:themeFillTint="33"/>
          </w:tcPr>
          <w:p w14:paraId="78557F9A" w14:textId="71538703" w:rsidR="00525E60" w:rsidRPr="00DA6C57" w:rsidRDefault="00525E60" w:rsidP="00BF75AE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090" w:type="pct"/>
            <w:shd w:val="clear" w:color="auto" w:fill="E2EFD9" w:themeFill="accent6" w:themeFillTint="33"/>
          </w:tcPr>
          <w:p w14:paraId="030D2E29" w14:textId="77777777" w:rsidR="00525E60" w:rsidRPr="00DA6C57" w:rsidRDefault="00525E60" w:rsidP="00BF75AE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E62F91" w:rsidRPr="00DA6C57" w14:paraId="0395A604" w14:textId="77777777" w:rsidTr="00A96FF2">
        <w:trPr>
          <w:trHeight w:val="262"/>
          <w:jc w:val="center"/>
        </w:trPr>
        <w:tc>
          <w:tcPr>
            <w:tcW w:w="546" w:type="pct"/>
            <w:vMerge/>
            <w:shd w:val="clear" w:color="auto" w:fill="E2EFD9" w:themeFill="accent6" w:themeFillTint="33"/>
            <w:vAlign w:val="center"/>
          </w:tcPr>
          <w:p w14:paraId="35D7D256" w14:textId="77777777" w:rsidR="00E62F91" w:rsidRDefault="00E62F91" w:rsidP="00E62F9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E2EFD9" w:themeFill="accent6" w:themeFillTint="33"/>
          </w:tcPr>
          <w:p w14:paraId="33AD01D6" w14:textId="47E4FF6D" w:rsidR="00E62F91" w:rsidRDefault="00E62F91" w:rsidP="00E62F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AD51BD">
              <w:rPr>
                <w:rFonts w:ascii="Arial" w:hAnsi="Arial" w:cs="Arial"/>
                <w:sz w:val="18"/>
                <w:szCs w:val="18"/>
              </w:rPr>
              <w:t xml:space="preserve"> March </w:t>
            </w:r>
            <w:r w:rsidR="00364D07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48" w:type="pct"/>
            <w:shd w:val="clear" w:color="auto" w:fill="E2EFD9" w:themeFill="accent6" w:themeFillTint="33"/>
          </w:tcPr>
          <w:p w14:paraId="0F2C4B5B" w14:textId="72DC5BA9" w:rsidR="00E62F91" w:rsidRPr="00174924" w:rsidRDefault="00E62F91" w:rsidP="00E62F91">
            <w:pPr>
              <w:rPr>
                <w:rFonts w:ascii="Arial" w:hAnsi="Arial" w:cs="Arial"/>
                <w:sz w:val="18"/>
                <w:szCs w:val="18"/>
              </w:rPr>
            </w:pPr>
            <w:r w:rsidRPr="00AD51BD">
              <w:rPr>
                <w:rFonts w:ascii="Arial" w:hAnsi="Arial" w:cs="Arial"/>
                <w:sz w:val="18"/>
                <w:szCs w:val="18"/>
              </w:rPr>
              <w:t>Objection period deadline for adoption of ISPMs closure (“three weeks prior CPM”)</w:t>
            </w:r>
          </w:p>
        </w:tc>
        <w:tc>
          <w:tcPr>
            <w:tcW w:w="1073" w:type="pct"/>
            <w:shd w:val="clear" w:color="auto" w:fill="E2EFD9" w:themeFill="accent6" w:themeFillTint="33"/>
          </w:tcPr>
          <w:p w14:paraId="3153A904" w14:textId="0AB55F27" w:rsidR="00E62F91" w:rsidRPr="00DA6C57" w:rsidRDefault="00E62F91" w:rsidP="00E62F91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90" w:type="pct"/>
            <w:shd w:val="clear" w:color="auto" w:fill="E2EFD9" w:themeFill="accent6" w:themeFillTint="33"/>
          </w:tcPr>
          <w:p w14:paraId="7187D8D0" w14:textId="6B101F47" w:rsidR="00E62F91" w:rsidRPr="00DA6C57" w:rsidRDefault="00E62F91" w:rsidP="00E62F91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Governance</w:t>
            </w:r>
          </w:p>
        </w:tc>
      </w:tr>
      <w:tr w:rsidR="00E62F91" w:rsidRPr="00DA6C57" w14:paraId="036472BA" w14:textId="77777777" w:rsidTr="00A96FF2">
        <w:trPr>
          <w:jc w:val="center"/>
        </w:trPr>
        <w:tc>
          <w:tcPr>
            <w:tcW w:w="546" w:type="pct"/>
            <w:vMerge/>
            <w:shd w:val="clear" w:color="auto" w:fill="E2EFD9" w:themeFill="accent6" w:themeFillTint="33"/>
            <w:vAlign w:val="center"/>
          </w:tcPr>
          <w:p w14:paraId="02F425FB" w14:textId="77777777" w:rsidR="00E62F91" w:rsidRPr="00DA6C57" w:rsidRDefault="00E62F91" w:rsidP="00E62F9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E2EFD9" w:themeFill="accent6" w:themeFillTint="33"/>
          </w:tcPr>
          <w:p w14:paraId="175C6C88" w14:textId="5C4074C4" w:rsidR="00E62F91" w:rsidRPr="00AD51BD" w:rsidRDefault="00E62F91" w:rsidP="00E62F91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 xml:space="preserve">01 March </w:t>
            </w: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48" w:type="pct"/>
            <w:shd w:val="clear" w:color="auto" w:fill="E2EFD9" w:themeFill="accent6" w:themeFillTint="33"/>
          </w:tcPr>
          <w:p w14:paraId="4FBC6988" w14:textId="15F0F5AE" w:rsidR="00E62F91" w:rsidRPr="00AD51BD" w:rsidRDefault="00E62F91" w:rsidP="00E62F91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Posting draft ISPMs to SC May</w:t>
            </w:r>
          </w:p>
        </w:tc>
        <w:tc>
          <w:tcPr>
            <w:tcW w:w="1073" w:type="pct"/>
            <w:shd w:val="clear" w:color="auto" w:fill="E2EFD9" w:themeFill="accent6" w:themeFillTint="33"/>
          </w:tcPr>
          <w:p w14:paraId="0A29753B" w14:textId="77777777" w:rsidR="00E62F91" w:rsidRPr="00AD51BD" w:rsidRDefault="00E62F91" w:rsidP="00E62F91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90" w:type="pct"/>
            <w:shd w:val="clear" w:color="auto" w:fill="E2EFD9" w:themeFill="accent6" w:themeFillTint="33"/>
          </w:tcPr>
          <w:p w14:paraId="7382FE58" w14:textId="77777777" w:rsidR="00E62F91" w:rsidRPr="00AD51BD" w:rsidRDefault="00E62F91" w:rsidP="00E62F91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Governance</w:t>
            </w:r>
          </w:p>
        </w:tc>
      </w:tr>
      <w:tr w:rsidR="002B21CA" w:rsidRPr="00DA6C57" w14:paraId="288D7646" w14:textId="77777777" w:rsidTr="00A96FF2">
        <w:trPr>
          <w:jc w:val="center"/>
        </w:trPr>
        <w:tc>
          <w:tcPr>
            <w:tcW w:w="546" w:type="pct"/>
            <w:vMerge/>
            <w:shd w:val="clear" w:color="auto" w:fill="E2EFD9" w:themeFill="accent6" w:themeFillTint="33"/>
            <w:vAlign w:val="center"/>
          </w:tcPr>
          <w:p w14:paraId="59EA7C39" w14:textId="77777777" w:rsidR="002B21CA" w:rsidRPr="00DA6C57" w:rsidRDefault="002B21CA" w:rsidP="002B21C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E2EFD9" w:themeFill="accent6" w:themeFillTint="33"/>
          </w:tcPr>
          <w:p w14:paraId="13AC8DD9" w14:textId="6DF11300" w:rsidR="002B21CA" w:rsidRPr="00AD51BD" w:rsidDel="003D2B42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17-21 </w:t>
            </w:r>
            <w:r w:rsidR="00B32328" w:rsidRPr="00AD51BD">
              <w:rPr>
                <w:rFonts w:ascii="Arial" w:hAnsi="Arial" w:cs="Arial"/>
                <w:sz w:val="18"/>
              </w:rPr>
              <w:t xml:space="preserve">March </w:t>
            </w:r>
            <w:r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1348" w:type="pct"/>
            <w:shd w:val="clear" w:color="auto" w:fill="E2EFD9" w:themeFill="accent6" w:themeFillTint="33"/>
          </w:tcPr>
          <w:p w14:paraId="5DCA69F7" w14:textId="507E1850" w:rsidR="002B21CA" w:rsidRPr="00AD51BD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CPM-</w:t>
            </w: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1073" w:type="pct"/>
            <w:shd w:val="clear" w:color="auto" w:fill="E2EFD9" w:themeFill="accent6" w:themeFillTint="33"/>
          </w:tcPr>
          <w:p w14:paraId="3950020C" w14:textId="67CC2C76" w:rsidR="002B21CA" w:rsidRPr="00AD51BD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FAO HQ</w:t>
            </w:r>
          </w:p>
        </w:tc>
        <w:tc>
          <w:tcPr>
            <w:tcW w:w="1090" w:type="pct"/>
            <w:shd w:val="clear" w:color="auto" w:fill="E2EFD9" w:themeFill="accent6" w:themeFillTint="33"/>
          </w:tcPr>
          <w:p w14:paraId="4D6B4D9E" w14:textId="1ED2A860" w:rsidR="002B21CA" w:rsidRPr="00AD51BD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Governance</w:t>
            </w:r>
          </w:p>
        </w:tc>
      </w:tr>
      <w:tr w:rsidR="00D85B26" w:rsidRPr="00DA6C57" w14:paraId="751307D0" w14:textId="77777777" w:rsidTr="00A96FF2">
        <w:trPr>
          <w:trHeight w:val="92"/>
          <w:jc w:val="center"/>
        </w:trPr>
        <w:tc>
          <w:tcPr>
            <w:tcW w:w="546" w:type="pct"/>
            <w:vMerge w:val="restart"/>
            <w:shd w:val="clear" w:color="auto" w:fill="FFE599" w:themeFill="accent4" w:themeFillTint="66"/>
            <w:vAlign w:val="center"/>
          </w:tcPr>
          <w:p w14:paraId="7EA8F7E8" w14:textId="7B1B3AF9" w:rsidR="00D85B26" w:rsidRDefault="00D85B26" w:rsidP="002B21C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nd </w:t>
            </w:r>
          </w:p>
        </w:tc>
        <w:tc>
          <w:tcPr>
            <w:tcW w:w="943" w:type="pct"/>
            <w:shd w:val="clear" w:color="auto" w:fill="FFE599" w:themeFill="accent4" w:themeFillTint="66"/>
          </w:tcPr>
          <w:p w14:paraId="333B6A81" w14:textId="1D1ED6A4" w:rsidR="00D85B26" w:rsidRDefault="00D85B26" w:rsidP="00333801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May 2025</w:t>
            </w:r>
          </w:p>
        </w:tc>
        <w:tc>
          <w:tcPr>
            <w:tcW w:w="1348" w:type="pct"/>
            <w:shd w:val="clear" w:color="auto" w:fill="FFE599" w:themeFill="accent4" w:themeFillTint="66"/>
          </w:tcPr>
          <w:p w14:paraId="0971AE02" w14:textId="2568058C" w:rsidR="00D85B26" w:rsidRPr="00AD51BD" w:rsidRDefault="00D85B26" w:rsidP="00333801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 Day of Plant Health</w:t>
            </w:r>
          </w:p>
        </w:tc>
        <w:tc>
          <w:tcPr>
            <w:tcW w:w="1073" w:type="pct"/>
            <w:shd w:val="clear" w:color="auto" w:fill="FFE599" w:themeFill="accent4" w:themeFillTint="66"/>
          </w:tcPr>
          <w:p w14:paraId="692D3FB7" w14:textId="12B62696" w:rsidR="00D85B26" w:rsidRPr="00AD51BD" w:rsidRDefault="00D85B26" w:rsidP="00333801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FAO HQ</w:t>
            </w:r>
            <w:r>
              <w:rPr>
                <w:rFonts w:ascii="Arial" w:hAnsi="Arial" w:cs="Arial"/>
                <w:sz w:val="18"/>
              </w:rPr>
              <w:t xml:space="preserve"> - </w:t>
            </w:r>
            <w:r w:rsidRPr="00E41551">
              <w:rPr>
                <w:rFonts w:ascii="Arial" w:hAnsi="Arial" w:cs="Arial"/>
                <w:sz w:val="18"/>
              </w:rPr>
              <w:t>RED ROOM</w:t>
            </w:r>
          </w:p>
        </w:tc>
        <w:tc>
          <w:tcPr>
            <w:tcW w:w="1090" w:type="pct"/>
            <w:shd w:val="clear" w:color="auto" w:fill="FFE599" w:themeFill="accent4" w:themeFillTint="66"/>
          </w:tcPr>
          <w:p w14:paraId="07F24A24" w14:textId="70F310B8" w:rsidR="00D85B26" w:rsidRPr="00AD51BD" w:rsidRDefault="00D85B26" w:rsidP="00333801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D85B26" w:rsidRPr="00DA6C57" w14:paraId="41D12DAA" w14:textId="77777777" w:rsidTr="00A96FF2">
        <w:trPr>
          <w:trHeight w:val="92"/>
          <w:jc w:val="center"/>
        </w:trPr>
        <w:tc>
          <w:tcPr>
            <w:tcW w:w="546" w:type="pct"/>
            <w:vMerge/>
            <w:shd w:val="clear" w:color="auto" w:fill="FFE599" w:themeFill="accent4" w:themeFillTint="66"/>
            <w:vAlign w:val="center"/>
          </w:tcPr>
          <w:p w14:paraId="31033A35" w14:textId="1E18FC16" w:rsidR="00D85B26" w:rsidRPr="00DA6C57" w:rsidRDefault="00D85B26" w:rsidP="002B21C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FFE599" w:themeFill="accent4" w:themeFillTint="66"/>
          </w:tcPr>
          <w:p w14:paraId="63DCD0F4" w14:textId="084445A2" w:rsidR="00D85B26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12-16</w:t>
            </w:r>
            <w:r w:rsidRPr="00AD51BD">
              <w:rPr>
                <w:rFonts w:ascii="Arial" w:hAnsi="Arial" w:cs="Arial"/>
                <w:sz w:val="18"/>
              </w:rPr>
              <w:t xml:space="preserve"> May</w:t>
            </w:r>
            <w:r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348" w:type="pct"/>
            <w:shd w:val="clear" w:color="auto" w:fill="FFE599" w:themeFill="accent4" w:themeFillTint="66"/>
          </w:tcPr>
          <w:p w14:paraId="29490858" w14:textId="79237588" w:rsidR="00D85B26" w:rsidRPr="00AD51BD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Standards Committee</w:t>
            </w:r>
            <w:r w:rsidR="00F47C70">
              <w:rPr>
                <w:rFonts w:ascii="Arial" w:hAnsi="Arial" w:cs="Arial"/>
                <w:sz w:val="18"/>
              </w:rPr>
              <w:t xml:space="preserve"> May</w:t>
            </w:r>
            <w:r w:rsidRPr="00AD51BD">
              <w:rPr>
                <w:rFonts w:ascii="Arial" w:hAnsi="Arial" w:cs="Arial"/>
                <w:sz w:val="18"/>
              </w:rPr>
              <w:t xml:space="preserve"> (SC)</w:t>
            </w:r>
          </w:p>
        </w:tc>
        <w:tc>
          <w:tcPr>
            <w:tcW w:w="1073" w:type="pct"/>
            <w:shd w:val="clear" w:color="auto" w:fill="FFE599" w:themeFill="accent4" w:themeFillTint="66"/>
          </w:tcPr>
          <w:p w14:paraId="71D1DA6D" w14:textId="1A8254A3" w:rsidR="00D85B26" w:rsidRPr="00AD51BD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FAO HQ</w:t>
            </w:r>
          </w:p>
        </w:tc>
        <w:tc>
          <w:tcPr>
            <w:tcW w:w="1090" w:type="pct"/>
            <w:shd w:val="clear" w:color="auto" w:fill="FFE599" w:themeFill="accent4" w:themeFillTint="66"/>
          </w:tcPr>
          <w:p w14:paraId="1AB58C39" w14:textId="574DA25B" w:rsidR="00D85B26" w:rsidRPr="00AD51BD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Governance</w:t>
            </w:r>
          </w:p>
        </w:tc>
      </w:tr>
      <w:tr w:rsidR="00D85B26" w:rsidRPr="00DA6C57" w14:paraId="7BA0CF6F" w14:textId="77777777" w:rsidTr="00A96FF2">
        <w:trPr>
          <w:trHeight w:val="185"/>
          <w:jc w:val="center"/>
        </w:trPr>
        <w:tc>
          <w:tcPr>
            <w:tcW w:w="546" w:type="pct"/>
            <w:vMerge/>
            <w:vAlign w:val="center"/>
          </w:tcPr>
          <w:p w14:paraId="5A5CCCA5" w14:textId="77777777" w:rsidR="00D85B26" w:rsidRPr="00DA6C57" w:rsidRDefault="00D85B26" w:rsidP="002B21C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FFE599" w:themeFill="accent4" w:themeFillTint="66"/>
          </w:tcPr>
          <w:p w14:paraId="60C2FFD0" w14:textId="204B15BB" w:rsidR="00D85B26" w:rsidRPr="00AD51BD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19-23</w:t>
            </w:r>
            <w:r w:rsidRPr="00AD51BD">
              <w:rPr>
                <w:rFonts w:ascii="Arial" w:hAnsi="Arial" w:cs="Arial"/>
                <w:sz w:val="18"/>
              </w:rPr>
              <w:t xml:space="preserve"> May</w:t>
            </w:r>
            <w:r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348" w:type="pct"/>
            <w:shd w:val="clear" w:color="auto" w:fill="FFE599" w:themeFill="accent4" w:themeFillTint="66"/>
          </w:tcPr>
          <w:p w14:paraId="33DCA914" w14:textId="77777777" w:rsidR="00D85B26" w:rsidRPr="00AD51BD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Standards Committee working group (SC-7)</w:t>
            </w:r>
          </w:p>
        </w:tc>
        <w:tc>
          <w:tcPr>
            <w:tcW w:w="1073" w:type="pct"/>
            <w:shd w:val="clear" w:color="auto" w:fill="FFE599" w:themeFill="accent4" w:themeFillTint="66"/>
          </w:tcPr>
          <w:p w14:paraId="334F27ED" w14:textId="47B39791" w:rsidR="00D85B26" w:rsidRPr="00AD51BD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FAO HQ</w:t>
            </w:r>
          </w:p>
        </w:tc>
        <w:tc>
          <w:tcPr>
            <w:tcW w:w="1090" w:type="pct"/>
            <w:shd w:val="clear" w:color="auto" w:fill="FFE599" w:themeFill="accent4" w:themeFillTint="66"/>
          </w:tcPr>
          <w:p w14:paraId="7EBB89C2" w14:textId="77777777" w:rsidR="00D85B26" w:rsidRPr="00AD51BD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Governance</w:t>
            </w:r>
          </w:p>
        </w:tc>
      </w:tr>
      <w:tr w:rsidR="00D85B26" w:rsidRPr="00DA6C57" w14:paraId="2E0F68BF" w14:textId="77777777" w:rsidTr="00A96FF2">
        <w:trPr>
          <w:trHeight w:val="185"/>
          <w:jc w:val="center"/>
        </w:trPr>
        <w:tc>
          <w:tcPr>
            <w:tcW w:w="546" w:type="pct"/>
            <w:vMerge/>
            <w:vAlign w:val="center"/>
          </w:tcPr>
          <w:p w14:paraId="39DD4979" w14:textId="77777777" w:rsidR="00D85B26" w:rsidRPr="00DA6C57" w:rsidRDefault="00D85B26" w:rsidP="002B21C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FFE599" w:themeFill="accent4" w:themeFillTint="66"/>
          </w:tcPr>
          <w:p w14:paraId="795877CD" w14:textId="645CD413" w:rsidR="00D85B26" w:rsidRDefault="00EC52F6" w:rsidP="002B21C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9-13</w:t>
            </w:r>
            <w:r w:rsidR="00D85B26">
              <w:rPr>
                <w:rFonts w:ascii="Arial" w:hAnsi="Arial" w:cs="Arial"/>
                <w:sz w:val="18"/>
              </w:rPr>
              <w:t>- June 2025</w:t>
            </w:r>
          </w:p>
        </w:tc>
        <w:tc>
          <w:tcPr>
            <w:tcW w:w="1348" w:type="pct"/>
            <w:shd w:val="clear" w:color="auto" w:fill="FFE599" w:themeFill="accent4" w:themeFillTint="66"/>
          </w:tcPr>
          <w:p w14:paraId="51F8F34D" w14:textId="5066FA09" w:rsidR="00D85B26" w:rsidRPr="00AD51BD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85B26">
              <w:rPr>
                <w:rFonts w:ascii="Arial" w:hAnsi="Arial" w:cs="Arial"/>
                <w:sz w:val="18"/>
              </w:rPr>
              <w:t>TP</w:t>
            </w:r>
            <w:r>
              <w:rPr>
                <w:rFonts w:ascii="Arial" w:hAnsi="Arial" w:cs="Arial"/>
                <w:sz w:val="18"/>
              </w:rPr>
              <w:t>P</w:t>
            </w:r>
            <w:r w:rsidR="00A96FF2">
              <w:rPr>
                <w:rFonts w:ascii="Arial" w:hAnsi="Arial" w:cs="Arial"/>
                <w:sz w:val="18"/>
              </w:rPr>
              <w:t>T</w:t>
            </w:r>
            <w:r w:rsidRPr="00D85B26">
              <w:rPr>
                <w:rFonts w:ascii="Arial" w:hAnsi="Arial" w:cs="Arial"/>
                <w:sz w:val="18"/>
              </w:rPr>
              <w:t xml:space="preserve"> Face-to-face meeting</w:t>
            </w:r>
          </w:p>
        </w:tc>
        <w:tc>
          <w:tcPr>
            <w:tcW w:w="1073" w:type="pct"/>
            <w:shd w:val="clear" w:color="auto" w:fill="FFE599" w:themeFill="accent4" w:themeFillTint="66"/>
          </w:tcPr>
          <w:p w14:paraId="569AA651" w14:textId="4C0E2862" w:rsidR="00D85B26" w:rsidRPr="00AD51BD" w:rsidRDefault="004D74B0" w:rsidP="002B21C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Japan (TBC)</w:t>
            </w:r>
          </w:p>
        </w:tc>
        <w:tc>
          <w:tcPr>
            <w:tcW w:w="1090" w:type="pct"/>
            <w:shd w:val="clear" w:color="auto" w:fill="FFE599" w:themeFill="accent4" w:themeFillTint="66"/>
          </w:tcPr>
          <w:p w14:paraId="05EB46FF" w14:textId="3DF577D3" w:rsidR="00D85B26" w:rsidRPr="00AD51BD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B21CA" w:rsidRPr="00DA6C57" w14:paraId="443BA223" w14:textId="77777777" w:rsidTr="00A96FF2">
        <w:trPr>
          <w:jc w:val="center"/>
        </w:trPr>
        <w:tc>
          <w:tcPr>
            <w:tcW w:w="546" w:type="pct"/>
            <w:vMerge w:val="restart"/>
            <w:shd w:val="clear" w:color="auto" w:fill="DEEAF6" w:themeFill="accent1" w:themeFillTint="33"/>
            <w:vAlign w:val="center"/>
          </w:tcPr>
          <w:p w14:paraId="7ED85FCF" w14:textId="78D1A8B7" w:rsidR="002B21CA" w:rsidRPr="00DA6C57" w:rsidRDefault="002B21CA" w:rsidP="002B21C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3</w:t>
            </w:r>
            <w:r w:rsidRPr="00DA6C57">
              <w:rPr>
                <w:rFonts w:ascii="Arial" w:hAnsi="Arial" w:cs="Arial"/>
                <w:sz w:val="18"/>
                <w:vertAlign w:val="superscript"/>
              </w:rPr>
              <w:t>rd</w:t>
            </w:r>
            <w:r w:rsidRPr="00DA6C5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943" w:type="pct"/>
            <w:shd w:val="clear" w:color="auto" w:fill="DEEAF6" w:themeFill="accent1" w:themeFillTint="33"/>
          </w:tcPr>
          <w:p w14:paraId="7FE443E4" w14:textId="179F71D7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 xml:space="preserve">01 July – 30 September </w:t>
            </w:r>
            <w:r w:rsidR="0084557F"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1348" w:type="pct"/>
            <w:shd w:val="clear" w:color="auto" w:fill="DEEAF6" w:themeFill="accent1" w:themeFillTint="33"/>
          </w:tcPr>
          <w:p w14:paraId="730D7D15" w14:textId="77777777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Consultation period on draft ISPMs and CPM Recommendations</w:t>
            </w:r>
          </w:p>
        </w:tc>
        <w:tc>
          <w:tcPr>
            <w:tcW w:w="1073" w:type="pct"/>
            <w:shd w:val="clear" w:color="auto" w:fill="DEEAF6" w:themeFill="accent1" w:themeFillTint="33"/>
          </w:tcPr>
          <w:p w14:paraId="67848730" w14:textId="77777777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90" w:type="pct"/>
            <w:shd w:val="clear" w:color="auto" w:fill="DEEAF6" w:themeFill="accent1" w:themeFillTint="33"/>
          </w:tcPr>
          <w:p w14:paraId="62432051" w14:textId="77777777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Consultation period</w:t>
            </w:r>
          </w:p>
        </w:tc>
      </w:tr>
      <w:tr w:rsidR="002B21CA" w:rsidRPr="00DA6C57" w14:paraId="5A3979E0" w14:textId="77777777" w:rsidTr="00A96FF2">
        <w:trPr>
          <w:jc w:val="center"/>
        </w:trPr>
        <w:tc>
          <w:tcPr>
            <w:tcW w:w="546" w:type="pct"/>
            <w:vMerge/>
            <w:vAlign w:val="center"/>
          </w:tcPr>
          <w:p w14:paraId="392B712F" w14:textId="77777777" w:rsidR="002B21CA" w:rsidRPr="00DA6C57" w:rsidRDefault="002B21CA" w:rsidP="002B21C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DEEAF6" w:themeFill="accent1" w:themeFillTint="33"/>
          </w:tcPr>
          <w:p w14:paraId="3EC7E2F8" w14:textId="1FD9A106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 xml:space="preserve">01 July – 30 </w:t>
            </w:r>
            <w:r>
              <w:rPr>
                <w:rFonts w:ascii="Arial" w:hAnsi="Arial" w:cs="Arial"/>
                <w:sz w:val="18"/>
              </w:rPr>
              <w:t>September</w:t>
            </w:r>
            <w:r w:rsidRPr="00DA6C57">
              <w:rPr>
                <w:rFonts w:ascii="Arial" w:hAnsi="Arial" w:cs="Arial"/>
                <w:sz w:val="18"/>
              </w:rPr>
              <w:t xml:space="preserve"> </w:t>
            </w:r>
            <w:r w:rsidR="0084557F"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1348" w:type="pct"/>
            <w:shd w:val="clear" w:color="auto" w:fill="DEEAF6" w:themeFill="accent1" w:themeFillTint="33"/>
          </w:tcPr>
          <w:p w14:paraId="155B1E29" w14:textId="77777777" w:rsidR="002B21CA" w:rsidRPr="00DA6C57" w:rsidRDefault="002B21CA" w:rsidP="002B21CA">
            <w:pPr>
              <w:spacing w:after="0"/>
              <w:rPr>
                <w:rFonts w:ascii="Arial" w:hAnsi="Arial" w:cs="Arial"/>
                <w:color w:val="000000" w:themeColor="text1"/>
                <w:sz w:val="18"/>
              </w:rPr>
            </w:pPr>
            <w:r w:rsidRPr="00DA6C57">
              <w:rPr>
                <w:rFonts w:ascii="Arial" w:hAnsi="Arial" w:cs="Arial"/>
                <w:color w:val="000000" w:themeColor="text1"/>
                <w:sz w:val="18"/>
              </w:rPr>
              <w:t>Consultation period on draft specifications</w:t>
            </w:r>
          </w:p>
        </w:tc>
        <w:tc>
          <w:tcPr>
            <w:tcW w:w="1073" w:type="pct"/>
            <w:shd w:val="clear" w:color="auto" w:fill="DEEAF6" w:themeFill="accent1" w:themeFillTint="33"/>
          </w:tcPr>
          <w:p w14:paraId="63A0CB1B" w14:textId="77777777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90" w:type="pct"/>
            <w:shd w:val="clear" w:color="auto" w:fill="DEEAF6" w:themeFill="accent1" w:themeFillTint="33"/>
          </w:tcPr>
          <w:p w14:paraId="2A9CBE33" w14:textId="77777777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Consultation period</w:t>
            </w:r>
          </w:p>
        </w:tc>
      </w:tr>
      <w:tr w:rsidR="002B21CA" w:rsidRPr="00DA6C57" w14:paraId="2DF0CD68" w14:textId="77777777" w:rsidTr="00A96FF2">
        <w:trPr>
          <w:jc w:val="center"/>
        </w:trPr>
        <w:tc>
          <w:tcPr>
            <w:tcW w:w="546" w:type="pct"/>
            <w:vMerge/>
            <w:vAlign w:val="center"/>
          </w:tcPr>
          <w:p w14:paraId="35448388" w14:textId="77777777" w:rsidR="002B21CA" w:rsidRPr="00DA6C57" w:rsidRDefault="002B21CA" w:rsidP="002B21C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DEEAF6" w:themeFill="accent1" w:themeFillTint="33"/>
          </w:tcPr>
          <w:p w14:paraId="6A889684" w14:textId="06FED5C8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</w:t>
            </w:r>
            <w:r w:rsidRPr="00DA6C57">
              <w:rPr>
                <w:rFonts w:ascii="Arial" w:hAnsi="Arial" w:cs="Arial"/>
                <w:sz w:val="18"/>
              </w:rPr>
              <w:t xml:space="preserve"> -</w:t>
            </w:r>
            <w:r>
              <w:rPr>
                <w:rFonts w:ascii="Arial" w:hAnsi="Arial" w:cs="Arial"/>
                <w:sz w:val="18"/>
              </w:rPr>
              <w:t>XX</w:t>
            </w:r>
            <w:r w:rsidRPr="00DA6C57">
              <w:rPr>
                <w:rFonts w:ascii="Arial" w:hAnsi="Arial" w:cs="Arial"/>
                <w:sz w:val="18"/>
              </w:rPr>
              <w:t xml:space="preserve"> August </w:t>
            </w:r>
            <w:r w:rsidR="003014B9"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1348" w:type="pct"/>
            <w:shd w:val="clear" w:color="auto" w:fill="DEEAF6" w:themeFill="accent1" w:themeFillTint="33"/>
          </w:tcPr>
          <w:p w14:paraId="1503415D" w14:textId="77777777" w:rsidR="002B21CA" w:rsidRPr="00DA6C57" w:rsidRDefault="002B21CA" w:rsidP="002B21CA">
            <w:pPr>
              <w:spacing w:after="0"/>
              <w:rPr>
                <w:rFonts w:ascii="Arial" w:hAnsi="Arial" w:cs="Arial"/>
                <w:color w:val="000000" w:themeColor="text1"/>
                <w:sz w:val="18"/>
              </w:rPr>
            </w:pPr>
            <w:r w:rsidRPr="00DA6C57">
              <w:rPr>
                <w:rFonts w:ascii="Arial" w:hAnsi="Arial" w:cs="Arial"/>
                <w:color w:val="000000" w:themeColor="text1"/>
                <w:sz w:val="18"/>
              </w:rPr>
              <w:t xml:space="preserve">IPPC Regional Workshops </w:t>
            </w:r>
          </w:p>
        </w:tc>
        <w:tc>
          <w:tcPr>
            <w:tcW w:w="1073" w:type="pct"/>
            <w:shd w:val="clear" w:color="auto" w:fill="DEEAF6" w:themeFill="accent1" w:themeFillTint="33"/>
          </w:tcPr>
          <w:p w14:paraId="38EF467B" w14:textId="5D848345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(various)</w:t>
            </w:r>
          </w:p>
        </w:tc>
        <w:tc>
          <w:tcPr>
            <w:tcW w:w="1090" w:type="pct"/>
            <w:shd w:val="clear" w:color="auto" w:fill="DEEAF6" w:themeFill="accent1" w:themeFillTint="33"/>
          </w:tcPr>
          <w:p w14:paraId="4E6FB147" w14:textId="77777777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Expert input / Capacity development</w:t>
            </w:r>
          </w:p>
        </w:tc>
      </w:tr>
      <w:tr w:rsidR="002B21CA" w:rsidRPr="00DA6C57" w14:paraId="3345D389" w14:textId="77777777" w:rsidTr="00A96FF2">
        <w:trPr>
          <w:trHeight w:val="638"/>
          <w:jc w:val="center"/>
        </w:trPr>
        <w:tc>
          <w:tcPr>
            <w:tcW w:w="546" w:type="pct"/>
            <w:vMerge/>
            <w:vAlign w:val="center"/>
          </w:tcPr>
          <w:p w14:paraId="0BDB668A" w14:textId="77777777" w:rsidR="002B21CA" w:rsidRPr="00DA6C57" w:rsidRDefault="002B21CA" w:rsidP="002B21C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DEEAF6" w:themeFill="accent1" w:themeFillTint="33"/>
          </w:tcPr>
          <w:p w14:paraId="7AF969D6" w14:textId="67750F24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</w:t>
            </w:r>
            <w:r w:rsidRPr="00DA6C57">
              <w:rPr>
                <w:rFonts w:ascii="Arial" w:hAnsi="Arial" w:cs="Arial"/>
                <w:sz w:val="18"/>
              </w:rPr>
              <w:t xml:space="preserve"> Aug – </w:t>
            </w:r>
            <w:r>
              <w:rPr>
                <w:rFonts w:ascii="Arial" w:hAnsi="Arial" w:cs="Arial"/>
                <w:sz w:val="18"/>
              </w:rPr>
              <w:t>XX</w:t>
            </w:r>
            <w:r w:rsidRPr="00DA6C57">
              <w:rPr>
                <w:rFonts w:ascii="Arial" w:hAnsi="Arial" w:cs="Arial"/>
                <w:sz w:val="18"/>
              </w:rPr>
              <w:t xml:space="preserve"> September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014B9"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1348" w:type="pct"/>
            <w:shd w:val="clear" w:color="auto" w:fill="DEEAF6" w:themeFill="accent1" w:themeFillTint="33"/>
          </w:tcPr>
          <w:p w14:paraId="4D5E2F4D" w14:textId="2F9DA1E4" w:rsidR="002B21CA" w:rsidRPr="00DA6C57" w:rsidRDefault="002B21CA" w:rsidP="002B21CA">
            <w:pPr>
              <w:spacing w:after="0"/>
              <w:rPr>
                <w:rFonts w:ascii="Arial" w:hAnsi="Arial" w:cs="Arial"/>
                <w:color w:val="000000" w:themeColor="text1"/>
                <w:sz w:val="18"/>
              </w:rPr>
            </w:pPr>
            <w:r w:rsidRPr="00DA6C57">
              <w:rPr>
                <w:rFonts w:ascii="Arial" w:hAnsi="Arial" w:cs="Arial"/>
                <w:color w:val="000000" w:themeColor="text1"/>
                <w:sz w:val="18"/>
              </w:rPr>
              <w:t xml:space="preserve">IPPC Regional Workshops </w:t>
            </w:r>
          </w:p>
        </w:tc>
        <w:tc>
          <w:tcPr>
            <w:tcW w:w="1073" w:type="pct"/>
            <w:shd w:val="clear" w:color="auto" w:fill="DEEAF6" w:themeFill="accent1" w:themeFillTint="33"/>
          </w:tcPr>
          <w:p w14:paraId="314980DA" w14:textId="4D5878AD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(various)</w:t>
            </w:r>
          </w:p>
        </w:tc>
        <w:tc>
          <w:tcPr>
            <w:tcW w:w="1090" w:type="pct"/>
            <w:shd w:val="clear" w:color="auto" w:fill="DEEAF6" w:themeFill="accent1" w:themeFillTint="33"/>
          </w:tcPr>
          <w:p w14:paraId="6BE109E7" w14:textId="561A5E50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Expert input / Capacity development</w:t>
            </w:r>
          </w:p>
        </w:tc>
      </w:tr>
      <w:tr w:rsidR="00B5683D" w14:paraId="22A000DB" w14:textId="77777777" w:rsidTr="00A96FF2">
        <w:trPr>
          <w:jc w:val="center"/>
        </w:trPr>
        <w:tc>
          <w:tcPr>
            <w:tcW w:w="546" w:type="pct"/>
            <w:vMerge w:val="restart"/>
            <w:shd w:val="clear" w:color="auto" w:fill="A6A6A6" w:themeFill="background1" w:themeFillShade="A6"/>
          </w:tcPr>
          <w:p w14:paraId="4855CFC6" w14:textId="77777777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1F10BF5D" w14:textId="77777777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2481C793" w14:textId="608A23DB" w:rsidR="00B5683D" w:rsidRPr="00DA6C57" w:rsidRDefault="00B5683D" w:rsidP="00B5683D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th </w:t>
            </w:r>
          </w:p>
        </w:tc>
        <w:tc>
          <w:tcPr>
            <w:tcW w:w="943" w:type="pct"/>
            <w:shd w:val="clear" w:color="auto" w:fill="A6A6A6" w:themeFill="background1" w:themeFillShade="A6"/>
          </w:tcPr>
          <w:p w14:paraId="21D21910" w14:textId="6B9DEFDF" w:rsidR="00B5683D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 w:rsidRPr="00DA6C5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24</w:t>
            </w:r>
            <w:r w:rsidRPr="00DA6C57">
              <w:rPr>
                <w:rFonts w:ascii="Arial" w:hAnsi="Arial" w:cs="Arial"/>
                <w:sz w:val="18"/>
              </w:rPr>
              <w:t xml:space="preserve"> October</w:t>
            </w:r>
            <w:r w:rsidRPr="00DA6C57" w:rsidDel="00926A4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1348" w:type="pct"/>
            <w:shd w:val="clear" w:color="auto" w:fill="A6A6A6" w:themeFill="background1" w:themeFillShade="A6"/>
          </w:tcPr>
          <w:p w14:paraId="1418394E" w14:textId="2CF58FEB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CPM </w:t>
            </w:r>
            <w:r w:rsidRPr="00B5683D">
              <w:rPr>
                <w:rFonts w:ascii="Arial" w:hAnsi="Arial" w:cs="Arial"/>
                <w:sz w:val="18"/>
              </w:rPr>
              <w:t>Bureau</w:t>
            </w:r>
          </w:p>
        </w:tc>
        <w:tc>
          <w:tcPr>
            <w:tcW w:w="1073" w:type="pct"/>
            <w:shd w:val="clear" w:color="auto" w:fill="A6A6A6" w:themeFill="background1" w:themeFillShade="A6"/>
          </w:tcPr>
          <w:p w14:paraId="005B2B8C" w14:textId="6EE2E09C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  <w:r w:rsidRPr="00B5683D">
              <w:rPr>
                <w:rFonts w:ascii="Arial" w:hAnsi="Arial" w:cs="Arial"/>
                <w:sz w:val="18"/>
              </w:rPr>
              <w:t>FAO HQ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r w:rsidRPr="00B5683D">
              <w:rPr>
                <w:rFonts w:ascii="Arial" w:hAnsi="Arial" w:cs="Arial"/>
                <w:sz w:val="18"/>
              </w:rPr>
              <w:t>AZERBAIJAN</w:t>
            </w:r>
            <w:r>
              <w:rPr>
                <w:rFonts w:ascii="Arial" w:hAnsi="Arial" w:cs="Arial"/>
                <w:sz w:val="18"/>
              </w:rPr>
              <w:t xml:space="preserve"> ROOM</w:t>
            </w:r>
          </w:p>
        </w:tc>
        <w:tc>
          <w:tcPr>
            <w:tcW w:w="1090" w:type="pct"/>
            <w:shd w:val="clear" w:color="auto" w:fill="A6A6A6" w:themeFill="background1" w:themeFillShade="A6"/>
          </w:tcPr>
          <w:p w14:paraId="44A254E7" w14:textId="77777777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B5683D" w14:paraId="432D08AD" w14:textId="77777777" w:rsidTr="00A96FF2">
        <w:trPr>
          <w:jc w:val="center"/>
        </w:trPr>
        <w:tc>
          <w:tcPr>
            <w:tcW w:w="546" w:type="pct"/>
            <w:vMerge/>
            <w:shd w:val="clear" w:color="auto" w:fill="A6A6A6" w:themeFill="background1" w:themeFillShade="A6"/>
          </w:tcPr>
          <w:p w14:paraId="7D39EF64" w14:textId="7B18E1EB" w:rsidR="00B5683D" w:rsidRPr="00DA6C57" w:rsidRDefault="00B5683D" w:rsidP="00B5683D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A6A6A6" w:themeFill="background1" w:themeFillShade="A6"/>
          </w:tcPr>
          <w:p w14:paraId="32A1CA5D" w14:textId="33575B43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</w:t>
            </w:r>
            <w:r w:rsidRPr="00DA6C5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31</w:t>
            </w:r>
            <w:r w:rsidRPr="00DA6C57">
              <w:rPr>
                <w:rFonts w:ascii="Arial" w:hAnsi="Arial" w:cs="Arial"/>
                <w:sz w:val="18"/>
              </w:rPr>
              <w:t xml:space="preserve"> October</w:t>
            </w:r>
            <w:r w:rsidRPr="00DA6C57" w:rsidDel="00926A4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1348" w:type="pct"/>
            <w:shd w:val="clear" w:color="auto" w:fill="A6A6A6" w:themeFill="background1" w:themeFillShade="A6"/>
          </w:tcPr>
          <w:p w14:paraId="03DD0F28" w14:textId="4BA99E39" w:rsidR="00B5683D" w:rsidRPr="00DA6C57" w:rsidRDefault="00B5683D" w:rsidP="00B5683D">
            <w:pPr>
              <w:spacing w:after="0"/>
              <w:rPr>
                <w:rFonts w:ascii="Arial" w:hAnsi="Arial" w:cs="Arial"/>
                <w:color w:val="000000" w:themeColor="text1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Tentative - Strategic Planning Group</w:t>
            </w:r>
          </w:p>
        </w:tc>
        <w:tc>
          <w:tcPr>
            <w:tcW w:w="1073" w:type="pct"/>
            <w:shd w:val="clear" w:color="auto" w:fill="A6A6A6" w:themeFill="background1" w:themeFillShade="A6"/>
          </w:tcPr>
          <w:p w14:paraId="529B1BF1" w14:textId="7BB39B99" w:rsidR="00B5683D" w:rsidRPr="00DA6C57" w:rsidRDefault="00986C49" w:rsidP="00B5683D">
            <w:pPr>
              <w:spacing w:after="0"/>
              <w:rPr>
                <w:rFonts w:ascii="Arial" w:hAnsi="Arial" w:cs="Arial"/>
                <w:sz w:val="18"/>
              </w:rPr>
            </w:pPr>
            <w:r w:rsidRPr="00986C49">
              <w:rPr>
                <w:rFonts w:ascii="Arial" w:hAnsi="Arial" w:cs="Arial"/>
                <w:sz w:val="18"/>
              </w:rPr>
              <w:t>FAO HQ: GERMAN</w:t>
            </w:r>
            <w:r>
              <w:rPr>
                <w:rFonts w:ascii="Arial" w:hAnsi="Arial" w:cs="Arial"/>
                <w:sz w:val="18"/>
              </w:rPr>
              <w:t xml:space="preserve"> ROOM</w:t>
            </w:r>
          </w:p>
        </w:tc>
        <w:tc>
          <w:tcPr>
            <w:tcW w:w="1090" w:type="pct"/>
            <w:shd w:val="clear" w:color="auto" w:fill="A6A6A6" w:themeFill="background1" w:themeFillShade="A6"/>
          </w:tcPr>
          <w:p w14:paraId="238BBF0D" w14:textId="4442B136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Other</w:t>
            </w:r>
            <w:r w:rsidRPr="00DA6C57" w:rsidDel="00926A4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B5683D" w14:paraId="64B363B5" w14:textId="77777777" w:rsidTr="00A96FF2">
        <w:trPr>
          <w:jc w:val="center"/>
        </w:trPr>
        <w:tc>
          <w:tcPr>
            <w:tcW w:w="546" w:type="pct"/>
            <w:vMerge/>
            <w:shd w:val="clear" w:color="auto" w:fill="A6A6A6" w:themeFill="background1" w:themeFillShade="A6"/>
          </w:tcPr>
          <w:p w14:paraId="099E0FE0" w14:textId="77777777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A6A6A6" w:themeFill="background1" w:themeFillShade="A6"/>
          </w:tcPr>
          <w:p w14:paraId="0FD3CA23" w14:textId="7BD1A397" w:rsidR="00B5683D" w:rsidRDefault="00A96FF2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XX-XX </w:t>
            </w:r>
            <w:r w:rsidR="00B5683D">
              <w:rPr>
                <w:rFonts w:ascii="Arial" w:hAnsi="Arial" w:cs="Arial"/>
                <w:sz w:val="18"/>
              </w:rPr>
              <w:t>October</w:t>
            </w:r>
            <w:r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348" w:type="pct"/>
            <w:shd w:val="clear" w:color="auto" w:fill="A6A6A6" w:themeFill="background1" w:themeFillShade="A6"/>
          </w:tcPr>
          <w:p w14:paraId="4AFE5850" w14:textId="347DC8A0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TPDP Face-to-face meeting</w:t>
            </w:r>
          </w:p>
        </w:tc>
        <w:tc>
          <w:tcPr>
            <w:tcW w:w="1073" w:type="pct"/>
            <w:shd w:val="clear" w:color="auto" w:fill="A6A6A6" w:themeFill="background1" w:themeFillShade="A6"/>
          </w:tcPr>
          <w:p w14:paraId="1A8EC65D" w14:textId="588663D6" w:rsidR="00B5683D" w:rsidRPr="00DA6C57" w:rsidRDefault="00A96FF2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90" w:type="pct"/>
            <w:shd w:val="clear" w:color="auto" w:fill="A6A6A6" w:themeFill="background1" w:themeFillShade="A6"/>
          </w:tcPr>
          <w:p w14:paraId="725C9455" w14:textId="36B0EE0C" w:rsidR="00B5683D" w:rsidRPr="00DA6C57" w:rsidRDefault="00A96FF2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A96FF2" w14:paraId="605B21E8" w14:textId="77777777" w:rsidTr="00A96FF2">
        <w:trPr>
          <w:trHeight w:val="185"/>
          <w:jc w:val="center"/>
        </w:trPr>
        <w:tc>
          <w:tcPr>
            <w:tcW w:w="546" w:type="pct"/>
            <w:vMerge/>
            <w:shd w:val="clear" w:color="auto" w:fill="A6A6A6" w:themeFill="background1" w:themeFillShade="A6"/>
          </w:tcPr>
          <w:p w14:paraId="4A0A0A07" w14:textId="182733D6" w:rsidR="00A96FF2" w:rsidRPr="00DA6C57" w:rsidRDefault="00A96FF2" w:rsidP="00A96FF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A6A6A6" w:themeFill="background1" w:themeFillShade="A6"/>
          </w:tcPr>
          <w:p w14:paraId="7E2F9BB6" w14:textId="584B353B" w:rsidR="00A96FF2" w:rsidRPr="00DA6C57" w:rsidRDefault="00A96FF2" w:rsidP="00A96FF2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 w:rsidRPr="00901F3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21</w:t>
            </w:r>
            <w:r w:rsidRPr="00901F36">
              <w:rPr>
                <w:rFonts w:ascii="Arial" w:hAnsi="Arial" w:cs="Arial"/>
                <w:sz w:val="18"/>
              </w:rPr>
              <w:t xml:space="preserve"> November</w:t>
            </w:r>
            <w:r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348" w:type="pct"/>
            <w:shd w:val="clear" w:color="auto" w:fill="A6A6A6" w:themeFill="background1" w:themeFillShade="A6"/>
          </w:tcPr>
          <w:p w14:paraId="037587E9" w14:textId="177D0A27" w:rsidR="00A96FF2" w:rsidRPr="00DA6C57" w:rsidRDefault="00A96FF2" w:rsidP="00A96FF2">
            <w:pPr>
              <w:spacing w:after="0"/>
              <w:rPr>
                <w:rFonts w:ascii="Arial" w:hAnsi="Arial" w:cs="Arial"/>
                <w:color w:val="000000" w:themeColor="text1"/>
                <w:sz w:val="18"/>
              </w:rPr>
            </w:pPr>
            <w:r w:rsidRPr="00901F36">
              <w:rPr>
                <w:rFonts w:ascii="Arial" w:hAnsi="Arial" w:cs="Arial"/>
                <w:sz w:val="18"/>
              </w:rPr>
              <w:t>Standards Committee (SC)</w:t>
            </w:r>
          </w:p>
        </w:tc>
        <w:tc>
          <w:tcPr>
            <w:tcW w:w="1073" w:type="pct"/>
            <w:shd w:val="clear" w:color="auto" w:fill="A6A6A6" w:themeFill="background1" w:themeFillShade="A6"/>
          </w:tcPr>
          <w:p w14:paraId="4EEBB39C" w14:textId="2866449E" w:rsidR="00A96FF2" w:rsidRPr="00DA6C57" w:rsidRDefault="00A96FF2" w:rsidP="00A96FF2">
            <w:pPr>
              <w:spacing w:after="0"/>
              <w:rPr>
                <w:rFonts w:ascii="Arial" w:hAnsi="Arial" w:cs="Arial"/>
                <w:sz w:val="18"/>
              </w:rPr>
            </w:pPr>
            <w:r w:rsidRPr="00986C49">
              <w:rPr>
                <w:rFonts w:ascii="Arial" w:hAnsi="Arial" w:cs="Arial"/>
                <w:sz w:val="18"/>
              </w:rPr>
              <w:t>FAO HQ: GERMAN</w:t>
            </w:r>
            <w:r>
              <w:rPr>
                <w:rFonts w:ascii="Arial" w:hAnsi="Arial" w:cs="Arial"/>
                <w:sz w:val="18"/>
              </w:rPr>
              <w:t xml:space="preserve"> ROOM</w:t>
            </w:r>
          </w:p>
        </w:tc>
        <w:tc>
          <w:tcPr>
            <w:tcW w:w="1090" w:type="pct"/>
            <w:shd w:val="clear" w:color="auto" w:fill="A6A6A6" w:themeFill="background1" w:themeFillShade="A6"/>
          </w:tcPr>
          <w:p w14:paraId="435649D4" w14:textId="6710B496" w:rsidR="00A96FF2" w:rsidRPr="00DA6C57" w:rsidRDefault="00A96FF2" w:rsidP="00A96FF2">
            <w:pPr>
              <w:spacing w:after="0"/>
              <w:rPr>
                <w:rFonts w:ascii="Arial" w:hAnsi="Arial" w:cs="Arial"/>
                <w:sz w:val="18"/>
              </w:rPr>
            </w:pPr>
            <w:r w:rsidRPr="00901F36">
              <w:rPr>
                <w:rFonts w:ascii="Arial" w:hAnsi="Arial" w:cs="Arial"/>
                <w:sz w:val="18"/>
              </w:rPr>
              <w:t>Governance</w:t>
            </w:r>
          </w:p>
        </w:tc>
      </w:tr>
      <w:tr w:rsidR="005A6E09" w14:paraId="2C754458" w14:textId="77777777" w:rsidTr="00A96FF2">
        <w:trPr>
          <w:trHeight w:val="185"/>
          <w:jc w:val="center"/>
        </w:trPr>
        <w:tc>
          <w:tcPr>
            <w:tcW w:w="546" w:type="pct"/>
            <w:vMerge/>
            <w:shd w:val="clear" w:color="auto" w:fill="A6A6A6" w:themeFill="background1" w:themeFillShade="A6"/>
          </w:tcPr>
          <w:p w14:paraId="3995C47A" w14:textId="77777777" w:rsidR="005A6E09" w:rsidRPr="00DA6C57" w:rsidRDefault="005A6E09" w:rsidP="005A6E09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A6A6A6" w:themeFill="background1" w:themeFillShade="A6"/>
          </w:tcPr>
          <w:p w14:paraId="419F3C9C" w14:textId="6D5683A3" w:rsidR="005A6E09" w:rsidRDefault="005A6E09" w:rsidP="005A6E09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XX-XX October 2025</w:t>
            </w:r>
          </w:p>
        </w:tc>
        <w:tc>
          <w:tcPr>
            <w:tcW w:w="1348" w:type="pct"/>
            <w:shd w:val="clear" w:color="auto" w:fill="A6A6A6" w:themeFill="background1" w:themeFillShade="A6"/>
          </w:tcPr>
          <w:p w14:paraId="14E500AB" w14:textId="03BECB7B" w:rsidR="005A6E09" w:rsidRPr="00901F36" w:rsidRDefault="005A6E09" w:rsidP="005A6E09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TPCS Face-to-face meeting</w:t>
            </w:r>
          </w:p>
        </w:tc>
        <w:tc>
          <w:tcPr>
            <w:tcW w:w="1073" w:type="pct"/>
            <w:shd w:val="clear" w:color="auto" w:fill="A6A6A6" w:themeFill="background1" w:themeFillShade="A6"/>
          </w:tcPr>
          <w:p w14:paraId="30576B5A" w14:textId="76F537BE" w:rsidR="005A6E09" w:rsidRPr="00986C49" w:rsidRDefault="005A6E09" w:rsidP="005A6E09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90" w:type="pct"/>
            <w:shd w:val="clear" w:color="auto" w:fill="A6A6A6" w:themeFill="background1" w:themeFillShade="A6"/>
          </w:tcPr>
          <w:p w14:paraId="24BE1D42" w14:textId="38685A87" w:rsidR="005A6E09" w:rsidRPr="00901F36" w:rsidRDefault="005A6E09" w:rsidP="005A6E09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B5683D" w14:paraId="0B498175" w14:textId="77777777" w:rsidTr="00A96FF2">
        <w:trPr>
          <w:trHeight w:val="185"/>
          <w:jc w:val="center"/>
        </w:trPr>
        <w:tc>
          <w:tcPr>
            <w:tcW w:w="546" w:type="pct"/>
            <w:vMerge/>
            <w:shd w:val="clear" w:color="auto" w:fill="A6A6A6" w:themeFill="background1" w:themeFillShade="A6"/>
          </w:tcPr>
          <w:p w14:paraId="13B49317" w14:textId="77777777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A6A6A6" w:themeFill="background1" w:themeFillShade="A6"/>
          </w:tcPr>
          <w:p w14:paraId="117B8857" w14:textId="240DF4B8" w:rsidR="00B5683D" w:rsidRDefault="005A275F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02-06 </w:t>
            </w:r>
            <w:r w:rsidR="00A96FF2">
              <w:rPr>
                <w:rFonts w:ascii="Arial" w:hAnsi="Arial" w:cs="Arial"/>
                <w:sz w:val="18"/>
              </w:rPr>
              <w:t xml:space="preserve"> </w:t>
            </w:r>
            <w:r w:rsidR="00B5683D">
              <w:rPr>
                <w:rFonts w:ascii="Arial" w:hAnsi="Arial" w:cs="Arial"/>
                <w:sz w:val="18"/>
              </w:rPr>
              <w:t>December</w:t>
            </w:r>
            <w:r w:rsidR="00A96FF2"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348" w:type="pct"/>
            <w:shd w:val="clear" w:color="auto" w:fill="A6A6A6" w:themeFill="background1" w:themeFillShade="A6"/>
          </w:tcPr>
          <w:p w14:paraId="4B2A20CF" w14:textId="1841C2EA" w:rsidR="00B5683D" w:rsidRPr="00901F36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TPG</w:t>
            </w:r>
          </w:p>
        </w:tc>
        <w:tc>
          <w:tcPr>
            <w:tcW w:w="1073" w:type="pct"/>
            <w:shd w:val="clear" w:color="auto" w:fill="A6A6A6" w:themeFill="background1" w:themeFillShade="A6"/>
          </w:tcPr>
          <w:p w14:paraId="2A398FAD" w14:textId="604DE5B6" w:rsidR="00B5683D" w:rsidRPr="00901F36" w:rsidRDefault="005A6E09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5A275F">
              <w:rPr>
                <w:rFonts w:ascii="Arial" w:hAnsi="Arial" w:cs="Arial"/>
                <w:sz w:val="18"/>
              </w:rPr>
              <w:t>Kenya (TBC)</w:t>
            </w:r>
          </w:p>
        </w:tc>
        <w:tc>
          <w:tcPr>
            <w:tcW w:w="1090" w:type="pct"/>
            <w:shd w:val="clear" w:color="auto" w:fill="A6A6A6" w:themeFill="background1" w:themeFillShade="A6"/>
          </w:tcPr>
          <w:p w14:paraId="7D499797" w14:textId="54D02270" w:rsidR="00B5683D" w:rsidRPr="00901F36" w:rsidRDefault="005A6E09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</w:tbl>
    <w:p w14:paraId="787DE3B7" w14:textId="77777777" w:rsidR="004E0E6D" w:rsidRPr="004E0E6D" w:rsidRDefault="004E0E6D">
      <w:pPr>
        <w:rPr>
          <w:rFonts w:ascii="Times New Roman" w:hAnsi="Times New Roman" w:cs="Times New Roman"/>
        </w:rPr>
      </w:pPr>
    </w:p>
    <w:sectPr w:rsidR="004E0E6D" w:rsidRPr="004E0E6D" w:rsidSect="006E34FC">
      <w:head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559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A27C1" w14:textId="77777777" w:rsidR="00E619A7" w:rsidRDefault="00E619A7" w:rsidP="004E0E6D">
      <w:pPr>
        <w:spacing w:after="0" w:line="240" w:lineRule="auto"/>
      </w:pPr>
      <w:r>
        <w:separator/>
      </w:r>
    </w:p>
  </w:endnote>
  <w:endnote w:type="continuationSeparator" w:id="0">
    <w:p w14:paraId="2BF92EEF" w14:textId="77777777" w:rsidR="00E619A7" w:rsidRDefault="00E619A7" w:rsidP="004E0E6D">
      <w:pPr>
        <w:spacing w:after="0" w:line="240" w:lineRule="auto"/>
      </w:pPr>
      <w:r>
        <w:continuationSeparator/>
      </w:r>
    </w:p>
  </w:endnote>
  <w:endnote w:type="continuationNotice" w:id="1">
    <w:p w14:paraId="04CACA03" w14:textId="77777777" w:rsidR="00E619A7" w:rsidRDefault="00E619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37B5B" w14:textId="3DD867DA" w:rsidR="00B940F1" w:rsidRPr="00291A55" w:rsidRDefault="00B940F1" w:rsidP="00291A55">
    <w:pPr>
      <w:pStyle w:val="IPPFooter"/>
    </w:pPr>
    <w:r w:rsidRPr="00291A55">
      <w:t xml:space="preserve">Page </w:t>
    </w:r>
    <w:r w:rsidRPr="00291A55">
      <w:fldChar w:fldCharType="begin"/>
    </w:r>
    <w:r w:rsidRPr="00291A55">
      <w:instrText xml:space="preserve"> PAGE </w:instrText>
    </w:r>
    <w:r w:rsidRPr="00291A55">
      <w:fldChar w:fldCharType="separate"/>
    </w:r>
    <w:r w:rsidR="00B9415C" w:rsidRPr="00291A55">
      <w:t>2</w:t>
    </w:r>
    <w:r w:rsidRPr="00291A55">
      <w:fldChar w:fldCharType="end"/>
    </w:r>
    <w:r w:rsidRPr="00291A55">
      <w:t xml:space="preserve"> of </w:t>
    </w:r>
    <w:r>
      <w:fldChar w:fldCharType="begin"/>
    </w:r>
    <w:r>
      <w:instrText>NUMPAGES</w:instrText>
    </w:r>
    <w:r>
      <w:fldChar w:fldCharType="separate"/>
    </w:r>
    <w:r w:rsidR="00B9415C" w:rsidRPr="00291A55">
      <w:t>6</w:t>
    </w:r>
    <w:r>
      <w:fldChar w:fldCharType="end"/>
    </w:r>
    <w:r w:rsidRPr="00291A55">
      <w:tab/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640E3" w14:textId="2ED66315" w:rsidR="00B940F1" w:rsidRPr="00291A55" w:rsidRDefault="00B940F1" w:rsidP="00291A55">
    <w:pPr>
      <w:pStyle w:val="IPPFooter"/>
    </w:pPr>
    <w:r w:rsidRPr="00291A55">
      <w:t>International Plant Protection Convention</w:t>
    </w:r>
    <w:r w:rsidRPr="00291A55">
      <w:tab/>
      <w:t xml:space="preserve">Page </w:t>
    </w:r>
    <w:r w:rsidRPr="00291A55">
      <w:fldChar w:fldCharType="begin"/>
    </w:r>
    <w:r w:rsidRPr="00291A55">
      <w:instrText xml:space="preserve"> PAGE </w:instrText>
    </w:r>
    <w:r w:rsidRPr="00291A55">
      <w:fldChar w:fldCharType="separate"/>
    </w:r>
    <w:r w:rsidR="00B9415C" w:rsidRPr="00291A55">
      <w:t>3</w:t>
    </w:r>
    <w:r w:rsidRPr="00291A55">
      <w:fldChar w:fldCharType="end"/>
    </w:r>
    <w:r w:rsidRPr="00291A55">
      <w:t xml:space="preserve"> of </w:t>
    </w:r>
    <w:r>
      <w:fldChar w:fldCharType="begin"/>
    </w:r>
    <w:r>
      <w:instrText>NUMPAGES</w:instrText>
    </w:r>
    <w:r>
      <w:fldChar w:fldCharType="separate"/>
    </w:r>
    <w:r w:rsidR="00B9415C" w:rsidRPr="00291A55"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01FC" w14:textId="36CB0158" w:rsidR="00B940F1" w:rsidRPr="00291A55" w:rsidRDefault="00B940F1" w:rsidP="00291A55">
    <w:pPr>
      <w:pStyle w:val="IPPFooter"/>
    </w:pPr>
    <w:r w:rsidRPr="00291A55">
      <w:t>International Plant Protection Convention</w:t>
    </w:r>
    <w:r w:rsidRPr="00291A55">
      <w:tab/>
      <w:t xml:space="preserve">Page </w:t>
    </w:r>
    <w:r w:rsidRPr="00291A55">
      <w:fldChar w:fldCharType="begin"/>
    </w:r>
    <w:r w:rsidRPr="00291A55">
      <w:instrText xml:space="preserve"> PAGE </w:instrText>
    </w:r>
    <w:r w:rsidRPr="00291A55">
      <w:fldChar w:fldCharType="separate"/>
    </w:r>
    <w:r w:rsidR="00B9415C" w:rsidRPr="00291A55">
      <w:t>1</w:t>
    </w:r>
    <w:r w:rsidRPr="00291A55">
      <w:fldChar w:fldCharType="end"/>
    </w:r>
    <w:r w:rsidRPr="00291A55">
      <w:t xml:space="preserve"> of </w:t>
    </w:r>
    <w:r>
      <w:fldChar w:fldCharType="begin"/>
    </w:r>
    <w:r>
      <w:instrText>NUMPAGES</w:instrText>
    </w:r>
    <w:r>
      <w:fldChar w:fldCharType="separate"/>
    </w:r>
    <w:r w:rsidR="00B9415C" w:rsidRPr="00291A55">
      <w:t>6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043BA" w14:textId="77409FC0" w:rsidR="00B940F1" w:rsidRPr="00291A55" w:rsidRDefault="00B940F1" w:rsidP="00291A55">
    <w:pPr>
      <w:pStyle w:val="IPPFooter"/>
    </w:pPr>
    <w:r w:rsidRPr="00291A55">
      <w:t>International Plant Protection Convention</w:t>
    </w:r>
    <w:r w:rsidRPr="00291A55">
      <w:tab/>
      <w:t xml:space="preserve">Page </w:t>
    </w:r>
    <w:r w:rsidRPr="00291A55">
      <w:fldChar w:fldCharType="begin"/>
    </w:r>
    <w:r w:rsidRPr="00291A55">
      <w:instrText xml:space="preserve"> PAGE </w:instrText>
    </w:r>
    <w:r w:rsidRPr="00291A55">
      <w:fldChar w:fldCharType="separate"/>
    </w:r>
    <w:r w:rsidR="00B9415C" w:rsidRPr="00291A55">
      <w:t>5</w:t>
    </w:r>
    <w:r w:rsidRPr="00291A55">
      <w:fldChar w:fldCharType="end"/>
    </w:r>
    <w:r w:rsidRPr="00291A55">
      <w:t xml:space="preserve"> of </w:t>
    </w:r>
    <w:r>
      <w:fldChar w:fldCharType="begin"/>
    </w:r>
    <w:r>
      <w:instrText>NUMPAGES</w:instrText>
    </w:r>
    <w:r>
      <w:fldChar w:fldCharType="separate"/>
    </w:r>
    <w:r w:rsidR="00B9415C" w:rsidRPr="00291A55">
      <w:t>6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413F4" w14:textId="4FB49B42" w:rsidR="00B940F1" w:rsidRPr="00291A55" w:rsidRDefault="00B940F1" w:rsidP="00CB4A89">
    <w:pPr>
      <w:pStyle w:val="IPPFooter"/>
      <w:jc w:val="left"/>
    </w:pPr>
    <w:r w:rsidRPr="00291A55">
      <w:t>International Plant Protection Convention</w:t>
    </w:r>
    <w:r w:rsidR="00CB4A89">
      <w:tab/>
    </w:r>
    <w:r w:rsidR="00CB4A89" w:rsidRPr="00CB4A89">
      <w:t xml:space="preserve"> </w:t>
    </w:r>
    <w:r w:rsidR="00CB4A89" w:rsidRPr="00291A55">
      <w:t xml:space="preserve">Page </w:t>
    </w:r>
    <w:r w:rsidR="00CB4A89" w:rsidRPr="00291A55">
      <w:fldChar w:fldCharType="begin"/>
    </w:r>
    <w:r w:rsidR="00CB4A89" w:rsidRPr="00291A55">
      <w:instrText xml:space="preserve"> PAGE </w:instrText>
    </w:r>
    <w:r w:rsidR="00CB4A89" w:rsidRPr="00291A55">
      <w:fldChar w:fldCharType="separate"/>
    </w:r>
    <w:r w:rsidR="00CB4A89">
      <w:t>5</w:t>
    </w:r>
    <w:r w:rsidR="00CB4A89" w:rsidRPr="00291A55">
      <w:fldChar w:fldCharType="end"/>
    </w:r>
    <w:r w:rsidR="00CB4A89" w:rsidRPr="00291A55">
      <w:t xml:space="preserve"> of </w:t>
    </w:r>
    <w:r w:rsidR="00CB4A89">
      <w:fldChar w:fldCharType="begin"/>
    </w:r>
    <w:r w:rsidR="00CB4A89">
      <w:instrText>NUMPAGES</w:instrText>
    </w:r>
    <w:r w:rsidR="00CB4A89">
      <w:fldChar w:fldCharType="separate"/>
    </w:r>
    <w:r w:rsidR="00CB4A89">
      <w:t>7</w:t>
    </w:r>
    <w:r w:rsidR="00CB4A8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1B788" w14:textId="77777777" w:rsidR="00E619A7" w:rsidRDefault="00E619A7" w:rsidP="004E0E6D">
      <w:pPr>
        <w:spacing w:after="0" w:line="240" w:lineRule="auto"/>
      </w:pPr>
      <w:r>
        <w:separator/>
      </w:r>
    </w:p>
  </w:footnote>
  <w:footnote w:type="continuationSeparator" w:id="0">
    <w:p w14:paraId="6BA19BB3" w14:textId="77777777" w:rsidR="00E619A7" w:rsidRDefault="00E619A7" w:rsidP="004E0E6D">
      <w:pPr>
        <w:spacing w:after="0" w:line="240" w:lineRule="auto"/>
      </w:pPr>
      <w:r>
        <w:continuationSeparator/>
      </w:r>
    </w:p>
  </w:footnote>
  <w:footnote w:type="continuationNotice" w:id="1">
    <w:p w14:paraId="54992C90" w14:textId="77777777" w:rsidR="00E619A7" w:rsidRDefault="00E619A7">
      <w:pPr>
        <w:spacing w:after="0" w:line="240" w:lineRule="auto"/>
      </w:pPr>
    </w:p>
  </w:footnote>
  <w:footnote w:id="2">
    <w:p w14:paraId="1095D633" w14:textId="7CAA66CF" w:rsidR="00B940F1" w:rsidRPr="006107F9" w:rsidRDefault="00B940F1" w:rsidP="004E0E6D">
      <w:pPr>
        <w:pStyle w:val="FootnoteText"/>
      </w:pPr>
      <w:r>
        <w:rPr>
          <w:rStyle w:val="FootnoteReference"/>
        </w:rPr>
        <w:footnoteRef/>
      </w:r>
      <w:r w:rsidR="00954901">
        <w:t xml:space="preserve"> </w:t>
      </w:r>
      <w:r w:rsidR="00540F2A">
        <w:t>2024</w:t>
      </w:r>
      <w:r>
        <w:t xml:space="preserve"> SSU Work Plan: </w:t>
      </w:r>
      <w:hyperlink r:id="rId1" w:history="1">
        <w:r w:rsidR="00540F2A" w:rsidRPr="0096547A">
          <w:rPr>
            <w:rStyle w:val="Hyperlink"/>
          </w:rPr>
          <w:t>https://www.ippc.int/en/publications/92954/</w:t>
        </w:r>
      </w:hyperlink>
    </w:p>
  </w:footnote>
  <w:footnote w:id="3">
    <w:p w14:paraId="5F471999" w14:textId="77777777" w:rsidR="00B940F1" w:rsidRDefault="00B940F1" w:rsidP="00430D1A">
      <w:pPr>
        <w:pStyle w:val="FootnoteText"/>
      </w:pPr>
      <w:r>
        <w:rPr>
          <w:rStyle w:val="FootnoteReference"/>
        </w:rPr>
        <w:footnoteRef/>
      </w:r>
      <w:r>
        <w:t xml:space="preserve"> See calendar on IPP: </w:t>
      </w:r>
      <w:hyperlink r:id="rId2" w:history="1">
        <w:r w:rsidRPr="00C10151">
          <w:rPr>
            <w:rStyle w:val="Hyperlink"/>
          </w:rPr>
          <w:t>https://www.ippc.int/year/calendar/</w:t>
        </w:r>
      </w:hyperlink>
      <w:r>
        <w:t xml:space="preserve"> </w:t>
      </w:r>
    </w:p>
  </w:footnote>
  <w:footnote w:id="4">
    <w:p w14:paraId="26191FBA" w14:textId="5FB8C3CC" w:rsidR="00B940F1" w:rsidRDefault="00B940F1">
      <w:pPr>
        <w:pStyle w:val="FootnoteText"/>
      </w:pPr>
      <w:r>
        <w:rPr>
          <w:rStyle w:val="FootnoteReference"/>
        </w:rPr>
        <w:footnoteRef/>
      </w:r>
      <w:r>
        <w:t xml:space="preserve"> For more information, please visit the webpage: </w:t>
      </w:r>
      <w:hyperlink r:id="rId3" w:history="1">
        <w:r w:rsidRPr="00C10151">
          <w:rPr>
            <w:rStyle w:val="Hyperlink"/>
          </w:rPr>
          <w:t>https://www.ippc.int/en/core-activities/external-cooperation/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DEFD4" w14:textId="147675F2" w:rsidR="00B940F1" w:rsidRDefault="003E641D" w:rsidP="003069E3">
    <w:pPr>
      <w:pStyle w:val="IPPHeaderlandscape"/>
    </w:pPr>
    <w:r>
      <w:t>17</w:t>
    </w:r>
    <w:r w:rsidR="00B940F1">
      <w:t>_SC_</w:t>
    </w:r>
    <w:r w:rsidR="00EE1388">
      <w:t>2024</w:t>
    </w:r>
    <w:r w:rsidR="0051669B">
      <w:t>_Nov (</w:t>
    </w:r>
    <w:r w:rsidR="00EE1388">
      <w:t>12</w:t>
    </w:r>
    <w:r w:rsidR="00D72242">
      <w:t>.6</w:t>
    </w:r>
    <w:r w:rsidR="00B940F1">
      <w:t xml:space="preserve">)                                                       </w:t>
    </w:r>
    <w:r w:rsidR="004336DE">
      <w:tab/>
    </w:r>
    <w:r w:rsidR="00580CA5">
      <w:t xml:space="preserve"> </w:t>
    </w:r>
    <w:r w:rsidR="00B940F1">
      <w:t xml:space="preserve">Standard Setting Unit (SSU) </w:t>
    </w:r>
    <w:r w:rsidR="00EE1388">
      <w:t>2025</w:t>
    </w:r>
    <w:r w:rsidR="00B940F1">
      <w:t xml:space="preserve"> tentative work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14D2B" w14:textId="24A40849" w:rsidR="00B940F1" w:rsidRDefault="003E641D" w:rsidP="003069E3">
    <w:pPr>
      <w:pStyle w:val="IPPHeaderlandscape"/>
    </w:pPr>
    <w:r>
      <w:t>17_SC_2024_Nov (12.6)</w:t>
    </w:r>
    <w:r>
      <w:tab/>
      <w:t xml:space="preserve"> </w:t>
    </w:r>
    <w:r w:rsidR="00B940F1">
      <w:t xml:space="preserve">Standard Setting Unit (SSU) </w:t>
    </w:r>
    <w:r w:rsidR="00EE1388">
      <w:t>2025</w:t>
    </w:r>
    <w:r w:rsidR="00B940F1">
      <w:t xml:space="preserve"> tentative work plan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B2355" w14:textId="66CAE9A4" w:rsidR="007C4D34" w:rsidRPr="00CB673A" w:rsidRDefault="007C4D34" w:rsidP="007C4D34">
    <w:pPr>
      <w:pStyle w:val="IPPHeader"/>
      <w:tabs>
        <w:tab w:val="clear" w:pos="1134"/>
      </w:tabs>
      <w:spacing w:before="240" w:after="0"/>
      <w:rPr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A4AAB0C" wp14:editId="1D90E917">
              <wp:simplePos x="0" y="0"/>
              <wp:positionH relativeFrom="margin">
                <wp:posOffset>1573530</wp:posOffset>
              </wp:positionH>
              <wp:positionV relativeFrom="page">
                <wp:posOffset>720090</wp:posOffset>
              </wp:positionV>
              <wp:extent cx="0" cy="360000"/>
              <wp:effectExtent l="0" t="0" r="38100" b="21590"/>
              <wp:wrapNone/>
              <wp:docPr id="203712807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DA73AC" id="Straight Connector 1" o:spid="_x0000_s1026" style="position:absolute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from="123.9pt,56.7pt" to="123.9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CzSjVr4AAAAAsBAAAPAAAAAAAAAAAAAAAAAAgEAABkcnMvZG93bnJl&#10;di54bWxQSwUGAAAAAAQABADzAAAAFQUAAAAA&#10;" strokecolor="black [3213]" strokeweight=".5pt">
              <v:stroke joinstyle="miter"/>
              <w10:wrap anchorx="margin" anchory="page"/>
            </v:line>
          </w:pict>
        </mc:Fallback>
      </mc:AlternateContent>
    </w:r>
    <w:r w:rsidRPr="000321A6">
      <w:rPr>
        <w:noProof/>
      </w:rPr>
      <w:drawing>
        <wp:anchor distT="0" distB="0" distL="114300" distR="114300" simplePos="0" relativeHeight="251658240" behindDoc="0" locked="0" layoutInCell="1" allowOverlap="1" wp14:anchorId="5B4AE967" wp14:editId="63E8EA4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7600" cy="558000"/>
          <wp:effectExtent l="0" t="0" r="2540" b="0"/>
          <wp:wrapTopAndBottom/>
          <wp:docPr id="12839089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7970D280" wp14:editId="78486C7C">
          <wp:simplePos x="0" y="0"/>
          <wp:positionH relativeFrom="page">
            <wp:posOffset>742950</wp:posOffset>
          </wp:positionH>
          <wp:positionV relativeFrom="page">
            <wp:posOffset>558165</wp:posOffset>
          </wp:positionV>
          <wp:extent cx="1728000" cy="698400"/>
          <wp:effectExtent l="0" t="0" r="5715" b="6985"/>
          <wp:wrapSquare wrapText="bothSides"/>
          <wp:docPr id="131624374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3631" name="Picture 1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noProof/>
      </w:rPr>
      <w:drawing>
        <wp:anchor distT="0" distB="0" distL="114300" distR="114300" simplePos="0" relativeHeight="251658242" behindDoc="0" locked="0" layoutInCell="1" allowOverlap="1" wp14:anchorId="0D76D825" wp14:editId="234ECA1A">
          <wp:simplePos x="0" y="0"/>
          <wp:positionH relativeFrom="page">
            <wp:posOffset>2520315</wp:posOffset>
          </wp:positionH>
          <wp:positionV relativeFrom="page">
            <wp:posOffset>558165</wp:posOffset>
          </wp:positionV>
          <wp:extent cx="1756800" cy="698400"/>
          <wp:effectExtent l="0" t="0" r="0" b="6985"/>
          <wp:wrapSquare wrapText="bothSides"/>
          <wp:docPr id="407664136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9013" name="Picture 2" descr="A logo of a company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673A">
      <w:rPr>
        <w:lang w:val="it-IT"/>
      </w:rPr>
      <w:tab/>
    </w:r>
    <w:r w:rsidR="00FC2FFB">
      <w:rPr>
        <w:lang w:val="it-IT"/>
      </w:rPr>
      <w:t>17</w:t>
    </w:r>
    <w:r w:rsidRPr="00CB673A">
      <w:rPr>
        <w:lang w:val="it-IT"/>
      </w:rPr>
      <w:t>_SC_2024_Nov</w:t>
    </w:r>
  </w:p>
  <w:p w14:paraId="5447342B" w14:textId="6C8EF803" w:rsidR="007C4D34" w:rsidRPr="00543573" w:rsidRDefault="007C4D34" w:rsidP="007C4D34">
    <w:pPr>
      <w:pStyle w:val="IPPHeader"/>
      <w:tabs>
        <w:tab w:val="clear" w:pos="1134"/>
      </w:tabs>
      <w:spacing w:after="0"/>
      <w:rPr>
        <w:lang w:val="it-IT"/>
      </w:rPr>
    </w:pPr>
    <w:r w:rsidRPr="00CB673A">
      <w:rPr>
        <w:lang w:val="it-IT"/>
      </w:rPr>
      <w:tab/>
    </w:r>
    <w:r w:rsidRPr="00543573">
      <w:rPr>
        <w:lang w:val="it-IT"/>
      </w:rPr>
      <w:t xml:space="preserve">Agenda item: </w:t>
    </w:r>
    <w:r w:rsidR="0080437B">
      <w:rPr>
        <w:lang w:val="it-IT"/>
      </w:rPr>
      <w:t>12.</w:t>
    </w:r>
    <w:r w:rsidR="00D72242">
      <w:rPr>
        <w:lang w:val="it-IT"/>
      </w:rPr>
      <w:t>6</w:t>
    </w:r>
  </w:p>
  <w:p w14:paraId="4AA9299E" w14:textId="77777777" w:rsidR="007C4D34" w:rsidRPr="00543573" w:rsidRDefault="007C4D34" w:rsidP="007C4D34">
    <w:pPr>
      <w:pStyle w:val="IPPHeader"/>
      <w:tabs>
        <w:tab w:val="clear" w:pos="1134"/>
      </w:tabs>
      <w:spacing w:after="260"/>
      <w:rPr>
        <w:iCs/>
        <w:lang w:val="it-IT"/>
      </w:rPr>
    </w:pPr>
  </w:p>
  <w:p w14:paraId="56FFB6CC" w14:textId="05E72E54" w:rsidR="00B940F1" w:rsidRPr="00ED2290" w:rsidRDefault="00EE1388" w:rsidP="00EE1388">
    <w:pPr>
      <w:pStyle w:val="IPPHeader"/>
      <w:tabs>
        <w:tab w:val="clear" w:pos="1134"/>
      </w:tabs>
      <w:spacing w:after="0"/>
    </w:pPr>
    <w:r w:rsidRPr="7B9001C3">
      <w:rPr>
        <w:lang w:val="it-IT"/>
      </w:rPr>
      <w:t>Standard Setting Unit (SSU) 2025 tentative work plan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1A0C" w14:textId="3F74610A" w:rsidR="003E641D" w:rsidRDefault="003E641D" w:rsidP="003069E3">
    <w:pPr>
      <w:pStyle w:val="IPPHeaderlandscape"/>
    </w:pPr>
    <w:r>
      <w:t>Standard Setting Unit (SSU) 2025 tentative work plan</w:t>
    </w:r>
    <w:r>
      <w:tab/>
      <w:t xml:space="preserve">17_SC_2024_Nov (12.6)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07B9" w14:textId="22AE5AFC" w:rsidR="00B940F1" w:rsidRPr="008A0ECE" w:rsidRDefault="003E641D" w:rsidP="008A0ECE">
    <w:pPr>
      <w:pStyle w:val="IPPHeaderlandscape"/>
    </w:pPr>
    <w:r>
      <w:t>17</w:t>
    </w:r>
    <w:r w:rsidR="004336DE">
      <w:t>_SC_</w:t>
    </w:r>
    <w:r w:rsidR="00EE1388">
      <w:t>2024</w:t>
    </w:r>
    <w:r w:rsidR="004336DE">
      <w:t>_Nov (</w:t>
    </w:r>
    <w:r w:rsidR="00EE1388">
      <w:t>12.</w:t>
    </w:r>
    <w:r>
      <w:t>6</w:t>
    </w:r>
    <w:r w:rsidR="004336DE">
      <w:t>)</w:t>
    </w:r>
    <w:r w:rsidR="00B940F1">
      <w:tab/>
    </w:r>
    <w:r w:rsidR="00B940F1" w:rsidRPr="004F10E4">
      <w:t xml:space="preserve">Standard Setting Unit (SSU) </w:t>
    </w:r>
    <w:r w:rsidR="00EE1388">
      <w:t>2025</w:t>
    </w:r>
    <w:r w:rsidR="00B940F1" w:rsidRPr="004F10E4">
      <w:t xml:space="preserve"> tentative work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hybridMultilevel"/>
    <w:tmpl w:val="06E871E4"/>
    <w:numStyleLink w:val="IPPParagraphnumberedlist"/>
  </w:abstractNum>
  <w:abstractNum w:abstractNumId="2" w15:restartNumberingAfterBreak="0">
    <w:nsid w:val="08EB47E7"/>
    <w:multiLevelType w:val="hybridMultilevel"/>
    <w:tmpl w:val="839EAB4C"/>
    <w:lvl w:ilvl="0" w:tplc="2B48B9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085C"/>
    <w:multiLevelType w:val="hybridMultilevel"/>
    <w:tmpl w:val="3B7A471C"/>
    <w:lvl w:ilvl="0" w:tplc="8D5EB7F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A69BD"/>
    <w:multiLevelType w:val="hybridMultilevel"/>
    <w:tmpl w:val="EC7278B6"/>
    <w:lvl w:ilvl="0" w:tplc="179AEC6E">
      <w:start w:val="3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  <w:b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03DA"/>
    <w:multiLevelType w:val="hybridMultilevel"/>
    <w:tmpl w:val="C43E334A"/>
    <w:lvl w:ilvl="0" w:tplc="5678A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E0F8F"/>
    <w:multiLevelType w:val="hybridMultilevel"/>
    <w:tmpl w:val="06E871E4"/>
    <w:styleLink w:val="IPPParagraphnumberedlist"/>
    <w:lvl w:ilvl="0" w:tplc="FFFFFFFF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 w:tplc="C4F44E5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 w:tplc="0254B84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 w:tplc="C48CBCC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 w:tplc="DA00D54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 w:tplc="58504A3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 w:tplc="CA628DA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 w:tplc="42F0814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 w:tplc="058E8E8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7" w15:restartNumberingAfterBreak="0">
    <w:nsid w:val="3FA54D9F"/>
    <w:multiLevelType w:val="hybridMultilevel"/>
    <w:tmpl w:val="AC3C2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D964E4"/>
    <w:multiLevelType w:val="hybridMultilevel"/>
    <w:tmpl w:val="B61A8090"/>
    <w:lvl w:ilvl="0" w:tplc="91C478CC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06E8B"/>
    <w:multiLevelType w:val="hybridMultilevel"/>
    <w:tmpl w:val="312837E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83C436E"/>
    <w:multiLevelType w:val="hybridMultilevel"/>
    <w:tmpl w:val="99BE9F44"/>
    <w:lvl w:ilvl="0" w:tplc="7CDEC2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54E39"/>
    <w:multiLevelType w:val="hybridMultilevel"/>
    <w:tmpl w:val="9126075A"/>
    <w:lvl w:ilvl="0" w:tplc="FFFFFFFF">
      <w:start w:val="1"/>
      <w:numFmt w:val="bullet"/>
      <w:pStyle w:val="IPPBullet1"/>
      <w:lvlText w:val="-"/>
      <w:lvlJc w:val="left"/>
      <w:pPr>
        <w:ind w:left="45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77E88"/>
    <w:multiLevelType w:val="hybridMultilevel"/>
    <w:tmpl w:val="703ACF4C"/>
    <w:lvl w:ilvl="0" w:tplc="3182C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537AF30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0884D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6A21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52175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772B4C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DF44C9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E6D2D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EE4279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4694280">
    <w:abstractNumId w:val="6"/>
  </w:num>
  <w:num w:numId="2" w16cid:durableId="98456208">
    <w:abstractNumId w:val="1"/>
    <w:lvlOverride w:ilvl="0">
      <w:lvl w:ilvl="0" w:tplc="E4B6A196"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 w:tplc="A4A24FCE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 w:tplc="24A2B8DC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 w:tplc="7B72445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 w:tplc="0650898E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 w:tplc="8F1E114E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 w:tplc="5A2479C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 w:tplc="81E0E0F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 w:tplc="6504CFBC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" w16cid:durableId="1135564858">
    <w:abstractNumId w:val="10"/>
  </w:num>
  <w:num w:numId="4" w16cid:durableId="20873372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4569105">
    <w:abstractNumId w:val="0"/>
  </w:num>
  <w:num w:numId="6" w16cid:durableId="248273170">
    <w:abstractNumId w:val="7"/>
  </w:num>
  <w:num w:numId="7" w16cid:durableId="359555878">
    <w:abstractNumId w:val="8"/>
  </w:num>
  <w:num w:numId="8" w16cid:durableId="141242894">
    <w:abstractNumId w:val="12"/>
  </w:num>
  <w:num w:numId="9" w16cid:durableId="370615979">
    <w:abstractNumId w:val="5"/>
  </w:num>
  <w:num w:numId="10" w16cid:durableId="308752879">
    <w:abstractNumId w:val="13"/>
  </w:num>
  <w:num w:numId="11" w16cid:durableId="21325260">
    <w:abstractNumId w:val="4"/>
  </w:num>
  <w:num w:numId="12" w16cid:durableId="1016426161">
    <w:abstractNumId w:val="11"/>
  </w:num>
  <w:num w:numId="13" w16cid:durableId="691494394">
    <w:abstractNumId w:val="2"/>
  </w:num>
  <w:num w:numId="14" w16cid:durableId="280039795">
    <w:abstractNumId w:val="14"/>
  </w:num>
  <w:num w:numId="15" w16cid:durableId="5954811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linkStyl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MLI0sjS0NLc0MTdU0lEKTi0uzszPAykwqgUAzGBOOiwAAAA="/>
  </w:docVars>
  <w:rsids>
    <w:rsidRoot w:val="004E0E6D"/>
    <w:rsid w:val="00000116"/>
    <w:rsid w:val="000035E7"/>
    <w:rsid w:val="00005EE3"/>
    <w:rsid w:val="000161E3"/>
    <w:rsid w:val="000174C9"/>
    <w:rsid w:val="0002333A"/>
    <w:rsid w:val="00027841"/>
    <w:rsid w:val="00034316"/>
    <w:rsid w:val="000360A2"/>
    <w:rsid w:val="00036DC1"/>
    <w:rsid w:val="00040F42"/>
    <w:rsid w:val="00041410"/>
    <w:rsid w:val="000517B7"/>
    <w:rsid w:val="0005747B"/>
    <w:rsid w:val="000644C2"/>
    <w:rsid w:val="000761D5"/>
    <w:rsid w:val="000762E9"/>
    <w:rsid w:val="00083C16"/>
    <w:rsid w:val="00083D45"/>
    <w:rsid w:val="000901EE"/>
    <w:rsid w:val="00095B1A"/>
    <w:rsid w:val="000B1E12"/>
    <w:rsid w:val="000B4720"/>
    <w:rsid w:val="000C1604"/>
    <w:rsid w:val="000D7C24"/>
    <w:rsid w:val="000E09FE"/>
    <w:rsid w:val="000E0A12"/>
    <w:rsid w:val="000E3C08"/>
    <w:rsid w:val="000F6235"/>
    <w:rsid w:val="000F661D"/>
    <w:rsid w:val="000F7DFA"/>
    <w:rsid w:val="001015E9"/>
    <w:rsid w:val="0010259F"/>
    <w:rsid w:val="00103126"/>
    <w:rsid w:val="00111717"/>
    <w:rsid w:val="00112AAB"/>
    <w:rsid w:val="00114EB3"/>
    <w:rsid w:val="00115CBA"/>
    <w:rsid w:val="001218AA"/>
    <w:rsid w:val="0012248F"/>
    <w:rsid w:val="00123B5F"/>
    <w:rsid w:val="00124321"/>
    <w:rsid w:val="00124909"/>
    <w:rsid w:val="0012505D"/>
    <w:rsid w:val="001312AC"/>
    <w:rsid w:val="00133F87"/>
    <w:rsid w:val="00140EC8"/>
    <w:rsid w:val="00148D31"/>
    <w:rsid w:val="0015048F"/>
    <w:rsid w:val="0015129B"/>
    <w:rsid w:val="0015394D"/>
    <w:rsid w:val="00155E19"/>
    <w:rsid w:val="0015731C"/>
    <w:rsid w:val="00161846"/>
    <w:rsid w:val="00170987"/>
    <w:rsid w:val="00174924"/>
    <w:rsid w:val="001767AD"/>
    <w:rsid w:val="001819FE"/>
    <w:rsid w:val="00183EA3"/>
    <w:rsid w:val="00185AF8"/>
    <w:rsid w:val="0019125D"/>
    <w:rsid w:val="00191A54"/>
    <w:rsid w:val="001934A5"/>
    <w:rsid w:val="001A0C83"/>
    <w:rsid w:val="001A31D9"/>
    <w:rsid w:val="001A33DA"/>
    <w:rsid w:val="001B4848"/>
    <w:rsid w:val="001C0C3F"/>
    <w:rsid w:val="001C505D"/>
    <w:rsid w:val="001D1226"/>
    <w:rsid w:val="001E11C9"/>
    <w:rsid w:val="001E227F"/>
    <w:rsid w:val="001E484D"/>
    <w:rsid w:val="001E4CF7"/>
    <w:rsid w:val="001F16CE"/>
    <w:rsid w:val="001F19C4"/>
    <w:rsid w:val="001F51E5"/>
    <w:rsid w:val="002011D7"/>
    <w:rsid w:val="00203507"/>
    <w:rsid w:val="00205EC7"/>
    <w:rsid w:val="0021032F"/>
    <w:rsid w:val="00210E26"/>
    <w:rsid w:val="00215DA3"/>
    <w:rsid w:val="00223854"/>
    <w:rsid w:val="002257E7"/>
    <w:rsid w:val="00226401"/>
    <w:rsid w:val="00235106"/>
    <w:rsid w:val="002351F2"/>
    <w:rsid w:val="00237862"/>
    <w:rsid w:val="0024590A"/>
    <w:rsid w:val="00254469"/>
    <w:rsid w:val="002569D5"/>
    <w:rsid w:val="0026183A"/>
    <w:rsid w:val="00262983"/>
    <w:rsid w:val="002654D8"/>
    <w:rsid w:val="00274101"/>
    <w:rsid w:val="00275E68"/>
    <w:rsid w:val="002865DA"/>
    <w:rsid w:val="00286BC6"/>
    <w:rsid w:val="00290FE8"/>
    <w:rsid w:val="00291A55"/>
    <w:rsid w:val="0029374A"/>
    <w:rsid w:val="00293D0B"/>
    <w:rsid w:val="002949D7"/>
    <w:rsid w:val="00296546"/>
    <w:rsid w:val="002B1EDA"/>
    <w:rsid w:val="002B21CA"/>
    <w:rsid w:val="002B66FE"/>
    <w:rsid w:val="002B6B31"/>
    <w:rsid w:val="002C26DD"/>
    <w:rsid w:val="002C59AC"/>
    <w:rsid w:val="002D0BC3"/>
    <w:rsid w:val="002D397D"/>
    <w:rsid w:val="002D3E24"/>
    <w:rsid w:val="002E5428"/>
    <w:rsid w:val="002E6951"/>
    <w:rsid w:val="003014B9"/>
    <w:rsid w:val="003069E3"/>
    <w:rsid w:val="003103B4"/>
    <w:rsid w:val="00310EFE"/>
    <w:rsid w:val="00314F9D"/>
    <w:rsid w:val="00321162"/>
    <w:rsid w:val="003230E1"/>
    <w:rsid w:val="0032634E"/>
    <w:rsid w:val="00327F04"/>
    <w:rsid w:val="00331230"/>
    <w:rsid w:val="00332B56"/>
    <w:rsid w:val="00333801"/>
    <w:rsid w:val="00342EF3"/>
    <w:rsid w:val="00347343"/>
    <w:rsid w:val="00355EF8"/>
    <w:rsid w:val="00364692"/>
    <w:rsid w:val="00364D07"/>
    <w:rsid w:val="00364EB6"/>
    <w:rsid w:val="00366862"/>
    <w:rsid w:val="00386B94"/>
    <w:rsid w:val="00394F79"/>
    <w:rsid w:val="003970AA"/>
    <w:rsid w:val="0039793E"/>
    <w:rsid w:val="003A0D7C"/>
    <w:rsid w:val="003A3A6C"/>
    <w:rsid w:val="003A5275"/>
    <w:rsid w:val="003A6F87"/>
    <w:rsid w:val="003A7F4C"/>
    <w:rsid w:val="003B3F78"/>
    <w:rsid w:val="003B766C"/>
    <w:rsid w:val="003C0CFC"/>
    <w:rsid w:val="003C69BF"/>
    <w:rsid w:val="003C7AFF"/>
    <w:rsid w:val="003D17F4"/>
    <w:rsid w:val="003D1FDF"/>
    <w:rsid w:val="003D2B42"/>
    <w:rsid w:val="003D405F"/>
    <w:rsid w:val="003E5091"/>
    <w:rsid w:val="003E641D"/>
    <w:rsid w:val="003F1524"/>
    <w:rsid w:val="003F4B73"/>
    <w:rsid w:val="003F5470"/>
    <w:rsid w:val="003F7655"/>
    <w:rsid w:val="003F7E29"/>
    <w:rsid w:val="00400AE9"/>
    <w:rsid w:val="004012AC"/>
    <w:rsid w:val="004049C6"/>
    <w:rsid w:val="00405465"/>
    <w:rsid w:val="004113E6"/>
    <w:rsid w:val="0042185A"/>
    <w:rsid w:val="00423A8C"/>
    <w:rsid w:val="004279C0"/>
    <w:rsid w:val="00430D1A"/>
    <w:rsid w:val="00433164"/>
    <w:rsid w:val="004331F6"/>
    <w:rsid w:val="004336DE"/>
    <w:rsid w:val="00440376"/>
    <w:rsid w:val="004412D9"/>
    <w:rsid w:val="0044552B"/>
    <w:rsid w:val="00446C53"/>
    <w:rsid w:val="00450068"/>
    <w:rsid w:val="004522A6"/>
    <w:rsid w:val="00453455"/>
    <w:rsid w:val="0045473B"/>
    <w:rsid w:val="0046150D"/>
    <w:rsid w:val="00462289"/>
    <w:rsid w:val="00463CA3"/>
    <w:rsid w:val="00464326"/>
    <w:rsid w:val="00466C82"/>
    <w:rsid w:val="004674F8"/>
    <w:rsid w:val="004711B8"/>
    <w:rsid w:val="004752D9"/>
    <w:rsid w:val="00476DAB"/>
    <w:rsid w:val="00476DB1"/>
    <w:rsid w:val="00481566"/>
    <w:rsid w:val="00483E12"/>
    <w:rsid w:val="004919AC"/>
    <w:rsid w:val="00492444"/>
    <w:rsid w:val="004A464B"/>
    <w:rsid w:val="004A4F08"/>
    <w:rsid w:val="004A56D3"/>
    <w:rsid w:val="004B28A6"/>
    <w:rsid w:val="004B5701"/>
    <w:rsid w:val="004C0402"/>
    <w:rsid w:val="004C393D"/>
    <w:rsid w:val="004C5892"/>
    <w:rsid w:val="004D3E63"/>
    <w:rsid w:val="004D74B0"/>
    <w:rsid w:val="004E0E6D"/>
    <w:rsid w:val="004F10E4"/>
    <w:rsid w:val="004F1CF8"/>
    <w:rsid w:val="0050132B"/>
    <w:rsid w:val="00505369"/>
    <w:rsid w:val="00505559"/>
    <w:rsid w:val="00505903"/>
    <w:rsid w:val="005113A1"/>
    <w:rsid w:val="00515A1E"/>
    <w:rsid w:val="0051669B"/>
    <w:rsid w:val="00520164"/>
    <w:rsid w:val="00521819"/>
    <w:rsid w:val="005233BA"/>
    <w:rsid w:val="00525E60"/>
    <w:rsid w:val="005260A2"/>
    <w:rsid w:val="00531AB4"/>
    <w:rsid w:val="005357DA"/>
    <w:rsid w:val="00535F54"/>
    <w:rsid w:val="00540F2A"/>
    <w:rsid w:val="00541C68"/>
    <w:rsid w:val="005448A6"/>
    <w:rsid w:val="00547E4D"/>
    <w:rsid w:val="00554661"/>
    <w:rsid w:val="005561C4"/>
    <w:rsid w:val="00556A2A"/>
    <w:rsid w:val="00560621"/>
    <w:rsid w:val="0056508E"/>
    <w:rsid w:val="00571FD1"/>
    <w:rsid w:val="00572D9F"/>
    <w:rsid w:val="00573FFC"/>
    <w:rsid w:val="00577D2C"/>
    <w:rsid w:val="0058035D"/>
    <w:rsid w:val="00580CA5"/>
    <w:rsid w:val="00580FB0"/>
    <w:rsid w:val="00584269"/>
    <w:rsid w:val="00586E83"/>
    <w:rsid w:val="00587204"/>
    <w:rsid w:val="00587CAB"/>
    <w:rsid w:val="00595DA0"/>
    <w:rsid w:val="0059799C"/>
    <w:rsid w:val="005A0E03"/>
    <w:rsid w:val="005A275F"/>
    <w:rsid w:val="005A2F5B"/>
    <w:rsid w:val="005A6E09"/>
    <w:rsid w:val="005B5CF1"/>
    <w:rsid w:val="005C795E"/>
    <w:rsid w:val="005D2C4E"/>
    <w:rsid w:val="005E51A3"/>
    <w:rsid w:val="005E629E"/>
    <w:rsid w:val="005E6A49"/>
    <w:rsid w:val="005F02D7"/>
    <w:rsid w:val="005F2AAC"/>
    <w:rsid w:val="005F3036"/>
    <w:rsid w:val="006113EC"/>
    <w:rsid w:val="00612424"/>
    <w:rsid w:val="0061617B"/>
    <w:rsid w:val="00620F1E"/>
    <w:rsid w:val="0062487D"/>
    <w:rsid w:val="006302D5"/>
    <w:rsid w:val="006325B3"/>
    <w:rsid w:val="006420A1"/>
    <w:rsid w:val="00642E5D"/>
    <w:rsid w:val="006513A2"/>
    <w:rsid w:val="006516F0"/>
    <w:rsid w:val="006550D5"/>
    <w:rsid w:val="00657C27"/>
    <w:rsid w:val="00660F33"/>
    <w:rsid w:val="006719A1"/>
    <w:rsid w:val="00671EF5"/>
    <w:rsid w:val="006730E4"/>
    <w:rsid w:val="00684242"/>
    <w:rsid w:val="006910F5"/>
    <w:rsid w:val="006914F3"/>
    <w:rsid w:val="006A746C"/>
    <w:rsid w:val="006B194E"/>
    <w:rsid w:val="006B245E"/>
    <w:rsid w:val="006B41D9"/>
    <w:rsid w:val="006C3230"/>
    <w:rsid w:val="006C5494"/>
    <w:rsid w:val="006C6EE9"/>
    <w:rsid w:val="006D0612"/>
    <w:rsid w:val="006D1154"/>
    <w:rsid w:val="006D68C4"/>
    <w:rsid w:val="006E09F8"/>
    <w:rsid w:val="006E0F1E"/>
    <w:rsid w:val="006E1219"/>
    <w:rsid w:val="006E34FC"/>
    <w:rsid w:val="006E46A0"/>
    <w:rsid w:val="006F45C6"/>
    <w:rsid w:val="00707CC3"/>
    <w:rsid w:val="00710B27"/>
    <w:rsid w:val="00711015"/>
    <w:rsid w:val="00711605"/>
    <w:rsid w:val="007138E0"/>
    <w:rsid w:val="00713D6B"/>
    <w:rsid w:val="0072465E"/>
    <w:rsid w:val="00731412"/>
    <w:rsid w:val="00733C54"/>
    <w:rsid w:val="00736EC2"/>
    <w:rsid w:val="00737477"/>
    <w:rsid w:val="00741354"/>
    <w:rsid w:val="00743AB4"/>
    <w:rsid w:val="00744AAE"/>
    <w:rsid w:val="007530E9"/>
    <w:rsid w:val="00757FF0"/>
    <w:rsid w:val="00766BF0"/>
    <w:rsid w:val="00770D5C"/>
    <w:rsid w:val="00774248"/>
    <w:rsid w:val="0078060D"/>
    <w:rsid w:val="007867D2"/>
    <w:rsid w:val="00786B03"/>
    <w:rsid w:val="007921B8"/>
    <w:rsid w:val="00793FCF"/>
    <w:rsid w:val="00794F94"/>
    <w:rsid w:val="0079625B"/>
    <w:rsid w:val="007A0A27"/>
    <w:rsid w:val="007A1D62"/>
    <w:rsid w:val="007A5525"/>
    <w:rsid w:val="007B13C2"/>
    <w:rsid w:val="007B7ACE"/>
    <w:rsid w:val="007C35D0"/>
    <w:rsid w:val="007C43A1"/>
    <w:rsid w:val="007C4D34"/>
    <w:rsid w:val="007C61A0"/>
    <w:rsid w:val="007D22F6"/>
    <w:rsid w:val="007D43FC"/>
    <w:rsid w:val="007D5F72"/>
    <w:rsid w:val="007D6B19"/>
    <w:rsid w:val="007E5014"/>
    <w:rsid w:val="007E56D9"/>
    <w:rsid w:val="007E68DF"/>
    <w:rsid w:val="007F023F"/>
    <w:rsid w:val="007F1AAC"/>
    <w:rsid w:val="007F203C"/>
    <w:rsid w:val="007F4DBC"/>
    <w:rsid w:val="007F7C1F"/>
    <w:rsid w:val="008009DB"/>
    <w:rsid w:val="00802562"/>
    <w:rsid w:val="00803FE5"/>
    <w:rsid w:val="0080437B"/>
    <w:rsid w:val="00805885"/>
    <w:rsid w:val="00805DBB"/>
    <w:rsid w:val="00811486"/>
    <w:rsid w:val="008115E7"/>
    <w:rsid w:val="008118C6"/>
    <w:rsid w:val="0081411C"/>
    <w:rsid w:val="00814453"/>
    <w:rsid w:val="00816D1D"/>
    <w:rsid w:val="00827B8C"/>
    <w:rsid w:val="00844AD6"/>
    <w:rsid w:val="0084557F"/>
    <w:rsid w:val="008534EC"/>
    <w:rsid w:val="00856455"/>
    <w:rsid w:val="00864279"/>
    <w:rsid w:val="00877448"/>
    <w:rsid w:val="00881A31"/>
    <w:rsid w:val="00882895"/>
    <w:rsid w:val="008832BD"/>
    <w:rsid w:val="00886854"/>
    <w:rsid w:val="00890F0D"/>
    <w:rsid w:val="00891EF8"/>
    <w:rsid w:val="00893A8E"/>
    <w:rsid w:val="008A0ECE"/>
    <w:rsid w:val="008A1016"/>
    <w:rsid w:val="008A1839"/>
    <w:rsid w:val="008A496A"/>
    <w:rsid w:val="008B0E7F"/>
    <w:rsid w:val="008B3E1A"/>
    <w:rsid w:val="008B4F7F"/>
    <w:rsid w:val="008C2834"/>
    <w:rsid w:val="008C3EF0"/>
    <w:rsid w:val="008C6F09"/>
    <w:rsid w:val="008C7B27"/>
    <w:rsid w:val="008D3A44"/>
    <w:rsid w:val="008D738B"/>
    <w:rsid w:val="008E266E"/>
    <w:rsid w:val="008E4E6B"/>
    <w:rsid w:val="008E7CD5"/>
    <w:rsid w:val="008F17B7"/>
    <w:rsid w:val="008F19DC"/>
    <w:rsid w:val="008F3058"/>
    <w:rsid w:val="00901F36"/>
    <w:rsid w:val="009214BD"/>
    <w:rsid w:val="00922612"/>
    <w:rsid w:val="00923352"/>
    <w:rsid w:val="00926A40"/>
    <w:rsid w:val="009356F4"/>
    <w:rsid w:val="00942F46"/>
    <w:rsid w:val="009438DF"/>
    <w:rsid w:val="00951A24"/>
    <w:rsid w:val="00954901"/>
    <w:rsid w:val="009616CD"/>
    <w:rsid w:val="009620A4"/>
    <w:rsid w:val="009676EA"/>
    <w:rsid w:val="009744E9"/>
    <w:rsid w:val="00980C9E"/>
    <w:rsid w:val="00981CD3"/>
    <w:rsid w:val="00986306"/>
    <w:rsid w:val="00986C49"/>
    <w:rsid w:val="00987229"/>
    <w:rsid w:val="00994A7A"/>
    <w:rsid w:val="0099757F"/>
    <w:rsid w:val="009A3DC0"/>
    <w:rsid w:val="009A4891"/>
    <w:rsid w:val="009A6C66"/>
    <w:rsid w:val="009A6F69"/>
    <w:rsid w:val="009B2854"/>
    <w:rsid w:val="009B4A81"/>
    <w:rsid w:val="009C1B61"/>
    <w:rsid w:val="009C1F03"/>
    <w:rsid w:val="009C37D2"/>
    <w:rsid w:val="009C6479"/>
    <w:rsid w:val="009D12A7"/>
    <w:rsid w:val="009E7C2E"/>
    <w:rsid w:val="009F1E07"/>
    <w:rsid w:val="009F341C"/>
    <w:rsid w:val="009F422D"/>
    <w:rsid w:val="00A01318"/>
    <w:rsid w:val="00A04E20"/>
    <w:rsid w:val="00A051D3"/>
    <w:rsid w:val="00A110A0"/>
    <w:rsid w:val="00A1269D"/>
    <w:rsid w:val="00A12924"/>
    <w:rsid w:val="00A12AEC"/>
    <w:rsid w:val="00A1310B"/>
    <w:rsid w:val="00A15213"/>
    <w:rsid w:val="00A16216"/>
    <w:rsid w:val="00A24B43"/>
    <w:rsid w:val="00A27652"/>
    <w:rsid w:val="00A42265"/>
    <w:rsid w:val="00A4441C"/>
    <w:rsid w:val="00A44954"/>
    <w:rsid w:val="00A53643"/>
    <w:rsid w:val="00A56A09"/>
    <w:rsid w:val="00A576E8"/>
    <w:rsid w:val="00A60117"/>
    <w:rsid w:val="00A708AE"/>
    <w:rsid w:val="00A75256"/>
    <w:rsid w:val="00A81A3F"/>
    <w:rsid w:val="00A87D5D"/>
    <w:rsid w:val="00A90692"/>
    <w:rsid w:val="00A92B1D"/>
    <w:rsid w:val="00A9305F"/>
    <w:rsid w:val="00A96FF2"/>
    <w:rsid w:val="00AA3C63"/>
    <w:rsid w:val="00AA5103"/>
    <w:rsid w:val="00AB6614"/>
    <w:rsid w:val="00AB7803"/>
    <w:rsid w:val="00AC546B"/>
    <w:rsid w:val="00AC6F8B"/>
    <w:rsid w:val="00AD07B2"/>
    <w:rsid w:val="00AD13D5"/>
    <w:rsid w:val="00AD51BD"/>
    <w:rsid w:val="00AD74CE"/>
    <w:rsid w:val="00AE1749"/>
    <w:rsid w:val="00AE6F46"/>
    <w:rsid w:val="00AF28CE"/>
    <w:rsid w:val="00AF645B"/>
    <w:rsid w:val="00B025F4"/>
    <w:rsid w:val="00B05806"/>
    <w:rsid w:val="00B06A7D"/>
    <w:rsid w:val="00B0783F"/>
    <w:rsid w:val="00B119B5"/>
    <w:rsid w:val="00B203C9"/>
    <w:rsid w:val="00B24709"/>
    <w:rsid w:val="00B32328"/>
    <w:rsid w:val="00B34F27"/>
    <w:rsid w:val="00B40944"/>
    <w:rsid w:val="00B43AC3"/>
    <w:rsid w:val="00B54055"/>
    <w:rsid w:val="00B5683D"/>
    <w:rsid w:val="00B62181"/>
    <w:rsid w:val="00B63E05"/>
    <w:rsid w:val="00B7393E"/>
    <w:rsid w:val="00B773C9"/>
    <w:rsid w:val="00B8028D"/>
    <w:rsid w:val="00B84F0E"/>
    <w:rsid w:val="00B86C04"/>
    <w:rsid w:val="00B91ABD"/>
    <w:rsid w:val="00B940F1"/>
    <w:rsid w:val="00B9415C"/>
    <w:rsid w:val="00BA0664"/>
    <w:rsid w:val="00BA2365"/>
    <w:rsid w:val="00BA5F4A"/>
    <w:rsid w:val="00BB59C8"/>
    <w:rsid w:val="00BB6B5A"/>
    <w:rsid w:val="00BB8606"/>
    <w:rsid w:val="00BC40B5"/>
    <w:rsid w:val="00BC4F7F"/>
    <w:rsid w:val="00BC4F90"/>
    <w:rsid w:val="00BD0886"/>
    <w:rsid w:val="00BD6ADD"/>
    <w:rsid w:val="00BD6F2A"/>
    <w:rsid w:val="00BE447A"/>
    <w:rsid w:val="00BE4B66"/>
    <w:rsid w:val="00BE5641"/>
    <w:rsid w:val="00BE733C"/>
    <w:rsid w:val="00BE79D0"/>
    <w:rsid w:val="00BF399A"/>
    <w:rsid w:val="00BF4D19"/>
    <w:rsid w:val="00BF4FD8"/>
    <w:rsid w:val="00BF75AE"/>
    <w:rsid w:val="00C047AF"/>
    <w:rsid w:val="00C11F6D"/>
    <w:rsid w:val="00C160B1"/>
    <w:rsid w:val="00C17325"/>
    <w:rsid w:val="00C20483"/>
    <w:rsid w:val="00C2064A"/>
    <w:rsid w:val="00C20B28"/>
    <w:rsid w:val="00C20E68"/>
    <w:rsid w:val="00C251B7"/>
    <w:rsid w:val="00C26FE0"/>
    <w:rsid w:val="00C364C1"/>
    <w:rsid w:val="00C36DE4"/>
    <w:rsid w:val="00C371FE"/>
    <w:rsid w:val="00C40B7E"/>
    <w:rsid w:val="00C428CF"/>
    <w:rsid w:val="00C44D1E"/>
    <w:rsid w:val="00C45B5C"/>
    <w:rsid w:val="00C466FC"/>
    <w:rsid w:val="00C50639"/>
    <w:rsid w:val="00C51913"/>
    <w:rsid w:val="00C527E1"/>
    <w:rsid w:val="00C52F45"/>
    <w:rsid w:val="00C54E2B"/>
    <w:rsid w:val="00C561D2"/>
    <w:rsid w:val="00C57960"/>
    <w:rsid w:val="00C60867"/>
    <w:rsid w:val="00C61671"/>
    <w:rsid w:val="00C61C67"/>
    <w:rsid w:val="00C64C06"/>
    <w:rsid w:val="00C67EA4"/>
    <w:rsid w:val="00C71AAA"/>
    <w:rsid w:val="00C71D4C"/>
    <w:rsid w:val="00C75CDA"/>
    <w:rsid w:val="00C803C8"/>
    <w:rsid w:val="00C81C2E"/>
    <w:rsid w:val="00C86442"/>
    <w:rsid w:val="00CA2533"/>
    <w:rsid w:val="00CA43B8"/>
    <w:rsid w:val="00CA7B02"/>
    <w:rsid w:val="00CB04A0"/>
    <w:rsid w:val="00CB2842"/>
    <w:rsid w:val="00CB4A89"/>
    <w:rsid w:val="00CC2C73"/>
    <w:rsid w:val="00CD3C1C"/>
    <w:rsid w:val="00CD4FAE"/>
    <w:rsid w:val="00CD57B8"/>
    <w:rsid w:val="00CD7B05"/>
    <w:rsid w:val="00CE1E10"/>
    <w:rsid w:val="00CE50AE"/>
    <w:rsid w:val="00D00340"/>
    <w:rsid w:val="00D06490"/>
    <w:rsid w:val="00D13D1B"/>
    <w:rsid w:val="00D163CA"/>
    <w:rsid w:val="00D21DDE"/>
    <w:rsid w:val="00D2673E"/>
    <w:rsid w:val="00D3097B"/>
    <w:rsid w:val="00D437F2"/>
    <w:rsid w:val="00D505B3"/>
    <w:rsid w:val="00D51642"/>
    <w:rsid w:val="00D63F21"/>
    <w:rsid w:val="00D65C04"/>
    <w:rsid w:val="00D668EF"/>
    <w:rsid w:val="00D72242"/>
    <w:rsid w:val="00D73C7B"/>
    <w:rsid w:val="00D73CB4"/>
    <w:rsid w:val="00D773B3"/>
    <w:rsid w:val="00D77845"/>
    <w:rsid w:val="00D806F9"/>
    <w:rsid w:val="00D833FB"/>
    <w:rsid w:val="00D85B26"/>
    <w:rsid w:val="00D86255"/>
    <w:rsid w:val="00D8665B"/>
    <w:rsid w:val="00D866E2"/>
    <w:rsid w:val="00D93571"/>
    <w:rsid w:val="00D9677E"/>
    <w:rsid w:val="00D97492"/>
    <w:rsid w:val="00D97783"/>
    <w:rsid w:val="00DA0A23"/>
    <w:rsid w:val="00DA51F4"/>
    <w:rsid w:val="00DA6C57"/>
    <w:rsid w:val="00DA7A47"/>
    <w:rsid w:val="00DA7D47"/>
    <w:rsid w:val="00DB3BA7"/>
    <w:rsid w:val="00DB54B1"/>
    <w:rsid w:val="00DB777F"/>
    <w:rsid w:val="00DB78E0"/>
    <w:rsid w:val="00DB79BB"/>
    <w:rsid w:val="00DB7D48"/>
    <w:rsid w:val="00DC4B68"/>
    <w:rsid w:val="00DD15CF"/>
    <w:rsid w:val="00DD6454"/>
    <w:rsid w:val="00DE2855"/>
    <w:rsid w:val="00DF38D3"/>
    <w:rsid w:val="00DF3F03"/>
    <w:rsid w:val="00DF54BC"/>
    <w:rsid w:val="00DF564C"/>
    <w:rsid w:val="00DF61A3"/>
    <w:rsid w:val="00E00546"/>
    <w:rsid w:val="00E02C62"/>
    <w:rsid w:val="00E03D03"/>
    <w:rsid w:val="00E07A44"/>
    <w:rsid w:val="00E32F61"/>
    <w:rsid w:val="00E33131"/>
    <w:rsid w:val="00E34DDD"/>
    <w:rsid w:val="00E41551"/>
    <w:rsid w:val="00E427DD"/>
    <w:rsid w:val="00E4395E"/>
    <w:rsid w:val="00E53250"/>
    <w:rsid w:val="00E55012"/>
    <w:rsid w:val="00E619A7"/>
    <w:rsid w:val="00E627AD"/>
    <w:rsid w:val="00E62F91"/>
    <w:rsid w:val="00E66A2F"/>
    <w:rsid w:val="00E67EFB"/>
    <w:rsid w:val="00E7036A"/>
    <w:rsid w:val="00E8687A"/>
    <w:rsid w:val="00E87BDF"/>
    <w:rsid w:val="00EA19F5"/>
    <w:rsid w:val="00EA3E4F"/>
    <w:rsid w:val="00EB362B"/>
    <w:rsid w:val="00EB5186"/>
    <w:rsid w:val="00EB7C31"/>
    <w:rsid w:val="00EC4C25"/>
    <w:rsid w:val="00EC52F6"/>
    <w:rsid w:val="00EC66A9"/>
    <w:rsid w:val="00ED2290"/>
    <w:rsid w:val="00EE069E"/>
    <w:rsid w:val="00EE1388"/>
    <w:rsid w:val="00EE1855"/>
    <w:rsid w:val="00EE4AB6"/>
    <w:rsid w:val="00EF0778"/>
    <w:rsid w:val="00F0037B"/>
    <w:rsid w:val="00F026FE"/>
    <w:rsid w:val="00F05558"/>
    <w:rsid w:val="00F061C3"/>
    <w:rsid w:val="00F06379"/>
    <w:rsid w:val="00F068BA"/>
    <w:rsid w:val="00F07B1B"/>
    <w:rsid w:val="00F12BEB"/>
    <w:rsid w:val="00F12E0C"/>
    <w:rsid w:val="00F205B0"/>
    <w:rsid w:val="00F21B03"/>
    <w:rsid w:val="00F23365"/>
    <w:rsid w:val="00F27BB5"/>
    <w:rsid w:val="00F36D2B"/>
    <w:rsid w:val="00F418C3"/>
    <w:rsid w:val="00F4600C"/>
    <w:rsid w:val="00F47C70"/>
    <w:rsid w:val="00F47DBB"/>
    <w:rsid w:val="00F53679"/>
    <w:rsid w:val="00F55BE4"/>
    <w:rsid w:val="00F61385"/>
    <w:rsid w:val="00F66AF9"/>
    <w:rsid w:val="00F73138"/>
    <w:rsid w:val="00F7363B"/>
    <w:rsid w:val="00F739C0"/>
    <w:rsid w:val="00F7512B"/>
    <w:rsid w:val="00F774A9"/>
    <w:rsid w:val="00F83D1F"/>
    <w:rsid w:val="00F90B1E"/>
    <w:rsid w:val="00F92B53"/>
    <w:rsid w:val="00FA06DE"/>
    <w:rsid w:val="00FA0DF1"/>
    <w:rsid w:val="00FA43DF"/>
    <w:rsid w:val="00FA63D4"/>
    <w:rsid w:val="00FA66A0"/>
    <w:rsid w:val="00FB231F"/>
    <w:rsid w:val="00FB4895"/>
    <w:rsid w:val="00FB4D85"/>
    <w:rsid w:val="00FC127D"/>
    <w:rsid w:val="00FC180F"/>
    <w:rsid w:val="00FC2FFB"/>
    <w:rsid w:val="00FC7779"/>
    <w:rsid w:val="00FD2CDC"/>
    <w:rsid w:val="00FD2F6D"/>
    <w:rsid w:val="00FD33D0"/>
    <w:rsid w:val="00FD4C22"/>
    <w:rsid w:val="00FD5BC8"/>
    <w:rsid w:val="00FE1316"/>
    <w:rsid w:val="00FE588D"/>
    <w:rsid w:val="00FF5D16"/>
    <w:rsid w:val="00FF69FC"/>
    <w:rsid w:val="00FF7461"/>
    <w:rsid w:val="012BC5BF"/>
    <w:rsid w:val="01B05D92"/>
    <w:rsid w:val="01B5D1AB"/>
    <w:rsid w:val="01B713B7"/>
    <w:rsid w:val="0240FA80"/>
    <w:rsid w:val="028822BE"/>
    <w:rsid w:val="02941136"/>
    <w:rsid w:val="02D7CD17"/>
    <w:rsid w:val="02EAB725"/>
    <w:rsid w:val="03206A3F"/>
    <w:rsid w:val="034C2DF3"/>
    <w:rsid w:val="03A7FEEC"/>
    <w:rsid w:val="03AB1707"/>
    <w:rsid w:val="03FFF7ED"/>
    <w:rsid w:val="040BA886"/>
    <w:rsid w:val="053B3EF5"/>
    <w:rsid w:val="0567C4EB"/>
    <w:rsid w:val="05B9B65B"/>
    <w:rsid w:val="061B6787"/>
    <w:rsid w:val="0627C8FC"/>
    <w:rsid w:val="0645DE56"/>
    <w:rsid w:val="065E6F52"/>
    <w:rsid w:val="066DBBAA"/>
    <w:rsid w:val="0677EB90"/>
    <w:rsid w:val="06907C87"/>
    <w:rsid w:val="0698B210"/>
    <w:rsid w:val="06E294DD"/>
    <w:rsid w:val="07076D05"/>
    <w:rsid w:val="074E4A59"/>
    <w:rsid w:val="07637857"/>
    <w:rsid w:val="077E224C"/>
    <w:rsid w:val="0803B775"/>
    <w:rsid w:val="081F9F16"/>
    <w:rsid w:val="08982EFD"/>
    <w:rsid w:val="090912FE"/>
    <w:rsid w:val="095F9862"/>
    <w:rsid w:val="09933954"/>
    <w:rsid w:val="09BE4C03"/>
    <w:rsid w:val="09F53B37"/>
    <w:rsid w:val="09F60171"/>
    <w:rsid w:val="09FA8ACC"/>
    <w:rsid w:val="0A7586A0"/>
    <w:rsid w:val="0A796D59"/>
    <w:rsid w:val="0AE97C8F"/>
    <w:rsid w:val="0AF147C9"/>
    <w:rsid w:val="0BAAF87D"/>
    <w:rsid w:val="0BD54CAF"/>
    <w:rsid w:val="0BDCFC73"/>
    <w:rsid w:val="0BFBB36F"/>
    <w:rsid w:val="0C163EAD"/>
    <w:rsid w:val="0C395450"/>
    <w:rsid w:val="0C56EF3C"/>
    <w:rsid w:val="0C82EF10"/>
    <w:rsid w:val="0C835EB9"/>
    <w:rsid w:val="0C86EB74"/>
    <w:rsid w:val="0C8F1E21"/>
    <w:rsid w:val="0CC21675"/>
    <w:rsid w:val="0CC337BD"/>
    <w:rsid w:val="0D0D7549"/>
    <w:rsid w:val="0D2656B4"/>
    <w:rsid w:val="0D4BDE3E"/>
    <w:rsid w:val="0E1EBF71"/>
    <w:rsid w:val="0E36E05F"/>
    <w:rsid w:val="0E68ED89"/>
    <w:rsid w:val="0EB6F597"/>
    <w:rsid w:val="0EEB7740"/>
    <w:rsid w:val="0F0B427F"/>
    <w:rsid w:val="0F82BE42"/>
    <w:rsid w:val="0F9D3B1F"/>
    <w:rsid w:val="0FD2A070"/>
    <w:rsid w:val="102BB9E8"/>
    <w:rsid w:val="1096DFFD"/>
    <w:rsid w:val="10BE9423"/>
    <w:rsid w:val="10D23A27"/>
    <w:rsid w:val="10FCAAFB"/>
    <w:rsid w:val="112AC225"/>
    <w:rsid w:val="113E6205"/>
    <w:rsid w:val="114EB0A7"/>
    <w:rsid w:val="116B1811"/>
    <w:rsid w:val="11D0B995"/>
    <w:rsid w:val="11E3DBD1"/>
    <w:rsid w:val="121F4F61"/>
    <w:rsid w:val="12422BB1"/>
    <w:rsid w:val="125C629C"/>
    <w:rsid w:val="133260D4"/>
    <w:rsid w:val="13E725B2"/>
    <w:rsid w:val="14D54209"/>
    <w:rsid w:val="155DF26B"/>
    <w:rsid w:val="157D8435"/>
    <w:rsid w:val="1670DA00"/>
    <w:rsid w:val="169EE5A5"/>
    <w:rsid w:val="16AE2E3C"/>
    <w:rsid w:val="16C8446B"/>
    <w:rsid w:val="177769A1"/>
    <w:rsid w:val="17805FEE"/>
    <w:rsid w:val="1830D406"/>
    <w:rsid w:val="185EE213"/>
    <w:rsid w:val="186DAD46"/>
    <w:rsid w:val="187CF2AA"/>
    <w:rsid w:val="189BFC9A"/>
    <w:rsid w:val="18A8F37D"/>
    <w:rsid w:val="196415F7"/>
    <w:rsid w:val="19B115D1"/>
    <w:rsid w:val="1A5DC30C"/>
    <w:rsid w:val="1A74B65C"/>
    <w:rsid w:val="1ABDE861"/>
    <w:rsid w:val="1AD8954E"/>
    <w:rsid w:val="1AF18B5E"/>
    <w:rsid w:val="1AF87576"/>
    <w:rsid w:val="1B0E2538"/>
    <w:rsid w:val="1BCC2085"/>
    <w:rsid w:val="1BE6EDCC"/>
    <w:rsid w:val="1C2ED7CC"/>
    <w:rsid w:val="1D1B4F4E"/>
    <w:rsid w:val="1D54E404"/>
    <w:rsid w:val="1D900FAF"/>
    <w:rsid w:val="1DB3CDEC"/>
    <w:rsid w:val="1DC49078"/>
    <w:rsid w:val="1DE3CE99"/>
    <w:rsid w:val="1E0E2DDA"/>
    <w:rsid w:val="1E8CBD5D"/>
    <w:rsid w:val="1EDEB4AD"/>
    <w:rsid w:val="1EFD4CCD"/>
    <w:rsid w:val="1F365E33"/>
    <w:rsid w:val="1F7F8C9E"/>
    <w:rsid w:val="1FF61206"/>
    <w:rsid w:val="207C9377"/>
    <w:rsid w:val="210BB2BC"/>
    <w:rsid w:val="211D20FE"/>
    <w:rsid w:val="21822988"/>
    <w:rsid w:val="2186872D"/>
    <w:rsid w:val="219435B7"/>
    <w:rsid w:val="21A50A21"/>
    <w:rsid w:val="237B55BB"/>
    <w:rsid w:val="2396322E"/>
    <w:rsid w:val="23C56B39"/>
    <w:rsid w:val="23F78777"/>
    <w:rsid w:val="2448B7D2"/>
    <w:rsid w:val="24591635"/>
    <w:rsid w:val="2485D2CA"/>
    <w:rsid w:val="24CB2CA2"/>
    <w:rsid w:val="24CF15BF"/>
    <w:rsid w:val="2596AD5D"/>
    <w:rsid w:val="259DC6D1"/>
    <w:rsid w:val="25BBA8F4"/>
    <w:rsid w:val="267A8912"/>
    <w:rsid w:val="26935415"/>
    <w:rsid w:val="272E2FA0"/>
    <w:rsid w:val="273A1107"/>
    <w:rsid w:val="279C643B"/>
    <w:rsid w:val="27CEE801"/>
    <w:rsid w:val="284FB62A"/>
    <w:rsid w:val="286CC557"/>
    <w:rsid w:val="28CC971F"/>
    <w:rsid w:val="2910356F"/>
    <w:rsid w:val="292DD06A"/>
    <w:rsid w:val="29637056"/>
    <w:rsid w:val="297BFE5A"/>
    <w:rsid w:val="29974B93"/>
    <w:rsid w:val="29F02696"/>
    <w:rsid w:val="29F2D98F"/>
    <w:rsid w:val="29F89E09"/>
    <w:rsid w:val="2A3D516B"/>
    <w:rsid w:val="2A428342"/>
    <w:rsid w:val="2AE85AC4"/>
    <w:rsid w:val="2B76E3F3"/>
    <w:rsid w:val="2B8EA9F0"/>
    <w:rsid w:val="2BE9BD3A"/>
    <w:rsid w:val="2C62B960"/>
    <w:rsid w:val="2C857E69"/>
    <w:rsid w:val="2CC6DBF4"/>
    <w:rsid w:val="2CD5EBBC"/>
    <w:rsid w:val="2CDBAF5B"/>
    <w:rsid w:val="2DBB02B0"/>
    <w:rsid w:val="2DD70DF4"/>
    <w:rsid w:val="2E16F961"/>
    <w:rsid w:val="2E268F71"/>
    <w:rsid w:val="2E301CE4"/>
    <w:rsid w:val="2E302C9A"/>
    <w:rsid w:val="2EAEBC16"/>
    <w:rsid w:val="2EBB243B"/>
    <w:rsid w:val="2F01E0C3"/>
    <w:rsid w:val="2F95566F"/>
    <w:rsid w:val="30932FD1"/>
    <w:rsid w:val="30D93A86"/>
    <w:rsid w:val="312C9D82"/>
    <w:rsid w:val="31CA1D99"/>
    <w:rsid w:val="320D9913"/>
    <w:rsid w:val="3260483F"/>
    <w:rsid w:val="32A6B1A9"/>
    <w:rsid w:val="32BAFCC1"/>
    <w:rsid w:val="32C2D60D"/>
    <w:rsid w:val="32EE4233"/>
    <w:rsid w:val="32EF7073"/>
    <w:rsid w:val="330C523B"/>
    <w:rsid w:val="33D62C7F"/>
    <w:rsid w:val="340FF885"/>
    <w:rsid w:val="3411BC36"/>
    <w:rsid w:val="341B71B8"/>
    <w:rsid w:val="346E2A49"/>
    <w:rsid w:val="348BFA9B"/>
    <w:rsid w:val="34E93DF2"/>
    <w:rsid w:val="3594C146"/>
    <w:rsid w:val="35BBEB02"/>
    <w:rsid w:val="36070192"/>
    <w:rsid w:val="362DE4CF"/>
    <w:rsid w:val="36580AED"/>
    <w:rsid w:val="3660326F"/>
    <w:rsid w:val="37266915"/>
    <w:rsid w:val="37F0EB11"/>
    <w:rsid w:val="380BA875"/>
    <w:rsid w:val="384A0D0E"/>
    <w:rsid w:val="3852A2F6"/>
    <w:rsid w:val="3894D68C"/>
    <w:rsid w:val="38AB464C"/>
    <w:rsid w:val="38C4FB3F"/>
    <w:rsid w:val="391686C9"/>
    <w:rsid w:val="3931F112"/>
    <w:rsid w:val="39B01913"/>
    <w:rsid w:val="39BC0721"/>
    <w:rsid w:val="3A643D4D"/>
    <w:rsid w:val="3A75F664"/>
    <w:rsid w:val="3AC7709D"/>
    <w:rsid w:val="3AD41202"/>
    <w:rsid w:val="3B915B94"/>
    <w:rsid w:val="3BF5C5DD"/>
    <w:rsid w:val="3C04D2D1"/>
    <w:rsid w:val="3C58BC6C"/>
    <w:rsid w:val="3C952479"/>
    <w:rsid w:val="3CD84367"/>
    <w:rsid w:val="3D03736D"/>
    <w:rsid w:val="3D2E8837"/>
    <w:rsid w:val="3D2F5332"/>
    <w:rsid w:val="3DC51E64"/>
    <w:rsid w:val="3E817326"/>
    <w:rsid w:val="3ED35301"/>
    <w:rsid w:val="3ED3E837"/>
    <w:rsid w:val="3EFA182B"/>
    <w:rsid w:val="3F30762E"/>
    <w:rsid w:val="40078210"/>
    <w:rsid w:val="4095E88C"/>
    <w:rsid w:val="40DBF4F1"/>
    <w:rsid w:val="411DCFFD"/>
    <w:rsid w:val="413B1FF5"/>
    <w:rsid w:val="422256FC"/>
    <w:rsid w:val="4228E2CB"/>
    <w:rsid w:val="42322B96"/>
    <w:rsid w:val="42386CE6"/>
    <w:rsid w:val="42418CF5"/>
    <w:rsid w:val="4246BFAC"/>
    <w:rsid w:val="42A00D16"/>
    <w:rsid w:val="42B7BC26"/>
    <w:rsid w:val="42DD2570"/>
    <w:rsid w:val="437FCA89"/>
    <w:rsid w:val="43CDFBF7"/>
    <w:rsid w:val="43ED5852"/>
    <w:rsid w:val="44328E5F"/>
    <w:rsid w:val="4436182F"/>
    <w:rsid w:val="44C87DAD"/>
    <w:rsid w:val="4522D3D8"/>
    <w:rsid w:val="455B2935"/>
    <w:rsid w:val="45756271"/>
    <w:rsid w:val="45EEB35B"/>
    <w:rsid w:val="45F223E5"/>
    <w:rsid w:val="45F36FD8"/>
    <w:rsid w:val="460E8499"/>
    <w:rsid w:val="4616C91C"/>
    <w:rsid w:val="4628FD99"/>
    <w:rsid w:val="4666D99A"/>
    <w:rsid w:val="4698A14B"/>
    <w:rsid w:val="46C43FC8"/>
    <w:rsid w:val="4741F356"/>
    <w:rsid w:val="47ADF82F"/>
    <w:rsid w:val="47FE8BA1"/>
    <w:rsid w:val="4807709E"/>
    <w:rsid w:val="482D6167"/>
    <w:rsid w:val="492FAC7F"/>
    <w:rsid w:val="49AD9DF1"/>
    <w:rsid w:val="49ED3F06"/>
    <w:rsid w:val="4B0C97CD"/>
    <w:rsid w:val="4B26AF08"/>
    <w:rsid w:val="4B5CC075"/>
    <w:rsid w:val="4B8CBFC4"/>
    <w:rsid w:val="4BD08780"/>
    <w:rsid w:val="4BE97940"/>
    <w:rsid w:val="4BFDA4B6"/>
    <w:rsid w:val="4C58CC0A"/>
    <w:rsid w:val="4CE37D41"/>
    <w:rsid w:val="4CF890D6"/>
    <w:rsid w:val="4D6CF1B2"/>
    <w:rsid w:val="4D870007"/>
    <w:rsid w:val="4DC67D1E"/>
    <w:rsid w:val="4E065579"/>
    <w:rsid w:val="4E0D1F75"/>
    <w:rsid w:val="4E148E93"/>
    <w:rsid w:val="4E207480"/>
    <w:rsid w:val="4E2B85B0"/>
    <w:rsid w:val="4ECC6DE6"/>
    <w:rsid w:val="4EDDE0BE"/>
    <w:rsid w:val="4F013399"/>
    <w:rsid w:val="4F80DE98"/>
    <w:rsid w:val="4FB270DA"/>
    <w:rsid w:val="503605E6"/>
    <w:rsid w:val="510DB10D"/>
    <w:rsid w:val="517A1C10"/>
    <w:rsid w:val="5185D941"/>
    <w:rsid w:val="51D041AC"/>
    <w:rsid w:val="51EFC2FD"/>
    <w:rsid w:val="522A1704"/>
    <w:rsid w:val="527F1B3D"/>
    <w:rsid w:val="53543F10"/>
    <w:rsid w:val="5367614F"/>
    <w:rsid w:val="53B77667"/>
    <w:rsid w:val="53C5E765"/>
    <w:rsid w:val="542D71F1"/>
    <w:rsid w:val="54495095"/>
    <w:rsid w:val="54ABB382"/>
    <w:rsid w:val="54BE47AE"/>
    <w:rsid w:val="54FFC335"/>
    <w:rsid w:val="5561B7C6"/>
    <w:rsid w:val="5590B11E"/>
    <w:rsid w:val="56893483"/>
    <w:rsid w:val="56AD2872"/>
    <w:rsid w:val="57260944"/>
    <w:rsid w:val="57319C35"/>
    <w:rsid w:val="5780C082"/>
    <w:rsid w:val="57FED0F0"/>
    <w:rsid w:val="58056BD2"/>
    <w:rsid w:val="58E9B891"/>
    <w:rsid w:val="58FF2412"/>
    <w:rsid w:val="59072A5C"/>
    <w:rsid w:val="5967E990"/>
    <w:rsid w:val="59789074"/>
    <w:rsid w:val="598093EC"/>
    <w:rsid w:val="598F2C60"/>
    <w:rsid w:val="59E0BD9E"/>
    <w:rsid w:val="5A0BDED3"/>
    <w:rsid w:val="5A3528E9"/>
    <w:rsid w:val="5AEDD209"/>
    <w:rsid w:val="5AF84C01"/>
    <w:rsid w:val="5B1460D5"/>
    <w:rsid w:val="5BC11660"/>
    <w:rsid w:val="5C065D60"/>
    <w:rsid w:val="5C0FE150"/>
    <w:rsid w:val="5CC71966"/>
    <w:rsid w:val="5DA11CF8"/>
    <w:rsid w:val="5DC7F3F7"/>
    <w:rsid w:val="5DD58EC1"/>
    <w:rsid w:val="5DDB1035"/>
    <w:rsid w:val="5E8021CD"/>
    <w:rsid w:val="5F0F33BA"/>
    <w:rsid w:val="5F2317F5"/>
    <w:rsid w:val="5F3CED59"/>
    <w:rsid w:val="601332BE"/>
    <w:rsid w:val="6054F5D3"/>
    <w:rsid w:val="60A46A6D"/>
    <w:rsid w:val="60DB868D"/>
    <w:rsid w:val="60DEF97B"/>
    <w:rsid w:val="61194F0B"/>
    <w:rsid w:val="613A1855"/>
    <w:rsid w:val="619F4107"/>
    <w:rsid w:val="61FD0720"/>
    <w:rsid w:val="6210C987"/>
    <w:rsid w:val="6239ABE9"/>
    <w:rsid w:val="62403ACE"/>
    <w:rsid w:val="62B1B4C6"/>
    <w:rsid w:val="62D5E8B6"/>
    <w:rsid w:val="62D8D853"/>
    <w:rsid w:val="62E7E06E"/>
    <w:rsid w:val="62EF1A5C"/>
    <w:rsid w:val="62F31CA3"/>
    <w:rsid w:val="63246CDC"/>
    <w:rsid w:val="63C9934E"/>
    <w:rsid w:val="63DDC601"/>
    <w:rsid w:val="640B5161"/>
    <w:rsid w:val="6483B0CF"/>
    <w:rsid w:val="64AF8B6D"/>
    <w:rsid w:val="64CAF134"/>
    <w:rsid w:val="651F9460"/>
    <w:rsid w:val="6584D915"/>
    <w:rsid w:val="6591814E"/>
    <w:rsid w:val="65AF5D93"/>
    <w:rsid w:val="65E39922"/>
    <w:rsid w:val="67250B22"/>
    <w:rsid w:val="672E29DA"/>
    <w:rsid w:val="67462EB2"/>
    <w:rsid w:val="6790E827"/>
    <w:rsid w:val="67D42F60"/>
    <w:rsid w:val="67EE4687"/>
    <w:rsid w:val="685B8596"/>
    <w:rsid w:val="6877543B"/>
    <w:rsid w:val="68C9FA3B"/>
    <w:rsid w:val="68E2E633"/>
    <w:rsid w:val="68FABD9C"/>
    <w:rsid w:val="694FC2E1"/>
    <w:rsid w:val="6996A1C4"/>
    <w:rsid w:val="6A197EDE"/>
    <w:rsid w:val="6A99C495"/>
    <w:rsid w:val="6B327225"/>
    <w:rsid w:val="6B3C331A"/>
    <w:rsid w:val="6BAD87FB"/>
    <w:rsid w:val="6C3B399C"/>
    <w:rsid w:val="6C525D32"/>
    <w:rsid w:val="6C590D9A"/>
    <w:rsid w:val="6C91F169"/>
    <w:rsid w:val="6CB05B27"/>
    <w:rsid w:val="6CCE4286"/>
    <w:rsid w:val="6CDAE007"/>
    <w:rsid w:val="6CE79FBE"/>
    <w:rsid w:val="6D0CB088"/>
    <w:rsid w:val="6D4A6593"/>
    <w:rsid w:val="6DE9FFC0"/>
    <w:rsid w:val="6F0A876F"/>
    <w:rsid w:val="6F53B5E8"/>
    <w:rsid w:val="6FC4C921"/>
    <w:rsid w:val="6FF706A8"/>
    <w:rsid w:val="6FFE87B4"/>
    <w:rsid w:val="70039EF7"/>
    <w:rsid w:val="7003D5F7"/>
    <w:rsid w:val="70687242"/>
    <w:rsid w:val="71640179"/>
    <w:rsid w:val="71F3E4D7"/>
    <w:rsid w:val="7221413F"/>
    <w:rsid w:val="7241D2E1"/>
    <w:rsid w:val="729EA2E8"/>
    <w:rsid w:val="72C02860"/>
    <w:rsid w:val="73991D8E"/>
    <w:rsid w:val="73DFCF73"/>
    <w:rsid w:val="73EB6541"/>
    <w:rsid w:val="743D4977"/>
    <w:rsid w:val="746BEB89"/>
    <w:rsid w:val="7478C50E"/>
    <w:rsid w:val="74C9ED03"/>
    <w:rsid w:val="74DCFC28"/>
    <w:rsid w:val="752376AD"/>
    <w:rsid w:val="7528A3C7"/>
    <w:rsid w:val="7548101A"/>
    <w:rsid w:val="7567A081"/>
    <w:rsid w:val="7612726B"/>
    <w:rsid w:val="76308827"/>
    <w:rsid w:val="766899F0"/>
    <w:rsid w:val="766E0AEA"/>
    <w:rsid w:val="76D3E165"/>
    <w:rsid w:val="76E918AE"/>
    <w:rsid w:val="771A8717"/>
    <w:rsid w:val="77296DE2"/>
    <w:rsid w:val="775788EF"/>
    <w:rsid w:val="77DF5A3D"/>
    <w:rsid w:val="783B94CF"/>
    <w:rsid w:val="784D56FC"/>
    <w:rsid w:val="78E727B2"/>
    <w:rsid w:val="78E7F4DA"/>
    <w:rsid w:val="790DF6EF"/>
    <w:rsid w:val="7913D806"/>
    <w:rsid w:val="792F4DFD"/>
    <w:rsid w:val="793E3898"/>
    <w:rsid w:val="79C1CD20"/>
    <w:rsid w:val="7A41D1BD"/>
    <w:rsid w:val="7A5595E8"/>
    <w:rsid w:val="7AD4B041"/>
    <w:rsid w:val="7B807E54"/>
    <w:rsid w:val="7B9001C3"/>
    <w:rsid w:val="7BC775B1"/>
    <w:rsid w:val="7C597354"/>
    <w:rsid w:val="7CA047AC"/>
    <w:rsid w:val="7CDCEC6E"/>
    <w:rsid w:val="7CE4C402"/>
    <w:rsid w:val="7D064084"/>
    <w:rsid w:val="7DCFE518"/>
    <w:rsid w:val="7E1A0846"/>
    <w:rsid w:val="7F750318"/>
    <w:rsid w:val="7F95E461"/>
    <w:rsid w:val="7FB9C9AF"/>
    <w:rsid w:val="7FBB5736"/>
    <w:rsid w:val="7FE0D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64514"/>
  <w15:chartTrackingRefBased/>
  <w15:docId w15:val="{A07AAA7B-7085-49E6-BC3D-07E03494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99C"/>
    <w:rPr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59799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9799C"/>
  </w:style>
  <w:style w:type="paragraph" w:customStyle="1" w:styleId="IPPHeading1">
    <w:name w:val="IPP Heading1"/>
    <w:basedOn w:val="Normal"/>
    <w:next w:val="Normal"/>
    <w:qFormat/>
    <w:rsid w:val="004E0E6D"/>
    <w:pPr>
      <w:keepNext/>
      <w:tabs>
        <w:tab w:val="left" w:pos="567"/>
      </w:tabs>
      <w:spacing w:before="240" w:after="120" w:line="240" w:lineRule="auto"/>
      <w:ind w:left="567" w:hanging="567"/>
      <w:outlineLvl w:val="1"/>
    </w:pPr>
    <w:rPr>
      <w:rFonts w:ascii="Times New Roman" w:eastAsia="Times" w:hAnsi="Times New Roman"/>
      <w:b/>
      <w:sz w:val="24"/>
    </w:rPr>
  </w:style>
  <w:style w:type="numbering" w:customStyle="1" w:styleId="IPPParagraphnumberedlist">
    <w:name w:val="IPP Paragraph numbered list"/>
    <w:rsid w:val="004E0E6D"/>
    <w:pPr>
      <w:numPr>
        <w:numId w:val="1"/>
      </w:numPr>
    </w:pPr>
  </w:style>
  <w:style w:type="paragraph" w:customStyle="1" w:styleId="IPPParagraphnumbering">
    <w:name w:val="IPP Paragraph numbering"/>
    <w:basedOn w:val="Normal"/>
    <w:qFormat/>
    <w:rsid w:val="004E0E6D"/>
    <w:pPr>
      <w:numPr>
        <w:numId w:val="2"/>
      </w:numPr>
      <w:spacing w:after="180" w:line="240" w:lineRule="auto"/>
      <w:jc w:val="both"/>
    </w:pPr>
    <w:rPr>
      <w:rFonts w:ascii="Times New Roman" w:eastAsia="Times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E0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E6D"/>
  </w:style>
  <w:style w:type="paragraph" w:styleId="Footer">
    <w:name w:val="footer"/>
    <w:basedOn w:val="Normal"/>
    <w:link w:val="FooterChar"/>
    <w:uiPriority w:val="99"/>
    <w:unhideWhenUsed/>
    <w:rsid w:val="004E0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E6D"/>
  </w:style>
  <w:style w:type="paragraph" w:customStyle="1" w:styleId="IPPHeader">
    <w:name w:val="IPP Header"/>
    <w:basedOn w:val="Normal"/>
    <w:qFormat/>
    <w:rsid w:val="004E0E6D"/>
    <w:pPr>
      <w:pBdr>
        <w:bottom w:val="single" w:sz="4" w:space="4" w:color="auto"/>
      </w:pBdr>
      <w:tabs>
        <w:tab w:val="left" w:pos="1134"/>
        <w:tab w:val="right" w:pos="9072"/>
      </w:tabs>
      <w:spacing w:after="120" w:line="240" w:lineRule="auto"/>
    </w:pPr>
    <w:rPr>
      <w:rFonts w:ascii="Arial" w:eastAsia="MS Mincho" w:hAnsi="Arial"/>
      <w:sz w:val="18"/>
      <w:szCs w:val="24"/>
    </w:rPr>
  </w:style>
  <w:style w:type="paragraph" w:customStyle="1" w:styleId="IPPHeadSection">
    <w:name w:val="IPP HeadSection"/>
    <w:basedOn w:val="Normal"/>
    <w:next w:val="Normal"/>
    <w:qFormat/>
    <w:rsid w:val="004E0E6D"/>
    <w:pPr>
      <w:keepNext/>
      <w:tabs>
        <w:tab w:val="left" w:pos="851"/>
      </w:tabs>
      <w:spacing w:before="360" w:after="120" w:line="240" w:lineRule="auto"/>
      <w:ind w:left="851" w:hanging="851"/>
      <w:jc w:val="both"/>
      <w:outlineLvl w:val="0"/>
    </w:pPr>
    <w:rPr>
      <w:rFonts w:ascii="Times New Roman" w:eastAsia="Times" w:hAnsi="Times New Roman"/>
      <w:b/>
      <w:bCs/>
      <w:caps/>
      <w:sz w:val="24"/>
    </w:rPr>
  </w:style>
  <w:style w:type="paragraph" w:styleId="FootnoteText">
    <w:name w:val="footnote text"/>
    <w:aliases w:val="FOOTNOTES,fn,single space,Footnote text"/>
    <w:basedOn w:val="Normal"/>
    <w:link w:val="FootnoteTextChar"/>
    <w:rsid w:val="004E0E6D"/>
    <w:pPr>
      <w:spacing w:before="60" w:after="0" w:line="240" w:lineRule="auto"/>
      <w:jc w:val="both"/>
    </w:pPr>
    <w:rPr>
      <w:rFonts w:ascii="Times New Roman" w:eastAsia="MS Mincho" w:hAnsi="Times New Roman"/>
      <w:sz w:val="20"/>
      <w:szCs w:val="24"/>
    </w:rPr>
  </w:style>
  <w:style w:type="character" w:customStyle="1" w:styleId="FootnoteTextChar">
    <w:name w:val="Footnote Text Char"/>
    <w:aliases w:val="FOOTNOTES Char,fn Char,single space Char,Footnote text Char"/>
    <w:basedOn w:val="DefaultParagraphFont"/>
    <w:link w:val="FootnoteText"/>
    <w:rsid w:val="004E0E6D"/>
    <w:rPr>
      <w:rFonts w:ascii="Times New Roman" w:eastAsia="MS Mincho" w:hAnsi="Times New Roman"/>
      <w:sz w:val="20"/>
      <w:szCs w:val="24"/>
      <w:lang w:val="en-GB" w:eastAsia="zh-CN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"/>
    <w:basedOn w:val="DefaultParagraphFont"/>
    <w:rsid w:val="004E0E6D"/>
    <w:rPr>
      <w:vertAlign w:val="superscript"/>
    </w:rPr>
  </w:style>
  <w:style w:type="character" w:styleId="Hyperlink">
    <w:name w:val="Hyperlink"/>
    <w:uiPriority w:val="99"/>
    <w:unhideWhenUsed/>
    <w:rsid w:val="004E0E6D"/>
    <w:rPr>
      <w:color w:val="0000FF"/>
      <w:u w:val="single"/>
    </w:rPr>
  </w:style>
  <w:style w:type="paragraph" w:customStyle="1" w:styleId="IPPNormal">
    <w:name w:val="IPP Normal"/>
    <w:basedOn w:val="Normal"/>
    <w:link w:val="IPPNormalChar"/>
    <w:qFormat/>
    <w:rsid w:val="004E0E6D"/>
    <w:pPr>
      <w:spacing w:after="180" w:line="240" w:lineRule="auto"/>
      <w:jc w:val="both"/>
    </w:pPr>
    <w:rPr>
      <w:rFonts w:ascii="Times New Roman" w:eastAsia="Times" w:hAnsi="Times New Roman"/>
      <w:szCs w:val="24"/>
    </w:rPr>
  </w:style>
  <w:style w:type="character" w:customStyle="1" w:styleId="IPPNormalChar">
    <w:name w:val="IPP Normal Char"/>
    <w:link w:val="IPPNormal"/>
    <w:rsid w:val="004E0E6D"/>
    <w:rPr>
      <w:rFonts w:ascii="Times New Roman" w:eastAsia="Times" w:hAnsi="Times New Roman"/>
      <w:szCs w:val="24"/>
      <w:lang w:val="en-GB" w:eastAsia="zh-CN"/>
    </w:rPr>
  </w:style>
  <w:style w:type="table" w:styleId="TableGrid">
    <w:name w:val="Table Grid"/>
    <w:basedOn w:val="TableNormal"/>
    <w:uiPriority w:val="39"/>
    <w:rsid w:val="004E0E6D"/>
    <w:pPr>
      <w:spacing w:after="200" w:line="276" w:lineRule="auto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E6D"/>
    <w:pPr>
      <w:spacing w:after="0" w:line="240" w:lineRule="atLeast"/>
      <w:ind w:leftChars="400" w:left="800"/>
      <w:jc w:val="both"/>
    </w:pPr>
    <w:rPr>
      <w:rFonts w:ascii="Verdana" w:eastAsia="Times New Roman" w:hAnsi="Verdana"/>
      <w:sz w:val="20"/>
      <w:szCs w:val="24"/>
      <w:lang w:val="nl-NL" w:eastAsia="nl-NL"/>
    </w:rPr>
  </w:style>
  <w:style w:type="paragraph" w:customStyle="1" w:styleId="IPPFooter">
    <w:name w:val="IPP Footer"/>
    <w:basedOn w:val="IPPHeader"/>
    <w:next w:val="PlainText"/>
    <w:qFormat/>
    <w:rsid w:val="004E0E6D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0E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0E6D"/>
    <w:rPr>
      <w:rFonts w:ascii="Consolas" w:hAnsi="Consolas"/>
      <w:sz w:val="21"/>
      <w:szCs w:val="21"/>
    </w:rPr>
  </w:style>
  <w:style w:type="paragraph" w:customStyle="1" w:styleId="IPPHeaderlandscape">
    <w:name w:val="IPP Header landscape"/>
    <w:basedOn w:val="IPPHeader"/>
    <w:qFormat/>
    <w:rsid w:val="008A0ECE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NumberedList">
    <w:name w:val="IPP NumberedList"/>
    <w:basedOn w:val="Normal"/>
    <w:qFormat/>
    <w:rsid w:val="00B91ABD"/>
    <w:pPr>
      <w:numPr>
        <w:numId w:val="5"/>
      </w:numPr>
      <w:spacing w:after="60" w:line="240" w:lineRule="auto"/>
      <w:jc w:val="both"/>
    </w:pPr>
    <w:rPr>
      <w:rFonts w:ascii="Times New Roman" w:eastAsia="Times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1D7"/>
    <w:rPr>
      <w:rFonts w:ascii="Segoe UI" w:hAnsi="Segoe UI" w:cs="Segoe UI"/>
      <w:sz w:val="18"/>
      <w:szCs w:val="18"/>
    </w:rPr>
  </w:style>
  <w:style w:type="paragraph" w:customStyle="1" w:styleId="IPPBullet1">
    <w:name w:val="IPP Bullet1"/>
    <w:basedOn w:val="IPPBullet1Last"/>
    <w:link w:val="IPPBullet1Char"/>
    <w:qFormat/>
    <w:rsid w:val="00864279"/>
    <w:pPr>
      <w:numPr>
        <w:numId w:val="8"/>
      </w:numPr>
      <w:spacing w:after="60"/>
    </w:pPr>
  </w:style>
  <w:style w:type="paragraph" w:customStyle="1" w:styleId="IPPBullet1Last">
    <w:name w:val="IPP Bullet1Last"/>
    <w:basedOn w:val="Normal"/>
    <w:next w:val="Normal"/>
    <w:autoRedefine/>
    <w:qFormat/>
    <w:rsid w:val="003D2B42"/>
    <w:pPr>
      <w:spacing w:after="180" w:line="240" w:lineRule="auto"/>
      <w:ind w:left="927" w:hanging="567"/>
      <w:jc w:val="both"/>
    </w:pPr>
    <w:rPr>
      <w:rFonts w:ascii="Times New Roman" w:eastAsia="Times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3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BA7"/>
    <w:rPr>
      <w:b/>
      <w:bCs/>
      <w:sz w:val="20"/>
      <w:szCs w:val="20"/>
    </w:rPr>
  </w:style>
  <w:style w:type="paragraph" w:customStyle="1" w:styleId="paragraph">
    <w:name w:val="paragraph"/>
    <w:basedOn w:val="Normal"/>
    <w:rsid w:val="00BE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E447A"/>
  </w:style>
  <w:style w:type="character" w:customStyle="1" w:styleId="eop">
    <w:name w:val="eop"/>
    <w:basedOn w:val="DefaultParagraphFont"/>
    <w:rsid w:val="00BE447A"/>
  </w:style>
  <w:style w:type="character" w:customStyle="1" w:styleId="spellingerror">
    <w:name w:val="spellingerror"/>
    <w:basedOn w:val="DefaultParagraphFont"/>
    <w:rsid w:val="00BE447A"/>
  </w:style>
  <w:style w:type="paragraph" w:customStyle="1" w:styleId="ydp926470a4yiv3761303572msolistparagraph">
    <w:name w:val="ydp926470a4yiv3761303572msolistparagraph"/>
    <w:basedOn w:val="Normal"/>
    <w:uiPriority w:val="99"/>
    <w:rsid w:val="007E68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B27"/>
    <w:rPr>
      <w:color w:val="605E5C"/>
      <w:shd w:val="clear" w:color="auto" w:fill="E1DFDD"/>
    </w:rPr>
  </w:style>
  <w:style w:type="paragraph" w:customStyle="1" w:styleId="IPPHeading3">
    <w:name w:val="IPP Heading3"/>
    <w:basedOn w:val="IPPNormal"/>
    <w:qFormat/>
    <w:rsid w:val="003D2B42"/>
    <w:pPr>
      <w:keepNext/>
      <w:tabs>
        <w:tab w:val="left" w:pos="567"/>
      </w:tabs>
      <w:spacing w:before="120" w:after="120"/>
      <w:ind w:left="567" w:hanging="567"/>
    </w:pPr>
    <w:rPr>
      <w:rFonts w:cs="Times New Roman"/>
      <w:b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2C59AC"/>
    <w:rPr>
      <w:color w:val="954F72" w:themeColor="followedHyperlink"/>
      <w:u w:val="single"/>
    </w:rPr>
  </w:style>
  <w:style w:type="paragraph" w:customStyle="1" w:styleId="IPPArial">
    <w:name w:val="IPP Arial"/>
    <w:basedOn w:val="Normal"/>
    <w:uiPriority w:val="1"/>
    <w:qFormat/>
    <w:rsid w:val="273A1107"/>
    <w:pPr>
      <w:spacing w:after="0"/>
      <w:jc w:val="both"/>
    </w:pPr>
    <w:rPr>
      <w:rFonts w:ascii="Arial" w:eastAsia="Times" w:hAnsi="Arial" w:cs="Times New Roman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C795E"/>
    <w:pPr>
      <w:spacing w:after="0" w:line="240" w:lineRule="auto"/>
    </w:pPr>
  </w:style>
  <w:style w:type="paragraph" w:customStyle="1" w:styleId="IPPBullet2">
    <w:name w:val="IPP Bullet2"/>
    <w:basedOn w:val="Normal"/>
    <w:next w:val="Normal"/>
    <w:qFormat/>
    <w:rsid w:val="00275E68"/>
    <w:pPr>
      <w:numPr>
        <w:numId w:val="10"/>
      </w:numPr>
      <w:tabs>
        <w:tab w:val="left" w:pos="1134"/>
      </w:tabs>
      <w:spacing w:after="60" w:line="240" w:lineRule="auto"/>
      <w:ind w:left="1134" w:hanging="567"/>
      <w:jc w:val="both"/>
    </w:pPr>
    <w:rPr>
      <w:rFonts w:ascii="Times New Roman" w:eastAsia="Times" w:hAnsi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82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827B8C"/>
    <w:rPr>
      <w:i/>
      <w:i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IPPBullet1Char">
    <w:name w:val="IPP Bullet1 Char"/>
    <w:link w:val="IPPBullet1"/>
    <w:rsid w:val="003970AA"/>
    <w:rPr>
      <w:rFonts w:ascii="Times New Roman" w:eastAsia="Times" w:hAnsi="Times New Roman" w:cs="Times New Roman"/>
      <w:kern w:val="2"/>
      <w:szCs w:val="24"/>
      <w14:ligatures w14:val="standardContextual"/>
    </w:rPr>
  </w:style>
  <w:style w:type="paragraph" w:customStyle="1" w:styleId="IPPLetterList">
    <w:name w:val="IPP LetterList"/>
    <w:basedOn w:val="IPPBullet2"/>
    <w:qFormat/>
    <w:rsid w:val="007C4D34"/>
    <w:pPr>
      <w:numPr>
        <w:numId w:val="12"/>
      </w:numPr>
      <w:jc w:val="left"/>
    </w:pPr>
    <w:rPr>
      <w:rFonts w:cstheme="minorBidi"/>
      <w:kern w:val="0"/>
      <w:lang w:eastAsia="zh-C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4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pc.int/en/core-activities/standards-setting/list-topics-ippc-standards/efficacy-of-measures-2001-001/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s://www.ippc.int/en/core-activities/standards-setting/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ippc.int/en/year/calenda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pc.int/en/publications/2463/" TargetMode="Externa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ppc.int/en/core-activities/external-cooperation/" TargetMode="External"/><Relationship Id="rId2" Type="http://schemas.openxmlformats.org/officeDocument/2006/relationships/hyperlink" Target="https://www.ippc.int/year/calendar/" TargetMode="External"/><Relationship Id="rId1" Type="http://schemas.openxmlformats.org/officeDocument/2006/relationships/hyperlink" Target="https://www.ippc.int/en/publications/92954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93fb0684585975d5a97d1e3ba4a17be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6beeb644fe3ff6487991f9ee02bfa634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1C71D2-6EF8-48CF-AD5E-D686CD5F3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3FD0D-CF1F-4B86-89E9-347C023880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DE80E-437C-4C7A-B67A-489200136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1A3E5B-AFAF-4C23-8CE4-CEBB1B21E6CB}">
  <ds:schemaRefs>
    <ds:schemaRef ds:uri="http://schemas.microsoft.com/office/2006/metadata/properties"/>
    <ds:schemaRef ds:uri="http://schemas.microsoft.com/office/infopath/2007/PartnerControls"/>
    <ds:schemaRef ds:uri="ea6feb38-a85a-45e8-92e9-814486bbe375"/>
    <ds:schemaRef ds:uri="a05d7f75-f42e-4288-8809-604fd4d969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1743</Words>
  <Characters>9937</Characters>
  <Application>Microsoft Office Word</Application>
  <DocSecurity>0</DocSecurity>
  <Lines>82</Lines>
  <Paragraphs>23</Paragraphs>
  <ScaleCrop>false</ScaleCrop>
  <Company>FAO of the UN</Company>
  <LinksUpToDate>false</LinksUpToDate>
  <CharactersWithSpaces>11657</CharactersWithSpaces>
  <SharedDoc>false</SharedDoc>
  <HLinks>
    <vt:vector size="36" baseType="variant">
      <vt:variant>
        <vt:i4>3407997</vt:i4>
      </vt:variant>
      <vt:variant>
        <vt:i4>6</vt:i4>
      </vt:variant>
      <vt:variant>
        <vt:i4>0</vt:i4>
      </vt:variant>
      <vt:variant>
        <vt:i4>5</vt:i4>
      </vt:variant>
      <vt:variant>
        <vt:lpwstr>https://www.ippc.int/en/year/calendar/</vt:lpwstr>
      </vt:variant>
      <vt:variant>
        <vt:lpwstr/>
      </vt:variant>
      <vt:variant>
        <vt:i4>3735651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https://www.ippc.int/en/core-activities/standards-setting/</vt:lpwstr>
      </vt:variant>
      <vt:variant>
        <vt:lpwstr/>
      </vt:variant>
      <vt:variant>
        <vt:i4>3473517</vt:i4>
      </vt:variant>
      <vt:variant>
        <vt:i4>0</vt:i4>
      </vt:variant>
      <vt:variant>
        <vt:i4>0</vt:i4>
      </vt:variant>
      <vt:variant>
        <vt:i4>5</vt:i4>
      </vt:variant>
      <vt:variant>
        <vt:lpwstr>https://www.ippc.int/en/publications/2463/</vt:lpwstr>
      </vt:variant>
      <vt:variant>
        <vt:lpwstr/>
      </vt:variant>
      <vt:variant>
        <vt:i4>4915268</vt:i4>
      </vt:variant>
      <vt:variant>
        <vt:i4>6</vt:i4>
      </vt:variant>
      <vt:variant>
        <vt:i4>0</vt:i4>
      </vt:variant>
      <vt:variant>
        <vt:i4>5</vt:i4>
      </vt:variant>
      <vt:variant>
        <vt:lpwstr>https://www.ippc.int/en/core-activities/external-cooperation/</vt:lpwstr>
      </vt:variant>
      <vt:variant>
        <vt:lpwstr/>
      </vt:variant>
      <vt:variant>
        <vt:i4>6488097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https://www.ippc.int/year/calendar/</vt:lpwstr>
      </vt:variant>
      <vt:variant>
        <vt:lpwstr/>
      </vt:variant>
      <vt:variant>
        <vt:i4>2752621</vt:i4>
      </vt:variant>
      <vt:variant>
        <vt:i4>0</vt:i4>
      </vt:variant>
      <vt:variant>
        <vt:i4>0</vt:i4>
      </vt:variant>
      <vt:variant>
        <vt:i4>5</vt:i4>
      </vt:variant>
      <vt:variant>
        <vt:lpwstr>https://www.ippc.int/en/publications/92954/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Moreira, Adriana (NSP)</dc:creator>
  <cp:keywords/>
  <dc:description/>
  <cp:lastModifiedBy>Krah, Emmanuel (NSPD)</cp:lastModifiedBy>
  <cp:revision>3</cp:revision>
  <dcterms:created xsi:type="dcterms:W3CDTF">2024-12-11T15:11:00Z</dcterms:created>
  <dcterms:modified xsi:type="dcterms:W3CDTF">2025-03-10T10:07:00Z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