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60B2" w14:textId="68269623" w:rsidR="000D570F" w:rsidRDefault="000D570F" w:rsidP="00F73979">
      <w:pPr>
        <w:pStyle w:val="IPPHeading1"/>
        <w:jc w:val="center"/>
        <w:rPr>
          <w:bCs/>
          <w:caps/>
        </w:rPr>
      </w:pPr>
      <w:r w:rsidRPr="00F73979">
        <w:rPr>
          <w:bCs/>
          <w:caps/>
        </w:rPr>
        <w:t xml:space="preserve">TERMS OF REFERENCE FOR THE </w:t>
      </w:r>
      <w:r w:rsidR="5C3954DB" w:rsidRPr="00F73979">
        <w:rPr>
          <w:bCs/>
          <w:caps/>
        </w:rPr>
        <w:t>EMERGING</w:t>
      </w:r>
      <w:r w:rsidR="00224B0C" w:rsidRPr="00F73979">
        <w:rPr>
          <w:bCs/>
          <w:caps/>
        </w:rPr>
        <w:t xml:space="preserve"> </w:t>
      </w:r>
      <w:r w:rsidR="00355B38" w:rsidRPr="00F73979">
        <w:rPr>
          <w:bCs/>
          <w:caps/>
        </w:rPr>
        <w:t>PEST</w:t>
      </w:r>
      <w:r w:rsidR="00224B0C" w:rsidRPr="00F73979">
        <w:rPr>
          <w:bCs/>
          <w:caps/>
        </w:rPr>
        <w:t xml:space="preserve"> </w:t>
      </w:r>
      <w:r w:rsidR="5F188D67" w:rsidRPr="00F73979">
        <w:rPr>
          <w:bCs/>
          <w:caps/>
        </w:rPr>
        <w:t>SPECIFIC</w:t>
      </w:r>
      <w:r w:rsidR="00224B0C" w:rsidRPr="00F73979">
        <w:rPr>
          <w:bCs/>
          <w:caps/>
        </w:rPr>
        <w:t xml:space="preserve"> </w:t>
      </w:r>
      <w:r w:rsidRPr="00F73979">
        <w:rPr>
          <w:bCs/>
          <w:caps/>
        </w:rPr>
        <w:t>EXPERT WORKING GROUP</w:t>
      </w:r>
      <w:r w:rsidR="00DC1010" w:rsidRPr="00F73979">
        <w:rPr>
          <w:bCs/>
          <w:caps/>
        </w:rPr>
        <w:t xml:space="preserve"> (EWG)</w:t>
      </w:r>
      <w:r w:rsidRPr="00F73979">
        <w:rPr>
          <w:bCs/>
          <w:caps/>
        </w:rPr>
        <w:t xml:space="preserve"> </w:t>
      </w:r>
    </w:p>
    <w:p w14:paraId="61C741E6" w14:textId="77777777" w:rsidR="00B75E01" w:rsidRDefault="00B75E01" w:rsidP="00B75E01"/>
    <w:p w14:paraId="53A8FCFE" w14:textId="77777777" w:rsidR="00A97B14" w:rsidRPr="00B75E01" w:rsidRDefault="00A97B14" w:rsidP="00B75E01"/>
    <w:p w14:paraId="263BD82D" w14:textId="77777777" w:rsidR="000D570F" w:rsidRPr="00144956" w:rsidRDefault="000D570F" w:rsidP="00B75E01">
      <w:pPr>
        <w:pStyle w:val="ListParagraph"/>
        <w:numPr>
          <w:ilvl w:val="0"/>
          <w:numId w:val="1"/>
        </w:numPr>
        <w:spacing w:after="120" w:line="276" w:lineRule="auto"/>
        <w:jc w:val="both"/>
        <w:rPr>
          <w:rFonts w:ascii="Times New Roman" w:hAnsi="Times New Roman"/>
          <w:b/>
          <w:bCs/>
          <w:sz w:val="24"/>
          <w:szCs w:val="24"/>
        </w:rPr>
      </w:pPr>
      <w:r w:rsidRPr="00144956">
        <w:rPr>
          <w:rFonts w:ascii="Times New Roman" w:hAnsi="Times New Roman"/>
          <w:b/>
          <w:bCs/>
          <w:sz w:val="24"/>
          <w:szCs w:val="24"/>
        </w:rPr>
        <w:t>Background</w:t>
      </w:r>
    </w:p>
    <w:p w14:paraId="60E10758" w14:textId="63FB420A" w:rsidR="000D570F" w:rsidRPr="00144956" w:rsidRDefault="000D570F" w:rsidP="00B75E01">
      <w:pPr>
        <w:spacing w:after="120" w:line="276" w:lineRule="auto"/>
        <w:jc w:val="both"/>
        <w:rPr>
          <w:rFonts w:ascii="Times New Roman" w:hAnsi="Times New Roman"/>
          <w:sz w:val="22"/>
          <w:szCs w:val="22"/>
        </w:rPr>
      </w:pPr>
      <w:r w:rsidRPr="00144956">
        <w:rPr>
          <w:rFonts w:ascii="Times New Roman" w:hAnsi="Times New Roman"/>
          <w:sz w:val="22"/>
          <w:szCs w:val="22"/>
          <w:lang w:val="en-US"/>
        </w:rPr>
        <w:t xml:space="preserve">Strengthening Pest Outbreak Alert and Response Systems (POARS) is one of the eight development agenda items (DAIs) under the IPPC Strategic Framework 2020-2030. </w:t>
      </w:r>
    </w:p>
    <w:p w14:paraId="45AC3968" w14:textId="5DD0FCC5" w:rsidR="00601378" w:rsidRPr="00144956" w:rsidRDefault="000D570F" w:rsidP="00B75E01">
      <w:pPr>
        <w:spacing w:after="120" w:line="276" w:lineRule="auto"/>
        <w:jc w:val="both"/>
        <w:rPr>
          <w:rFonts w:ascii="Times New Roman" w:hAnsi="Times New Roman"/>
          <w:sz w:val="22"/>
          <w:szCs w:val="22"/>
        </w:rPr>
      </w:pPr>
      <w:r w:rsidRPr="00144956">
        <w:rPr>
          <w:rFonts w:ascii="Times New Roman" w:hAnsi="Times New Roman"/>
          <w:sz w:val="22"/>
          <w:szCs w:val="22"/>
        </w:rPr>
        <w:t>The POARS S</w:t>
      </w:r>
      <w:r w:rsidR="008310D3" w:rsidRPr="00144956">
        <w:rPr>
          <w:rFonts w:ascii="Times New Roman" w:hAnsi="Times New Roman"/>
          <w:sz w:val="22"/>
          <w:szCs w:val="22"/>
        </w:rPr>
        <w:t xml:space="preserve">teering </w:t>
      </w:r>
      <w:r w:rsidRPr="00144956">
        <w:rPr>
          <w:rFonts w:ascii="Times New Roman" w:hAnsi="Times New Roman"/>
          <w:sz w:val="22"/>
          <w:szCs w:val="22"/>
        </w:rPr>
        <w:t>G</w:t>
      </w:r>
      <w:r w:rsidR="008310D3" w:rsidRPr="00144956">
        <w:rPr>
          <w:rFonts w:ascii="Times New Roman" w:hAnsi="Times New Roman"/>
          <w:sz w:val="22"/>
          <w:szCs w:val="22"/>
        </w:rPr>
        <w:t>roup (POARS SG)</w:t>
      </w:r>
      <w:r w:rsidR="00EB2C4C" w:rsidRPr="00144956">
        <w:rPr>
          <w:rFonts w:ascii="Times New Roman" w:hAnsi="Times New Roman"/>
          <w:sz w:val="22"/>
          <w:szCs w:val="22"/>
        </w:rPr>
        <w:t xml:space="preserve"> </w:t>
      </w:r>
      <w:r w:rsidR="003676B0" w:rsidRPr="00144956">
        <w:rPr>
          <w:rFonts w:ascii="Times New Roman" w:hAnsi="Times New Roman"/>
          <w:sz w:val="22"/>
          <w:szCs w:val="22"/>
        </w:rPr>
        <w:t xml:space="preserve">established </w:t>
      </w:r>
      <w:r w:rsidR="00EB2C4C" w:rsidRPr="00144956">
        <w:rPr>
          <w:rFonts w:ascii="Times New Roman" w:hAnsi="Times New Roman"/>
          <w:sz w:val="22"/>
          <w:szCs w:val="22"/>
        </w:rPr>
        <w:t>by CPM</w:t>
      </w:r>
      <w:r w:rsidR="00E35D8F" w:rsidRPr="00144956">
        <w:rPr>
          <w:rFonts w:ascii="Times New Roman" w:hAnsi="Times New Roman"/>
          <w:sz w:val="22"/>
          <w:szCs w:val="22"/>
        </w:rPr>
        <w:t>-</w:t>
      </w:r>
      <w:r w:rsidR="003216BA" w:rsidRPr="00144956">
        <w:rPr>
          <w:rFonts w:ascii="Times New Roman" w:hAnsi="Times New Roman"/>
          <w:sz w:val="22"/>
          <w:szCs w:val="22"/>
        </w:rPr>
        <w:t>17</w:t>
      </w:r>
      <w:r w:rsidRPr="00144956">
        <w:rPr>
          <w:rFonts w:ascii="Times New Roman" w:hAnsi="Times New Roman"/>
          <w:sz w:val="22"/>
          <w:szCs w:val="22"/>
        </w:rPr>
        <w:t xml:space="preserve"> has outlined a process for identifying, nominating, </w:t>
      </w:r>
      <w:r w:rsidR="004031D3" w:rsidRPr="00144956">
        <w:rPr>
          <w:rFonts w:ascii="Times New Roman" w:hAnsi="Times New Roman"/>
          <w:sz w:val="22"/>
          <w:szCs w:val="22"/>
        </w:rPr>
        <w:t xml:space="preserve">and </w:t>
      </w:r>
      <w:r w:rsidRPr="00144956">
        <w:rPr>
          <w:rFonts w:ascii="Times New Roman" w:hAnsi="Times New Roman"/>
          <w:sz w:val="22"/>
          <w:szCs w:val="22"/>
        </w:rPr>
        <w:t>assessing potential emerging pests of IPPC global conc</w:t>
      </w:r>
      <w:r w:rsidR="004031D3" w:rsidRPr="00144956">
        <w:rPr>
          <w:rFonts w:ascii="Times New Roman" w:hAnsi="Times New Roman"/>
          <w:sz w:val="22"/>
          <w:szCs w:val="22"/>
        </w:rPr>
        <w:t>ern</w:t>
      </w:r>
      <w:r w:rsidR="00C73889" w:rsidRPr="00144956">
        <w:rPr>
          <w:rFonts w:ascii="Times New Roman" w:hAnsi="Times New Roman"/>
          <w:sz w:val="22"/>
          <w:szCs w:val="22"/>
        </w:rPr>
        <w:t xml:space="preserve">. </w:t>
      </w:r>
      <w:r w:rsidR="007407C9" w:rsidRPr="00144956">
        <w:rPr>
          <w:rFonts w:ascii="Times New Roman" w:hAnsi="Times New Roman"/>
          <w:sz w:val="22"/>
          <w:szCs w:val="22"/>
        </w:rPr>
        <w:t xml:space="preserve">Pests </w:t>
      </w:r>
      <w:r w:rsidR="000156F9" w:rsidRPr="00144956">
        <w:rPr>
          <w:rFonts w:ascii="Times New Roman" w:hAnsi="Times New Roman"/>
          <w:sz w:val="22"/>
          <w:szCs w:val="22"/>
        </w:rPr>
        <w:t xml:space="preserve">assessed as </w:t>
      </w:r>
      <w:r w:rsidR="007407C9" w:rsidRPr="00144956">
        <w:rPr>
          <w:rFonts w:ascii="Times New Roman" w:hAnsi="Times New Roman"/>
          <w:sz w:val="22"/>
          <w:szCs w:val="22"/>
        </w:rPr>
        <w:t>meeting the relevant criteria are designated as emerging pests of IPPC global concern (hereafter simply referred to as emerging pests), triggering alerts and targeted prediction, prevention, preparedness</w:t>
      </w:r>
      <w:r w:rsidR="00CE09DF" w:rsidRPr="00144956">
        <w:rPr>
          <w:rFonts w:ascii="Times New Roman" w:hAnsi="Times New Roman"/>
          <w:sz w:val="22"/>
          <w:szCs w:val="22"/>
        </w:rPr>
        <w:t xml:space="preserve">, </w:t>
      </w:r>
      <w:r w:rsidR="007407C9" w:rsidRPr="00144956">
        <w:rPr>
          <w:rFonts w:ascii="Times New Roman" w:hAnsi="Times New Roman"/>
          <w:sz w:val="22"/>
          <w:szCs w:val="22"/>
        </w:rPr>
        <w:t>response</w:t>
      </w:r>
      <w:r w:rsidR="00CE09DF" w:rsidRPr="00144956">
        <w:rPr>
          <w:rFonts w:ascii="Times New Roman" w:hAnsi="Times New Roman"/>
          <w:sz w:val="22"/>
          <w:szCs w:val="22"/>
        </w:rPr>
        <w:t xml:space="preserve"> and recovery</w:t>
      </w:r>
      <w:r w:rsidR="007407C9" w:rsidRPr="00144956">
        <w:rPr>
          <w:rFonts w:ascii="Times New Roman" w:hAnsi="Times New Roman"/>
          <w:sz w:val="22"/>
          <w:szCs w:val="22"/>
        </w:rPr>
        <w:t xml:space="preserve"> activities. </w:t>
      </w:r>
    </w:p>
    <w:p w14:paraId="57F4B8C9" w14:textId="42D23B7B" w:rsidR="00896897" w:rsidRPr="00144956" w:rsidRDefault="00C73889" w:rsidP="00B75E01">
      <w:pPr>
        <w:spacing w:after="120" w:line="276" w:lineRule="auto"/>
        <w:jc w:val="both"/>
        <w:rPr>
          <w:rFonts w:ascii="Times New Roman" w:hAnsi="Times New Roman"/>
          <w:sz w:val="22"/>
          <w:szCs w:val="22"/>
        </w:rPr>
      </w:pPr>
      <w:r w:rsidRPr="00144956">
        <w:rPr>
          <w:rFonts w:ascii="Times New Roman" w:hAnsi="Times New Roman"/>
          <w:sz w:val="22"/>
          <w:szCs w:val="22"/>
        </w:rPr>
        <w:t>To</w:t>
      </w:r>
      <w:r w:rsidR="00D50EF8" w:rsidRPr="00144956">
        <w:rPr>
          <w:rFonts w:ascii="Times New Roman" w:hAnsi="Times New Roman"/>
          <w:sz w:val="22"/>
          <w:szCs w:val="22"/>
        </w:rPr>
        <w:t xml:space="preserve"> </w:t>
      </w:r>
      <w:r w:rsidR="00601378" w:rsidRPr="00144956">
        <w:rPr>
          <w:rFonts w:ascii="Times New Roman" w:hAnsi="Times New Roman"/>
          <w:sz w:val="22"/>
          <w:szCs w:val="22"/>
        </w:rPr>
        <w:t>coordinate these activities</w:t>
      </w:r>
      <w:r w:rsidR="007D63A2" w:rsidRPr="00144956">
        <w:rPr>
          <w:rFonts w:ascii="Times New Roman" w:hAnsi="Times New Roman"/>
          <w:sz w:val="22"/>
          <w:szCs w:val="22"/>
        </w:rPr>
        <w:t>, a dedicated</w:t>
      </w:r>
      <w:r w:rsidR="008E07BD" w:rsidRPr="00144956">
        <w:rPr>
          <w:rFonts w:ascii="Times New Roman" w:hAnsi="Times New Roman"/>
          <w:sz w:val="22"/>
          <w:szCs w:val="22"/>
        </w:rPr>
        <w:t xml:space="preserve"> Expert Working Group (EWG) will be established </w:t>
      </w:r>
      <w:r w:rsidR="00E55577" w:rsidRPr="00144956">
        <w:rPr>
          <w:rFonts w:ascii="Times New Roman" w:hAnsi="Times New Roman"/>
          <w:sz w:val="22"/>
          <w:szCs w:val="22"/>
        </w:rPr>
        <w:t xml:space="preserve">for each </w:t>
      </w:r>
      <w:r w:rsidRPr="00144956">
        <w:rPr>
          <w:rFonts w:ascii="Times New Roman" w:hAnsi="Times New Roman"/>
          <w:sz w:val="22"/>
          <w:szCs w:val="22"/>
        </w:rPr>
        <w:t xml:space="preserve">identified </w:t>
      </w:r>
      <w:r w:rsidR="00E55577" w:rsidRPr="00144956">
        <w:rPr>
          <w:rFonts w:ascii="Times New Roman" w:hAnsi="Times New Roman"/>
          <w:sz w:val="22"/>
          <w:szCs w:val="22"/>
        </w:rPr>
        <w:t>emerging pest</w:t>
      </w:r>
      <w:r w:rsidR="00D96F09" w:rsidRPr="00144956">
        <w:rPr>
          <w:rFonts w:ascii="Times New Roman" w:hAnsi="Times New Roman"/>
          <w:sz w:val="22"/>
          <w:szCs w:val="22"/>
        </w:rPr>
        <w:t xml:space="preserve"> of global concern</w:t>
      </w:r>
      <w:r w:rsidR="001C4CCE" w:rsidRPr="00144956">
        <w:rPr>
          <w:rFonts w:ascii="Times New Roman" w:hAnsi="Times New Roman"/>
          <w:sz w:val="22"/>
          <w:szCs w:val="22"/>
        </w:rPr>
        <w:t xml:space="preserve">. </w:t>
      </w:r>
      <w:r w:rsidR="00896897" w:rsidRPr="00144956">
        <w:rPr>
          <w:rFonts w:ascii="Times New Roman" w:hAnsi="Times New Roman"/>
          <w:sz w:val="22"/>
          <w:szCs w:val="22"/>
        </w:rPr>
        <w:t>The EWG will operate under the guidance of the POARS Steering Group and under the coordination of the IPPC Secretariat and collaborate with National Plant Protection Organizations (NPPOs), Regional Plant Protection Organizations (RPPOs), and other relevant stakeholders.</w:t>
      </w:r>
    </w:p>
    <w:p w14:paraId="135D35EC" w14:textId="77777777" w:rsidR="000D570F" w:rsidRPr="00144956" w:rsidRDefault="000D570F" w:rsidP="00B75E01">
      <w:pPr>
        <w:pStyle w:val="ListParagraph"/>
        <w:numPr>
          <w:ilvl w:val="0"/>
          <w:numId w:val="1"/>
        </w:numPr>
        <w:spacing w:after="120" w:line="276" w:lineRule="auto"/>
        <w:jc w:val="both"/>
        <w:rPr>
          <w:rFonts w:ascii="Times New Roman" w:hAnsi="Times New Roman"/>
          <w:b/>
          <w:bCs/>
          <w:sz w:val="24"/>
          <w:szCs w:val="24"/>
        </w:rPr>
      </w:pPr>
      <w:r w:rsidRPr="00144956">
        <w:rPr>
          <w:rFonts w:ascii="Times New Roman" w:hAnsi="Times New Roman"/>
          <w:b/>
          <w:bCs/>
          <w:sz w:val="24"/>
          <w:szCs w:val="24"/>
        </w:rPr>
        <w:t>Purpose</w:t>
      </w:r>
    </w:p>
    <w:p w14:paraId="011E62DD" w14:textId="270ECF2F" w:rsidR="00AE142D" w:rsidRPr="00144956" w:rsidRDefault="0063445F" w:rsidP="00B75E01">
      <w:pPr>
        <w:spacing w:after="120" w:line="276" w:lineRule="auto"/>
        <w:jc w:val="both"/>
        <w:rPr>
          <w:rFonts w:ascii="Times New Roman" w:eastAsiaTheme="minorEastAsia" w:hAnsi="Times New Roman"/>
          <w:kern w:val="0"/>
          <w:sz w:val="22"/>
          <w:szCs w:val="22"/>
          <w14:ligatures w14:val="none"/>
        </w:rPr>
      </w:pPr>
      <w:r w:rsidRPr="00144956">
        <w:rPr>
          <w:rFonts w:ascii="Times New Roman" w:eastAsiaTheme="minorEastAsia" w:hAnsi="Times New Roman"/>
          <w:kern w:val="0"/>
          <w:sz w:val="22"/>
          <w:szCs w:val="22"/>
          <w14:ligatures w14:val="none"/>
        </w:rPr>
        <w:t xml:space="preserve">The dedicated EWG will support </w:t>
      </w:r>
      <w:r w:rsidR="00043036" w:rsidRPr="00144956">
        <w:rPr>
          <w:rFonts w:ascii="Times New Roman" w:eastAsiaTheme="minorEastAsia" w:hAnsi="Times New Roman"/>
          <w:kern w:val="0"/>
          <w:sz w:val="22"/>
          <w:szCs w:val="22"/>
          <w14:ligatures w14:val="none"/>
        </w:rPr>
        <w:t xml:space="preserve">NPPOs and RPPOs </w:t>
      </w:r>
      <w:r w:rsidRPr="00144956">
        <w:rPr>
          <w:rFonts w:ascii="Times New Roman" w:eastAsiaTheme="minorEastAsia" w:hAnsi="Times New Roman"/>
          <w:kern w:val="0"/>
          <w:sz w:val="22"/>
          <w:szCs w:val="22"/>
          <w14:ligatures w14:val="none"/>
        </w:rPr>
        <w:t>to predict, prevent, prepare, respond, and recover</w:t>
      </w:r>
      <w:r w:rsidR="00E02CA2" w:rsidRPr="00144956">
        <w:rPr>
          <w:rFonts w:ascii="Times New Roman" w:eastAsiaTheme="minorEastAsia" w:hAnsi="Times New Roman"/>
          <w:kern w:val="0"/>
          <w:sz w:val="22"/>
          <w:szCs w:val="22"/>
          <w14:ligatures w14:val="none"/>
        </w:rPr>
        <w:t xml:space="preserve"> through the development of </w:t>
      </w:r>
      <w:r w:rsidR="00CD5F3D" w:rsidRPr="00144956">
        <w:rPr>
          <w:rFonts w:ascii="Times New Roman" w:eastAsiaTheme="minorEastAsia" w:hAnsi="Times New Roman"/>
          <w:kern w:val="0"/>
          <w:sz w:val="22"/>
          <w:szCs w:val="22"/>
          <w14:ligatures w14:val="none"/>
        </w:rPr>
        <w:t xml:space="preserve">tools, guidance, training, </w:t>
      </w:r>
      <w:r w:rsidR="00241D78" w:rsidRPr="00144956">
        <w:rPr>
          <w:rFonts w:ascii="Times New Roman" w:eastAsiaTheme="minorEastAsia" w:hAnsi="Times New Roman"/>
          <w:kern w:val="0"/>
          <w:sz w:val="22"/>
          <w:szCs w:val="22"/>
          <w14:ligatures w14:val="none"/>
        </w:rPr>
        <w:t xml:space="preserve">and </w:t>
      </w:r>
      <w:r w:rsidR="00CD5F3D" w:rsidRPr="00144956">
        <w:rPr>
          <w:rFonts w:ascii="Times New Roman" w:eastAsiaTheme="minorEastAsia" w:hAnsi="Times New Roman"/>
          <w:kern w:val="0"/>
          <w:sz w:val="22"/>
          <w:szCs w:val="22"/>
          <w14:ligatures w14:val="none"/>
        </w:rPr>
        <w:t>networks</w:t>
      </w:r>
      <w:r w:rsidR="685AD4D9" w:rsidRPr="00144956">
        <w:rPr>
          <w:rFonts w:ascii="Times New Roman" w:eastAsiaTheme="minorEastAsia" w:hAnsi="Times New Roman"/>
          <w:kern w:val="0"/>
          <w:sz w:val="22"/>
          <w:szCs w:val="22"/>
          <w14:ligatures w14:val="none"/>
        </w:rPr>
        <w:t xml:space="preserve">, </w:t>
      </w:r>
      <w:r w:rsidR="685AD4D9" w:rsidRPr="00144956">
        <w:rPr>
          <w:rFonts w:ascii="Times New Roman" w:eastAsia="Arial" w:hAnsi="Times New Roman"/>
          <w:sz w:val="22"/>
          <w:szCs w:val="22"/>
        </w:rPr>
        <w:t>for each pest identified as an emerging pest of global concern</w:t>
      </w:r>
    </w:p>
    <w:p w14:paraId="7E605EAF" w14:textId="3850717C" w:rsidR="00D27F02" w:rsidRPr="00144956" w:rsidRDefault="00D27F02" w:rsidP="00B75E01">
      <w:pPr>
        <w:pStyle w:val="ListParagraph"/>
        <w:numPr>
          <w:ilvl w:val="0"/>
          <w:numId w:val="1"/>
        </w:numPr>
        <w:spacing w:after="120" w:line="276" w:lineRule="auto"/>
        <w:jc w:val="both"/>
        <w:rPr>
          <w:rFonts w:ascii="Times New Roman" w:hAnsi="Times New Roman"/>
          <w:b/>
          <w:sz w:val="24"/>
          <w:szCs w:val="24"/>
        </w:rPr>
      </w:pPr>
      <w:r w:rsidRPr="00144956">
        <w:rPr>
          <w:rFonts w:ascii="Times New Roman" w:hAnsi="Times New Roman"/>
          <w:b/>
          <w:bCs/>
          <w:sz w:val="24"/>
          <w:szCs w:val="24"/>
        </w:rPr>
        <w:t>Duration and review</w:t>
      </w:r>
    </w:p>
    <w:p w14:paraId="272DBC6B" w14:textId="10523270" w:rsidR="00656101" w:rsidRPr="00144956" w:rsidRDefault="00656101" w:rsidP="00B75E01">
      <w:pPr>
        <w:spacing w:after="120" w:line="276" w:lineRule="auto"/>
        <w:jc w:val="both"/>
        <w:rPr>
          <w:rFonts w:ascii="Times New Roman" w:hAnsi="Times New Roman"/>
          <w:sz w:val="22"/>
          <w:szCs w:val="22"/>
        </w:rPr>
      </w:pPr>
      <w:r w:rsidRPr="00144956">
        <w:rPr>
          <w:rFonts w:ascii="Times New Roman" w:hAnsi="Times New Roman"/>
          <w:sz w:val="22"/>
          <w:szCs w:val="22"/>
        </w:rPr>
        <w:t>The EWG will remain active until the pest is no longer c</w:t>
      </w:r>
      <w:r w:rsidR="00A25A92" w:rsidRPr="00144956">
        <w:rPr>
          <w:rFonts w:ascii="Times New Roman" w:hAnsi="Times New Roman"/>
          <w:sz w:val="22"/>
          <w:szCs w:val="22"/>
        </w:rPr>
        <w:t>onsidered</w:t>
      </w:r>
      <w:r w:rsidRPr="00144956">
        <w:rPr>
          <w:rFonts w:ascii="Times New Roman" w:hAnsi="Times New Roman"/>
          <w:sz w:val="22"/>
          <w:szCs w:val="22"/>
        </w:rPr>
        <w:t xml:space="preserve"> as an emerging pest or until all planned activities and functional objectives have been successfully completed. Periodic reviews will be conducted to assess progress and determine the need for continuation or adjustments.</w:t>
      </w:r>
    </w:p>
    <w:p w14:paraId="05804EC4" w14:textId="27BD608D" w:rsidR="00D27F02" w:rsidRPr="00144956" w:rsidRDefault="00D27F02" w:rsidP="00B75E01">
      <w:pPr>
        <w:pStyle w:val="ListParagraph"/>
        <w:numPr>
          <w:ilvl w:val="0"/>
          <w:numId w:val="1"/>
        </w:numPr>
        <w:spacing w:after="120" w:line="276" w:lineRule="auto"/>
        <w:jc w:val="both"/>
        <w:rPr>
          <w:rFonts w:ascii="Times New Roman" w:hAnsi="Times New Roman"/>
          <w:b/>
          <w:bCs/>
          <w:sz w:val="24"/>
          <w:szCs w:val="24"/>
        </w:rPr>
      </w:pPr>
      <w:r w:rsidRPr="00144956">
        <w:rPr>
          <w:rFonts w:ascii="Times New Roman" w:hAnsi="Times New Roman"/>
          <w:b/>
          <w:bCs/>
          <w:sz w:val="24"/>
          <w:szCs w:val="24"/>
        </w:rPr>
        <w:t>Composition of the expert working group</w:t>
      </w:r>
    </w:p>
    <w:p w14:paraId="265A62C3" w14:textId="63D3ADEB" w:rsidR="00D27F02" w:rsidRPr="00144956" w:rsidRDefault="00D27F02" w:rsidP="00B75E01">
      <w:pPr>
        <w:pStyle w:val="NormalWeb"/>
        <w:spacing w:before="0" w:beforeAutospacing="0" w:after="0" w:afterAutospacing="0" w:line="276" w:lineRule="auto"/>
        <w:jc w:val="both"/>
        <w:rPr>
          <w:rFonts w:eastAsiaTheme="minorEastAsia"/>
          <w:kern w:val="2"/>
          <w:sz w:val="22"/>
          <w:szCs w:val="22"/>
          <w:lang w:val="en-GB" w:eastAsia="en-US"/>
          <w14:ligatures w14:val="standardContextual"/>
        </w:rPr>
      </w:pPr>
      <w:r w:rsidRPr="00144956">
        <w:rPr>
          <w:rFonts w:eastAsiaTheme="minorEastAsia"/>
          <w:kern w:val="2"/>
          <w:sz w:val="22"/>
          <w:szCs w:val="22"/>
          <w:lang w:val="en-GB" w:eastAsia="en-US"/>
          <w14:ligatures w14:val="standardContextual"/>
        </w:rPr>
        <w:t xml:space="preserve">The expert working group </w:t>
      </w:r>
      <w:r w:rsidR="00AE73D4" w:rsidRPr="00144956">
        <w:rPr>
          <w:rFonts w:eastAsiaTheme="minorEastAsia"/>
          <w:kern w:val="2"/>
          <w:sz w:val="22"/>
          <w:szCs w:val="22"/>
          <w:lang w:val="en-GB" w:eastAsia="en-US"/>
          <w14:ligatures w14:val="standardContextual"/>
        </w:rPr>
        <w:t xml:space="preserve">will </w:t>
      </w:r>
      <w:r w:rsidR="00D31855" w:rsidRPr="00144956">
        <w:rPr>
          <w:rFonts w:eastAsiaTheme="minorEastAsia"/>
          <w:kern w:val="2"/>
          <w:sz w:val="22"/>
          <w:szCs w:val="22"/>
          <w:lang w:val="en-GB" w:eastAsia="en-US"/>
          <w14:ligatures w14:val="standardContextual"/>
        </w:rPr>
        <w:t>consist</w:t>
      </w:r>
      <w:r w:rsidR="00AE73D4" w:rsidRPr="00144956">
        <w:rPr>
          <w:rFonts w:eastAsiaTheme="minorEastAsia"/>
          <w:kern w:val="2"/>
          <w:sz w:val="22"/>
          <w:szCs w:val="22"/>
          <w:lang w:val="en-GB" w:eastAsia="en-US"/>
          <w14:ligatures w14:val="standardContextual"/>
        </w:rPr>
        <w:t xml:space="preserve"> o</w:t>
      </w:r>
      <w:r w:rsidR="00942DD2" w:rsidRPr="00144956">
        <w:rPr>
          <w:rFonts w:eastAsiaTheme="minorEastAsia"/>
          <w:kern w:val="2"/>
          <w:sz w:val="22"/>
          <w:szCs w:val="22"/>
          <w:lang w:val="en-GB" w:eastAsia="en-US"/>
          <w14:ligatures w14:val="standardContextual"/>
        </w:rPr>
        <w:t>f</w:t>
      </w:r>
      <w:r w:rsidR="004136A4" w:rsidRPr="00144956">
        <w:rPr>
          <w:rFonts w:eastAsiaTheme="minorEastAsia"/>
          <w:kern w:val="2"/>
          <w:sz w:val="22"/>
          <w:szCs w:val="22"/>
          <w:lang w:val="en-GB" w:eastAsia="en-US"/>
          <w14:ligatures w14:val="standardContextual"/>
        </w:rPr>
        <w:t xml:space="preserve"> at least six me</w:t>
      </w:r>
      <w:r w:rsidR="00874122" w:rsidRPr="00144956">
        <w:rPr>
          <w:rFonts w:eastAsiaTheme="minorEastAsia"/>
          <w:kern w:val="2"/>
          <w:sz w:val="22"/>
          <w:szCs w:val="22"/>
          <w:lang w:val="en-GB" w:eastAsia="en-US"/>
          <w14:ligatures w14:val="standardContextual"/>
        </w:rPr>
        <w:t xml:space="preserve">mbers </w:t>
      </w:r>
      <w:r w:rsidR="00B218D1" w:rsidRPr="00144956">
        <w:rPr>
          <w:rFonts w:eastAsiaTheme="minorEastAsia"/>
          <w:kern w:val="2"/>
          <w:sz w:val="22"/>
          <w:szCs w:val="22"/>
          <w:lang w:val="en-GB" w:eastAsia="en-US"/>
          <w14:ligatures w14:val="standardContextual"/>
        </w:rPr>
        <w:t>from NPPOs,</w:t>
      </w:r>
      <w:r w:rsidR="00255424" w:rsidRPr="00144956">
        <w:rPr>
          <w:rFonts w:eastAsiaTheme="minorEastAsia"/>
          <w:kern w:val="2"/>
          <w:sz w:val="22"/>
          <w:szCs w:val="22"/>
          <w:lang w:val="en-GB" w:eastAsia="en-US"/>
          <w14:ligatures w14:val="standardContextual"/>
        </w:rPr>
        <w:t xml:space="preserve"> RPPOs,</w:t>
      </w:r>
      <w:r w:rsidR="00B218D1" w:rsidRPr="00144956">
        <w:rPr>
          <w:rFonts w:eastAsiaTheme="minorEastAsia"/>
          <w:kern w:val="2"/>
          <w:sz w:val="22"/>
          <w:szCs w:val="22"/>
          <w:lang w:val="en-GB" w:eastAsia="en-US"/>
          <w14:ligatures w14:val="standardContextual"/>
        </w:rPr>
        <w:t xml:space="preserve"> </w:t>
      </w:r>
      <w:r w:rsidR="00B218D1" w:rsidRPr="00144956">
        <w:rPr>
          <w:rFonts w:eastAsiaTheme="minorEastAsia"/>
          <w:sz w:val="22"/>
          <w:szCs w:val="22"/>
          <w:lang w:val="en-GB" w:eastAsia="en-US"/>
        </w:rPr>
        <w:t>research institutions,</w:t>
      </w:r>
      <w:r w:rsidR="00B218D1" w:rsidRPr="00144956">
        <w:rPr>
          <w:rFonts w:eastAsiaTheme="minorEastAsia"/>
          <w:sz w:val="22"/>
          <w:szCs w:val="22"/>
        </w:rPr>
        <w:t xml:space="preserve"> academia</w:t>
      </w:r>
      <w:r w:rsidR="00255424" w:rsidRPr="00144956">
        <w:rPr>
          <w:rFonts w:eastAsiaTheme="minorEastAsia"/>
          <w:sz w:val="22"/>
          <w:szCs w:val="22"/>
          <w:lang w:val="en-GB" w:eastAsia="en-US"/>
        </w:rPr>
        <w:t xml:space="preserve">, </w:t>
      </w:r>
      <w:r w:rsidR="00B218D1" w:rsidRPr="00144956">
        <w:rPr>
          <w:rFonts w:eastAsiaTheme="minorEastAsia"/>
          <w:sz w:val="22"/>
          <w:szCs w:val="22"/>
          <w:lang w:val="en-GB" w:eastAsia="en-US"/>
        </w:rPr>
        <w:t xml:space="preserve">international organizations </w:t>
      </w:r>
      <w:r w:rsidR="00255424" w:rsidRPr="00144956">
        <w:rPr>
          <w:rFonts w:eastAsiaTheme="minorEastAsia"/>
          <w:sz w:val="22"/>
          <w:szCs w:val="22"/>
          <w:lang w:val="en-GB" w:eastAsia="en-US"/>
        </w:rPr>
        <w:t xml:space="preserve">and </w:t>
      </w:r>
      <w:r w:rsidR="00B218D1" w:rsidRPr="00144956">
        <w:rPr>
          <w:sz w:val="22"/>
          <w:szCs w:val="22"/>
        </w:rPr>
        <w:t>partner organizations</w:t>
      </w:r>
      <w:r w:rsidR="00255424" w:rsidRPr="00144956">
        <w:rPr>
          <w:sz w:val="22"/>
          <w:szCs w:val="22"/>
        </w:rPr>
        <w:t>,</w:t>
      </w:r>
      <w:r w:rsidR="00E74715" w:rsidRPr="00144956">
        <w:rPr>
          <w:sz w:val="22"/>
          <w:szCs w:val="22"/>
        </w:rPr>
        <w:t xml:space="preserve"> and at least one rep</w:t>
      </w:r>
      <w:r w:rsidR="00255424" w:rsidRPr="00144956">
        <w:rPr>
          <w:sz w:val="22"/>
          <w:szCs w:val="22"/>
        </w:rPr>
        <w:t>resentative</w:t>
      </w:r>
      <w:r w:rsidR="00E74715" w:rsidRPr="00144956">
        <w:rPr>
          <w:sz w:val="22"/>
          <w:szCs w:val="22"/>
        </w:rPr>
        <w:t xml:space="preserve"> from </w:t>
      </w:r>
      <w:r w:rsidR="00255424" w:rsidRPr="00144956">
        <w:rPr>
          <w:sz w:val="22"/>
          <w:szCs w:val="22"/>
        </w:rPr>
        <w:t xml:space="preserve">the </w:t>
      </w:r>
      <w:r w:rsidR="00E74715" w:rsidRPr="00144956">
        <w:rPr>
          <w:sz w:val="22"/>
          <w:szCs w:val="22"/>
        </w:rPr>
        <w:t>POARS SG</w:t>
      </w:r>
      <w:r w:rsidR="00B218D1" w:rsidRPr="00144956">
        <w:rPr>
          <w:rFonts w:eastAsiaTheme="minorEastAsia"/>
          <w:sz w:val="22"/>
          <w:szCs w:val="22"/>
          <w:lang w:val="en-GB" w:eastAsia="en-US"/>
        </w:rPr>
        <w:t xml:space="preserve">. </w:t>
      </w:r>
      <w:r w:rsidR="00AE73D4" w:rsidRPr="00144956">
        <w:rPr>
          <w:rFonts w:eastAsiaTheme="minorEastAsia"/>
          <w:kern w:val="2"/>
          <w:sz w:val="22"/>
          <w:szCs w:val="22"/>
          <w:lang w:val="en-GB" w:eastAsia="en-US"/>
          <w14:ligatures w14:val="standardContextual"/>
        </w:rPr>
        <w:t xml:space="preserve"> </w:t>
      </w:r>
    </w:p>
    <w:p w14:paraId="375BCAE0" w14:textId="77777777" w:rsidR="00AE73D4" w:rsidRPr="00144956" w:rsidRDefault="00AE73D4" w:rsidP="00B75E01">
      <w:pPr>
        <w:pStyle w:val="NormalWeb"/>
        <w:spacing w:before="0" w:beforeAutospacing="0" w:after="0" w:afterAutospacing="0"/>
        <w:jc w:val="both"/>
        <w:rPr>
          <w:sz w:val="22"/>
          <w:szCs w:val="22"/>
        </w:rPr>
      </w:pPr>
    </w:p>
    <w:p w14:paraId="01651059" w14:textId="56EE2A7E" w:rsidR="00D27F02" w:rsidRDefault="00D27F02" w:rsidP="00B75E01">
      <w:pPr>
        <w:spacing w:line="276" w:lineRule="auto"/>
        <w:jc w:val="both"/>
        <w:rPr>
          <w:rFonts w:ascii="Times New Roman" w:hAnsi="Times New Roman"/>
          <w:sz w:val="22"/>
          <w:szCs w:val="22"/>
        </w:rPr>
      </w:pPr>
      <w:r w:rsidRPr="00144956">
        <w:rPr>
          <w:rFonts w:ascii="Times New Roman" w:hAnsi="Times New Roman"/>
          <w:sz w:val="22"/>
          <w:szCs w:val="22"/>
        </w:rPr>
        <w:t xml:space="preserve">The IPPC Secretariat supports equity, diversity, and inclusiveness and encourages all interested experts to submit their candidature to participate in the emerging pest </w:t>
      </w:r>
      <w:r w:rsidR="00255424" w:rsidRPr="00144956">
        <w:rPr>
          <w:rFonts w:ascii="Times New Roman" w:hAnsi="Times New Roman"/>
          <w:sz w:val="22"/>
          <w:szCs w:val="22"/>
        </w:rPr>
        <w:t xml:space="preserve">specific </w:t>
      </w:r>
      <w:r w:rsidRPr="00144956">
        <w:rPr>
          <w:rFonts w:ascii="Times New Roman" w:hAnsi="Times New Roman"/>
          <w:sz w:val="22"/>
          <w:szCs w:val="22"/>
        </w:rPr>
        <w:t xml:space="preserve">expert working group. The </w:t>
      </w:r>
      <w:r w:rsidR="00255424" w:rsidRPr="00144956">
        <w:rPr>
          <w:rFonts w:ascii="Times New Roman" w:hAnsi="Times New Roman"/>
          <w:sz w:val="22"/>
          <w:szCs w:val="22"/>
        </w:rPr>
        <w:t>EWG</w:t>
      </w:r>
      <w:r w:rsidRPr="00144956">
        <w:rPr>
          <w:rFonts w:ascii="Times New Roman" w:hAnsi="Times New Roman"/>
          <w:sz w:val="22"/>
          <w:szCs w:val="22"/>
        </w:rPr>
        <w:t xml:space="preserve"> members will be selected based on their technical and practical expertise in the subject matter. Geographical representation from both developing and developed countries will also be considered to ensure that the outputs are globally relevant, applicable, and reflect best practices from all over the world.</w:t>
      </w:r>
    </w:p>
    <w:p w14:paraId="641FC390" w14:textId="77777777" w:rsidR="00B75E01" w:rsidRDefault="00B75E01" w:rsidP="00B75E01">
      <w:pPr>
        <w:spacing w:line="276" w:lineRule="auto"/>
        <w:jc w:val="both"/>
        <w:rPr>
          <w:rFonts w:ascii="Times New Roman" w:hAnsi="Times New Roman"/>
          <w:sz w:val="22"/>
          <w:szCs w:val="22"/>
        </w:rPr>
      </w:pPr>
    </w:p>
    <w:p w14:paraId="39CC0D34" w14:textId="77777777" w:rsidR="00A97B14" w:rsidRDefault="00A97B14" w:rsidP="00B75E01">
      <w:pPr>
        <w:spacing w:line="276" w:lineRule="auto"/>
        <w:jc w:val="both"/>
        <w:rPr>
          <w:rFonts w:ascii="Times New Roman" w:hAnsi="Times New Roman"/>
          <w:sz w:val="22"/>
          <w:szCs w:val="22"/>
        </w:rPr>
      </w:pPr>
    </w:p>
    <w:p w14:paraId="38C4A3A7" w14:textId="77777777" w:rsidR="00A97B14" w:rsidRPr="00144956" w:rsidRDefault="00A97B14" w:rsidP="00B75E01">
      <w:pPr>
        <w:spacing w:line="276" w:lineRule="auto"/>
        <w:jc w:val="both"/>
        <w:rPr>
          <w:rFonts w:ascii="Times New Roman" w:hAnsi="Times New Roman"/>
          <w:sz w:val="22"/>
          <w:szCs w:val="22"/>
        </w:rPr>
      </w:pPr>
    </w:p>
    <w:p w14:paraId="1D30D444" w14:textId="6640A300" w:rsidR="00D27F02" w:rsidRPr="00144956" w:rsidRDefault="00D27F02" w:rsidP="00B75E01">
      <w:pPr>
        <w:spacing w:after="120" w:line="276" w:lineRule="auto"/>
        <w:jc w:val="both"/>
        <w:rPr>
          <w:rFonts w:ascii="Times New Roman" w:hAnsi="Times New Roman"/>
          <w:sz w:val="22"/>
          <w:szCs w:val="22"/>
        </w:rPr>
      </w:pPr>
      <w:r w:rsidRPr="00144956">
        <w:rPr>
          <w:rFonts w:ascii="Times New Roman" w:hAnsi="Times New Roman"/>
          <w:sz w:val="22"/>
          <w:szCs w:val="22"/>
        </w:rPr>
        <w:t xml:space="preserve">The following criteria should be used for selecting </w:t>
      </w:r>
      <w:r w:rsidR="00255424" w:rsidRPr="00144956">
        <w:rPr>
          <w:rFonts w:ascii="Times New Roman" w:hAnsi="Times New Roman"/>
          <w:sz w:val="22"/>
          <w:szCs w:val="22"/>
        </w:rPr>
        <w:t>EWG</w:t>
      </w:r>
      <w:r w:rsidRPr="00144956">
        <w:rPr>
          <w:rFonts w:ascii="Times New Roman" w:hAnsi="Times New Roman"/>
          <w:sz w:val="22"/>
          <w:szCs w:val="22"/>
        </w:rPr>
        <w:t xml:space="preserve"> members:</w:t>
      </w:r>
    </w:p>
    <w:p w14:paraId="7E13D2FD" w14:textId="67D67E82" w:rsidR="00D27F02" w:rsidRPr="00AE3866" w:rsidRDefault="00D27F02" w:rsidP="00B75E01">
      <w:pPr>
        <w:pStyle w:val="IPPBullet1"/>
        <w:numPr>
          <w:ilvl w:val="0"/>
          <w:numId w:val="17"/>
        </w:numPr>
        <w:ind w:left="567" w:hanging="567"/>
      </w:pPr>
      <w:r w:rsidRPr="00AE3866">
        <w:t>Experience in risk management, including the provision of biosecurity advice and involvement in policy development</w:t>
      </w:r>
    </w:p>
    <w:p w14:paraId="7770AFF2" w14:textId="6C33F833" w:rsidR="007D2DDB" w:rsidRPr="00AE3866" w:rsidRDefault="007D2DDB" w:rsidP="00B75E01">
      <w:pPr>
        <w:pStyle w:val="IPPBullet1"/>
        <w:numPr>
          <w:ilvl w:val="0"/>
          <w:numId w:val="17"/>
        </w:numPr>
        <w:ind w:left="567" w:hanging="567"/>
      </w:pPr>
      <w:r w:rsidRPr="00AE3866">
        <w:t xml:space="preserve">Knowledge of the </w:t>
      </w:r>
      <w:r w:rsidR="00EE6C89" w:rsidRPr="00AE3866">
        <w:t xml:space="preserve">specific </w:t>
      </w:r>
      <w:r w:rsidR="007C06CC" w:rsidRPr="00AE3866">
        <w:t xml:space="preserve">emerging </w:t>
      </w:r>
      <w:r w:rsidRPr="00AE3866">
        <w:t xml:space="preserve">pest.  </w:t>
      </w:r>
    </w:p>
    <w:p w14:paraId="3BCB1164" w14:textId="408F1906" w:rsidR="00383F03" w:rsidRPr="00AE3866" w:rsidRDefault="00383F03" w:rsidP="00B75E01">
      <w:pPr>
        <w:pStyle w:val="IPPBullet1"/>
        <w:numPr>
          <w:ilvl w:val="0"/>
          <w:numId w:val="17"/>
        </w:numPr>
        <w:ind w:left="567" w:hanging="567"/>
      </w:pPr>
      <w:r w:rsidRPr="00AE3866">
        <w:t>Familiar</w:t>
      </w:r>
      <w:r w:rsidR="00255424" w:rsidRPr="00AE3866">
        <w:t>ity</w:t>
      </w:r>
      <w:r w:rsidRPr="00AE3866">
        <w:t xml:space="preserve"> with international and regional plant protection organisations and other government and private institutions engaged with plant protection affairs. </w:t>
      </w:r>
    </w:p>
    <w:p w14:paraId="0A631F1F" w14:textId="7A967BCF" w:rsidR="00CE209F" w:rsidRPr="00AE3866" w:rsidRDefault="00CE209F" w:rsidP="00B75E01">
      <w:pPr>
        <w:pStyle w:val="IPPBullet1"/>
        <w:numPr>
          <w:ilvl w:val="0"/>
          <w:numId w:val="17"/>
        </w:numPr>
        <w:ind w:left="567" w:hanging="567"/>
      </w:pPr>
      <w:r w:rsidRPr="00AE3866">
        <w:t>Experience in the provision of technical assistance</w:t>
      </w:r>
      <w:r w:rsidR="003D392D" w:rsidRPr="00AE3866">
        <w:t>.</w:t>
      </w:r>
    </w:p>
    <w:p w14:paraId="411D49E1" w14:textId="26ECDA41" w:rsidR="0071058D" w:rsidRDefault="00F109DC" w:rsidP="00B75E01">
      <w:pPr>
        <w:pStyle w:val="IPPBullet1"/>
        <w:numPr>
          <w:ilvl w:val="0"/>
          <w:numId w:val="17"/>
        </w:numPr>
        <w:ind w:left="567" w:hanging="567"/>
      </w:pPr>
      <w:r w:rsidRPr="00AE3866">
        <w:t>U</w:t>
      </w:r>
      <w:r w:rsidR="00D27F02" w:rsidRPr="00AE3866">
        <w:t>nderstanding of international phytosanitary standards</w:t>
      </w:r>
      <w:r w:rsidR="00CE209F" w:rsidRPr="00AE3866">
        <w:t xml:space="preserve"> and implementation resources</w:t>
      </w:r>
      <w:r w:rsidR="003D392D" w:rsidRPr="00AE3866">
        <w:t>.</w:t>
      </w:r>
    </w:p>
    <w:p w14:paraId="45B1D2E5" w14:textId="77777777" w:rsidR="00E10DC0" w:rsidRPr="00E10DC0" w:rsidRDefault="00E10DC0" w:rsidP="00E10DC0">
      <w:pPr>
        <w:pStyle w:val="IPPBullet1"/>
        <w:ind w:left="567"/>
        <w:rPr>
          <w:sz w:val="6"/>
          <w:szCs w:val="6"/>
        </w:rPr>
      </w:pPr>
    </w:p>
    <w:p w14:paraId="5AF6F67C" w14:textId="628255B9" w:rsidR="00D27F02" w:rsidRPr="00144956" w:rsidRDefault="00D27F02" w:rsidP="00B75E01">
      <w:pPr>
        <w:spacing w:after="120" w:line="276" w:lineRule="auto"/>
        <w:jc w:val="both"/>
        <w:rPr>
          <w:rFonts w:ascii="Times New Roman" w:hAnsi="Times New Roman"/>
          <w:sz w:val="22"/>
          <w:szCs w:val="22"/>
        </w:rPr>
      </w:pPr>
      <w:r w:rsidRPr="00144956">
        <w:rPr>
          <w:rFonts w:ascii="Times New Roman" w:hAnsi="Times New Roman"/>
          <w:sz w:val="22"/>
          <w:szCs w:val="22"/>
        </w:rPr>
        <w:t xml:space="preserve">The Chair </w:t>
      </w:r>
      <w:r w:rsidR="7E80EAAF" w:rsidRPr="00144956">
        <w:rPr>
          <w:rFonts w:ascii="Times New Roman" w:hAnsi="Times New Roman"/>
          <w:sz w:val="22"/>
          <w:szCs w:val="22"/>
        </w:rPr>
        <w:t>may</w:t>
      </w:r>
      <w:r w:rsidR="22F011F6" w:rsidRPr="00144956">
        <w:rPr>
          <w:rFonts w:ascii="Times New Roman" w:hAnsi="Times New Roman"/>
          <w:sz w:val="22"/>
          <w:szCs w:val="22"/>
        </w:rPr>
        <w:t xml:space="preserve"> be</w:t>
      </w:r>
      <w:r w:rsidRPr="00144956">
        <w:rPr>
          <w:rFonts w:ascii="Times New Roman" w:hAnsi="Times New Roman"/>
          <w:sz w:val="22"/>
          <w:szCs w:val="22"/>
        </w:rPr>
        <w:t xml:space="preserve"> selected by the membership and remain Chair for the duration of the</w:t>
      </w:r>
      <w:r w:rsidR="003D392D" w:rsidRPr="00144956">
        <w:rPr>
          <w:rFonts w:ascii="Times New Roman" w:hAnsi="Times New Roman"/>
          <w:sz w:val="22"/>
          <w:szCs w:val="22"/>
        </w:rPr>
        <w:t xml:space="preserve"> EWG</w:t>
      </w:r>
      <w:r w:rsidR="50E05879" w:rsidRPr="00144956">
        <w:rPr>
          <w:rFonts w:ascii="Times New Roman" w:hAnsi="Times New Roman"/>
          <w:sz w:val="22"/>
          <w:szCs w:val="22"/>
        </w:rPr>
        <w:t xml:space="preserve"> or being set in a rotational manner </w:t>
      </w:r>
    </w:p>
    <w:p w14:paraId="4F5ADC65" w14:textId="05056EB7" w:rsidR="00D27F02" w:rsidRPr="00144956" w:rsidRDefault="00D27F02" w:rsidP="00B75E01">
      <w:pPr>
        <w:spacing w:after="120" w:line="276" w:lineRule="auto"/>
        <w:jc w:val="both"/>
        <w:rPr>
          <w:rFonts w:ascii="Times New Roman" w:hAnsi="Times New Roman"/>
          <w:sz w:val="22"/>
          <w:szCs w:val="22"/>
        </w:rPr>
      </w:pPr>
      <w:r w:rsidRPr="00144956">
        <w:rPr>
          <w:rFonts w:ascii="Times New Roman" w:hAnsi="Times New Roman"/>
          <w:sz w:val="22"/>
          <w:szCs w:val="22"/>
        </w:rPr>
        <w:t>The IPPC Secretariat will support, coordinate and</w:t>
      </w:r>
      <w:r w:rsidR="3B7F49EB" w:rsidRPr="00144956">
        <w:rPr>
          <w:rFonts w:ascii="Times New Roman" w:hAnsi="Times New Roman"/>
          <w:sz w:val="22"/>
          <w:szCs w:val="22"/>
        </w:rPr>
        <w:t xml:space="preserve"> serve for the duration of the EWG or rotate periodically, depending on the agreed arrangement. </w:t>
      </w:r>
    </w:p>
    <w:p w14:paraId="2E48FA16" w14:textId="77777777" w:rsidR="00D27F02" w:rsidRPr="00144956" w:rsidRDefault="00D27F02" w:rsidP="00B75E01">
      <w:pPr>
        <w:pStyle w:val="ListParagraph"/>
        <w:numPr>
          <w:ilvl w:val="0"/>
          <w:numId w:val="1"/>
        </w:numPr>
        <w:spacing w:after="120" w:line="276" w:lineRule="auto"/>
        <w:jc w:val="both"/>
        <w:rPr>
          <w:rFonts w:ascii="Times New Roman" w:hAnsi="Times New Roman"/>
          <w:b/>
          <w:bCs/>
          <w:sz w:val="24"/>
          <w:szCs w:val="24"/>
        </w:rPr>
      </w:pPr>
      <w:r w:rsidRPr="00144956">
        <w:rPr>
          <w:rFonts w:ascii="Times New Roman" w:hAnsi="Times New Roman"/>
          <w:b/>
          <w:bCs/>
          <w:sz w:val="24"/>
          <w:szCs w:val="24"/>
        </w:rPr>
        <w:t>Reporting</w:t>
      </w:r>
    </w:p>
    <w:p w14:paraId="40AEF908" w14:textId="42A43EFF" w:rsidR="00D27F02" w:rsidRPr="00144956" w:rsidRDefault="00D27F02" w:rsidP="00B75E01">
      <w:pPr>
        <w:spacing w:after="120" w:line="276" w:lineRule="auto"/>
        <w:jc w:val="both"/>
        <w:rPr>
          <w:rFonts w:ascii="Times New Roman" w:hAnsi="Times New Roman"/>
          <w:sz w:val="22"/>
          <w:szCs w:val="22"/>
        </w:rPr>
      </w:pPr>
      <w:r w:rsidRPr="00144956">
        <w:rPr>
          <w:rFonts w:ascii="Times New Roman" w:hAnsi="Times New Roman"/>
          <w:sz w:val="22"/>
          <w:szCs w:val="22"/>
        </w:rPr>
        <w:t xml:space="preserve">The </w:t>
      </w:r>
      <w:r w:rsidR="003D392D" w:rsidRPr="00144956">
        <w:rPr>
          <w:rFonts w:ascii="Times New Roman" w:hAnsi="Times New Roman"/>
          <w:sz w:val="22"/>
          <w:szCs w:val="22"/>
        </w:rPr>
        <w:t xml:space="preserve">EWG </w:t>
      </w:r>
      <w:r w:rsidRPr="00144956">
        <w:rPr>
          <w:rFonts w:ascii="Times New Roman" w:hAnsi="Times New Roman"/>
          <w:sz w:val="22"/>
          <w:szCs w:val="22"/>
        </w:rPr>
        <w:t>reports directly to the POARS SG.</w:t>
      </w:r>
    </w:p>
    <w:p w14:paraId="59512669" w14:textId="77777777" w:rsidR="00D27F02" w:rsidRPr="00144956" w:rsidRDefault="00D27F02" w:rsidP="00B75E01">
      <w:pPr>
        <w:pStyle w:val="ListParagraph"/>
        <w:numPr>
          <w:ilvl w:val="0"/>
          <w:numId w:val="1"/>
        </w:numPr>
        <w:spacing w:after="120" w:line="276" w:lineRule="auto"/>
        <w:jc w:val="both"/>
        <w:rPr>
          <w:rFonts w:ascii="Times New Roman" w:hAnsi="Times New Roman"/>
          <w:b/>
          <w:bCs/>
          <w:sz w:val="24"/>
          <w:szCs w:val="24"/>
        </w:rPr>
      </w:pPr>
      <w:r w:rsidRPr="00144956">
        <w:rPr>
          <w:rFonts w:ascii="Times New Roman" w:hAnsi="Times New Roman"/>
          <w:b/>
          <w:bCs/>
          <w:sz w:val="24"/>
          <w:szCs w:val="24"/>
        </w:rPr>
        <w:t>Process</w:t>
      </w:r>
    </w:p>
    <w:p w14:paraId="193B61E3" w14:textId="290C16AD" w:rsidR="00D27F02" w:rsidRPr="00144956" w:rsidRDefault="00D27F02" w:rsidP="00A97B14">
      <w:pPr>
        <w:spacing w:line="276" w:lineRule="auto"/>
        <w:jc w:val="both"/>
        <w:rPr>
          <w:rFonts w:ascii="Times New Roman" w:hAnsi="Times New Roman"/>
          <w:sz w:val="22"/>
          <w:szCs w:val="22"/>
        </w:rPr>
      </w:pPr>
      <w:r w:rsidRPr="00144956">
        <w:rPr>
          <w:rFonts w:ascii="Times New Roman" w:hAnsi="Times New Roman"/>
          <w:sz w:val="22"/>
          <w:szCs w:val="22"/>
        </w:rPr>
        <w:t xml:space="preserve">The member selection for the </w:t>
      </w:r>
      <w:r w:rsidR="00637F24" w:rsidRPr="00144956">
        <w:rPr>
          <w:rFonts w:ascii="Times New Roman" w:hAnsi="Times New Roman"/>
          <w:sz w:val="22"/>
          <w:szCs w:val="22"/>
        </w:rPr>
        <w:t xml:space="preserve">EWG </w:t>
      </w:r>
      <w:r w:rsidRPr="00144956">
        <w:rPr>
          <w:rFonts w:ascii="Times New Roman" w:hAnsi="Times New Roman"/>
          <w:sz w:val="22"/>
          <w:szCs w:val="22"/>
        </w:rPr>
        <w:t xml:space="preserve">shall be carried out in accordance with the following guidelines: </w:t>
      </w:r>
    </w:p>
    <w:p w14:paraId="739784CB" w14:textId="5CEC8C32" w:rsidR="00D27F02" w:rsidRPr="00144956" w:rsidRDefault="00D67B97" w:rsidP="00B75E01">
      <w:pPr>
        <w:pStyle w:val="ListParagraph"/>
        <w:numPr>
          <w:ilvl w:val="0"/>
          <w:numId w:val="16"/>
        </w:numPr>
        <w:spacing w:after="120" w:line="276" w:lineRule="auto"/>
        <w:jc w:val="both"/>
        <w:rPr>
          <w:rFonts w:ascii="Times New Roman" w:hAnsi="Times New Roman"/>
          <w:sz w:val="22"/>
          <w:szCs w:val="22"/>
        </w:rPr>
      </w:pPr>
      <w:r w:rsidRPr="00144956">
        <w:rPr>
          <w:rFonts w:ascii="Times New Roman" w:hAnsi="Times New Roman"/>
          <w:sz w:val="22"/>
          <w:szCs w:val="22"/>
        </w:rPr>
        <w:t>A call for experts will be issued, and the IPPC Secretariat will review the nominations before submitting them to the POARS SG for selection, ensuring both gender and geographical balance</w:t>
      </w:r>
      <w:r w:rsidR="00D27F02" w:rsidRPr="00144956">
        <w:rPr>
          <w:rFonts w:ascii="Times New Roman" w:hAnsi="Times New Roman"/>
          <w:sz w:val="22"/>
          <w:szCs w:val="22"/>
        </w:rPr>
        <w:t xml:space="preserve">. </w:t>
      </w:r>
    </w:p>
    <w:p w14:paraId="16CE49D9" w14:textId="0845F237" w:rsidR="00D27F02" w:rsidRPr="00144956" w:rsidRDefault="00D27F02" w:rsidP="00B75E01">
      <w:pPr>
        <w:pStyle w:val="ListParagraph"/>
        <w:numPr>
          <w:ilvl w:val="0"/>
          <w:numId w:val="5"/>
        </w:numPr>
        <w:spacing w:after="120" w:line="276" w:lineRule="auto"/>
        <w:jc w:val="both"/>
        <w:rPr>
          <w:rFonts w:ascii="Times New Roman" w:hAnsi="Times New Roman"/>
          <w:sz w:val="22"/>
          <w:szCs w:val="22"/>
        </w:rPr>
      </w:pPr>
      <w:r w:rsidRPr="00144956">
        <w:rPr>
          <w:rFonts w:ascii="Times New Roman" w:hAnsi="Times New Roman"/>
          <w:sz w:val="22"/>
          <w:szCs w:val="22"/>
        </w:rPr>
        <w:t xml:space="preserve">The </w:t>
      </w:r>
      <w:r w:rsidR="00637F24" w:rsidRPr="00144956">
        <w:rPr>
          <w:rFonts w:ascii="Times New Roman" w:hAnsi="Times New Roman"/>
          <w:sz w:val="22"/>
          <w:szCs w:val="22"/>
        </w:rPr>
        <w:t xml:space="preserve">EWG </w:t>
      </w:r>
      <w:r w:rsidRPr="00144956">
        <w:rPr>
          <w:rFonts w:ascii="Times New Roman" w:hAnsi="Times New Roman"/>
          <w:sz w:val="22"/>
          <w:szCs w:val="22"/>
        </w:rPr>
        <w:t>will convene virtually for the first time at least to select its chairperson, discuss its functions, and plan the work described under “functions”.</w:t>
      </w:r>
    </w:p>
    <w:p w14:paraId="790F03BC" w14:textId="77777777" w:rsidR="002C127B" w:rsidRPr="00144956" w:rsidRDefault="002C127B" w:rsidP="00B75E01">
      <w:pPr>
        <w:pStyle w:val="ListParagraph"/>
        <w:spacing w:after="120" w:line="276" w:lineRule="auto"/>
        <w:jc w:val="both"/>
        <w:rPr>
          <w:rFonts w:ascii="Times New Roman" w:hAnsi="Times New Roman"/>
          <w:sz w:val="22"/>
          <w:szCs w:val="22"/>
        </w:rPr>
      </w:pPr>
    </w:p>
    <w:p w14:paraId="7A7C1257" w14:textId="5F760FEB" w:rsidR="00D27F02" w:rsidRPr="00144956" w:rsidRDefault="00D27F02" w:rsidP="00B75E01">
      <w:pPr>
        <w:pStyle w:val="ListParagraph"/>
        <w:numPr>
          <w:ilvl w:val="0"/>
          <w:numId w:val="1"/>
        </w:numPr>
        <w:spacing w:after="120" w:line="276" w:lineRule="auto"/>
        <w:ind w:left="357" w:hanging="357"/>
        <w:jc w:val="both"/>
        <w:rPr>
          <w:rFonts w:ascii="Times New Roman" w:hAnsi="Times New Roman"/>
          <w:b/>
          <w:bCs/>
          <w:sz w:val="24"/>
          <w:szCs w:val="24"/>
        </w:rPr>
      </w:pPr>
      <w:r w:rsidRPr="00144956">
        <w:rPr>
          <w:rFonts w:ascii="Times New Roman" w:hAnsi="Times New Roman"/>
          <w:b/>
          <w:bCs/>
          <w:sz w:val="24"/>
          <w:szCs w:val="24"/>
        </w:rPr>
        <w:t>Functions</w:t>
      </w:r>
      <w:r w:rsidR="00AD23A7" w:rsidRPr="00144956">
        <w:rPr>
          <w:rFonts w:ascii="Times New Roman" w:hAnsi="Times New Roman"/>
          <w:b/>
          <w:bCs/>
          <w:sz w:val="24"/>
          <w:szCs w:val="24"/>
        </w:rPr>
        <w:t xml:space="preserve"> and scope</w:t>
      </w:r>
    </w:p>
    <w:p w14:paraId="04D881AE" w14:textId="2234114F" w:rsidR="00D27F02" w:rsidRPr="00144956" w:rsidRDefault="00AD23A7" w:rsidP="0078726B">
      <w:pPr>
        <w:spacing w:line="276" w:lineRule="auto"/>
        <w:jc w:val="both"/>
        <w:rPr>
          <w:rFonts w:ascii="Times New Roman" w:hAnsi="Times New Roman"/>
          <w:sz w:val="22"/>
          <w:szCs w:val="22"/>
        </w:rPr>
      </w:pPr>
      <w:r w:rsidRPr="00144956">
        <w:rPr>
          <w:rFonts w:ascii="Times New Roman" w:hAnsi="Times New Roman"/>
          <w:sz w:val="22"/>
          <w:szCs w:val="22"/>
        </w:rPr>
        <w:t>The EWG will focus on the following activities:</w:t>
      </w:r>
    </w:p>
    <w:p w14:paraId="6E27B17E" w14:textId="5A040383" w:rsidR="00E71F98" w:rsidRPr="00E10DC0" w:rsidRDefault="009C5D3F" w:rsidP="00E10DC0">
      <w:pPr>
        <w:pStyle w:val="IPPBullet1"/>
        <w:numPr>
          <w:ilvl w:val="0"/>
          <w:numId w:val="17"/>
        </w:numPr>
        <w:ind w:left="567" w:hanging="567"/>
      </w:pPr>
      <w:r w:rsidRPr="00E10DC0">
        <w:t>Collate existing prediction, prevention, preparedness, response and recovery tools</w:t>
      </w:r>
      <w:r w:rsidR="002E5B35" w:rsidRPr="00E10DC0">
        <w:t xml:space="preserve">, guidance, </w:t>
      </w:r>
      <w:r w:rsidR="00DC78C3" w:rsidRPr="00E10DC0">
        <w:t>training etc. (hereafter referred to simply as tools)</w:t>
      </w:r>
      <w:r w:rsidR="00CE209F" w:rsidRPr="00E10DC0">
        <w:t xml:space="preserve"> from NPPOs, RPPOs and </w:t>
      </w:r>
      <w:r w:rsidR="00DC78C3" w:rsidRPr="00E10DC0">
        <w:t xml:space="preserve">the </w:t>
      </w:r>
      <w:r w:rsidR="00CE209F" w:rsidRPr="00E10DC0">
        <w:t>IPPC Secretariat</w:t>
      </w:r>
      <w:r w:rsidR="4C96E7AB" w:rsidRPr="00E10DC0">
        <w:t>.</w:t>
      </w:r>
    </w:p>
    <w:p w14:paraId="6B715052" w14:textId="03816444" w:rsidR="009C5D3F" w:rsidRPr="00E10DC0" w:rsidRDefault="009C5D3F" w:rsidP="00E10DC0">
      <w:pPr>
        <w:pStyle w:val="IPPBullet1"/>
        <w:numPr>
          <w:ilvl w:val="0"/>
          <w:numId w:val="17"/>
        </w:numPr>
        <w:ind w:left="567" w:hanging="567"/>
      </w:pPr>
      <w:r w:rsidRPr="00E10DC0">
        <w:t>Fill in the pest matrix</w:t>
      </w:r>
      <w:r w:rsidR="00DC78C3" w:rsidRPr="00E10DC0">
        <w:t>/database</w:t>
      </w:r>
      <w:r w:rsidRPr="00E10DC0">
        <w:t>, indicating whether a tool is available, partially available/in progress or unavailable</w:t>
      </w:r>
      <w:r w:rsidR="00DC78C3" w:rsidRPr="00E10DC0">
        <w:t>.</w:t>
      </w:r>
    </w:p>
    <w:p w14:paraId="40C1700F" w14:textId="15F04239" w:rsidR="009C5D3F" w:rsidRPr="00E10DC0" w:rsidRDefault="009C5D3F" w:rsidP="00E10DC0">
      <w:pPr>
        <w:pStyle w:val="IPPBullet1"/>
        <w:numPr>
          <w:ilvl w:val="0"/>
          <w:numId w:val="17"/>
        </w:numPr>
        <w:ind w:left="567" w:hanging="567"/>
      </w:pPr>
      <w:r w:rsidRPr="00E10DC0">
        <w:t>Carry out a prioritisation exercise on the gaps</w:t>
      </w:r>
      <w:r w:rsidR="00DC78C3" w:rsidRPr="00E10DC0">
        <w:t>.</w:t>
      </w:r>
    </w:p>
    <w:p w14:paraId="32E18032" w14:textId="3D293D0E" w:rsidR="00CE209F" w:rsidRPr="00E10DC0" w:rsidRDefault="00CE209F" w:rsidP="00E10DC0">
      <w:pPr>
        <w:pStyle w:val="IPPBullet1"/>
        <w:numPr>
          <w:ilvl w:val="0"/>
          <w:numId w:val="17"/>
        </w:numPr>
        <w:ind w:left="567" w:hanging="567"/>
      </w:pPr>
      <w:r w:rsidRPr="00E10DC0">
        <w:t>Develop an implementation plan for the development of new tools</w:t>
      </w:r>
      <w:r w:rsidR="00DC78C3" w:rsidRPr="00E10DC0">
        <w:t>.</w:t>
      </w:r>
    </w:p>
    <w:p w14:paraId="39EF8135" w14:textId="72180C56" w:rsidR="00CE209F" w:rsidRPr="00E10DC0" w:rsidRDefault="00CE209F" w:rsidP="00E10DC0">
      <w:pPr>
        <w:pStyle w:val="IPPBullet1"/>
        <w:numPr>
          <w:ilvl w:val="0"/>
          <w:numId w:val="17"/>
        </w:numPr>
        <w:ind w:left="567" w:hanging="567"/>
      </w:pPr>
      <w:r w:rsidRPr="00E10DC0">
        <w:t>Provide recommendations to the POARS SG on implementation</w:t>
      </w:r>
      <w:r w:rsidR="00DC78C3" w:rsidRPr="00E10DC0">
        <w:t>.</w:t>
      </w:r>
    </w:p>
    <w:p w14:paraId="3041B6A3" w14:textId="1F9E3FAC" w:rsidR="00CE209F" w:rsidRPr="00E10DC0" w:rsidRDefault="00CE209F" w:rsidP="00E10DC0">
      <w:pPr>
        <w:pStyle w:val="IPPBullet1"/>
        <w:numPr>
          <w:ilvl w:val="0"/>
          <w:numId w:val="17"/>
        </w:numPr>
        <w:ind w:left="567" w:hanging="567"/>
      </w:pPr>
      <w:r w:rsidRPr="00E10DC0">
        <w:t>Coordinate the development of new tools</w:t>
      </w:r>
      <w:r w:rsidR="00DC78C3" w:rsidRPr="00E10DC0">
        <w:t>.</w:t>
      </w:r>
    </w:p>
    <w:p w14:paraId="222F7BFB" w14:textId="46363261" w:rsidR="00DC78C3" w:rsidRPr="00E10DC0" w:rsidRDefault="00DC78C3" w:rsidP="00E10DC0">
      <w:pPr>
        <w:pStyle w:val="IPPBullet1"/>
        <w:numPr>
          <w:ilvl w:val="0"/>
          <w:numId w:val="17"/>
        </w:numPr>
        <w:ind w:left="567" w:hanging="567"/>
      </w:pPr>
      <w:r w:rsidRPr="00E10DC0">
        <w:t xml:space="preserve">Regularly review the pest matrix and progress on the development of new tools. </w:t>
      </w:r>
    </w:p>
    <w:p w14:paraId="0822B8A5" w14:textId="386FE80F" w:rsidR="000C1AA1" w:rsidRPr="00E10DC0" w:rsidRDefault="000C1AA1" w:rsidP="00E10DC0">
      <w:pPr>
        <w:pStyle w:val="IPPBullet1"/>
        <w:numPr>
          <w:ilvl w:val="0"/>
          <w:numId w:val="17"/>
        </w:numPr>
        <w:ind w:left="567" w:hanging="567"/>
      </w:pPr>
      <w:r w:rsidRPr="00E10DC0">
        <w:t>Monitor new developments concerning the emerging pest and provide technical advice as needed.</w:t>
      </w:r>
    </w:p>
    <w:p w14:paraId="6F2A1941" w14:textId="6707A2D6" w:rsidR="00CE209F" w:rsidRPr="00E10DC0" w:rsidRDefault="00CE209F" w:rsidP="00E10DC0">
      <w:pPr>
        <w:pStyle w:val="IPPBullet1"/>
        <w:numPr>
          <w:ilvl w:val="0"/>
          <w:numId w:val="17"/>
        </w:numPr>
        <w:ind w:left="567" w:hanging="567"/>
      </w:pPr>
      <w:r w:rsidRPr="00E10DC0">
        <w:t>Ensure the tools are available on the POARS webpage of the International Phytosanitary Portal (IPP)</w:t>
      </w:r>
      <w:r w:rsidR="00DC78C3" w:rsidRPr="00E10DC0">
        <w:t>.</w:t>
      </w:r>
    </w:p>
    <w:p w14:paraId="3D49367C" w14:textId="28377AA6" w:rsidR="00DC78C3" w:rsidRPr="00E10DC0" w:rsidRDefault="00DC78C3" w:rsidP="00E10DC0">
      <w:pPr>
        <w:pStyle w:val="IPPBullet1"/>
        <w:numPr>
          <w:ilvl w:val="0"/>
          <w:numId w:val="17"/>
        </w:numPr>
        <w:ind w:left="567" w:hanging="567"/>
      </w:pPr>
      <w:r w:rsidRPr="00E10DC0">
        <w:t>Support technical communication activities for the emerging pest.</w:t>
      </w:r>
    </w:p>
    <w:p w14:paraId="39D919B2" w14:textId="17D5222A" w:rsidR="00CE209F" w:rsidRPr="00E10DC0" w:rsidRDefault="00CE209F" w:rsidP="00E10DC0">
      <w:pPr>
        <w:pStyle w:val="IPPBullet1"/>
        <w:numPr>
          <w:ilvl w:val="0"/>
          <w:numId w:val="17"/>
        </w:numPr>
        <w:ind w:left="567" w:hanging="567"/>
      </w:pPr>
      <w:r w:rsidRPr="00E10DC0">
        <w:t>Provide feedback to the POARS SG on the implementation of their activities</w:t>
      </w:r>
      <w:r w:rsidR="00DC78C3" w:rsidRPr="00E10DC0">
        <w:t>.</w:t>
      </w:r>
    </w:p>
    <w:p w14:paraId="251775D4" w14:textId="77777777" w:rsidR="00A97B14" w:rsidRPr="00144956" w:rsidRDefault="00A97B14" w:rsidP="002C127B">
      <w:pPr>
        <w:pStyle w:val="ListParagraph"/>
        <w:jc w:val="both"/>
        <w:rPr>
          <w:rFonts w:ascii="Times New Roman" w:hAnsi="Times New Roman"/>
          <w:sz w:val="22"/>
          <w:szCs w:val="22"/>
        </w:rPr>
      </w:pPr>
    </w:p>
    <w:p w14:paraId="79636642" w14:textId="77777777" w:rsidR="00D27F02" w:rsidRPr="00144956" w:rsidRDefault="00D27F02" w:rsidP="2AE62DD6">
      <w:pPr>
        <w:pStyle w:val="ListParagraph"/>
        <w:numPr>
          <w:ilvl w:val="0"/>
          <w:numId w:val="1"/>
        </w:numPr>
        <w:spacing w:before="240" w:after="120" w:line="276" w:lineRule="auto"/>
        <w:jc w:val="both"/>
        <w:rPr>
          <w:rFonts w:ascii="Times New Roman" w:hAnsi="Times New Roman"/>
          <w:b/>
          <w:bCs/>
          <w:sz w:val="24"/>
          <w:szCs w:val="24"/>
        </w:rPr>
      </w:pPr>
      <w:r w:rsidRPr="00144956">
        <w:rPr>
          <w:rFonts w:ascii="Times New Roman" w:hAnsi="Times New Roman"/>
          <w:b/>
          <w:bCs/>
          <w:sz w:val="24"/>
          <w:szCs w:val="24"/>
        </w:rPr>
        <w:t>Meetings</w:t>
      </w:r>
    </w:p>
    <w:p w14:paraId="7556EDAE" w14:textId="1DECDB5B" w:rsidR="00D27F02" w:rsidRPr="00144956" w:rsidRDefault="00D27F02" w:rsidP="2AE62DD6">
      <w:pPr>
        <w:spacing w:before="240" w:after="120" w:line="276" w:lineRule="auto"/>
        <w:jc w:val="both"/>
        <w:rPr>
          <w:rFonts w:ascii="Times New Roman" w:hAnsi="Times New Roman"/>
          <w:sz w:val="22"/>
          <w:szCs w:val="22"/>
        </w:rPr>
      </w:pPr>
      <w:r w:rsidRPr="00144956">
        <w:rPr>
          <w:rFonts w:ascii="Times New Roman" w:hAnsi="Times New Roman"/>
          <w:sz w:val="22"/>
          <w:szCs w:val="22"/>
        </w:rPr>
        <w:t xml:space="preserve">The </w:t>
      </w:r>
      <w:r w:rsidR="000C1AA1" w:rsidRPr="00144956">
        <w:rPr>
          <w:rFonts w:ascii="Times New Roman" w:hAnsi="Times New Roman"/>
          <w:sz w:val="22"/>
          <w:szCs w:val="22"/>
        </w:rPr>
        <w:t xml:space="preserve">EWG </w:t>
      </w:r>
      <w:r w:rsidRPr="00144956">
        <w:rPr>
          <w:rFonts w:ascii="Times New Roman" w:hAnsi="Times New Roman"/>
          <w:sz w:val="22"/>
          <w:szCs w:val="22"/>
        </w:rPr>
        <w:t xml:space="preserve">will meet at least </w:t>
      </w:r>
      <w:r w:rsidR="00AA3F53" w:rsidRPr="00144956">
        <w:rPr>
          <w:rFonts w:ascii="Times New Roman" w:hAnsi="Times New Roman"/>
          <w:sz w:val="22"/>
          <w:szCs w:val="22"/>
        </w:rPr>
        <w:t>monthly</w:t>
      </w:r>
      <w:r w:rsidRPr="00144956" w:rsidDel="00AA3F53">
        <w:rPr>
          <w:rFonts w:ascii="Times New Roman" w:hAnsi="Times New Roman"/>
          <w:sz w:val="22"/>
          <w:szCs w:val="22"/>
        </w:rPr>
        <w:t xml:space="preserve"> </w:t>
      </w:r>
      <w:r w:rsidRPr="00144956">
        <w:rPr>
          <w:rFonts w:ascii="Times New Roman" w:hAnsi="Times New Roman"/>
          <w:sz w:val="22"/>
          <w:szCs w:val="22"/>
        </w:rPr>
        <w:t>to perform the functions outlined above. The group will mainly meet virtually and will meet face to face under exceptional circumstances.</w:t>
      </w:r>
    </w:p>
    <w:p w14:paraId="6A30C2AC" w14:textId="77777777" w:rsidR="00D27F02" w:rsidRPr="00144956" w:rsidRDefault="00D27F02" w:rsidP="2AE62DD6">
      <w:pPr>
        <w:pStyle w:val="ListParagraph"/>
        <w:numPr>
          <w:ilvl w:val="0"/>
          <w:numId w:val="1"/>
        </w:numPr>
        <w:spacing w:before="240" w:after="120" w:line="276" w:lineRule="auto"/>
        <w:ind w:left="357" w:hanging="357"/>
        <w:jc w:val="both"/>
        <w:rPr>
          <w:rFonts w:ascii="Times New Roman" w:hAnsi="Times New Roman"/>
          <w:b/>
          <w:bCs/>
          <w:sz w:val="24"/>
          <w:szCs w:val="24"/>
        </w:rPr>
      </w:pPr>
      <w:r w:rsidRPr="00144956">
        <w:rPr>
          <w:rFonts w:ascii="Times New Roman" w:hAnsi="Times New Roman"/>
          <w:b/>
          <w:bCs/>
          <w:sz w:val="24"/>
          <w:szCs w:val="24"/>
        </w:rPr>
        <w:t>Funding</w:t>
      </w:r>
    </w:p>
    <w:p w14:paraId="01E4575A" w14:textId="05C808DE" w:rsidR="00D27F02" w:rsidRPr="00144956" w:rsidRDefault="00D27F02" w:rsidP="2AE62DD6">
      <w:pPr>
        <w:spacing w:before="240" w:after="120" w:line="276" w:lineRule="auto"/>
        <w:jc w:val="both"/>
        <w:rPr>
          <w:rFonts w:ascii="Times New Roman" w:hAnsi="Times New Roman"/>
          <w:sz w:val="22"/>
          <w:szCs w:val="22"/>
        </w:rPr>
      </w:pPr>
      <w:r w:rsidRPr="00144956">
        <w:rPr>
          <w:rFonts w:ascii="Times New Roman" w:hAnsi="Times New Roman"/>
          <w:sz w:val="22"/>
          <w:szCs w:val="22"/>
        </w:rPr>
        <w:t>The organization that employs an IPPC meeting participant is responsible for funding the travel and daily subsistence allowance for that person to attend. If the employer is unable to allocate sufficient funds, participants are first encouraged to seek assistance from sources other than the IPPC Secretariat. Where such demonstrated efforts to secure assistance have been unsuccessful, requests for assistance (i.e. travel and subsistence costs) from the IPPC Secretariat may be made. However, any support is subject to available funds. The IPPC Secretariat will consider funding assistance for participants following IPPC criteria for funding. Full details on these criteria can be found on the IPP (</w:t>
      </w:r>
      <w:hyperlink r:id="rId10" w:history="1">
        <w:r w:rsidR="00C87330" w:rsidRPr="00144956">
          <w:rPr>
            <w:rStyle w:val="Hyperlink"/>
            <w:rFonts w:ascii="Times New Roman" w:hAnsi="Times New Roman"/>
            <w:sz w:val="22"/>
            <w:szCs w:val="22"/>
          </w:rPr>
          <w:t>https://www.ippc.int/publications/criteria-used-prioritizing-participants-receive-travelassistanceattend-meetings</w:t>
        </w:r>
      </w:hyperlink>
      <w:r w:rsidRPr="00144956">
        <w:rPr>
          <w:rFonts w:ascii="Times New Roman" w:hAnsi="Times New Roman"/>
          <w:sz w:val="22"/>
          <w:szCs w:val="22"/>
        </w:rPr>
        <w:t>).</w:t>
      </w:r>
      <w:r w:rsidR="00C87330" w:rsidRPr="00144956">
        <w:rPr>
          <w:rFonts w:ascii="Times New Roman" w:hAnsi="Times New Roman"/>
          <w:sz w:val="22"/>
          <w:szCs w:val="22"/>
        </w:rPr>
        <w:t xml:space="preserve"> </w:t>
      </w:r>
    </w:p>
    <w:p w14:paraId="5444AB10" w14:textId="77777777" w:rsidR="00D27F02" w:rsidRPr="00144956" w:rsidRDefault="00D27F02" w:rsidP="2AE62DD6">
      <w:pPr>
        <w:spacing w:before="240" w:after="120" w:line="276" w:lineRule="auto"/>
        <w:jc w:val="both"/>
        <w:rPr>
          <w:rFonts w:ascii="Times New Roman" w:hAnsi="Times New Roman"/>
          <w:sz w:val="22"/>
          <w:szCs w:val="22"/>
        </w:rPr>
      </w:pPr>
    </w:p>
    <w:p w14:paraId="2F0AB37F" w14:textId="77777777" w:rsidR="00D27F02" w:rsidRPr="00144956" w:rsidRDefault="00D27F02" w:rsidP="2AE62DD6">
      <w:pPr>
        <w:spacing w:line="276" w:lineRule="auto"/>
        <w:jc w:val="both"/>
        <w:rPr>
          <w:rFonts w:ascii="Times New Roman" w:hAnsi="Times New Roman"/>
          <w:sz w:val="22"/>
          <w:szCs w:val="22"/>
        </w:rPr>
      </w:pPr>
    </w:p>
    <w:sectPr w:rsidR="00D27F02" w:rsidRPr="001449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FD8F" w14:textId="77777777" w:rsidR="000B1BEF" w:rsidRDefault="000B1BEF" w:rsidP="00312111">
      <w:r>
        <w:separator/>
      </w:r>
    </w:p>
  </w:endnote>
  <w:endnote w:type="continuationSeparator" w:id="0">
    <w:p w14:paraId="538240A5" w14:textId="77777777" w:rsidR="000B1BEF" w:rsidRDefault="000B1BEF" w:rsidP="00312111">
      <w:r>
        <w:continuationSeparator/>
      </w:r>
    </w:p>
  </w:endnote>
  <w:endnote w:type="continuationNotice" w:id="1">
    <w:p w14:paraId="06A30BC5" w14:textId="77777777" w:rsidR="000B1BEF" w:rsidRDefault="000B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84E8D" w14:textId="77777777" w:rsidR="000B1BEF" w:rsidRDefault="000B1BEF" w:rsidP="00312111">
      <w:r>
        <w:separator/>
      </w:r>
    </w:p>
  </w:footnote>
  <w:footnote w:type="continuationSeparator" w:id="0">
    <w:p w14:paraId="0C7D338C" w14:textId="77777777" w:rsidR="000B1BEF" w:rsidRDefault="000B1BEF" w:rsidP="00312111">
      <w:r>
        <w:continuationSeparator/>
      </w:r>
    </w:p>
  </w:footnote>
  <w:footnote w:type="continuationNotice" w:id="1">
    <w:p w14:paraId="3FA25B7A" w14:textId="77777777" w:rsidR="000B1BEF" w:rsidRDefault="000B1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C31A" w14:textId="77777777" w:rsidR="00312111" w:rsidRPr="003603A0" w:rsidRDefault="00312111" w:rsidP="00312111">
    <w:pPr>
      <w:pStyle w:val="IPPHeader"/>
      <w:tabs>
        <w:tab w:val="clear" w:pos="1134"/>
      </w:tabs>
      <w:spacing w:before="240" w:after="0"/>
      <w:rPr>
        <w:lang w:val="pt-PT"/>
      </w:rPr>
    </w:pPr>
    <w:bookmarkStart w:id="0" w:name="_Hlk38796923"/>
    <w:bookmarkStart w:id="1" w:name="_Hlk38796924"/>
    <w:r w:rsidRPr="000321A6">
      <w:rPr>
        <w:noProof/>
      </w:rPr>
      <w:drawing>
        <wp:anchor distT="0" distB="0" distL="114300" distR="114300" simplePos="0" relativeHeight="251658240" behindDoc="0" locked="0" layoutInCell="1" allowOverlap="1" wp14:anchorId="5AA49897" wp14:editId="777ECDAA">
          <wp:simplePos x="0" y="0"/>
          <wp:positionH relativeFrom="page">
            <wp:posOffset>7950</wp:posOffset>
          </wp:positionH>
          <wp:positionV relativeFrom="page">
            <wp:posOffset>0</wp:posOffset>
          </wp:positionV>
          <wp:extent cx="7744571" cy="557530"/>
          <wp:effectExtent l="0" t="0" r="8890" b="0"/>
          <wp:wrapTopAndBottom/>
          <wp:docPr id="102554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6340" cy="557657"/>
                  </a:xfrm>
                  <a:prstGeom prst="rect">
                    <a:avLst/>
                  </a:prstGeom>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58241" behindDoc="0" locked="0" layoutInCell="1" allowOverlap="1" wp14:anchorId="56A4F9C7" wp14:editId="120F2D6C">
          <wp:simplePos x="0" y="0"/>
          <wp:positionH relativeFrom="page">
            <wp:posOffset>2520315</wp:posOffset>
          </wp:positionH>
          <wp:positionV relativeFrom="page">
            <wp:posOffset>558165</wp:posOffset>
          </wp:positionV>
          <wp:extent cx="1756800" cy="698400"/>
          <wp:effectExtent l="0" t="0" r="0" b="6985"/>
          <wp:wrapSquare wrapText="bothSides"/>
          <wp:docPr id="177042359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6B4E51D0" wp14:editId="36A580A4">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B6DADE" id="Straight Connector 1" o:spid="_x0000_s1026" style="position:absolute;z-index:25165824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Pr>
        <w:noProof/>
      </w:rPr>
      <w:drawing>
        <wp:anchor distT="0" distB="0" distL="114300" distR="114300" simplePos="0" relativeHeight="251658243" behindDoc="0" locked="0" layoutInCell="1" allowOverlap="1" wp14:anchorId="0644D299" wp14:editId="194FE1D8">
          <wp:simplePos x="0" y="0"/>
          <wp:positionH relativeFrom="page">
            <wp:posOffset>742950</wp:posOffset>
          </wp:positionH>
          <wp:positionV relativeFrom="page">
            <wp:posOffset>558165</wp:posOffset>
          </wp:positionV>
          <wp:extent cx="1728000" cy="698400"/>
          <wp:effectExtent l="0" t="0" r="5715" b="6985"/>
          <wp:wrapSquare wrapText="bothSides"/>
          <wp:docPr id="1785185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Pr="003603A0">
      <w:rPr>
        <w:lang w:val="pt-PT"/>
      </w:rPr>
      <w:tab/>
    </w:r>
  </w:p>
  <w:p w14:paraId="6D989E4D" w14:textId="77777777" w:rsidR="00312111" w:rsidRPr="003603A0" w:rsidRDefault="00312111" w:rsidP="00312111">
    <w:pPr>
      <w:pStyle w:val="IPPHeader"/>
      <w:tabs>
        <w:tab w:val="clear" w:pos="1134"/>
      </w:tabs>
      <w:spacing w:after="0"/>
      <w:rPr>
        <w:lang w:val="pt-PT"/>
      </w:rPr>
    </w:pPr>
    <w:r w:rsidRPr="003603A0">
      <w:rPr>
        <w:lang w:val="pt-PT"/>
      </w:rPr>
      <w:tab/>
    </w:r>
  </w:p>
  <w:p w14:paraId="12FDD25B" w14:textId="77777777" w:rsidR="00312111" w:rsidRPr="003603A0" w:rsidRDefault="00312111" w:rsidP="00312111">
    <w:pPr>
      <w:pStyle w:val="IPPHeader"/>
      <w:tabs>
        <w:tab w:val="clear" w:pos="1134"/>
      </w:tabs>
      <w:spacing w:after="260"/>
      <w:rPr>
        <w:lang w:val="pt-PT"/>
      </w:rPr>
    </w:pPr>
  </w:p>
  <w:p w14:paraId="2E7BB391" w14:textId="629133A3" w:rsidR="00312111" w:rsidRPr="00EE7253" w:rsidRDefault="00B56FE4" w:rsidP="00312111">
    <w:pPr>
      <w:pStyle w:val="IPPHeader"/>
      <w:tabs>
        <w:tab w:val="clear" w:pos="1134"/>
      </w:tabs>
      <w:spacing w:after="0"/>
    </w:pPr>
    <w:r>
      <w:t>Terms of Reference for the Emerging Pest S</w:t>
    </w:r>
    <w:r w:rsidR="00B3749E">
      <w:t>pecific Expert Working Group</w:t>
    </w:r>
  </w:p>
  <w:bookmarkEnd w:id="0"/>
  <w:bookmarkEnd w:id="1"/>
  <w:p w14:paraId="53563D66" w14:textId="77777777" w:rsidR="00312111" w:rsidRPr="00312111" w:rsidRDefault="0031211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EB3"/>
    <w:multiLevelType w:val="multilevel"/>
    <w:tmpl w:val="E66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20BAC"/>
    <w:multiLevelType w:val="multilevel"/>
    <w:tmpl w:val="D32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161D"/>
    <w:multiLevelType w:val="hybridMultilevel"/>
    <w:tmpl w:val="03C2AA16"/>
    <w:lvl w:ilvl="0" w:tplc="9124AB62">
      <w:numFmt w:val="bullet"/>
      <w:lvlText w:val="-"/>
      <w:lvlJc w:val="left"/>
      <w:pPr>
        <w:ind w:left="720" w:hanging="360"/>
      </w:pPr>
      <w:rPr>
        <w:rFonts w:ascii="Segoe UI Light" w:eastAsia="Segoe UI Light" w:hAnsi="Segoe UI Light" w:cs="Segoe UI Light" w:hint="default"/>
        <w:b w:val="0"/>
        <w:bCs w:val="0"/>
        <w:i w:val="0"/>
        <w:iCs w:val="0"/>
        <w:spacing w:val="0"/>
        <w:w w:val="10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91E3F"/>
    <w:multiLevelType w:val="multilevel"/>
    <w:tmpl w:val="0B2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F44D9"/>
    <w:multiLevelType w:val="hybridMultilevel"/>
    <w:tmpl w:val="18BA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2183E"/>
    <w:multiLevelType w:val="multilevel"/>
    <w:tmpl w:val="8DF8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676D1"/>
    <w:multiLevelType w:val="multilevel"/>
    <w:tmpl w:val="1D6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04709"/>
    <w:multiLevelType w:val="hybridMultilevel"/>
    <w:tmpl w:val="D156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56359"/>
    <w:multiLevelType w:val="hybridMultilevel"/>
    <w:tmpl w:val="411E91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34E5F33"/>
    <w:multiLevelType w:val="hybridMultilevel"/>
    <w:tmpl w:val="628C0B14"/>
    <w:lvl w:ilvl="0" w:tplc="50F091CA">
      <w:start w:val="1"/>
      <w:numFmt w:val="bullet"/>
      <w:lvlText w:val=""/>
      <w:lvlJc w:val="left"/>
      <w:pPr>
        <w:ind w:left="720" w:hanging="360"/>
      </w:pPr>
      <w:rPr>
        <w:rFonts w:ascii="Symbol" w:hAnsi="Symbol" w:hint="default"/>
      </w:rPr>
    </w:lvl>
    <w:lvl w:ilvl="1" w:tplc="8826AD88">
      <w:start w:val="1"/>
      <w:numFmt w:val="bullet"/>
      <w:lvlText w:val="o"/>
      <w:lvlJc w:val="left"/>
      <w:pPr>
        <w:ind w:left="1440" w:hanging="360"/>
      </w:pPr>
      <w:rPr>
        <w:rFonts w:ascii="Courier New" w:hAnsi="Courier New" w:hint="default"/>
      </w:rPr>
    </w:lvl>
    <w:lvl w:ilvl="2" w:tplc="B8ECE146">
      <w:start w:val="1"/>
      <w:numFmt w:val="bullet"/>
      <w:lvlText w:val=""/>
      <w:lvlJc w:val="left"/>
      <w:pPr>
        <w:ind w:left="2160" w:hanging="360"/>
      </w:pPr>
      <w:rPr>
        <w:rFonts w:ascii="Wingdings" w:hAnsi="Wingdings" w:hint="default"/>
      </w:rPr>
    </w:lvl>
    <w:lvl w:ilvl="3" w:tplc="F482AA46">
      <w:start w:val="1"/>
      <w:numFmt w:val="bullet"/>
      <w:lvlText w:val=""/>
      <w:lvlJc w:val="left"/>
      <w:pPr>
        <w:ind w:left="2880" w:hanging="360"/>
      </w:pPr>
      <w:rPr>
        <w:rFonts w:ascii="Symbol" w:hAnsi="Symbol" w:hint="default"/>
      </w:rPr>
    </w:lvl>
    <w:lvl w:ilvl="4" w:tplc="D29C2F30">
      <w:start w:val="1"/>
      <w:numFmt w:val="bullet"/>
      <w:lvlText w:val="o"/>
      <w:lvlJc w:val="left"/>
      <w:pPr>
        <w:ind w:left="3600" w:hanging="360"/>
      </w:pPr>
      <w:rPr>
        <w:rFonts w:ascii="Courier New" w:hAnsi="Courier New" w:hint="default"/>
      </w:rPr>
    </w:lvl>
    <w:lvl w:ilvl="5" w:tplc="CE343A02">
      <w:start w:val="1"/>
      <w:numFmt w:val="bullet"/>
      <w:lvlText w:val=""/>
      <w:lvlJc w:val="left"/>
      <w:pPr>
        <w:ind w:left="4320" w:hanging="360"/>
      </w:pPr>
      <w:rPr>
        <w:rFonts w:ascii="Wingdings" w:hAnsi="Wingdings" w:hint="default"/>
      </w:rPr>
    </w:lvl>
    <w:lvl w:ilvl="6" w:tplc="F1002E7A">
      <w:start w:val="1"/>
      <w:numFmt w:val="bullet"/>
      <w:lvlText w:val=""/>
      <w:lvlJc w:val="left"/>
      <w:pPr>
        <w:ind w:left="5040" w:hanging="360"/>
      </w:pPr>
      <w:rPr>
        <w:rFonts w:ascii="Symbol" w:hAnsi="Symbol" w:hint="default"/>
      </w:rPr>
    </w:lvl>
    <w:lvl w:ilvl="7" w:tplc="8CFE8EFC">
      <w:start w:val="1"/>
      <w:numFmt w:val="bullet"/>
      <w:lvlText w:val="o"/>
      <w:lvlJc w:val="left"/>
      <w:pPr>
        <w:ind w:left="5760" w:hanging="360"/>
      </w:pPr>
      <w:rPr>
        <w:rFonts w:ascii="Courier New" w:hAnsi="Courier New" w:hint="default"/>
      </w:rPr>
    </w:lvl>
    <w:lvl w:ilvl="8" w:tplc="BAA866EE">
      <w:start w:val="1"/>
      <w:numFmt w:val="bullet"/>
      <w:lvlText w:val=""/>
      <w:lvlJc w:val="left"/>
      <w:pPr>
        <w:ind w:left="6480" w:hanging="360"/>
      </w:pPr>
      <w:rPr>
        <w:rFonts w:ascii="Wingdings" w:hAnsi="Wingdings" w:hint="default"/>
      </w:rPr>
    </w:lvl>
  </w:abstractNum>
  <w:abstractNum w:abstractNumId="10" w15:restartNumberingAfterBreak="0">
    <w:nsid w:val="340A1A79"/>
    <w:multiLevelType w:val="hybridMultilevel"/>
    <w:tmpl w:val="82F2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52A42"/>
    <w:multiLevelType w:val="multilevel"/>
    <w:tmpl w:val="CE9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041C2"/>
    <w:multiLevelType w:val="hybridMultilevel"/>
    <w:tmpl w:val="D020D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E53844"/>
    <w:multiLevelType w:val="multilevel"/>
    <w:tmpl w:val="6F66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31AFD"/>
    <w:multiLevelType w:val="hybridMultilevel"/>
    <w:tmpl w:val="FC60AD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C63F99"/>
    <w:multiLevelType w:val="hybridMultilevel"/>
    <w:tmpl w:val="1CE8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119697">
    <w:abstractNumId w:val="14"/>
  </w:num>
  <w:num w:numId="2" w16cid:durableId="1313367057">
    <w:abstractNumId w:val="12"/>
  </w:num>
  <w:num w:numId="3" w16cid:durableId="1165439117">
    <w:abstractNumId w:val="15"/>
  </w:num>
  <w:num w:numId="4" w16cid:durableId="94835113">
    <w:abstractNumId w:val="7"/>
  </w:num>
  <w:num w:numId="5" w16cid:durableId="1565019979">
    <w:abstractNumId w:val="10"/>
  </w:num>
  <w:num w:numId="6" w16cid:durableId="672999885">
    <w:abstractNumId w:val="8"/>
  </w:num>
  <w:num w:numId="7" w16cid:durableId="1614750625">
    <w:abstractNumId w:val="4"/>
  </w:num>
  <w:num w:numId="8" w16cid:durableId="1282571727">
    <w:abstractNumId w:val="13"/>
  </w:num>
  <w:num w:numId="9" w16cid:durableId="918440160">
    <w:abstractNumId w:val="1"/>
  </w:num>
  <w:num w:numId="10" w16cid:durableId="1873574792">
    <w:abstractNumId w:val="3"/>
  </w:num>
  <w:num w:numId="11" w16cid:durableId="1386218254">
    <w:abstractNumId w:val="5"/>
  </w:num>
  <w:num w:numId="12" w16cid:durableId="743576669">
    <w:abstractNumId w:val="0"/>
  </w:num>
  <w:num w:numId="13" w16cid:durableId="292371350">
    <w:abstractNumId w:val="11"/>
  </w:num>
  <w:num w:numId="14" w16cid:durableId="701976638">
    <w:abstractNumId w:val="6"/>
  </w:num>
  <w:num w:numId="15" w16cid:durableId="988366986">
    <w:abstractNumId w:val="7"/>
  </w:num>
  <w:num w:numId="16" w16cid:durableId="974143195">
    <w:abstractNumId w:val="9"/>
  </w:num>
  <w:num w:numId="17" w16cid:durableId="208595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0MjMyNze0NDMyMDVS0lEKTi0uzszPAykwqQUAJjUo8iwAAAA="/>
  </w:docVars>
  <w:rsids>
    <w:rsidRoot w:val="000D570F"/>
    <w:rsid w:val="00000610"/>
    <w:rsid w:val="000073C2"/>
    <w:rsid w:val="00013FCB"/>
    <w:rsid w:val="000156F9"/>
    <w:rsid w:val="00030C28"/>
    <w:rsid w:val="00043036"/>
    <w:rsid w:val="00086CEA"/>
    <w:rsid w:val="000B1BEF"/>
    <w:rsid w:val="000B64C0"/>
    <w:rsid w:val="000C1AA1"/>
    <w:rsid w:val="000C7D38"/>
    <w:rsid w:val="000D570F"/>
    <w:rsid w:val="00116829"/>
    <w:rsid w:val="00144956"/>
    <w:rsid w:val="001A57C1"/>
    <w:rsid w:val="001B1F9E"/>
    <w:rsid w:val="001C4CCE"/>
    <w:rsid w:val="001E61A1"/>
    <w:rsid w:val="001F1CCA"/>
    <w:rsid w:val="0021285E"/>
    <w:rsid w:val="00224B0C"/>
    <w:rsid w:val="00241D78"/>
    <w:rsid w:val="00252160"/>
    <w:rsid w:val="00252265"/>
    <w:rsid w:val="00255424"/>
    <w:rsid w:val="002A4300"/>
    <w:rsid w:val="002B74CF"/>
    <w:rsid w:val="002C127B"/>
    <w:rsid w:val="002E5B35"/>
    <w:rsid w:val="00307B67"/>
    <w:rsid w:val="00312111"/>
    <w:rsid w:val="00317E27"/>
    <w:rsid w:val="003216BA"/>
    <w:rsid w:val="00332975"/>
    <w:rsid w:val="00333731"/>
    <w:rsid w:val="00350541"/>
    <w:rsid w:val="00355B38"/>
    <w:rsid w:val="003676B0"/>
    <w:rsid w:val="00383F03"/>
    <w:rsid w:val="003A0CA1"/>
    <w:rsid w:val="003C23B0"/>
    <w:rsid w:val="003D392D"/>
    <w:rsid w:val="003D5E8C"/>
    <w:rsid w:val="00401389"/>
    <w:rsid w:val="004031D3"/>
    <w:rsid w:val="004136A4"/>
    <w:rsid w:val="0049147A"/>
    <w:rsid w:val="004A7713"/>
    <w:rsid w:val="004C324F"/>
    <w:rsid w:val="004F4CB6"/>
    <w:rsid w:val="00500B5C"/>
    <w:rsid w:val="005556FC"/>
    <w:rsid w:val="00562243"/>
    <w:rsid w:val="00570987"/>
    <w:rsid w:val="00576CE5"/>
    <w:rsid w:val="00583085"/>
    <w:rsid w:val="00594A1B"/>
    <w:rsid w:val="005A08BD"/>
    <w:rsid w:val="005C231D"/>
    <w:rsid w:val="005D6162"/>
    <w:rsid w:val="00601378"/>
    <w:rsid w:val="00614341"/>
    <w:rsid w:val="00620B2C"/>
    <w:rsid w:val="0063445F"/>
    <w:rsid w:val="00637F24"/>
    <w:rsid w:val="00647035"/>
    <w:rsid w:val="006560EF"/>
    <w:rsid w:val="00656101"/>
    <w:rsid w:val="006661F6"/>
    <w:rsid w:val="00695FE3"/>
    <w:rsid w:val="006C1FCD"/>
    <w:rsid w:val="006E2921"/>
    <w:rsid w:val="006E4085"/>
    <w:rsid w:val="0071058D"/>
    <w:rsid w:val="007407C9"/>
    <w:rsid w:val="0078726B"/>
    <w:rsid w:val="007A33A1"/>
    <w:rsid w:val="007C06CC"/>
    <w:rsid w:val="007D2DDB"/>
    <w:rsid w:val="007D3D9A"/>
    <w:rsid w:val="007D63A2"/>
    <w:rsid w:val="00817C18"/>
    <w:rsid w:val="008310D3"/>
    <w:rsid w:val="00846069"/>
    <w:rsid w:val="008538CA"/>
    <w:rsid w:val="00860423"/>
    <w:rsid w:val="00862875"/>
    <w:rsid w:val="00874122"/>
    <w:rsid w:val="00896897"/>
    <w:rsid w:val="008B601C"/>
    <w:rsid w:val="008C48AC"/>
    <w:rsid w:val="008E07BD"/>
    <w:rsid w:val="008E5250"/>
    <w:rsid w:val="00942DD2"/>
    <w:rsid w:val="00967641"/>
    <w:rsid w:val="00987E71"/>
    <w:rsid w:val="009C5D3F"/>
    <w:rsid w:val="009C7421"/>
    <w:rsid w:val="00A13192"/>
    <w:rsid w:val="00A21F06"/>
    <w:rsid w:val="00A25A92"/>
    <w:rsid w:val="00A36552"/>
    <w:rsid w:val="00A36C7D"/>
    <w:rsid w:val="00A97B14"/>
    <w:rsid w:val="00AA3F53"/>
    <w:rsid w:val="00AD23A7"/>
    <w:rsid w:val="00AE142D"/>
    <w:rsid w:val="00AE3866"/>
    <w:rsid w:val="00AE73D4"/>
    <w:rsid w:val="00B218D1"/>
    <w:rsid w:val="00B25806"/>
    <w:rsid w:val="00B3749E"/>
    <w:rsid w:val="00B512EA"/>
    <w:rsid w:val="00B54719"/>
    <w:rsid w:val="00B56FE4"/>
    <w:rsid w:val="00B570DA"/>
    <w:rsid w:val="00B653E7"/>
    <w:rsid w:val="00B75E01"/>
    <w:rsid w:val="00BC5941"/>
    <w:rsid w:val="00BD6F17"/>
    <w:rsid w:val="00C44BC9"/>
    <w:rsid w:val="00C44F66"/>
    <w:rsid w:val="00C6533A"/>
    <w:rsid w:val="00C73889"/>
    <w:rsid w:val="00C87330"/>
    <w:rsid w:val="00CA21E2"/>
    <w:rsid w:val="00CD5F3D"/>
    <w:rsid w:val="00CD6248"/>
    <w:rsid w:val="00CD69F9"/>
    <w:rsid w:val="00CE09DF"/>
    <w:rsid w:val="00CE0DD9"/>
    <w:rsid w:val="00CE209F"/>
    <w:rsid w:val="00CF0CB5"/>
    <w:rsid w:val="00D0558D"/>
    <w:rsid w:val="00D27F02"/>
    <w:rsid w:val="00D31855"/>
    <w:rsid w:val="00D4291C"/>
    <w:rsid w:val="00D50EF8"/>
    <w:rsid w:val="00D67B97"/>
    <w:rsid w:val="00D91E4D"/>
    <w:rsid w:val="00D96F09"/>
    <w:rsid w:val="00DC1010"/>
    <w:rsid w:val="00DC78C3"/>
    <w:rsid w:val="00DD34AF"/>
    <w:rsid w:val="00DD577A"/>
    <w:rsid w:val="00E02CA2"/>
    <w:rsid w:val="00E05F0D"/>
    <w:rsid w:val="00E10DC0"/>
    <w:rsid w:val="00E16849"/>
    <w:rsid w:val="00E32EF9"/>
    <w:rsid w:val="00E35D8F"/>
    <w:rsid w:val="00E55577"/>
    <w:rsid w:val="00E60978"/>
    <w:rsid w:val="00E6099F"/>
    <w:rsid w:val="00E67C31"/>
    <w:rsid w:val="00E71F98"/>
    <w:rsid w:val="00E74715"/>
    <w:rsid w:val="00E76111"/>
    <w:rsid w:val="00E778B3"/>
    <w:rsid w:val="00E77A4E"/>
    <w:rsid w:val="00EB0084"/>
    <w:rsid w:val="00EB2C4C"/>
    <w:rsid w:val="00EC58DB"/>
    <w:rsid w:val="00ED1898"/>
    <w:rsid w:val="00ED39A3"/>
    <w:rsid w:val="00EE6C89"/>
    <w:rsid w:val="00EF666C"/>
    <w:rsid w:val="00F109DC"/>
    <w:rsid w:val="00F21B2E"/>
    <w:rsid w:val="00F51AA9"/>
    <w:rsid w:val="00F63AB9"/>
    <w:rsid w:val="00F73979"/>
    <w:rsid w:val="00F96052"/>
    <w:rsid w:val="00FA101C"/>
    <w:rsid w:val="00FB75BC"/>
    <w:rsid w:val="00FC0031"/>
    <w:rsid w:val="00FC2808"/>
    <w:rsid w:val="08E0E39B"/>
    <w:rsid w:val="0AA3CC9C"/>
    <w:rsid w:val="0BBA73EF"/>
    <w:rsid w:val="0F308D75"/>
    <w:rsid w:val="10670553"/>
    <w:rsid w:val="119B5119"/>
    <w:rsid w:val="1804B534"/>
    <w:rsid w:val="1989E442"/>
    <w:rsid w:val="1AE985A3"/>
    <w:rsid w:val="1BCCC00D"/>
    <w:rsid w:val="1E3163A6"/>
    <w:rsid w:val="1F56B1C1"/>
    <w:rsid w:val="22F011F6"/>
    <w:rsid w:val="23379D44"/>
    <w:rsid w:val="28916FC1"/>
    <w:rsid w:val="29ECC38A"/>
    <w:rsid w:val="2AE62DD6"/>
    <w:rsid w:val="2C5583FA"/>
    <w:rsid w:val="2CEBBDF1"/>
    <w:rsid w:val="2DD6FDC6"/>
    <w:rsid w:val="2FA63B25"/>
    <w:rsid w:val="311EB96F"/>
    <w:rsid w:val="315D10FA"/>
    <w:rsid w:val="328EA233"/>
    <w:rsid w:val="3460B867"/>
    <w:rsid w:val="367B8D09"/>
    <w:rsid w:val="385405EA"/>
    <w:rsid w:val="3B7F49EB"/>
    <w:rsid w:val="3EF8EDA8"/>
    <w:rsid w:val="44BBC4E8"/>
    <w:rsid w:val="46A01B1A"/>
    <w:rsid w:val="4767008A"/>
    <w:rsid w:val="4882AC76"/>
    <w:rsid w:val="4C96E7AB"/>
    <w:rsid w:val="50E05879"/>
    <w:rsid w:val="52212916"/>
    <w:rsid w:val="58A1B942"/>
    <w:rsid w:val="5C3954DB"/>
    <w:rsid w:val="5DA15D67"/>
    <w:rsid w:val="5F188D67"/>
    <w:rsid w:val="5FF23A40"/>
    <w:rsid w:val="625753DC"/>
    <w:rsid w:val="62587E23"/>
    <w:rsid w:val="63986FD2"/>
    <w:rsid w:val="660F4863"/>
    <w:rsid w:val="6698D100"/>
    <w:rsid w:val="6822C0B6"/>
    <w:rsid w:val="685AD4D9"/>
    <w:rsid w:val="69667817"/>
    <w:rsid w:val="6AFDCF7E"/>
    <w:rsid w:val="74B5349B"/>
    <w:rsid w:val="75791D88"/>
    <w:rsid w:val="768D3279"/>
    <w:rsid w:val="77ED04AF"/>
    <w:rsid w:val="7A745D57"/>
    <w:rsid w:val="7CA32627"/>
    <w:rsid w:val="7E80EA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7D57"/>
  <w15:chartTrackingRefBased/>
  <w15:docId w15:val="{46757F34-E886-4D5B-9440-CA1A3CF0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0F"/>
  </w:style>
  <w:style w:type="paragraph" w:styleId="Heading1">
    <w:name w:val="heading 1"/>
    <w:basedOn w:val="Normal"/>
    <w:next w:val="Normal"/>
    <w:link w:val="Heading1Char"/>
    <w:uiPriority w:val="9"/>
    <w:qFormat/>
    <w:rsid w:val="000D5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7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7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57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57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57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7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7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265"/>
    <w:rPr>
      <w:rFonts w:ascii="Tahoma" w:eastAsia="Times New Roman" w:hAnsi="Tahoma" w:cs="Tahoma"/>
      <w:kern w:val="0"/>
      <w:sz w:val="16"/>
      <w:szCs w:val="16"/>
      <w:lang w:val="en-IE"/>
      <w14:ligatures w14:val="none"/>
    </w:rPr>
  </w:style>
  <w:style w:type="character" w:customStyle="1" w:styleId="BalloonTextChar">
    <w:name w:val="Balloon Text Char"/>
    <w:basedOn w:val="DefaultParagraphFont"/>
    <w:link w:val="BalloonText"/>
    <w:uiPriority w:val="99"/>
    <w:semiHidden/>
    <w:rsid w:val="00252265"/>
    <w:rPr>
      <w:rFonts w:ascii="Tahoma" w:eastAsia="Times New Roman" w:hAnsi="Tahoma" w:cs="Tahoma"/>
      <w:kern w:val="0"/>
      <w:sz w:val="16"/>
      <w:szCs w:val="16"/>
      <w:lang w:val="en-IE"/>
      <w14:ligatures w14:val="none"/>
    </w:rPr>
  </w:style>
  <w:style w:type="character" w:customStyle="1" w:styleId="Heading1Char">
    <w:name w:val="Heading 1 Char"/>
    <w:basedOn w:val="DefaultParagraphFont"/>
    <w:link w:val="Heading1"/>
    <w:uiPriority w:val="9"/>
    <w:rsid w:val="000D5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7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7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57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57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7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7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7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7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70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7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57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570F"/>
    <w:rPr>
      <w:i/>
      <w:iCs/>
      <w:color w:val="404040" w:themeColor="text1" w:themeTint="BF"/>
    </w:rPr>
  </w:style>
  <w:style w:type="paragraph" w:styleId="ListParagraph">
    <w:name w:val="List Paragraph"/>
    <w:basedOn w:val="Normal"/>
    <w:uiPriority w:val="34"/>
    <w:qFormat/>
    <w:rsid w:val="000D570F"/>
    <w:pPr>
      <w:ind w:left="720"/>
      <w:contextualSpacing/>
    </w:pPr>
  </w:style>
  <w:style w:type="character" w:styleId="IntenseEmphasis">
    <w:name w:val="Intense Emphasis"/>
    <w:basedOn w:val="DefaultParagraphFont"/>
    <w:uiPriority w:val="21"/>
    <w:qFormat/>
    <w:rsid w:val="000D570F"/>
    <w:rPr>
      <w:i/>
      <w:iCs/>
      <w:color w:val="0F4761" w:themeColor="accent1" w:themeShade="BF"/>
    </w:rPr>
  </w:style>
  <w:style w:type="paragraph" w:styleId="IntenseQuote">
    <w:name w:val="Intense Quote"/>
    <w:basedOn w:val="Normal"/>
    <w:next w:val="Normal"/>
    <w:link w:val="IntenseQuoteChar"/>
    <w:uiPriority w:val="30"/>
    <w:qFormat/>
    <w:rsid w:val="000D5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70F"/>
    <w:rPr>
      <w:i/>
      <w:iCs/>
      <w:color w:val="0F4761" w:themeColor="accent1" w:themeShade="BF"/>
    </w:rPr>
  </w:style>
  <w:style w:type="character" w:styleId="IntenseReference">
    <w:name w:val="Intense Reference"/>
    <w:basedOn w:val="DefaultParagraphFont"/>
    <w:uiPriority w:val="32"/>
    <w:qFormat/>
    <w:rsid w:val="000D570F"/>
    <w:rPr>
      <w:b/>
      <w:bCs/>
      <w:smallCaps/>
      <w:color w:val="0F4761" w:themeColor="accent1" w:themeShade="BF"/>
      <w:spacing w:val="5"/>
    </w:rPr>
  </w:style>
  <w:style w:type="paragraph" w:styleId="CommentText">
    <w:name w:val="annotation text"/>
    <w:basedOn w:val="Normal"/>
    <w:link w:val="CommentTextChar"/>
    <w:uiPriority w:val="99"/>
    <w:unhideWhenUsed/>
    <w:rsid w:val="00D27F02"/>
  </w:style>
  <w:style w:type="character" w:customStyle="1" w:styleId="CommentTextChar">
    <w:name w:val="Comment Text Char"/>
    <w:basedOn w:val="DefaultParagraphFont"/>
    <w:link w:val="CommentText"/>
    <w:uiPriority w:val="99"/>
    <w:rsid w:val="00D27F02"/>
  </w:style>
  <w:style w:type="character" w:styleId="CommentReference">
    <w:name w:val="annotation reference"/>
    <w:basedOn w:val="DefaultParagraphFont"/>
    <w:uiPriority w:val="99"/>
    <w:semiHidden/>
    <w:unhideWhenUsed/>
    <w:rsid w:val="00D27F02"/>
    <w:rPr>
      <w:sz w:val="16"/>
      <w:szCs w:val="16"/>
    </w:rPr>
  </w:style>
  <w:style w:type="paragraph" w:styleId="Revision">
    <w:name w:val="Revision"/>
    <w:hidden/>
    <w:uiPriority w:val="99"/>
    <w:semiHidden/>
    <w:rsid w:val="00967641"/>
  </w:style>
  <w:style w:type="paragraph" w:styleId="NormalWeb">
    <w:name w:val="Normal (Web)"/>
    <w:basedOn w:val="Normal"/>
    <w:uiPriority w:val="99"/>
    <w:semiHidden/>
    <w:unhideWhenUsed/>
    <w:rsid w:val="00F63AB9"/>
    <w:pPr>
      <w:spacing w:before="100" w:beforeAutospacing="1" w:after="100" w:afterAutospacing="1"/>
    </w:pPr>
    <w:rPr>
      <w:rFonts w:ascii="Times New Roman" w:eastAsia="Times New Roman" w:hAnsi="Times New Roman"/>
      <w:kern w:val="0"/>
      <w:sz w:val="24"/>
      <w:szCs w:val="24"/>
      <w:lang w:val="en-US" w:eastAsia="zh-CN"/>
      <w14:ligatures w14:val="none"/>
    </w:rPr>
  </w:style>
  <w:style w:type="character" w:styleId="Strong">
    <w:name w:val="Strong"/>
    <w:basedOn w:val="DefaultParagraphFont"/>
    <w:uiPriority w:val="22"/>
    <w:qFormat/>
    <w:rsid w:val="00F63AB9"/>
    <w:rPr>
      <w:b/>
      <w:bCs/>
    </w:rPr>
  </w:style>
  <w:style w:type="paragraph" w:styleId="CommentSubject">
    <w:name w:val="annotation subject"/>
    <w:basedOn w:val="CommentText"/>
    <w:next w:val="CommentText"/>
    <w:link w:val="CommentSubjectChar"/>
    <w:uiPriority w:val="99"/>
    <w:semiHidden/>
    <w:unhideWhenUsed/>
    <w:rsid w:val="00EF666C"/>
    <w:rPr>
      <w:b/>
      <w:bCs/>
    </w:rPr>
  </w:style>
  <w:style w:type="character" w:customStyle="1" w:styleId="CommentSubjectChar">
    <w:name w:val="Comment Subject Char"/>
    <w:basedOn w:val="CommentTextChar"/>
    <w:link w:val="CommentSubject"/>
    <w:uiPriority w:val="99"/>
    <w:semiHidden/>
    <w:rsid w:val="00EF666C"/>
    <w:rPr>
      <w:b/>
      <w:bCs/>
    </w:rPr>
  </w:style>
  <w:style w:type="character" w:styleId="Hyperlink">
    <w:name w:val="Hyperlink"/>
    <w:basedOn w:val="DefaultParagraphFont"/>
    <w:uiPriority w:val="99"/>
    <w:unhideWhenUsed/>
    <w:rsid w:val="00C87330"/>
    <w:rPr>
      <w:color w:val="467886" w:themeColor="hyperlink"/>
      <w:u w:val="single"/>
    </w:rPr>
  </w:style>
  <w:style w:type="character" w:styleId="UnresolvedMention">
    <w:name w:val="Unresolved Mention"/>
    <w:basedOn w:val="DefaultParagraphFont"/>
    <w:uiPriority w:val="99"/>
    <w:semiHidden/>
    <w:unhideWhenUsed/>
    <w:rsid w:val="00C87330"/>
    <w:rPr>
      <w:color w:val="605E5C"/>
      <w:shd w:val="clear" w:color="auto" w:fill="E1DFDD"/>
    </w:rPr>
  </w:style>
  <w:style w:type="paragraph" w:styleId="Header">
    <w:name w:val="header"/>
    <w:basedOn w:val="Normal"/>
    <w:link w:val="HeaderChar"/>
    <w:uiPriority w:val="99"/>
    <w:unhideWhenUsed/>
    <w:rsid w:val="00312111"/>
    <w:pPr>
      <w:tabs>
        <w:tab w:val="center" w:pos="4680"/>
        <w:tab w:val="right" w:pos="9360"/>
      </w:tabs>
    </w:pPr>
  </w:style>
  <w:style w:type="character" w:customStyle="1" w:styleId="HeaderChar">
    <w:name w:val="Header Char"/>
    <w:basedOn w:val="DefaultParagraphFont"/>
    <w:link w:val="Header"/>
    <w:uiPriority w:val="99"/>
    <w:rsid w:val="00312111"/>
  </w:style>
  <w:style w:type="paragraph" w:styleId="Footer">
    <w:name w:val="footer"/>
    <w:basedOn w:val="Normal"/>
    <w:link w:val="FooterChar"/>
    <w:uiPriority w:val="99"/>
    <w:unhideWhenUsed/>
    <w:rsid w:val="00312111"/>
    <w:pPr>
      <w:tabs>
        <w:tab w:val="center" w:pos="4680"/>
        <w:tab w:val="right" w:pos="9360"/>
      </w:tabs>
    </w:pPr>
  </w:style>
  <w:style w:type="character" w:customStyle="1" w:styleId="FooterChar">
    <w:name w:val="Footer Char"/>
    <w:basedOn w:val="DefaultParagraphFont"/>
    <w:link w:val="Footer"/>
    <w:uiPriority w:val="99"/>
    <w:rsid w:val="00312111"/>
  </w:style>
  <w:style w:type="paragraph" w:customStyle="1" w:styleId="IPPHeader">
    <w:name w:val="IPP Header"/>
    <w:basedOn w:val="Normal"/>
    <w:qFormat/>
    <w:rsid w:val="00312111"/>
    <w:pPr>
      <w:pBdr>
        <w:bottom w:val="single" w:sz="4" w:space="4" w:color="auto"/>
      </w:pBdr>
      <w:tabs>
        <w:tab w:val="left" w:pos="1134"/>
        <w:tab w:val="right" w:pos="9072"/>
      </w:tabs>
      <w:spacing w:after="120"/>
    </w:pPr>
    <w:rPr>
      <w:rFonts w:eastAsia="MS Mincho"/>
      <w:kern w:val="0"/>
      <w:sz w:val="18"/>
      <w:szCs w:val="24"/>
      <w:lang w:val="en-US"/>
      <w14:ligatures w14:val="none"/>
    </w:rPr>
  </w:style>
  <w:style w:type="paragraph" w:customStyle="1" w:styleId="IPPHeading1">
    <w:name w:val="IPP Heading1"/>
    <w:basedOn w:val="Normal"/>
    <w:next w:val="Normal"/>
    <w:link w:val="IPPHeading1Char"/>
    <w:qFormat/>
    <w:rsid w:val="00F73979"/>
    <w:pPr>
      <w:keepNext/>
      <w:tabs>
        <w:tab w:val="left" w:pos="567"/>
      </w:tabs>
      <w:spacing w:before="240" w:after="120"/>
      <w:ind w:left="567" w:hanging="567"/>
      <w:outlineLvl w:val="1"/>
    </w:pPr>
    <w:rPr>
      <w:rFonts w:ascii="Times New Roman" w:eastAsia="Times" w:hAnsi="Times New Roman"/>
      <w:b/>
      <w:kern w:val="0"/>
      <w:sz w:val="24"/>
      <w:szCs w:val="22"/>
      <w14:ligatures w14:val="none"/>
    </w:rPr>
  </w:style>
  <w:style w:type="character" w:customStyle="1" w:styleId="IPPHeading1Char">
    <w:name w:val="IPP Heading1 Char"/>
    <w:link w:val="IPPHeading1"/>
    <w:rsid w:val="00F73979"/>
    <w:rPr>
      <w:rFonts w:ascii="Times New Roman" w:eastAsia="Times" w:hAnsi="Times New Roman"/>
      <w:b/>
      <w:kern w:val="0"/>
      <w:sz w:val="24"/>
      <w:szCs w:val="22"/>
      <w14:ligatures w14:val="none"/>
    </w:rPr>
  </w:style>
  <w:style w:type="paragraph" w:customStyle="1" w:styleId="IPPBullet1">
    <w:name w:val="IPP Bullet1"/>
    <w:basedOn w:val="Normal"/>
    <w:qFormat/>
    <w:rsid w:val="00AE3866"/>
    <w:pPr>
      <w:spacing w:after="60"/>
      <w:jc w:val="both"/>
    </w:pPr>
    <w:rPr>
      <w:rFonts w:ascii="Times New Roman" w:eastAsia="Times" w:hAnsi="Times New Roman"/>
      <w:kern w:val="0"/>
      <w:sz w:val="22"/>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6999">
      <w:bodyDiv w:val="1"/>
      <w:marLeft w:val="0"/>
      <w:marRight w:val="0"/>
      <w:marTop w:val="0"/>
      <w:marBottom w:val="0"/>
      <w:divBdr>
        <w:top w:val="none" w:sz="0" w:space="0" w:color="auto"/>
        <w:left w:val="none" w:sz="0" w:space="0" w:color="auto"/>
        <w:bottom w:val="none" w:sz="0" w:space="0" w:color="auto"/>
        <w:right w:val="none" w:sz="0" w:space="0" w:color="auto"/>
      </w:divBdr>
    </w:div>
    <w:div w:id="342517623">
      <w:bodyDiv w:val="1"/>
      <w:marLeft w:val="0"/>
      <w:marRight w:val="0"/>
      <w:marTop w:val="0"/>
      <w:marBottom w:val="0"/>
      <w:divBdr>
        <w:top w:val="none" w:sz="0" w:space="0" w:color="auto"/>
        <w:left w:val="none" w:sz="0" w:space="0" w:color="auto"/>
        <w:bottom w:val="none" w:sz="0" w:space="0" w:color="auto"/>
        <w:right w:val="none" w:sz="0" w:space="0" w:color="auto"/>
      </w:divBdr>
    </w:div>
    <w:div w:id="407777455">
      <w:bodyDiv w:val="1"/>
      <w:marLeft w:val="0"/>
      <w:marRight w:val="0"/>
      <w:marTop w:val="0"/>
      <w:marBottom w:val="0"/>
      <w:divBdr>
        <w:top w:val="none" w:sz="0" w:space="0" w:color="auto"/>
        <w:left w:val="none" w:sz="0" w:space="0" w:color="auto"/>
        <w:bottom w:val="none" w:sz="0" w:space="0" w:color="auto"/>
        <w:right w:val="none" w:sz="0" w:space="0" w:color="auto"/>
      </w:divBdr>
    </w:div>
    <w:div w:id="879777851">
      <w:bodyDiv w:val="1"/>
      <w:marLeft w:val="0"/>
      <w:marRight w:val="0"/>
      <w:marTop w:val="0"/>
      <w:marBottom w:val="0"/>
      <w:divBdr>
        <w:top w:val="none" w:sz="0" w:space="0" w:color="auto"/>
        <w:left w:val="none" w:sz="0" w:space="0" w:color="auto"/>
        <w:bottom w:val="none" w:sz="0" w:space="0" w:color="auto"/>
        <w:right w:val="none" w:sz="0" w:space="0" w:color="auto"/>
      </w:divBdr>
    </w:div>
    <w:div w:id="1362515762">
      <w:bodyDiv w:val="1"/>
      <w:marLeft w:val="0"/>
      <w:marRight w:val="0"/>
      <w:marTop w:val="0"/>
      <w:marBottom w:val="0"/>
      <w:divBdr>
        <w:top w:val="none" w:sz="0" w:space="0" w:color="auto"/>
        <w:left w:val="none" w:sz="0" w:space="0" w:color="auto"/>
        <w:bottom w:val="none" w:sz="0" w:space="0" w:color="auto"/>
        <w:right w:val="none" w:sz="0" w:space="0" w:color="auto"/>
      </w:divBdr>
    </w:div>
    <w:div w:id="1414088635">
      <w:bodyDiv w:val="1"/>
      <w:marLeft w:val="0"/>
      <w:marRight w:val="0"/>
      <w:marTop w:val="0"/>
      <w:marBottom w:val="0"/>
      <w:divBdr>
        <w:top w:val="none" w:sz="0" w:space="0" w:color="auto"/>
        <w:left w:val="none" w:sz="0" w:space="0" w:color="auto"/>
        <w:bottom w:val="none" w:sz="0" w:space="0" w:color="auto"/>
        <w:right w:val="none" w:sz="0" w:space="0" w:color="auto"/>
      </w:divBdr>
    </w:div>
    <w:div w:id="1497259205">
      <w:bodyDiv w:val="1"/>
      <w:marLeft w:val="0"/>
      <w:marRight w:val="0"/>
      <w:marTop w:val="0"/>
      <w:marBottom w:val="0"/>
      <w:divBdr>
        <w:top w:val="none" w:sz="0" w:space="0" w:color="auto"/>
        <w:left w:val="none" w:sz="0" w:space="0" w:color="auto"/>
        <w:bottom w:val="none" w:sz="0" w:space="0" w:color="auto"/>
        <w:right w:val="none" w:sz="0" w:space="0" w:color="auto"/>
      </w:divBdr>
    </w:div>
    <w:div w:id="1510103600">
      <w:bodyDiv w:val="1"/>
      <w:marLeft w:val="0"/>
      <w:marRight w:val="0"/>
      <w:marTop w:val="0"/>
      <w:marBottom w:val="0"/>
      <w:divBdr>
        <w:top w:val="none" w:sz="0" w:space="0" w:color="auto"/>
        <w:left w:val="none" w:sz="0" w:space="0" w:color="auto"/>
        <w:bottom w:val="none" w:sz="0" w:space="0" w:color="auto"/>
        <w:right w:val="none" w:sz="0" w:space="0" w:color="auto"/>
      </w:divBdr>
    </w:div>
    <w:div w:id="21118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ppc.int/publications/criteria-used-prioritizing-participants-receive-travelassistanceattend-meeting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82F22-043B-4C35-BFE2-5968CD547002}">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2.xml><?xml version="1.0" encoding="utf-8"?>
<ds:datastoreItem xmlns:ds="http://schemas.openxmlformats.org/officeDocument/2006/customXml" ds:itemID="{1E4548A9-304F-4BB5-8C48-862552A4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8FC8-E1AB-4A2C-A943-77DEE58F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877</Words>
  <Characters>5005</Characters>
  <Application>Microsoft Office Word</Application>
  <DocSecurity>4</DocSecurity>
  <Lines>41</Lines>
  <Paragraphs>11</Paragraphs>
  <ScaleCrop>false</ScaleCrop>
  <Company>Defra</Company>
  <LinksUpToDate>false</LinksUpToDate>
  <CharactersWithSpaces>5871</CharactersWithSpaces>
  <SharedDoc>false</SharedDoc>
  <HLinks>
    <vt:vector size="6" baseType="variant">
      <vt:variant>
        <vt:i4>5242882</vt:i4>
      </vt:variant>
      <vt:variant>
        <vt:i4>0</vt:i4>
      </vt:variant>
      <vt:variant>
        <vt:i4>0</vt:i4>
      </vt:variant>
      <vt:variant>
        <vt:i4>5</vt:i4>
      </vt:variant>
      <vt:variant>
        <vt:lpwstr>https://www.ippc.int/publications/criteria-used-prioritizing-participants-receive-travelassistanceattend-meetings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Everatt, Matthew</dc:creator>
  <cp:keywords/>
  <dc:description/>
  <cp:lastModifiedBy>BeltranMontoya, Camilo (NSP)</cp:lastModifiedBy>
  <cp:revision>20</cp:revision>
  <dcterms:created xsi:type="dcterms:W3CDTF">2025-03-09T01:15:00Z</dcterms:created>
  <dcterms:modified xsi:type="dcterms:W3CDTF">2025-03-10T13:18:00Z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