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tara="kcentrix:tara"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pPr>
      <w:r>
        <w:rPr>
          <w:sz w:val="20"/>
          <w:rStyle w:val="PleaseReviewParagraphId"/>
          <w:noProof/>
        </w:rPr>
        <w:t>[PleaseReview document review. Review title: 2025 Second consultation: 2023-033 - Draft annex to ISPM 28: Irradiation treatment for Pseudococcus baliteus . Document title: 2023-033_Draft_PT_Ir_Pbaliteus.docx]</w:t>
      </w:r>
    </w:p>
    <w:p w14:paraId="2ACBA63B" w14:textId="0581DC8D">
      <w:pPr>
        <w:pStyle w:val="IPPHeadSection"/>
        <w:ind w:left="0" w:firstLine="0"/>
        <w:rPr>
          <w:lang w:val="en-NZ"/>
        </w:rPr>
      </w:pPr>
      <w:r>
        <w:rPr>
          <w:rStyle w:val="PleaseReviewParagraphId"/>
          <w:b w:val="off"/>
          <w:i w:val="off"/>
        </w:rPr>
        <w:t>[1]</w:t>
      </w:r>
      <w:bookmarkStart w:name="_Toc121913536" w:id="0"/>
      <w:r>
        <w:rPr>
          <w:szCs w:val="24"/>
          <w:lang w:val="en-NZ"/>
        </w:rPr>
        <w:t xml:space="preserve">Draft ANNEX to ISPM 28: </w:t>
      </w:r>
      <w:r>
        <w:rPr>
          <w:caps w:val="0"/>
          <w:szCs w:val="24"/>
          <w:lang w:val="en-NZ"/>
        </w:rPr>
        <w:t xml:space="preserve">Irradiation treatment for </w:t>
      </w:r>
      <w:r>
        <w:rPr>
          <w:i/>
          <w:caps w:val="0"/>
          <w:szCs w:val="24"/>
          <w:lang w:val="en-NZ"/>
        </w:rPr>
        <w:t>Pseudococcus baliteus</w:t>
      </w:r>
      <w:r>
        <w:rPr>
          <w:i/>
          <w:szCs w:val="24"/>
          <w:lang w:val="en-NZ"/>
        </w:rPr>
        <w:t xml:space="preserve"> </w:t>
      </w:r>
      <w:r>
        <w:rPr>
          <w:szCs w:val="24"/>
          <w:lang w:val="en-NZ"/>
        </w:rPr>
        <w:t>(2023-033)</w:t>
      </w:r>
    </w:p>
    <w:p w14:paraId="61B5021E" w14:textId="5630F049">
      <w:pPr>
        <w:pStyle w:val="IPPArialTable"/>
        <w:rPr>
          <w:b/>
          <w:bCs/>
          <w:i/>
          <w:color w:val="4472C4"/>
        </w:rPr>
      </w:pPr>
      <w:r>
        <w:rPr>
          <w:rStyle w:val="PleaseReviewParagraphId"/>
          <w:b w:val="off"/>
          <w:i w:val="off"/>
        </w:rPr>
        <w:t>[2]</w:t>
      </w:r>
      <w:r>
        <w:rPr>
          <w:b/>
          <w:bCs/>
        </w:rPr>
        <w:t>Status box</w:t>
      </w:r>
    </w:p>
    <w:tbl>
      <w:tblPr>
        <w:tblpPr w:leftFromText="180" w:rightFromText="180" w:vertAnchor="text" w:horzAnchor="margin" w:tblpXSpec="center" w:tblpY="128"/>
        <w:tblW w:w="0" w:type="auto"/>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Look w:val="00A0" w:firstRow="1" w:lastRow="0" w:firstColumn="1" w:lastColumn="0" w:noHBand="0" w:noVBand="0"/>
      </w:tblPr>
      <w:tblGrid>
        <w:gridCol w:w="2273"/>
        <w:gridCol w:w="6766"/>
      </w:tblGrid>
      <w:tr w14:paraId="5F1560AE" w14:textId="77777777">
        <w:trPr>
          <w:trHeight w:val="286"/>
        </w:trPr>
        <w:tc xmlns:tara="kcentrix:tara" tara:rowspan="1" tara:colspan="2">
          <w:tcPr>
            <w:tcW w:w="9039" w:type="dxa"/>
            <w:gridSpan w:val="2"/>
            <w:tcBorders>
              <w:top w:val="single" w:color="auto" w:sz="4" w:space="0"/>
              <w:left w:val="single" w:color="auto" w:sz="4" w:space="0"/>
              <w:right w:val="single" w:color="auto" w:sz="4" w:space="0"/>
            </w:tcBorders>
          </w:tcPr>
          <w:p w14:paraId="781F2D2F" w14:textId="11062AF1">
            <w:pPr>
              <w:pStyle w:val="IPPArial"/>
              <w:rPr>
                <w:i/>
              </w:rPr>
            </w:pPr>
            <w:r>
              <w:rPr>
                <w:rStyle w:val="PleaseReviewParagraphId"/>
                <w:b w:val="off"/>
                <w:i w:val="off"/>
              </w:rPr>
              <w:t>[3]</w:t>
            </w:r>
            <w:r>
              <w:rPr>
                <w:i/>
              </w:rPr>
              <w:t>This is not an official part of the annex to the standard and it will be modified by the IPPC Secretariat after adoption.</w:t>
            </w:r>
          </w:p>
        </w:tc>
      </w:tr>
      <w:tr w14:paraId="326C0925" w14:textId="77777777">
        <w:trPr>
          <w:trHeight w:val="286"/>
        </w:trPr>
        <w:tc xmlns:tara="kcentrix:tara" tara:rowspan="1" tara:colspan="1">
          <w:tcPr>
            <w:tcW w:w="2273" w:type="dxa"/>
            <w:tcBorders>
              <w:left w:val="single" w:color="auto" w:sz="4" w:space="0"/>
            </w:tcBorders>
          </w:tcPr>
          <w:p w14:paraId="522ACFBF" w14:textId="3454DA89">
            <w:pPr>
              <w:pStyle w:val="IPPArial"/>
              <w:rPr>
                <w:b/>
                <w:bCs/>
              </w:rPr>
            </w:pPr>
            <w:r>
              <w:rPr>
                <w:rStyle w:val="PleaseReviewParagraphId"/>
                <w:b w:val="off"/>
                <w:i w:val="off"/>
              </w:rPr>
              <w:t>[4]</w:t>
            </w:r>
            <w:r>
              <w:rPr>
                <w:b/>
                <w:bCs/>
              </w:rPr>
              <w:t>Date of this document</w:t>
            </w:r>
          </w:p>
        </w:tc>
        <w:tc xmlns:tara="kcentrix:tara" tara:rowspan="1" tara:colspan="1">
          <w:tcPr>
            <w:tcW w:w="6766" w:type="dxa"/>
            <w:tcBorders>
              <w:right w:val="single" w:color="auto" w:sz="4" w:space="0"/>
            </w:tcBorders>
          </w:tcPr>
          <w:p w14:paraId="4F70B8BD" w14:textId="162832AA">
            <w:pPr>
              <w:pStyle w:val="IPPArial"/>
            </w:pPr>
            <w:r>
              <w:rPr>
                <w:rStyle w:val="PleaseReviewParagraphId"/>
                <w:b w:val="off"/>
                <w:i w:val="off"/>
              </w:rPr>
              <w:t>[5]</w:t>
            </w:r>
            <w:r>
              <w:t>2025-06-10</w:t>
            </w:r>
          </w:p>
        </w:tc>
      </w:tr>
      <w:tr w14:paraId="37C8BEBF" w14:textId="77777777">
        <w:trPr>
          <w:trHeight w:val="286"/>
        </w:trPr>
        <w:tc xmlns:tara="kcentrix:tara" tara:rowspan="1" tara:colspan="1">
          <w:tcPr>
            <w:tcW w:w="2273" w:type="dxa"/>
            <w:tcBorders>
              <w:left w:val="single" w:color="auto" w:sz="4" w:space="0"/>
            </w:tcBorders>
          </w:tcPr>
          <w:p w14:paraId="75A7AC27" w14:textId="0CBE388E">
            <w:pPr>
              <w:pStyle w:val="IPPArial"/>
              <w:rPr>
                <w:b/>
                <w:bCs/>
              </w:rPr>
            </w:pPr>
            <w:r>
              <w:rPr>
                <w:rStyle w:val="PleaseReviewParagraphId"/>
                <w:b w:val="off"/>
                <w:i w:val="off"/>
              </w:rPr>
              <w:t>[6]</w:t>
            </w:r>
            <w:r>
              <w:rPr>
                <w:b/>
                <w:bCs/>
              </w:rPr>
              <w:t>Document category</w:t>
            </w:r>
          </w:p>
        </w:tc>
        <w:tc xmlns:tara="kcentrix:tara" tara:rowspan="1" tara:colspan="1">
          <w:tcPr>
            <w:tcW w:w="6766" w:type="dxa"/>
            <w:tcBorders>
              <w:right w:val="single" w:color="auto" w:sz="4" w:space="0"/>
            </w:tcBorders>
          </w:tcPr>
          <w:p w14:paraId="3C843A98" w14:textId="68B4DE21">
            <w:pPr>
              <w:pStyle w:val="IPPArial"/>
              <w:rPr>
                <w:highlight w:val="cyan"/>
              </w:rPr>
            </w:pPr>
            <w:r>
              <w:rPr>
                <w:rStyle w:val="PleaseReviewParagraphId"/>
                <w:b w:val="off"/>
                <w:i w:val="off"/>
              </w:rPr>
              <w:t>[7]</w:t>
            </w:r>
            <w:r>
              <w:t>Draft annex to ISPM 28</w:t>
            </w:r>
          </w:p>
        </w:tc>
      </w:tr>
      <w:tr w14:paraId="04DA5287" w14:textId="77777777">
        <w:trPr>
          <w:trHeight w:val="299"/>
        </w:trPr>
        <w:tc xmlns:tara="kcentrix:tara" tara:rowspan="1" tara:colspan="1">
          <w:tcPr>
            <w:tcW w:w="2273" w:type="dxa"/>
            <w:tcBorders>
              <w:left w:val="single" w:color="auto" w:sz="4" w:space="0"/>
            </w:tcBorders>
          </w:tcPr>
          <w:p w14:paraId="2B4A83F3" w14:textId="782850F8">
            <w:pPr>
              <w:pStyle w:val="IPPArial"/>
              <w:jc w:val="left"/>
              <w:rPr>
                <w:b/>
                <w:bCs/>
              </w:rPr>
            </w:pPr>
            <w:r>
              <w:rPr>
                <w:rStyle w:val="PleaseReviewParagraphId"/>
                <w:b w:val="off"/>
                <w:i w:val="off"/>
              </w:rPr>
              <w:t>[8]</w:t>
            </w:r>
            <w:r>
              <w:rPr>
                <w:b/>
                <w:bCs/>
              </w:rPr>
              <w:t>Current document stage</w:t>
            </w:r>
          </w:p>
        </w:tc>
        <w:tc xmlns:tara="kcentrix:tara" tara:rowspan="1" tara:colspan="1">
          <w:tcPr>
            <w:tcW w:w="6766" w:type="dxa"/>
            <w:tcBorders>
              <w:right w:val="single" w:color="auto" w:sz="4" w:space="0"/>
            </w:tcBorders>
          </w:tcPr>
          <w:p w14:paraId="64B4BD98" w14:textId="69C46804">
            <w:pPr>
              <w:pStyle w:val="IPPArial"/>
            </w:pPr>
            <w:r>
              <w:rPr>
                <w:rStyle w:val="PleaseReviewParagraphId"/>
                <w:b w:val="off"/>
                <w:i w:val="off"/>
              </w:rPr>
              <w:t>[9]</w:t>
            </w:r>
            <w:r>
              <w:t>Review after first consultation</w:t>
            </w:r>
          </w:p>
        </w:tc>
      </w:tr>
      <w:tr w14:paraId="442B1152" w14:textId="77777777">
        <w:trPr>
          <w:trHeight w:val="491"/>
        </w:trPr>
        <w:tc xmlns:tara="kcentrix:tara" tara:rowspan="1" tara:colspan="1">
          <w:tcPr>
            <w:tcW w:w="2273" w:type="dxa"/>
            <w:tcBorders>
              <w:left w:val="single" w:color="auto" w:sz="4" w:space="0"/>
              <w:bottom w:val="single" w:color="7F7F7F" w:sz="2" w:space="0"/>
            </w:tcBorders>
          </w:tcPr>
          <w:p w14:paraId="469CC482" w14:textId="2763BC61">
            <w:pPr>
              <w:pStyle w:val="IPPArial"/>
              <w:rPr>
                <w:b/>
                <w:bCs/>
              </w:rPr>
            </w:pPr>
            <w:r>
              <w:rPr>
                <w:rStyle w:val="PleaseReviewParagraphId"/>
                <w:b w:val="off"/>
                <w:i w:val="off"/>
              </w:rPr>
              <w:t>[10]</w:t>
            </w:r>
            <w:r>
              <w:rPr>
                <w:b/>
                <w:bCs/>
              </w:rPr>
              <w:t>Major stages</w:t>
            </w:r>
          </w:p>
        </w:tc>
        <w:tc xmlns:tara="kcentrix:tara" tara:rowspan="1" tara:colspan="1">
          <w:tcPr>
            <w:tcW w:w="6766" w:type="dxa"/>
            <w:tcBorders>
              <w:bottom w:val="single" w:color="7F7F7F" w:sz="2" w:space="0"/>
              <w:right w:val="single" w:color="auto" w:sz="4" w:space="0"/>
            </w:tcBorders>
          </w:tcPr>
          <w:p w14:paraId="072B834D" w14:textId="3E6ED2E5">
            <w:pPr>
              <w:pStyle w:val="IPPArial"/>
            </w:pPr>
            <w:r>
              <w:rPr>
                <w:rStyle w:val="PleaseReviewParagraphId"/>
                <w:b w:val="off"/>
                <w:i w:val="off"/>
              </w:rPr>
              <w:t>[11]</w:t>
            </w:r>
            <w:r>
              <w:t>2023-08 Treatment submitted in response to 2017 call for treatments (ongoing).</w:t>
            </w:r>
          </w:p>
          <w:p w14:paraId="2B58CCCF" w14:textId="7768D6A2">
            <w:pPr>
              <w:pStyle w:val="IPPArial"/>
              <w:rPr>
                <w:rFonts w:cs="Arial"/>
                <w:iCs/>
                <w:szCs w:val="18"/>
              </w:rPr>
            </w:pPr>
            <w:r>
              <w:rPr>
                <w:rStyle w:val="PleaseReviewParagraphId"/>
                <w:b w:val="off"/>
                <w:i w:val="off"/>
              </w:rPr>
              <w:t>[12]</w:t>
            </w:r>
            <w:r>
              <w:rPr>
                <w:rFonts w:cs="Arial"/>
                <w:szCs w:val="18"/>
              </w:rPr>
              <w:t>2023-09 SC added</w:t>
            </w:r>
            <w:r>
              <w:t xml:space="preserve"> </w:t>
            </w:r>
            <w:r>
              <w:rPr>
                <w:rFonts w:cs="Arial"/>
                <w:i/>
                <w:szCs w:val="18"/>
              </w:rPr>
              <w:t xml:space="preserve">Irradiation treatment for </w:t>
            </w:r>
            <w:r>
              <w:rPr>
                <w:rFonts w:cs="Arial"/>
                <w:iCs/>
                <w:szCs w:val="18"/>
              </w:rPr>
              <w:t>Pseudococcus baliteus</w:t>
            </w:r>
            <w:r>
              <w:rPr>
                <w:rFonts w:cs="Arial"/>
                <w:i/>
                <w:szCs w:val="18"/>
              </w:rPr>
              <w:t xml:space="preserve"> (2023-033) </w:t>
            </w:r>
            <w:r>
              <w:rPr>
                <w:rFonts w:cs="Arial"/>
                <w:iCs/>
                <w:szCs w:val="18"/>
              </w:rPr>
              <w:t>to the TPPT work programme, subsequently (in 2023-11) assigning it priority 1.</w:t>
            </w:r>
          </w:p>
          <w:p w14:paraId="46AA82D5" w14:textId="27E287E9">
            <w:pPr>
              <w:pStyle w:val="IPPArial"/>
              <w:rPr>
                <w:rFonts w:cs="Arial"/>
                <w:iCs/>
                <w:szCs w:val="18"/>
              </w:rPr>
            </w:pPr>
            <w:r>
              <w:rPr>
                <w:rStyle w:val="PleaseReviewParagraphId"/>
                <w:b w:val="off"/>
                <w:i w:val="off"/>
              </w:rPr>
              <w:t>[13]</w:t>
            </w:r>
            <w:r>
              <w:rPr>
                <w:rFonts w:cs="Arial"/>
                <w:iCs/>
                <w:szCs w:val="18"/>
              </w:rPr>
              <w:t>2023-10 TPPT revised the draft and recommended it to SC for first consultation.</w:t>
            </w:r>
          </w:p>
          <w:p w14:paraId="7F624B3F" w14:textId="77777777">
            <w:pPr>
              <w:pStyle w:val="IPPArial"/>
              <w:rPr>
                <w:rFonts w:cs="Arial"/>
                <w:iCs/>
                <w:szCs w:val="18"/>
              </w:rPr>
            </w:pPr>
            <w:r>
              <w:rPr>
                <w:rStyle w:val="PleaseReviewParagraphId"/>
                <w:b w:val="off"/>
                <w:i w:val="off"/>
              </w:rPr>
              <w:t>[14]</w:t>
            </w:r>
            <w:r>
              <w:rPr>
                <w:rFonts w:cs="Arial"/>
                <w:iCs/>
                <w:szCs w:val="18"/>
              </w:rPr>
              <w:t>2024-10 Treatment Lead revised the draft based on comments received in the first consultation.</w:t>
            </w:r>
          </w:p>
          <w:p w14:paraId="08B5DEA5" w14:textId="1D9FDBA4">
            <w:pPr>
              <w:pStyle w:val="IPPArial"/>
              <w:rPr>
                <w:rFonts w:cs="Arial"/>
                <w:szCs w:val="18"/>
              </w:rPr>
            </w:pPr>
            <w:r>
              <w:rPr>
                <w:rStyle w:val="PleaseReviewParagraphId"/>
                <w:b w:val="off"/>
                <w:i w:val="off"/>
              </w:rPr>
              <w:t>[15]</w:t>
            </w:r>
            <w:r>
              <w:rPr>
                <w:rFonts w:cs="Arial"/>
                <w:iCs/>
                <w:szCs w:val="18"/>
              </w:rPr>
              <w:t xml:space="preserve">2025-01 TPPT revised the updated draft and first consultation comment responses and recommended it to the SC for second consultation.  </w:t>
            </w:r>
          </w:p>
        </w:tc>
      </w:tr>
      <w:tr w14:paraId="7B086F02" w14:textId="77777777">
        <w:trPr>
          <w:trHeight w:val="491"/>
        </w:trPr>
        <w:tc xmlns:tara="kcentrix:tara" tara:rowspan="1" tara:colspan="1">
          <w:tcPr>
            <w:tcW w:w="2273" w:type="dxa"/>
            <w:tcBorders>
              <w:left w:val="single" w:color="auto" w:sz="4" w:space="0"/>
              <w:bottom w:val="single" w:color="auto" w:sz="4" w:space="0"/>
            </w:tcBorders>
          </w:tcPr>
          <w:p w14:paraId="4344452A" w14:textId="6C6A8027">
            <w:pPr>
              <w:pStyle w:val="IPPArial"/>
              <w:rPr>
                <w:b/>
                <w:bCs/>
              </w:rPr>
            </w:pPr>
            <w:r>
              <w:rPr>
                <w:rStyle w:val="PleaseReviewParagraphId"/>
                <w:b w:val="off"/>
                <w:i w:val="off"/>
              </w:rPr>
              <w:t>[16]</w:t>
            </w:r>
            <w:r>
              <w:rPr>
                <w:b/>
                <w:bCs/>
              </w:rPr>
              <w:t>Treatment Lead</w:t>
            </w:r>
          </w:p>
        </w:tc>
        <w:tc xmlns:tara="kcentrix:tara" tara:rowspan="1" tara:colspan="1">
          <w:tcPr>
            <w:tcW w:w="6766" w:type="dxa"/>
            <w:tcBorders>
              <w:bottom w:val="single" w:color="auto" w:sz="4" w:space="0"/>
              <w:right w:val="single" w:color="auto" w:sz="4" w:space="0"/>
            </w:tcBorders>
          </w:tcPr>
          <w:p w14:paraId="2D1E35F3" w14:textId="6465C3B4">
            <w:pPr>
              <w:pStyle w:val="IPPArial"/>
            </w:pPr>
            <w:r>
              <w:rPr>
                <w:rStyle w:val="PleaseReviewParagraphId"/>
                <w:b w:val="off"/>
                <w:i w:val="off"/>
              </w:rPr>
              <w:t>[17]</w:t>
            </w:r>
            <w:r>
              <w:t>2023-08 Michael ORMSBY (NZ, Treatment Lead)</w:t>
            </w:r>
          </w:p>
        </w:tc>
      </w:tr>
      <w:tr w14:paraId="3823B93E" w14:textId="77777777">
        <w:trPr>
          <w:trHeight w:val="491"/>
        </w:trPr>
        <w:tc xmlns:tara="kcentrix:tara" tara:rowspan="1" tara:colspan="1">
          <w:tcPr>
            <w:tcW w:w="2273" w:type="dxa"/>
            <w:tcBorders>
              <w:top w:val="single" w:color="auto" w:sz="4" w:space="0"/>
            </w:tcBorders>
          </w:tcPr>
          <w:p w14:paraId="0D97A7BA" w14:textId="45F9AE66">
            <w:pPr>
              <w:pStyle w:val="IPPArial"/>
              <w:rPr>
                <w:b/>
                <w:bCs/>
              </w:rPr>
            </w:pPr>
            <w:r>
              <w:rPr>
                <w:rStyle w:val="PleaseReviewParagraphId"/>
                <w:b w:val="off"/>
                <w:i w:val="off"/>
              </w:rPr>
              <w:t>[18]</w:t>
            </w:r>
            <w:r>
              <w:rPr>
                <w:b/>
                <w:bCs/>
              </w:rPr>
              <w:t>Notes</w:t>
            </w:r>
          </w:p>
        </w:tc>
        <w:tc xmlns:tara="kcentrix:tara" tara:rowspan="1" tara:colspan="1">
          <w:tcPr>
            <w:tcW w:w="6766" w:type="dxa"/>
            <w:tcBorders>
              <w:top w:val="single" w:color="auto" w:sz="4" w:space="0"/>
            </w:tcBorders>
          </w:tcPr>
          <w:p w14:paraId="1B5FC449" w14:textId="77777777">
            <w:pPr>
              <w:pStyle w:val="IPPArial"/>
            </w:pPr>
            <w:r>
              <w:rPr>
                <w:rStyle w:val="PleaseReviewParagraphId"/>
                <w:b w:val="off"/>
                <w:i w:val="off"/>
              </w:rPr>
              <w:t>[19]</w:t>
            </w:r>
            <w:r>
              <w:t>2024-02 Edited</w:t>
            </w:r>
          </w:p>
          <w:p w14:paraId="0E0A31C3" w14:textId="21B96D62">
            <w:pPr>
              <w:pStyle w:val="IPPArial"/>
            </w:pPr>
            <w:r>
              <w:rPr>
                <w:rStyle w:val="PleaseReviewParagraphId"/>
                <w:b w:val="off"/>
                <w:i w:val="off"/>
              </w:rPr>
              <w:t>[20]</w:t>
            </w:r>
            <w:r>
              <w:t>2025-01 Edited</w:t>
            </w:r>
          </w:p>
        </w:tc>
      </w:tr>
    </w:tbl>
    <w:p w14:paraId="4D864A3A" w14:textId="23A095E6">
      <w:pPr>
        <w:pStyle w:val="IPPHeading1"/>
        <w:ind w:left="0" w:firstLine="0"/>
      </w:pPr>
      <w:r>
        <w:rPr>
          <w:rStyle w:val="PleaseReviewParagraphId"/>
          <w:b w:val="off"/>
          <w:i w:val="off"/>
        </w:rPr>
        <w:t>[21]</w:t>
      </w:r>
      <w:r>
        <w:t>Scope of the treatment</w:t>
      </w:r>
    </w:p>
    <w:p w14:paraId="33DA7095" w14:textId="4356B49B">
      <w:pPr>
        <w:pStyle w:val="IPPParagraphnumbering"/>
        <w:numPr>
          <w:ilvl w:val="0"/>
          <w:numId w:val="0"/>
        </w:numPr>
        <w:rPr>
          <w:lang w:val="en-GB"/>
        </w:rPr>
      </w:pPr>
      <w:r>
        <w:rPr>
          <w:rStyle w:val="PleaseReviewParagraphId"/>
          <w:b w:val="off"/>
          <w:i w:val="off"/>
        </w:rPr>
        <w:t>[22]</w:t>
      </w:r>
      <w:bookmarkStart w:name="_Hlk159399758" w:id="2"/>
      <w:r>
        <w:rPr>
          <w:szCs w:val="22"/>
        </w:rPr>
        <w:t xml:space="preserve">This treatment describes irradiation of fruits, vegetables and ornamental plants at 183 Gy minimum absorbed dose to prevent the hatching of eggs from </w:t>
      </w:r>
      <w:r>
        <w:rPr>
          <w:i/>
          <w:szCs w:val="22"/>
        </w:rPr>
        <w:t>Pseudococcus baliteus</w:t>
      </w:r>
      <w:r>
        <w:rPr>
          <w:szCs w:val="22"/>
        </w:rPr>
        <w:t xml:space="preserve"> at the stated efficacy</w:t>
      </w:r>
      <w:bookmarkEnd w:id="2"/>
      <w:r>
        <w:rPr>
          <w:szCs w:val="22"/>
        </w:rPr>
        <w:t>.</w:t>
      </w:r>
      <w:r>
        <w:rPr>
          <w:rStyle w:val="FootnoteReference"/>
        </w:rPr>
        <w:footnoteReference w:id="1"/>
      </w:r>
      <w:r>
        <w:rPr>
          <w:szCs w:val="22"/>
        </w:rPr>
        <w:t xml:space="preserve"> </w:t>
      </w:r>
    </w:p>
    <w:p w14:paraId="5E1DD1FA" w14:textId="4552F3F0">
      <w:pPr>
        <w:pStyle w:val="IPPHeading1"/>
        <w:rPr>
          <w:lang w:eastAsia="en-AU"/>
        </w:rPr>
      </w:pPr>
      <w:r>
        <w:rPr>
          <w:rStyle w:val="PleaseReviewParagraphId"/>
          <w:b w:val="off"/>
          <w:i w:val="off"/>
        </w:rPr>
        <w:t>[24]</w:t>
      </w:r>
      <w:r>
        <w:rPr>
          <w:lang w:eastAsia="en-AU"/>
        </w:rPr>
        <w:t>Treatment description</w:t>
      </w:r>
    </w:p>
    <w:p w14:paraId="390D5975" w14:textId="557D124A">
      <w:pPr>
        <w:pStyle w:val="IPPParagraphnumbering"/>
        <w:numPr>
          <w:ilvl w:val="0"/>
          <w:numId w:val="0"/>
        </w:numPr>
        <w:tabs>
          <w:tab w:val="left" w:pos="2552"/>
        </w:tabs>
        <w:rPr>
          <w:lang w:val="en-GB" w:eastAsia="en-AU"/>
        </w:rPr>
      </w:pPr>
      <w:r>
        <w:rPr>
          <w:rStyle w:val="PleaseReviewParagraphId"/>
          <w:b w:val="off"/>
          <w:i w:val="off"/>
        </w:rPr>
        <w:t>[25]</w:t>
      </w:r>
      <w:r>
        <w:rPr>
          <w:b/>
          <w:lang w:val="en-GB" w:eastAsia="en-AU"/>
        </w:rPr>
        <w:t>Name of treatment</w:t>
      </w:r>
      <w:r>
        <w:rPr>
          <w:lang w:val="en-GB" w:eastAsia="en-AU"/>
        </w:rPr>
        <w:tab/>
        <w:t xml:space="preserve">Irradiation treatment for </w:t>
      </w:r>
      <w:r>
        <w:rPr>
          <w:i/>
          <w:iCs/>
          <w:szCs w:val="18"/>
          <w:lang w:val="en-GB"/>
        </w:rPr>
        <w:t>Pseudococcus baliteus</w:t>
      </w:r>
    </w:p>
    <w:p w14:paraId="502DBE16" w14:textId="724127A0">
      <w:pPr>
        <w:pStyle w:val="IPPParagraphnumbering"/>
        <w:numPr>
          <w:ilvl w:val="0"/>
          <w:numId w:val="0"/>
        </w:numPr>
        <w:tabs>
          <w:tab w:val="left" w:pos="2552"/>
        </w:tabs>
        <w:rPr>
          <w:i/>
          <w:color w:val="4472C4"/>
          <w:lang w:val="en-GB" w:eastAsia="en-AU"/>
        </w:rPr>
      </w:pPr>
      <w:r>
        <w:rPr>
          <w:rStyle w:val="PleaseReviewParagraphId"/>
          <w:b w:val="off"/>
          <w:i w:val="off"/>
        </w:rPr>
        <w:t>[26]</w:t>
      </w:r>
      <w:r>
        <w:rPr>
          <w:b/>
          <w:lang w:val="en-GB" w:eastAsia="en-AU"/>
        </w:rPr>
        <w:t>Active ingredient</w:t>
      </w:r>
      <w:r>
        <w:rPr>
          <w:lang w:val="en-GB" w:eastAsia="en-AU"/>
        </w:rPr>
        <w:tab/>
        <w:t>n/a</w:t>
      </w:r>
    </w:p>
    <w:p w14:paraId="05E23101" w14:textId="69FE11F0">
      <w:pPr>
        <w:pStyle w:val="IPPParagraphnumbering"/>
        <w:numPr>
          <w:ilvl w:val="0"/>
          <w:numId w:val="0"/>
        </w:numPr>
        <w:tabs>
          <w:tab w:val="left" w:pos="2552"/>
        </w:tabs>
        <w:rPr>
          <w:lang w:val="en-GB"/>
        </w:rPr>
      </w:pPr>
      <w:r>
        <w:rPr>
          <w:rStyle w:val="PleaseReviewParagraphId"/>
          <w:b w:val="off"/>
          <w:i w:val="off"/>
        </w:rPr>
        <w:t>[27]</w:t>
      </w:r>
      <w:r>
        <w:rPr>
          <w:b/>
          <w:lang w:val="en-GB"/>
        </w:rPr>
        <w:t>Treatment type</w:t>
      </w:r>
      <w:r>
        <w:rPr>
          <w:lang w:val="en-GB"/>
        </w:rPr>
        <w:tab/>
        <w:t>Irradiation</w:t>
      </w:r>
    </w:p>
    <w:p w14:paraId="517EB320" w14:textId="7631F109">
      <w:pPr>
        <w:pStyle w:val="IPPParagraphnumbering"/>
        <w:numPr>
          <w:ilvl w:val="0"/>
          <w:numId w:val="0"/>
        </w:numPr>
        <w:tabs>
          <w:tab w:val="left" w:pos="2552"/>
        </w:tabs>
        <w:rPr>
          <w:lang w:val="en-GB"/>
        </w:rPr>
      </w:pPr>
      <w:r>
        <w:rPr>
          <w:rStyle w:val="PleaseReviewParagraphId"/>
          <w:b w:val="off"/>
          <w:i w:val="off"/>
        </w:rPr>
        <w:t>[28]</w:t>
      </w:r>
      <w:r>
        <w:rPr>
          <w:b/>
          <w:lang w:val="en-GB"/>
        </w:rPr>
        <w:t>Target pest</w:t>
      </w:r>
      <w:r>
        <w:rPr>
          <w:lang w:val="en-GB"/>
        </w:rPr>
        <w:tab/>
      </w:r>
      <w:r>
        <w:rPr>
          <w:i/>
          <w:iCs/>
          <w:szCs w:val="18"/>
          <w:lang w:val="en-GB"/>
        </w:rPr>
        <w:t>Pseudococcus baliteus</w:t>
      </w:r>
      <w:r>
        <w:rPr>
          <w:szCs w:val="18"/>
          <w:lang w:val="en-GB"/>
        </w:rPr>
        <w:t xml:space="preserve"> Lit, 1994 (Hemiptera: Pseudococcidae)</w:t>
      </w:r>
    </w:p>
    <w:p w14:paraId="04AAC292" w14:textId="3490C7F9">
      <w:pPr>
        <w:pStyle w:val="IPPParagraphnumbering"/>
        <w:numPr>
          <w:ilvl w:val="0"/>
          <w:numId w:val="0"/>
        </w:numPr>
        <w:rPr>
          <w:lang w:val="en-GB" w:eastAsia="en-AU"/>
        </w:rPr>
      </w:pPr>
      <w:r>
        <w:rPr>
          <w:rStyle w:val="PleaseReviewParagraphId"/>
          <w:b w:val="off"/>
          <w:i w:val="off"/>
        </w:rPr>
        <w:t>[29]</w:t>
      </w:r>
      <w:r>
        <w:rPr>
          <w:b/>
          <w:lang w:val="en-GB" w:eastAsia="en-AU"/>
        </w:rPr>
        <w:t>Target regulated articles</w:t>
      </w:r>
      <w:r>
        <w:rPr>
          <w:lang w:val="en-GB" w:eastAsia="en-AU"/>
        </w:rPr>
        <w:tab/>
        <w:t xml:space="preserve">All fruits, vegetables </w:t>
      </w:r>
      <w:r>
        <w:rPr>
          <w:rFonts w:hint="eastAsia"/>
          <w:szCs w:val="18"/>
        </w:rPr>
        <w:t xml:space="preserve">and ornamental plants </w:t>
      </w:r>
      <w:r>
        <w:rPr>
          <w:lang w:val="en-GB" w:eastAsia="en-AU"/>
        </w:rPr>
        <w:t xml:space="preserve">that are hosts of </w:t>
      </w:r>
      <w:r>
        <w:rPr>
          <w:i/>
          <w:iCs/>
          <w:szCs w:val="18"/>
          <w:lang w:val="en-GB"/>
        </w:rPr>
        <w:t>Pseudococcus baliteus</w:t>
      </w:r>
    </w:p>
    <w:p w14:paraId="25F71CC1" w14:textId="379B9971">
      <w:pPr>
        <w:pStyle w:val="IPPHeading1"/>
        <w:rPr>
          <w:lang w:eastAsia="en-AU"/>
        </w:rPr>
      </w:pPr>
      <w:r>
        <w:rPr>
          <w:rStyle w:val="PleaseReviewParagraphId"/>
          <w:b w:val="off"/>
          <w:i w:val="off"/>
        </w:rPr>
        <w:t>[30]</w:t>
      </w:r>
      <w:r>
        <w:rPr>
          <w:lang w:eastAsia="en-AU"/>
        </w:rPr>
        <w:t>Treatment schedule</w:t>
      </w:r>
    </w:p>
    <w:p w14:paraId="1416D70E" w14:textId="09431172">
      <w:pPr>
        <w:pStyle w:val="IPPParagraphnumbering"/>
        <w:numPr>
          <w:ilvl w:val="0"/>
          <w:numId w:val="0"/>
        </w:numPr>
        <w:rPr>
          <w:szCs w:val="22"/>
          <w:lang w:val="en-GB"/>
        </w:rPr>
      </w:pPr>
      <w:r>
        <w:rPr>
          <w:rStyle w:val="PleaseReviewParagraphId"/>
          <w:b w:val="off"/>
          <w:i w:val="off"/>
        </w:rPr>
        <w:t>[31]</w:t>
      </w:r>
      <w:bookmarkStart w:name="_Hlk159399723" w:id="3"/>
      <w:r>
        <w:rPr>
          <w:szCs w:val="22"/>
        </w:rPr>
        <w:t xml:space="preserve">Minimum absorbed dose of 183 Gy to prevent the hatching of eggs from </w:t>
      </w:r>
      <w:r>
        <w:rPr>
          <w:i/>
          <w:szCs w:val="22"/>
        </w:rPr>
        <w:t>Pseudococcus baliteus</w:t>
      </w:r>
      <w:r>
        <w:rPr>
          <w:szCs w:val="22"/>
        </w:rPr>
        <w:t>.</w:t>
      </w:r>
    </w:p>
    <w:bookmarkEnd w:id="3"/>
    <w:p w14:paraId="4B44FDBD" w14:textId="3C00ED56">
      <w:pPr>
        <w:pStyle w:val="IPPParagraphnumbering"/>
        <w:numPr>
          <w:ilvl w:val="0"/>
          <w:numId w:val="0"/>
        </w:numPr>
        <w:rPr>
          <w:szCs w:val="22"/>
          <w:lang w:val="en-GB"/>
        </w:rPr>
      </w:pPr>
      <w:r>
        <w:rPr>
          <w:rStyle w:val="PleaseReviewParagraphId"/>
          <w:b w:val="off"/>
          <w:i w:val="off"/>
        </w:rPr>
        <w:t>[32]</w:t>
      </w:r>
      <w:r>
        <w:rPr>
          <w:lang w:val="en-GB"/>
        </w:rPr>
        <w:t xml:space="preserve">There is 95% confidence that the treatment according to this schedule prevents the hatching of eggs from not less than 99.9937% of all life stages of </w:t>
      </w:r>
      <w:r>
        <w:rPr>
          <w:i/>
          <w:iCs/>
          <w:lang w:val="en-GB"/>
        </w:rPr>
        <w:t>Pseudococcus baliteus</w:t>
      </w:r>
      <w:r>
        <w:rPr>
          <w:lang w:val="en-GB"/>
        </w:rPr>
        <w:t>.</w:t>
      </w:r>
    </w:p>
    <w:p w14:paraId="30C72AB5" w14:textId="46108290">
      <w:pPr>
        <w:pStyle w:val="IPPParagraphnumbering"/>
        <w:numPr>
          <w:ilvl w:val="0"/>
          <w:numId w:val="0"/>
        </w:numPr>
        <w:rPr>
          <w:rFonts w:eastAsia="Times New Roman"/>
          <w:lang w:val="en-GB" w:eastAsia="en-AU"/>
        </w:rPr>
      </w:pPr>
      <w:r>
        <w:rPr>
          <w:rStyle w:val="PleaseReviewParagraphId"/>
          <w:b w:val="off"/>
          <w:i w:val="off"/>
        </w:rPr>
        <w:t>[33]</w:t>
      </w:r>
      <w:r>
        <w:rPr>
          <w:rFonts w:eastAsia="Times New Roman"/>
          <w:lang w:val="en-GB" w:eastAsia="en-AU"/>
        </w:rPr>
        <w:lastRenderedPageBreak/>
        <w:t>This treatment should be applied in accordance with the requirements of ISPM 18</w:t>
      </w:r>
      <w:r>
        <w:rPr>
          <w:lang w:val="en-GB"/>
        </w:rPr>
        <w:t xml:space="preserve"> (</w:t>
      </w:r>
      <w:r>
        <w:rPr>
          <w:i/>
          <w:lang w:val="en-GB"/>
        </w:rPr>
        <w:t>Requirements for the use of irradiation as a phytosanitary measure</w:t>
      </w:r>
      <w:r>
        <w:rPr>
          <w:lang w:val="en-GB"/>
        </w:rPr>
        <w:t>).</w:t>
      </w:r>
    </w:p>
    <w:p w14:paraId="63BE1C92" w14:textId="391F3F20">
      <w:pPr>
        <w:pStyle w:val="IPPParagraphnumbering"/>
        <w:numPr>
          <w:ilvl w:val="0"/>
          <w:numId w:val="0"/>
        </w:numPr>
        <w:rPr>
          <w:rFonts w:eastAsiaTheme="minorHAnsi"/>
          <w:szCs w:val="22"/>
          <w:lang w:val="en-GB" w:eastAsia="en-AU"/>
        </w:rPr>
      </w:pPr>
      <w:r>
        <w:rPr>
          <w:rStyle w:val="PleaseReviewParagraphId"/>
          <w:b w:val="off"/>
          <w:i w:val="off"/>
        </w:rPr>
        <w:t>[34]</w:t>
      </w:r>
      <w:r>
        <w:rPr>
          <w:lang w:val="en-GB" w:eastAsia="en-AU"/>
        </w:rPr>
        <w:t xml:space="preserve">This treatment should not be applied to hosts stored in a modified atmosphere </w:t>
      </w:r>
      <w:r>
        <w:rPr>
          <w:lang w:val="en-GB"/>
        </w:rPr>
        <w:t>because the modified atmosphere may affect the treatment efficacy</w:t>
      </w:r>
      <w:r>
        <w:rPr>
          <w:lang w:val="en-GB" w:eastAsia="en-AU"/>
        </w:rPr>
        <w:t>.</w:t>
      </w:r>
    </w:p>
    <w:p w14:paraId="0F5AFD6F" w14:textId="2AC55560">
      <w:pPr>
        <w:pStyle w:val="IPPHeading1"/>
        <w:rPr>
          <w:lang w:eastAsia="en-AU"/>
        </w:rPr>
      </w:pPr>
      <w:r>
        <w:rPr>
          <w:rStyle w:val="PleaseReviewParagraphId"/>
          <w:b w:val="off"/>
          <w:i w:val="off"/>
        </w:rPr>
        <w:t>[35]</w:t>
      </w:r>
      <w:r>
        <w:rPr>
          <w:lang w:eastAsia="en-AU"/>
        </w:rPr>
        <w:t>Other relevant information</w:t>
      </w:r>
    </w:p>
    <w:p w14:paraId="30B9507C" w14:textId="280F1078">
      <w:pPr>
        <w:pStyle w:val="IPPParagraphnumbering"/>
        <w:numPr>
          <w:ilvl w:val="0"/>
          <w:numId w:val="0"/>
        </w:numPr>
        <w:rPr>
          <w:lang w:val="en-GB" w:eastAsia="en-AU"/>
        </w:rPr>
      </w:pPr>
      <w:r>
        <w:rPr>
          <w:rStyle w:val="PleaseReviewParagraphId"/>
          <w:b w:val="off"/>
          <w:i w:val="off"/>
        </w:rPr>
        <w:t>[36]</w:t>
      </w:r>
      <w:r>
        <w:rPr>
          <w:lang w:val="en-GB" w:eastAsia="en-AU"/>
        </w:rPr>
        <w:t xml:space="preserve">Because irradiation may not result in outright mortality, inspectors may encounter live but non-viable </w:t>
      </w:r>
      <w:r>
        <w:rPr>
          <w:i/>
          <w:iCs/>
          <w:szCs w:val="18"/>
          <w:lang w:val="en-GB"/>
        </w:rPr>
        <w:t>Pseudococcus baliteus</w:t>
      </w:r>
      <w:r>
        <w:rPr>
          <w:lang w:val="en-GB" w:eastAsia="en-AU"/>
        </w:rPr>
        <w:t xml:space="preserve"> life stages during the inspection process. This does not imply a failure of the treatment.</w:t>
      </w:r>
    </w:p>
    <w:p w14:paraId="5051719F" w14:textId="6003E778">
      <w:pPr>
        <w:pStyle w:val="IPPParagraphnumbering"/>
        <w:numPr>
          <w:ilvl w:val="0"/>
          <w:numId w:val="0"/>
        </w:numPr>
        <w:rPr>
          <w:lang w:eastAsia="en-AU"/>
        </w:rPr>
      </w:pPr>
      <w:r>
        <w:rPr>
          <w:rStyle w:val="PleaseReviewParagraphId"/>
          <w:b w:val="off"/>
          <w:i w:val="off"/>
        </w:rPr>
        <w:t>[37]</w:t>
      </w:r>
      <w:r>
        <w:rPr>
          <w:lang w:val="en-GB" w:eastAsia="en-AU"/>
        </w:rPr>
        <w:t xml:space="preserve">The Technical Panel on Phytosanitary Treatments based its evaluation of this treatment on the research reported by Zhao </w:t>
      </w:r>
      <w:r>
        <w:rPr>
          <w:i/>
          <w:iCs/>
          <w:lang w:val="en-GB" w:eastAsia="en-AU"/>
        </w:rPr>
        <w:t>et al.</w:t>
      </w:r>
      <w:r>
        <w:rPr>
          <w:lang w:val="en-GB" w:eastAsia="en-AU"/>
        </w:rPr>
        <w:t xml:space="preserve"> (2023), which determined the efficacy of irradiation as a treatment for </w:t>
      </w:r>
      <w:r>
        <w:rPr>
          <w:i/>
          <w:iCs/>
          <w:szCs w:val="18"/>
          <w:lang w:val="en-GB"/>
        </w:rPr>
        <w:t xml:space="preserve">Pseudococcus baliteus </w:t>
      </w:r>
      <w:r>
        <w:rPr>
          <w:szCs w:val="18"/>
          <w:lang w:val="en-GB"/>
        </w:rPr>
        <w:t xml:space="preserve">on </w:t>
      </w:r>
      <w:r>
        <w:rPr>
          <w:i/>
          <w:iCs/>
          <w:szCs w:val="18"/>
          <w:lang w:val="en-GB"/>
        </w:rPr>
        <w:t>Cucurbita maxima</w:t>
      </w:r>
      <w:r>
        <w:rPr>
          <w:lang w:val="en-GB" w:eastAsia="en-AU"/>
        </w:rPr>
        <w:t xml:space="preserve">.  </w:t>
      </w:r>
      <w:r>
        <w:rPr>
          <w:lang w:eastAsia="en-AU"/>
        </w:rPr>
        <w:t xml:space="preserve">They also considered the information on the effect of irradiation on </w:t>
      </w:r>
      <w:r>
        <w:rPr>
          <w:i/>
          <w:iCs/>
          <w:lang w:eastAsia="en-AU"/>
        </w:rPr>
        <w:t xml:space="preserve">Paracoccus marginatus </w:t>
      </w:r>
      <w:r>
        <w:rPr>
          <w:lang w:eastAsia="en-AU"/>
        </w:rPr>
        <w:t xml:space="preserve">in Seth </w:t>
      </w:r>
      <w:r>
        <w:rPr>
          <w:i/>
          <w:iCs/>
          <w:lang w:eastAsia="en-AU"/>
        </w:rPr>
        <w:t xml:space="preserve">et al. </w:t>
      </w:r>
      <w:r>
        <w:rPr>
          <w:lang w:eastAsia="en-AU"/>
        </w:rPr>
        <w:t>(2016).</w:t>
      </w:r>
    </w:p>
    <w:p w14:paraId="5F80D307" w14:textId="7E99AF47">
      <w:pPr>
        <w:pStyle w:val="IPPParagraphnumbering"/>
        <w:numPr>
          <w:ilvl w:val="0"/>
          <w:numId w:val="0"/>
        </w:numPr>
        <w:rPr>
          <w:lang w:val="en-GB" w:eastAsia="en-AU"/>
        </w:rPr>
      </w:pPr>
      <w:r>
        <w:rPr>
          <w:rStyle w:val="PleaseReviewParagraphId"/>
          <w:b w:val="off"/>
          <w:i w:val="off"/>
        </w:rPr>
        <w:t>[38]</w:t>
      </w:r>
      <w:r>
        <w:rPr>
          <w:lang w:val="en-GB" w:eastAsia="en-AU"/>
        </w:rPr>
        <w:t>The efficacy of this schedule was calculated based on a total of 47 316 gravid females treated with no egg hatching; the control egg hatching was 98.17% in all confirmatory trials conducted.</w:t>
      </w:r>
    </w:p>
    <w:p w14:paraId="6C2C8D74" w14:textId="1E8203DD">
      <w:pPr>
        <w:pStyle w:val="IPPParagraphnumbering"/>
        <w:numPr>
          <w:ilvl w:val="0"/>
          <w:numId w:val="0"/>
        </w:numPr>
        <w:rPr>
          <w:szCs w:val="22"/>
          <w:lang w:val="en-NZ"/>
        </w:rPr>
      </w:pPr>
      <w:r>
        <w:rPr>
          <w:rStyle w:val="PleaseReviewParagraphId"/>
          <w:b w:val="off"/>
          <w:i w:val="off"/>
        </w:rPr>
        <w:t>[39]</w:t>
      </w:r>
      <w:r>
        <w:rPr>
          <w:szCs w:val="22"/>
        </w:rPr>
        <w:t xml:space="preserve">Extrapolation of treatment efficacy to all hosts was based on knowledge and experience that ionizing radiation dosimetry systems measure the actual radiation dose absorbed by the target pest independent of host commodity, and evidence from research studies on a variety of pests and commodities. These include studies on the following pests and hosts: </w:t>
      </w:r>
      <w:r>
        <w:rPr>
          <w:i/>
          <w:iCs/>
          <w:szCs w:val="22"/>
        </w:rPr>
        <w:t xml:space="preserve">Anastrepha fraterculus </w:t>
      </w:r>
      <w:r>
        <w:rPr>
          <w:szCs w:val="22"/>
        </w:rPr>
        <w:t>(</w:t>
      </w:r>
      <w:r>
        <w:rPr>
          <w:i/>
          <w:iCs/>
          <w:szCs w:val="22"/>
        </w:rPr>
        <w:t>Eugenia pyriformis</w:t>
      </w:r>
      <w:r>
        <w:rPr>
          <w:szCs w:val="22"/>
        </w:rPr>
        <w:t xml:space="preserve">, </w:t>
      </w:r>
      <w:r>
        <w:rPr>
          <w:i/>
          <w:iCs/>
          <w:szCs w:val="22"/>
        </w:rPr>
        <w:t xml:space="preserve">Malus pumila </w:t>
      </w:r>
      <w:r>
        <w:rPr>
          <w:szCs w:val="22"/>
        </w:rPr>
        <w:t xml:space="preserve">and </w:t>
      </w:r>
      <w:r>
        <w:rPr>
          <w:i/>
          <w:iCs/>
          <w:szCs w:val="22"/>
        </w:rPr>
        <w:t>Mangifera indica</w:t>
      </w:r>
      <w:r>
        <w:rPr>
          <w:szCs w:val="22"/>
        </w:rPr>
        <w:t xml:space="preserve">), </w:t>
      </w:r>
      <w:r>
        <w:rPr>
          <w:i/>
          <w:iCs/>
          <w:szCs w:val="22"/>
        </w:rPr>
        <w:t xml:space="preserve">Anastrepha ludens </w:t>
      </w:r>
      <w:r>
        <w:rPr>
          <w:szCs w:val="22"/>
        </w:rPr>
        <w:t>(</w:t>
      </w:r>
      <w:r>
        <w:rPr>
          <w:i/>
          <w:iCs/>
          <w:szCs w:val="22"/>
        </w:rPr>
        <w:t>Citrus paradisi</w:t>
      </w:r>
      <w:r>
        <w:rPr>
          <w:szCs w:val="22"/>
        </w:rPr>
        <w:t xml:space="preserve">, </w:t>
      </w:r>
      <w:r>
        <w:rPr>
          <w:i/>
          <w:iCs/>
          <w:szCs w:val="22"/>
        </w:rPr>
        <w:t>Citrus sinensis</w:t>
      </w:r>
      <w:r>
        <w:rPr>
          <w:szCs w:val="22"/>
        </w:rPr>
        <w:t xml:space="preserve">, </w:t>
      </w:r>
      <w:r>
        <w:rPr>
          <w:i/>
          <w:iCs/>
          <w:szCs w:val="22"/>
        </w:rPr>
        <w:t xml:space="preserve">Mangifera indica </w:t>
      </w:r>
      <w:r>
        <w:rPr>
          <w:szCs w:val="22"/>
        </w:rPr>
        <w:t xml:space="preserve">and artificial diet), </w:t>
      </w:r>
      <w:r>
        <w:rPr>
          <w:i/>
          <w:iCs/>
          <w:szCs w:val="22"/>
        </w:rPr>
        <w:t xml:space="preserve">Anastrepha obliqua </w:t>
      </w:r>
      <w:r>
        <w:rPr>
          <w:szCs w:val="22"/>
        </w:rPr>
        <w:t>(</w:t>
      </w:r>
      <w:r>
        <w:rPr>
          <w:i/>
          <w:iCs/>
          <w:szCs w:val="22"/>
        </w:rPr>
        <w:t>Averrhoa carambola</w:t>
      </w:r>
      <w:r>
        <w:rPr>
          <w:szCs w:val="22"/>
        </w:rPr>
        <w:t xml:space="preserve">, </w:t>
      </w:r>
      <w:r>
        <w:rPr>
          <w:i/>
          <w:iCs/>
          <w:szCs w:val="22"/>
        </w:rPr>
        <w:t xml:space="preserve">Citrus sinensis </w:t>
      </w:r>
      <w:r>
        <w:rPr>
          <w:szCs w:val="22"/>
        </w:rPr>
        <w:t xml:space="preserve">and </w:t>
      </w:r>
      <w:r>
        <w:rPr>
          <w:i/>
          <w:iCs/>
          <w:szCs w:val="22"/>
        </w:rPr>
        <w:t>Psidium guajava</w:t>
      </w:r>
      <w:r>
        <w:rPr>
          <w:szCs w:val="22"/>
        </w:rPr>
        <w:t xml:space="preserve">), </w:t>
      </w:r>
      <w:r>
        <w:rPr>
          <w:i/>
          <w:iCs/>
          <w:szCs w:val="22"/>
        </w:rPr>
        <w:t xml:space="preserve">Anastrepha suspensa </w:t>
      </w:r>
      <w:r>
        <w:rPr>
          <w:szCs w:val="22"/>
        </w:rPr>
        <w:t>(</w:t>
      </w:r>
      <w:r>
        <w:rPr>
          <w:i/>
          <w:iCs/>
          <w:szCs w:val="22"/>
        </w:rPr>
        <w:t>Averrhoa carambola</w:t>
      </w:r>
      <w:r>
        <w:rPr>
          <w:szCs w:val="22"/>
        </w:rPr>
        <w:t xml:space="preserve">, </w:t>
      </w:r>
      <w:r>
        <w:rPr>
          <w:i/>
          <w:iCs/>
          <w:szCs w:val="22"/>
        </w:rPr>
        <w:t xml:space="preserve">Citrus paradisi </w:t>
      </w:r>
      <w:r>
        <w:rPr>
          <w:szCs w:val="22"/>
        </w:rPr>
        <w:t xml:space="preserve">and </w:t>
      </w:r>
      <w:r>
        <w:rPr>
          <w:i/>
          <w:iCs/>
          <w:szCs w:val="22"/>
        </w:rPr>
        <w:t>Mangifera indica</w:t>
      </w:r>
      <w:r>
        <w:rPr>
          <w:szCs w:val="22"/>
        </w:rPr>
        <w:t xml:space="preserve">), </w:t>
      </w:r>
      <w:r>
        <w:rPr>
          <w:i/>
          <w:iCs/>
          <w:szCs w:val="22"/>
        </w:rPr>
        <w:t xml:space="preserve">Bactrocera tryoni </w:t>
      </w:r>
      <w:r>
        <w:rPr>
          <w:szCs w:val="22"/>
        </w:rPr>
        <w:t>(</w:t>
      </w:r>
      <w:r>
        <w:rPr>
          <w:i/>
          <w:iCs/>
          <w:szCs w:val="22"/>
        </w:rPr>
        <w:t>Citrus sinensis</w:t>
      </w:r>
      <w:r>
        <w:rPr>
          <w:szCs w:val="22"/>
        </w:rPr>
        <w:t xml:space="preserve">, </w:t>
      </w:r>
      <w:r>
        <w:rPr>
          <w:i/>
          <w:iCs/>
          <w:szCs w:val="22"/>
        </w:rPr>
        <w:t>Solanum lycopersicum</w:t>
      </w:r>
      <w:r>
        <w:rPr>
          <w:szCs w:val="22"/>
        </w:rPr>
        <w:t xml:space="preserve">, </w:t>
      </w:r>
      <w:r>
        <w:rPr>
          <w:i/>
          <w:iCs/>
          <w:szCs w:val="22"/>
        </w:rPr>
        <w:t>Malus pumila</w:t>
      </w:r>
      <w:r>
        <w:rPr>
          <w:szCs w:val="22"/>
        </w:rPr>
        <w:t xml:space="preserve">, </w:t>
      </w:r>
      <w:r>
        <w:rPr>
          <w:i/>
          <w:iCs/>
          <w:szCs w:val="22"/>
        </w:rPr>
        <w:t>Mangifera indica</w:t>
      </w:r>
      <w:r>
        <w:rPr>
          <w:szCs w:val="22"/>
        </w:rPr>
        <w:t xml:space="preserve">, </w:t>
      </w:r>
      <w:r>
        <w:rPr>
          <w:i/>
          <w:iCs/>
          <w:szCs w:val="22"/>
        </w:rPr>
        <w:t xml:space="preserve">Persea americana </w:t>
      </w:r>
      <w:r>
        <w:rPr>
          <w:szCs w:val="22"/>
        </w:rPr>
        <w:t xml:space="preserve">and </w:t>
      </w:r>
      <w:r>
        <w:rPr>
          <w:i/>
          <w:iCs/>
          <w:szCs w:val="22"/>
        </w:rPr>
        <w:t>Prunus avium</w:t>
      </w:r>
      <w:r>
        <w:rPr>
          <w:szCs w:val="22"/>
        </w:rPr>
        <w:t xml:space="preserve">), </w:t>
      </w:r>
      <w:r>
        <w:rPr>
          <w:i/>
          <w:iCs/>
          <w:szCs w:val="22"/>
        </w:rPr>
        <w:t xml:space="preserve">Cydia pomonella </w:t>
      </w:r>
      <w:r>
        <w:rPr>
          <w:szCs w:val="22"/>
        </w:rPr>
        <w:t>(</w:t>
      </w:r>
      <w:r>
        <w:rPr>
          <w:i/>
          <w:iCs/>
          <w:szCs w:val="22"/>
        </w:rPr>
        <w:t xml:space="preserve">Malus pumila </w:t>
      </w:r>
      <w:r>
        <w:rPr>
          <w:szCs w:val="22"/>
        </w:rPr>
        <w:t xml:space="preserve">and artificial diet), </w:t>
      </w:r>
      <w:r>
        <w:rPr>
          <w:i/>
          <w:iCs/>
          <w:szCs w:val="22"/>
        </w:rPr>
        <w:t xml:space="preserve">Grapholita molesta </w:t>
      </w:r>
      <w:r>
        <w:rPr>
          <w:szCs w:val="22"/>
        </w:rPr>
        <w:t>(</w:t>
      </w:r>
      <w:r>
        <w:rPr>
          <w:i/>
          <w:iCs/>
          <w:szCs w:val="22"/>
        </w:rPr>
        <w:t xml:space="preserve">Malus pumila </w:t>
      </w:r>
      <w:r>
        <w:rPr>
          <w:szCs w:val="22"/>
        </w:rPr>
        <w:t xml:space="preserve">and artificial diet), </w:t>
      </w:r>
      <w:r>
        <w:rPr>
          <w:i/>
          <w:iCs/>
          <w:szCs w:val="22"/>
        </w:rPr>
        <w:t xml:space="preserve">Pseudococcus jackbeardsleyi </w:t>
      </w:r>
      <w:r>
        <w:rPr>
          <w:szCs w:val="22"/>
        </w:rPr>
        <w:t>(</w:t>
      </w:r>
      <w:r>
        <w:rPr>
          <w:i/>
          <w:iCs/>
          <w:szCs w:val="22"/>
        </w:rPr>
        <w:t xml:space="preserve">Cucurbita </w:t>
      </w:r>
      <w:r>
        <w:rPr>
          <w:szCs w:val="22"/>
        </w:rPr>
        <w:t xml:space="preserve">sp. and </w:t>
      </w:r>
      <w:r>
        <w:rPr>
          <w:i/>
          <w:iCs/>
          <w:szCs w:val="22"/>
        </w:rPr>
        <w:t>Solanum tuberosum</w:t>
      </w:r>
      <w:r>
        <w:rPr>
          <w:szCs w:val="22"/>
        </w:rPr>
        <w:t xml:space="preserve">) and </w:t>
      </w:r>
      <w:r>
        <w:rPr>
          <w:i/>
          <w:iCs/>
          <w:szCs w:val="22"/>
        </w:rPr>
        <w:t xml:space="preserve">Tribolium confusum </w:t>
      </w:r>
      <w:r>
        <w:rPr>
          <w:szCs w:val="22"/>
        </w:rPr>
        <w:t>(</w:t>
      </w:r>
      <w:r>
        <w:rPr>
          <w:i/>
          <w:iCs/>
          <w:szCs w:val="22"/>
        </w:rPr>
        <w:t xml:space="preserve">Triticum aestivum, Hordeum vulgare </w:t>
      </w:r>
      <w:r>
        <w:rPr>
          <w:szCs w:val="22"/>
        </w:rPr>
        <w:t xml:space="preserve">and </w:t>
      </w:r>
      <w:r>
        <w:rPr>
          <w:i/>
          <w:iCs/>
          <w:szCs w:val="22"/>
        </w:rPr>
        <w:t>Zea mays</w:t>
      </w:r>
      <w:r>
        <w:rPr>
          <w:szCs w:val="22"/>
        </w:rPr>
        <w:t xml:space="preserve">)  (Bustos </w:t>
      </w:r>
      <w:r>
        <w:rPr>
          <w:i/>
          <w:szCs w:val="22"/>
        </w:rPr>
        <w:t>et al.</w:t>
      </w:r>
      <w:r>
        <w:rPr>
          <w:szCs w:val="22"/>
        </w:rPr>
        <w:t xml:space="preserve">, 2004; Gould and von Windeguth, 1991; Hallman, 2004a, 2004b, 2013; Hallman and Martinez, 2001; Hallman </w:t>
      </w:r>
      <w:r>
        <w:rPr>
          <w:i/>
          <w:szCs w:val="22"/>
        </w:rPr>
        <w:t>et al.</w:t>
      </w:r>
      <w:r>
        <w:rPr>
          <w:szCs w:val="22"/>
        </w:rPr>
        <w:t xml:space="preserve">, 2010; Jessup </w:t>
      </w:r>
      <w:r>
        <w:rPr>
          <w:i/>
          <w:szCs w:val="22"/>
        </w:rPr>
        <w:t>et al.</w:t>
      </w:r>
      <w:r>
        <w:rPr>
          <w:szCs w:val="22"/>
        </w:rPr>
        <w:t>, 1992; Mansour, 2003; Tun</w:t>
      </w:r>
      <w:bookmarkStart w:name="_Hlk57369589" w:id="4"/>
      <w:r>
        <w:rPr>
          <w:szCs w:val="22"/>
        </w:rPr>
        <w:t>ç</w:t>
      </w:r>
      <w:bookmarkEnd w:id="4"/>
      <w:r>
        <w:rPr>
          <w:szCs w:val="22"/>
        </w:rPr>
        <w:t xml:space="preserve">bilek and Kansu, 1996; von Windeguth, 1986; von Windeguth and Ismail, 1987; Zhan </w:t>
      </w:r>
      <w:r>
        <w:rPr>
          <w:i/>
          <w:szCs w:val="22"/>
        </w:rPr>
        <w:t>et al</w:t>
      </w:r>
      <w:r>
        <w:rPr>
          <w:szCs w:val="22"/>
        </w:rPr>
        <w:t xml:space="preserve">., 2016). It is recognized, however, that treatment efficacy has not been tested for all potential hosts of the target pest. If evidence becomes available to show that the extrapolation of the treatment to cover all hosts of this pest is incorrect, the treatment will be reviewed. </w:t>
      </w:r>
      <w:r>
        <w:rPr>
          <w:szCs w:val="22"/>
          <w:lang w:val="en-NZ"/>
        </w:rPr>
        <w:t xml:space="preserve">There is no consistent information stating that the exposure time effects treatment outcomes for </w:t>
      </w:r>
      <w:r>
        <w:rPr>
          <w:szCs w:val="22"/>
        </w:rPr>
        <w:t>ionizing radiation</w:t>
      </w:r>
      <w:r>
        <w:rPr>
          <w:szCs w:val="22"/>
          <w:lang w:val="en-NZ"/>
        </w:rPr>
        <w:t xml:space="preserve"> phytosanitary treatments. </w:t>
      </w:r>
    </w:p>
    <w:p w14:paraId="043B9A26" w14:textId="4FEA6657">
      <w:pPr>
        <w:pStyle w:val="IPPHeading2"/>
      </w:pPr>
      <w:r>
        <w:rPr>
          <w:rStyle w:val="PleaseReviewParagraphId"/>
          <w:b w:val="off"/>
          <w:i w:val="off"/>
        </w:rPr>
        <w:t>[40]</w:t>
      </w:r>
      <w:r>
        <w:t>Potential implementation issues</w:t>
      </w:r>
    </w:p>
    <w:p w14:paraId="7D9552C8" w14:textId="5A88348F">
      <w:pPr>
        <w:pStyle w:val="IPPBullet1Last"/>
        <w:numPr>
          <w:ilvl w:val="0"/>
          <w:numId w:val="0"/>
        </w:numPr>
        <w:rPr>
          <w:lang w:eastAsia="ar-SA"/>
        </w:rPr>
      </w:pPr>
      <w:r>
        <w:rPr>
          <w:rStyle w:val="PleaseReviewParagraphId"/>
          <w:b w:val="off"/>
          <w:i w:val="off"/>
        </w:rPr>
        <w:t>[41]</w:t>
      </w:r>
      <w:r>
        <w:rPr>
          <w:lang w:eastAsia="ar-SA"/>
        </w:rPr>
        <w:t>This section is not part of the standard. The Standards Committee in May 2016 requested the Secretariat to gather information on any potential implementation issues related to this draft. Please provide details and proposals on how to address these potential implementation issues.</w:t>
      </w:r>
    </w:p>
    <w:p w14:paraId="6495BE96" w14:textId="495A3AE6">
      <w:pPr>
        <w:pStyle w:val="IPPHeading1"/>
      </w:pPr>
      <w:r>
        <w:rPr>
          <w:rStyle w:val="PleaseReviewParagraphId"/>
          <w:b w:val="off"/>
          <w:i w:val="off"/>
        </w:rPr>
        <w:t>[42]</w:t>
      </w:r>
      <w:r>
        <w:t>References</w:t>
      </w:r>
    </w:p>
    <w:p w14:paraId="5FBD6B1D" w14:textId="2F307ECF">
      <w:pPr>
        <w:pStyle w:val="IPPParagraphnumbering"/>
        <w:numPr>
          <w:ilvl w:val="0"/>
          <w:numId w:val="0"/>
        </w:numPr>
        <w:rPr>
          <w:lang w:val="en-GB"/>
        </w:rPr>
      </w:pPr>
      <w:r>
        <w:rPr>
          <w:rStyle w:val="PleaseReviewParagraphId"/>
          <w:b w:val="off"/>
          <w:i w:val="off"/>
        </w:rPr>
        <w:t>[43]</w:t>
      </w:r>
      <w:r>
        <w:rPr>
          <w:lang w:val="en-GB"/>
        </w:rPr>
        <w:t>The present annex may refer to ISPMs. ISPMs are available on the International Phytosanitary Portal (IPP) at </w:t>
      </w:r>
      <w:hyperlink w:history="1" r:id="rId11">
        <w:r>
          <w:rPr>
            <w:rStyle w:val="Hyperlink"/>
            <w:lang w:val="en-GB"/>
          </w:rPr>
          <w:t>www.ippc.int/core-activities/standards-setting/ispms</w:t>
        </w:r>
      </w:hyperlink>
      <w:r>
        <w:rPr>
          <w:lang w:val="en-GB"/>
        </w:rPr>
        <w:t>.</w:t>
      </w:r>
    </w:p>
    <w:bookmarkEnd w:id="0"/>
    <w:p w14:paraId="00C32396" w14:textId="373EEDC1">
      <w:pPr>
        <w:pStyle w:val="IPPReferences"/>
      </w:pPr>
      <w:r>
        <w:rPr>
          <w:rStyle w:val="PleaseReviewParagraphId"/>
          <w:b w:val="off"/>
          <w:i w:val="off"/>
        </w:rPr>
        <w:t>[44]</w:t>
      </w:r>
      <w:r>
        <w:rPr>
          <w:b/>
          <w:bCs/>
        </w:rPr>
        <w:t xml:space="preserve">Bustos, M.E., Enkerlin, W., Reyes, J. &amp; Toledo, J. </w:t>
      </w:r>
      <w:r>
        <w:t xml:space="preserve">2004. Irradiation of mangoes as a postharvest quarantine treatment for fruit flies (Diptera: Tephritidae). </w:t>
      </w:r>
      <w:r>
        <w:rPr>
          <w:i/>
          <w:iCs/>
        </w:rPr>
        <w:t>Journal of Economic Entomology</w:t>
      </w:r>
      <w:r>
        <w:t xml:space="preserve">, 97: 286–292. </w:t>
      </w:r>
      <w:hyperlink w:history="1" r:id="rId12">
        <w:r>
          <w:rPr>
            <w:rStyle w:val="Hyperlink"/>
          </w:rPr>
          <w:t>https://doi.org/10.1093/jee/97.2.286</w:t>
        </w:r>
      </w:hyperlink>
    </w:p>
    <w:p w14:paraId="5938E21F" w14:textId="3C5CD85B">
      <w:pPr>
        <w:pStyle w:val="IPPReferences"/>
        <w:rPr>
          <w:b/>
          <w:bCs/>
          <w:lang w:val="nl-NL"/>
        </w:rPr>
      </w:pPr>
      <w:r>
        <w:rPr>
          <w:rStyle w:val="PleaseReviewParagraphId"/>
          <w:b w:val="off"/>
          <w:i w:val="off"/>
        </w:rPr>
        <w:t>[45]</w:t>
      </w:r>
      <w:r>
        <w:rPr>
          <w:b/>
          <w:bCs/>
        </w:rPr>
        <w:t>Gould, W.P. &amp; von Windeguth, D.L.</w:t>
      </w:r>
      <w:r>
        <w:t xml:space="preserve"> 1991. Gamma irradiation as a quarantine treatment for carambolas infested with Caribbean fruit flies. </w:t>
      </w:r>
      <w:r>
        <w:rPr>
          <w:i/>
          <w:iCs/>
          <w:lang w:val="es-ES"/>
        </w:rPr>
        <w:t>Florida Entomologist</w:t>
      </w:r>
      <w:r>
        <w:rPr>
          <w:lang w:val="es-ES"/>
        </w:rPr>
        <w:t xml:space="preserve">, 74: 297–300. </w:t>
      </w:r>
      <w:hyperlink w:history="1" r:id="rId13">
        <w:r>
          <w:rPr>
            <w:rStyle w:val="Hyperlink"/>
            <w:lang w:val="nl-NL"/>
          </w:rPr>
          <w:t>https://journals.flvc.org/flaent/article/view/58735</w:t>
        </w:r>
      </w:hyperlink>
    </w:p>
    <w:p w14:paraId="764794AE" w14:textId="5CEECAE0">
      <w:pPr>
        <w:pStyle w:val="IPPReferences"/>
      </w:pPr>
      <w:r>
        <w:rPr>
          <w:rStyle w:val="PleaseReviewParagraphId"/>
          <w:b w:val="off"/>
          <w:i w:val="off"/>
        </w:rPr>
        <w:t>[46]</w:t>
      </w:r>
      <w:r>
        <w:rPr>
          <w:b/>
          <w:bCs/>
          <w:lang w:val="nl-NL"/>
        </w:rPr>
        <w:lastRenderedPageBreak/>
        <w:t>Hallman, G.J.</w:t>
      </w:r>
      <w:r>
        <w:rPr>
          <w:lang w:val="nl-NL"/>
        </w:rPr>
        <w:t xml:space="preserve"> 2004a. </w:t>
      </w:r>
      <w:r>
        <w:t xml:space="preserve">Ionizing irradiation quarantine treatment against oriental fruit moth (Lepidoptera: Tortricidae) in ambient and hypoxic atmospheres. </w:t>
      </w:r>
      <w:r>
        <w:rPr>
          <w:i/>
          <w:iCs/>
        </w:rPr>
        <w:t>Journal of Economic Entomology</w:t>
      </w:r>
      <w:r>
        <w:t xml:space="preserve">, 97: 824–827. </w:t>
      </w:r>
      <w:hyperlink w:history="1" r:id="rId14">
        <w:r>
          <w:rPr>
            <w:rStyle w:val="Hyperlink"/>
          </w:rPr>
          <w:t>https://doi.org/10.1093/jee/97.3.824</w:t>
        </w:r>
      </w:hyperlink>
    </w:p>
    <w:p w14:paraId="331FBF36" w14:textId="4AC7BD07">
      <w:pPr>
        <w:pStyle w:val="IPPReferences"/>
      </w:pPr>
      <w:r>
        <w:rPr>
          <w:rStyle w:val="PleaseReviewParagraphId"/>
          <w:b w:val="off"/>
          <w:i w:val="off"/>
        </w:rPr>
        <w:t>[47]</w:t>
      </w:r>
      <w:r>
        <w:rPr>
          <w:b/>
          <w:bCs/>
        </w:rPr>
        <w:t xml:space="preserve">Hallman, G.J. </w:t>
      </w:r>
      <w:r>
        <w:t xml:space="preserve">2004b. Irradiation disinfestation of apple maggot (Diptera: Tephritidae) in hypoxic and low-temperature storage. </w:t>
      </w:r>
      <w:r>
        <w:rPr>
          <w:i/>
          <w:iCs/>
        </w:rPr>
        <w:t>Journal of Economic Entomology</w:t>
      </w:r>
      <w:r>
        <w:t xml:space="preserve">, 97: 1245–1248. </w:t>
      </w:r>
      <w:hyperlink w:history="1" r:id="rId15">
        <w:r>
          <w:rPr>
            <w:rStyle w:val="Hyperlink"/>
          </w:rPr>
          <w:t>https://doi.org/10.1093/jee/97.4.1245</w:t>
        </w:r>
      </w:hyperlink>
    </w:p>
    <w:p w14:paraId="63F758F3" w14:textId="07F5B422">
      <w:pPr>
        <w:pStyle w:val="IPPReferences"/>
      </w:pPr>
      <w:r>
        <w:rPr>
          <w:rStyle w:val="PleaseReviewParagraphId"/>
          <w:b w:val="off"/>
          <w:i w:val="off"/>
        </w:rPr>
        <w:t>[48]</w:t>
      </w:r>
      <w:r>
        <w:rPr>
          <w:b/>
          <w:bCs/>
        </w:rPr>
        <w:t>Hallman G.J.</w:t>
      </w:r>
      <w:r>
        <w:t xml:space="preserve"> 2013. Rationale for a generic phytosanitary irradiation dose of 70 Gy for the genus </w:t>
      </w:r>
      <w:r>
        <w:rPr>
          <w:i/>
          <w:iCs/>
        </w:rPr>
        <w:t>Anastrepha</w:t>
      </w:r>
      <w:r>
        <w:t xml:space="preserve"> (Diptera: Tephritidae). </w:t>
      </w:r>
      <w:r>
        <w:rPr>
          <w:i/>
          <w:iCs/>
        </w:rPr>
        <w:t>Florida Entomologist</w:t>
      </w:r>
      <w:r>
        <w:t xml:space="preserve">, 96(3): 983–990. </w:t>
      </w:r>
      <w:hyperlink w:history="1" r:id="rId16">
        <w:r>
          <w:rPr>
            <w:rStyle w:val="Hyperlink"/>
          </w:rPr>
          <w:t>https://journals.flvc.org/flaent/article/view/82599</w:t>
        </w:r>
      </w:hyperlink>
    </w:p>
    <w:p w14:paraId="231C566B" w14:textId="3742C5D7">
      <w:pPr>
        <w:pStyle w:val="IPPReferences"/>
      </w:pPr>
      <w:r>
        <w:rPr>
          <w:rStyle w:val="PleaseReviewParagraphId"/>
          <w:b w:val="off"/>
          <w:i w:val="off"/>
        </w:rPr>
        <w:t>[49]</w:t>
      </w:r>
      <w:r>
        <w:rPr>
          <w:b/>
          <w:bCs/>
        </w:rPr>
        <w:t>Hallman, G.J., Levang-Brilz, N.M., Zettler, J.L. &amp; Winborne, I.C.</w:t>
      </w:r>
      <w:r>
        <w:t xml:space="preserve"> 2010. Factors affecting ionizing radiation phytosanitary treatments, and implications for research and generic treatments. </w:t>
      </w:r>
      <w:r>
        <w:rPr>
          <w:i/>
          <w:iCs/>
        </w:rPr>
        <w:t>Journal of Economic Entomology</w:t>
      </w:r>
      <w:r>
        <w:t xml:space="preserve">, 103: 1950–1963. </w:t>
      </w:r>
      <w:hyperlink w:history="1" r:id="rId17">
        <w:r>
          <w:rPr>
            <w:rStyle w:val="Hyperlink"/>
          </w:rPr>
          <w:t>https://doi.org/10.1603/EC10228</w:t>
        </w:r>
      </w:hyperlink>
    </w:p>
    <w:p w14:paraId="112C0F2E" w14:textId="768D95CA">
      <w:pPr>
        <w:pStyle w:val="IPPReferences"/>
        <w:rPr>
          <w:b/>
          <w:bCs/>
        </w:rPr>
      </w:pPr>
      <w:r>
        <w:rPr>
          <w:rStyle w:val="PleaseReviewParagraphId"/>
          <w:b w:val="off"/>
          <w:i w:val="off"/>
        </w:rPr>
        <w:t>[50]</w:t>
      </w:r>
      <w:r>
        <w:rPr>
          <w:b/>
          <w:bCs/>
        </w:rPr>
        <w:t>Hallman, G.J. &amp; Martinez, L.R.</w:t>
      </w:r>
      <w:r>
        <w:t xml:space="preserve"> 2001. Ionizing irradiation quarantine treatment against Mexican fruit fly (Diptera: Tephritidae) in citrus fruits. </w:t>
      </w:r>
      <w:r>
        <w:rPr>
          <w:i/>
          <w:iCs/>
        </w:rPr>
        <w:t>Postharvest Biology and Technology</w:t>
      </w:r>
      <w:r>
        <w:t xml:space="preserve">, 23: 71–77. </w:t>
      </w:r>
      <w:hyperlink w:history="1" r:id="rId18">
        <w:r>
          <w:rPr>
            <w:rStyle w:val="Hyperlink"/>
          </w:rPr>
          <w:t>https://doi.org/10.1016/S0925-5214(01)00090-4</w:t>
        </w:r>
      </w:hyperlink>
    </w:p>
    <w:p w14:paraId="624F160D" w14:textId="1FF65324">
      <w:pPr>
        <w:pStyle w:val="IPPReferences"/>
        <w:rPr>
          <w:b/>
          <w:bCs/>
        </w:rPr>
      </w:pPr>
      <w:r>
        <w:rPr>
          <w:rStyle w:val="PleaseReviewParagraphId"/>
          <w:b w:val="off"/>
          <w:i w:val="off"/>
        </w:rPr>
        <w:t>[51]</w:t>
      </w:r>
      <w:r>
        <w:rPr>
          <w:b/>
          <w:bCs/>
        </w:rPr>
        <w:t>Jessup, A.J., Rigney, C.J., Millar, A., Sloggett, R.F. &amp; Quinn, N.M.</w:t>
      </w:r>
      <w:r>
        <w:t xml:space="preserve"> 1992. Gamma irradiation as a commodity treatment against the Queensland fruit fly in fresh fruit. In: </w:t>
      </w:r>
      <w:r>
        <w:rPr>
          <w:i/>
          <w:iCs/>
        </w:rPr>
        <w:t>Use of irradiation as a quarantine treatment of food and agricultural commodities</w:t>
      </w:r>
      <w:r>
        <w:t xml:space="preserve">. Proceedings of the Final Research Coordination Meeting on Use of Irradiation as a Quarantine Treatment of Food and Agricultural Commodities, Kuala Lumpur, 27–31 August 1990, pp. 13–42. Vienna, International Atomic Energy Agency. 182 pp. </w:t>
      </w:r>
      <w:hyperlink w:history="1" r:id="rId19">
        <w:r>
          <w:rPr>
            <w:rStyle w:val="Hyperlink"/>
          </w:rPr>
          <w:t>https://www-pub.iaea.org/MTCD/Publications/PDF/Pub873.pdf</w:t>
        </w:r>
      </w:hyperlink>
    </w:p>
    <w:p w14:paraId="0FC7959E" w14:textId="08261940">
      <w:pPr>
        <w:pStyle w:val="IPPReferences"/>
        <w:rPr>
          <w:color w:val="0000FF"/>
        </w:rPr>
      </w:pPr>
      <w:r>
        <w:rPr>
          <w:rStyle w:val="PleaseReviewParagraphId"/>
          <w:b w:val="off"/>
          <w:i w:val="off"/>
        </w:rPr>
        <w:t>[52]</w:t>
      </w:r>
      <w:r>
        <w:rPr>
          <w:b/>
          <w:bCs/>
        </w:rPr>
        <w:t xml:space="preserve">Mansour, M. </w:t>
      </w:r>
      <w:r>
        <w:t>2003.</w:t>
      </w:r>
      <w:r>
        <w:rPr>
          <w:b/>
          <w:bCs/>
        </w:rPr>
        <w:t xml:space="preserve"> </w:t>
      </w:r>
      <w:r>
        <w:t xml:space="preserve">Gamma irradiation as a quarantine treatment for apples infested by codling moth (Lepidoptera: Tortricidae). </w:t>
      </w:r>
      <w:r>
        <w:rPr>
          <w:i/>
          <w:iCs/>
        </w:rPr>
        <w:t>Journal of Applied Entomology</w:t>
      </w:r>
      <w:r>
        <w:t xml:space="preserve">, 127: 137–141. </w:t>
      </w:r>
      <w:hyperlink w:history="1" r:id="rId20">
        <w:r>
          <w:rPr>
            <w:rStyle w:val="Hyperlink"/>
          </w:rPr>
          <w:t>https://doi.org/10.1046/j.1439-0418.2003.00723.x</w:t>
        </w:r>
      </w:hyperlink>
    </w:p>
    <w:p w14:paraId="415BC051" w14:textId="543BFCD5">
      <w:pPr>
        <w:pStyle w:val="IPPReferences"/>
        <w:rPr>
          <w:lang w:val="en-NZ"/>
        </w:rPr>
      </w:pPr>
      <w:r>
        <w:rPr>
          <w:rStyle w:val="PleaseReviewParagraphId"/>
          <w:b w:val="off"/>
          <w:i w:val="off"/>
        </w:rPr>
        <w:t>[53]</w:t>
      </w:r>
      <w:r>
        <w:rPr>
          <w:b/>
          <w:bCs/>
          <w:lang w:val="en-NZ"/>
        </w:rPr>
        <w:t xml:space="preserve">Seth, R., Zarin, M., Khan, Z. &amp; Seth, R.K. </w:t>
      </w:r>
      <w:r>
        <w:rPr>
          <w:lang w:val="en-NZ"/>
        </w:rPr>
        <w:t xml:space="preserve">2016. Towards phytosanitary irradiation of </w:t>
      </w:r>
      <w:r>
        <w:rPr>
          <w:i/>
          <w:iCs/>
          <w:lang w:val="en-NZ"/>
        </w:rPr>
        <w:t xml:space="preserve">Paracoccus marginatus </w:t>
      </w:r>
      <w:r>
        <w:rPr>
          <w:lang w:val="en-NZ"/>
        </w:rPr>
        <w:t xml:space="preserve">(Hemiptera: Pseudococcidae): ascertaining the radiosensitivities of all life stages. </w:t>
      </w:r>
      <w:r>
        <w:rPr>
          <w:i/>
          <w:iCs/>
          <w:lang w:val="en-NZ"/>
        </w:rPr>
        <w:t>Florida Entomologist</w:t>
      </w:r>
      <w:r>
        <w:rPr>
          <w:lang w:val="en-NZ"/>
        </w:rPr>
        <w:t xml:space="preserve">, 99 (Special Issue 2): 88–101. https://journals.flvc.org/flaent/article/view/88681 </w:t>
      </w:r>
    </w:p>
    <w:p w14:paraId="1FD8BFB6" w14:textId="0D007BD1">
      <w:pPr>
        <w:pStyle w:val="IPPReferences"/>
      </w:pPr>
      <w:r>
        <w:rPr>
          <w:rStyle w:val="PleaseReviewParagraphId"/>
          <w:b w:val="off"/>
          <w:i w:val="off"/>
        </w:rPr>
        <w:t>[54]</w:t>
      </w:r>
      <w:r>
        <w:rPr>
          <w:b/>
          <w:bCs/>
        </w:rPr>
        <w:t>Tunçbilek, A.Ş. &amp; Kansu, I.A.</w:t>
      </w:r>
      <w:r>
        <w:t xml:space="preserve"> 1996. The influence of rearing medium on the irradiation sensitivity of eggs and larvae of the flour beetle, </w:t>
      </w:r>
      <w:r>
        <w:rPr>
          <w:i/>
          <w:iCs/>
        </w:rPr>
        <w:t xml:space="preserve">Tribolium confusum </w:t>
      </w:r>
      <w:r>
        <w:t xml:space="preserve">J. du Val. </w:t>
      </w:r>
      <w:r>
        <w:rPr>
          <w:i/>
          <w:iCs/>
        </w:rPr>
        <w:t>Journal of Stored Products Research</w:t>
      </w:r>
      <w:r>
        <w:t xml:space="preserve">, 32: 1–6. </w:t>
      </w:r>
      <w:hyperlink w:history="1" r:id="rId21">
        <w:r>
          <w:rPr>
            <w:rStyle w:val="Hyperlink"/>
          </w:rPr>
          <w:t>https://doi.org/10.1016/0022-474X(95)00039-A</w:t>
        </w:r>
      </w:hyperlink>
    </w:p>
    <w:p w14:paraId="593F60F0" w14:textId="11C2AB36">
      <w:pPr>
        <w:pStyle w:val="IPPReferences"/>
      </w:pPr>
      <w:r>
        <w:rPr>
          <w:rStyle w:val="PleaseReviewParagraphId"/>
          <w:b w:val="off"/>
          <w:i w:val="off"/>
        </w:rPr>
        <w:t>[55]</w:t>
      </w:r>
      <w:r>
        <w:rPr>
          <w:b/>
          <w:bCs/>
        </w:rPr>
        <w:t xml:space="preserve">von Windeguth, D.L. </w:t>
      </w:r>
      <w:r>
        <w:t xml:space="preserve">1986. Gamma irradiation as a quarantine treatment for Caribbean fruit fly infested mangos. </w:t>
      </w:r>
      <w:r>
        <w:rPr>
          <w:i/>
          <w:iCs/>
        </w:rPr>
        <w:t>Proceedings of the Florida State Horticultural Society</w:t>
      </w:r>
      <w:r>
        <w:t xml:space="preserve">, 99: 131–134. </w:t>
      </w:r>
      <w:hyperlink w:history="1" r:id="rId22">
        <w:r>
          <w:rPr>
            <w:rStyle w:val="Hyperlink"/>
          </w:rPr>
          <w:t>https://journals.flvc.org/fshs/article/view/94783</w:t>
        </w:r>
      </w:hyperlink>
    </w:p>
    <w:p w14:paraId="6F76BD63" w14:textId="62D75679">
      <w:pPr>
        <w:pStyle w:val="IPPReferences"/>
        <w:rPr>
          <w:b/>
          <w:bCs/>
        </w:rPr>
      </w:pPr>
      <w:r>
        <w:rPr>
          <w:rStyle w:val="PleaseReviewParagraphId"/>
          <w:b w:val="off"/>
          <w:i w:val="off"/>
        </w:rPr>
        <w:t>[56]</w:t>
      </w:r>
      <w:r>
        <w:rPr>
          <w:b/>
          <w:bCs/>
        </w:rPr>
        <w:t xml:space="preserve">von Windeguth, D.L. &amp; Ismail, M.A. </w:t>
      </w:r>
      <w:r>
        <w:t xml:space="preserve">1987. Gamma irradiation as a quarantine treatment for Florida grapefruit infested with Caribbean fruit fly, </w:t>
      </w:r>
      <w:r>
        <w:rPr>
          <w:i/>
          <w:iCs/>
        </w:rPr>
        <w:t xml:space="preserve">Anastrepha suspensa </w:t>
      </w:r>
      <w:r>
        <w:t xml:space="preserve">(Loew). </w:t>
      </w:r>
      <w:r>
        <w:rPr>
          <w:i/>
          <w:iCs/>
        </w:rPr>
        <w:t>Proceedings of the Florida State Horticultural Society</w:t>
      </w:r>
      <w:r>
        <w:t xml:space="preserve">, 100: 5–7. </w:t>
      </w:r>
      <w:hyperlink w:history="1" r:id="rId23">
        <w:r>
          <w:rPr>
            <w:rStyle w:val="Hyperlink"/>
          </w:rPr>
          <w:t>https://journals.flvc.org/fshs/article/view/94415</w:t>
        </w:r>
      </w:hyperlink>
    </w:p>
    <w:p w14:paraId="394C75E0" w14:textId="09742821">
      <w:pPr>
        <w:pStyle w:val="IPPReferences"/>
        <w:rPr>
          <w:szCs w:val="18"/>
        </w:rPr>
      </w:pPr>
      <w:r>
        <w:rPr>
          <w:rStyle w:val="PleaseReviewParagraphId"/>
          <w:b w:val="off"/>
          <w:i w:val="off"/>
        </w:rPr>
        <w:t>[57]</w:t>
      </w:r>
      <w:r>
        <w:rPr>
          <w:b/>
          <w:lang w:val="nl-NL"/>
        </w:rPr>
        <w:t>Zhan, G., Shao, Y., Yu, Q., Xu, L., Liu, B., Wang, Y. &amp; Wang, Q.</w:t>
      </w:r>
      <w:r>
        <w:rPr>
          <w:lang w:val="nl-NL"/>
        </w:rPr>
        <w:t xml:space="preserve"> 2016. Phytosanitary irradiation of Jack Beardsley mealybug (Hemiptera: Pseudococcidae) females on rambutan (Sapindales: Sapindaceae) fruits. </w:t>
      </w:r>
      <w:r>
        <w:rPr>
          <w:i/>
        </w:rPr>
        <w:t>Florida Entomologist</w:t>
      </w:r>
      <w:r>
        <w:t xml:space="preserve">, 99 (Special Issue 2): 114–120. </w:t>
      </w:r>
      <w:hyperlink w:history="1" r:id="rId24">
        <w:r>
          <w:rPr>
            <w:rStyle w:val="Hyperlink"/>
          </w:rPr>
          <w:t>https://journals.flvc.org/flaent/article/view/88683</w:t>
        </w:r>
      </w:hyperlink>
    </w:p>
    <w:p w14:paraId="4552F667" w14:textId="61CAECBF">
      <w:pPr>
        <w:pStyle w:val="IPPReferences"/>
        <w:rPr>
          <w:szCs w:val="18"/>
        </w:rPr>
      </w:pPr>
      <w:r>
        <w:rPr>
          <w:rStyle w:val="PleaseReviewParagraphId"/>
          <w:b w:val="off"/>
          <w:i w:val="off"/>
        </w:rPr>
        <w:t>[58]</w:t>
      </w:r>
      <w:r>
        <w:rPr>
          <w:b/>
          <w:bCs/>
          <w:szCs w:val="22"/>
          <w:lang w:val="it-IT"/>
        </w:rPr>
        <w:t>Zhao, Q.-Y., Ma, F.-H., Deng, W., Li, Z.-H., Song, Z.-J., Ma, C., Ren, Y.L., Du, X. &amp; Zhan, G.-P.</w:t>
      </w:r>
      <w:r>
        <w:rPr>
          <w:szCs w:val="22"/>
          <w:lang w:val="it-IT"/>
        </w:rPr>
        <w:t xml:space="preserve"> 2023. </w:t>
      </w:r>
      <w:r>
        <w:rPr>
          <w:szCs w:val="22"/>
        </w:rPr>
        <w:t xml:space="preserve">Phytosanitary treatment of the aerial root mealybug, </w:t>
      </w:r>
      <w:r>
        <w:rPr>
          <w:i/>
          <w:szCs w:val="22"/>
        </w:rPr>
        <w:t>Pseudococcus baliteus</w:t>
      </w:r>
      <w:r>
        <w:rPr>
          <w:szCs w:val="22"/>
        </w:rPr>
        <w:t xml:space="preserve"> (Hemiptera: Pseudococcidae) using gamma and X-ray irradiation. </w:t>
      </w:r>
      <w:r>
        <w:rPr>
          <w:i/>
          <w:szCs w:val="22"/>
        </w:rPr>
        <w:t>Journal of Economic Entomology</w:t>
      </w:r>
      <w:r>
        <w:rPr>
          <w:szCs w:val="22"/>
        </w:rPr>
        <w:t xml:space="preserve">, 116 (5) 1567–1574. </w:t>
      </w:r>
      <w:hyperlink r:id="rId25">
        <w:r>
          <w:rPr>
            <w:rStyle w:val="Hyperlink"/>
            <w:szCs w:val="22"/>
          </w:rPr>
          <w:t>https://doi.org/10.1093/jee/toad170</w:t>
        </w:r>
      </w:hyperlink>
    </w:p>
    <w:sectPr>
      <w:pgSz w:w="11906" w:h="16838" w:code="9"/>
      <w:pgMar w:top="1559" w:right="1418" w:bottom="1418" w:left="1418" w:header="851" w:footer="851" w:gutter="0"/>
      <w:cols w:space="708"/>
      <w:titlePg/>
      <w:docGrid w:linePitch="360"/>
    </w:sectPr>
  </w:body>
</w:document>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44AC6" w14:textId="77777777">
      <w:r>
        <w:rPr>
          <w:rStyle w:val="PleaseReviewParagraphId"/>
          <w:b w:val="off"/>
          <w:i w:val="off"/>
        </w:rPr>
        <w:t>[]</w:t>
      </w:r>
      <w:r>
        <w:rPr>
          <w:rStyle w:val="PleaseReviewParagraphId"/>
        </w:rPr>
        <w:t>[]</w:t>
      </w:r>
      <w:r>
        <w:separator/>
      </w:r>
    </w:p>
  </w:endnote>
  <w:endnote w:type="continuationSeparator" w:id="0">
    <w:p w14:paraId="32E0C24C" w14:textId="77777777">
      <w:r>
        <w:rPr>
          <w:rStyle w:val="PleaseReviewParagraphId"/>
          <w:b w:val="off"/>
          <w:i w:val="off"/>
        </w:rPr>
        <w:t>[]</w:t>
      </w:r>
      <w:r>
        <w:rPr>
          <w:rStyle w:val="PleaseReviewParagraphId"/>
        </w:rPr>
        <w:t>[]</w:t>
      </w:r>
      <w:r>
        <w:continuationSeparator/>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Italic">
    <w:altName w:val="Arial"/>
    <w:panose1 w:val="020B0604020202090204"/>
    <w:charset w:val="00"/>
    <w:family w:val="auto"/>
    <w:pitch w:val="default"/>
    <w:sig w:usb0="00000000" w:usb1="00000000" w:usb2="00000001" w:usb3="00000000" w:csb0="000001B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B1E35" w14:textId="77777777">
      <w:r>
        <w:rPr>
          <w:rStyle w:val="PleaseReviewParagraphId"/>
          <w:b w:val="off"/>
          <w:i w:val="off"/>
        </w:rPr>
        <w:t>[]</w:t>
      </w:r>
      <w:r>
        <w:rPr>
          <w:rStyle w:val="PleaseReviewParagraphId"/>
        </w:rPr>
        <w:t>[]</w:t>
      </w:r>
      <w:r>
        <w:separator/>
      </w:r>
    </w:p>
  </w:footnote>
  <w:footnote w:type="continuationSeparator" w:id="0">
    <w:p w14:paraId="1A10ED61" w14:textId="77777777">
      <w:r>
        <w:rPr>
          <w:rStyle w:val="PleaseReviewParagraphId"/>
          <w:b w:val="off"/>
          <w:i w:val="off"/>
        </w:rPr>
        <w:t>[]</w:t>
      </w:r>
      <w:r>
        <w:rPr>
          <w:rStyle w:val="PleaseReviewParagraphId"/>
        </w:rPr>
        <w:t>[]</w:t>
      </w:r>
      <w:r>
        <w:continuationSeparator/>
      </w:r>
    </w:p>
  </w:footnote>
  <w:footnote w:id="1">
    <w:p w14:paraId="211A1295" w14:textId="5BDCB27A">
      <w:pPr>
        <w:pStyle w:val="IPPFootnote"/>
        <w:rPr>
          <w:lang w:eastAsia="en-AU"/>
        </w:rPr>
      </w:pPr>
      <w:r>
        <w:rPr>
          <w:rStyle w:val="PleaseReviewParagraphId"/>
          <w:b w:val="off"/>
          <w:i w:val="off"/>
        </w:rPr>
        <w:t>[23]</w:t>
      </w:r>
      <w:r>
        <w:rPr>
          <w:rStyle w:val="FootnoteReference"/>
          <w:szCs w:val="22"/>
        </w:rPr>
        <w:footnoteRef/>
      </w:r>
      <w:r>
        <w:t xml:space="preserve"> </w:t>
      </w:r>
      <w:r>
        <w:rPr>
          <w:lang w:eastAsia="en-AU"/>
        </w:rPr>
        <w:t>The scope of phytosanitary treatments does not include issues related to pesticide registration or other domestic requirements for contracting parties’ approval of treatments. Treatments adopted by the Commission on Phytosanitary Measures may not provide information on specific effects on human health or food safety, which should be addressed using domestic procedures before contracting parties approve a treatment. In addition, potential effects of treatments on product quality are considered for some host commodities before their international adoption. However, evaluation of any effects of a treatment on the quality of commodities may require additional consideration. There is no obligation for a contracting party to approve, register or adopt the treatments for use in its territory.</w:t>
      </w:r>
    </w:p>
  </w:footnote>
</w:footnotes>
</file>

<file path=word/numbering.xml><?xml version="1.0" encoding="utf-8"?>
<w:numbering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584BC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CC8A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8A8A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3A73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4424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1AF9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6272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3014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12A3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FC5B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4C0A6C"/>
    <w:multiLevelType w:val="multilevel"/>
    <w:tmpl w:val="06E871E4"/>
    <w:numStyleLink w:val="IPPParagraphnumberedlist"/>
  </w:abstractNum>
  <w:abstractNum w:abstractNumId="1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5"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 w15:restartNumberingAfterBreak="0">
    <w:nsid w:val="5C8B1AD3"/>
    <w:multiLevelType w:val="hybridMultilevel"/>
    <w:tmpl w:val="93023F74"/>
    <w:lvl w:ilvl="0" w:tplc="6C021818">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12"/>
  </w:num>
  <w:num w:numId="3">
    <w:abstractNumId w:val="21"/>
  </w:num>
  <w:num w:numId="4">
    <w:abstractNumId w:val="10"/>
  </w:num>
  <w:num w:numId="5">
    <w:abstractNumId w:val="17"/>
  </w:num>
  <w:num w:numId="6">
    <w:abstractNumId w:val="15"/>
  </w:num>
  <w:num w:numId="7">
    <w:abstractNumId w:val="22"/>
  </w:num>
  <w:num w:numId="8">
    <w:abstractNumId w:val="20"/>
  </w:num>
  <w:num w:numId="9">
    <w:abstractNumId w:val="14"/>
  </w:num>
  <w:num w:numId="10">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8"/>
  </w:num>
  <w:num w:numId="22">
    <w:abstractNumId w:val="3"/>
  </w:num>
  <w:num w:numId="23">
    <w:abstractNumId w:val="2"/>
  </w:num>
  <w:num w:numId="24">
    <w:abstractNumId w:val="1"/>
  </w:num>
  <w:num w:numId="25">
    <w:abstractNumId w:val="0"/>
  </w:num>
  <w:num w:numId="26">
    <w:abstractNumId w:val="11"/>
  </w:num>
  <w:num w:numId="27">
    <w:abstractNumId w:val="13"/>
  </w:num>
  <w:num w:numId="28">
    <w:abstractNumId w:val="16"/>
  </w:num>
  <w:num w:numId="29">
    <w:abstractNumId w:val="18"/>
  </w:num>
  <w:num w:numId="30">
    <w:abstractNumId w:val="8"/>
  </w:num>
  <w:num w:numId="31">
    <w:abstractNumId w:val="3"/>
  </w:num>
  <w:num w:numId="32">
    <w:abstractNumId w:val="2"/>
  </w:num>
  <w:num w:numId="33">
    <w:abstractNumId w:val="1"/>
  </w:num>
  <w:num w:numId="34">
    <w:abstractNumId w:val="0"/>
  </w:num>
  <w:num w:numId="35">
    <w:abstractNumId w:val="8"/>
  </w:num>
  <w:num w:numId="36">
    <w:abstractNumId w:val="3"/>
  </w:num>
  <w:num w:numId="37">
    <w:abstractNumId w:val="2"/>
  </w:num>
  <w:num w:numId="38">
    <w:abstractNumId w:val="1"/>
  </w:num>
  <w:num w:numId="39">
    <w:abstractNumId w:val="0"/>
  </w:num>
  <w:numIdMacAtCleanup w:val="10"/>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295"/>
    <w:rsid w:val="00001332"/>
    <w:rsid w:val="00005BF6"/>
    <w:rsid w:val="0000690D"/>
    <w:rsid w:val="00007743"/>
    <w:rsid w:val="00007CDF"/>
    <w:rsid w:val="000141E4"/>
    <w:rsid w:val="000249AC"/>
    <w:rsid w:val="00025452"/>
    <w:rsid w:val="000257AA"/>
    <w:rsid w:val="00027FE3"/>
    <w:rsid w:val="00032883"/>
    <w:rsid w:val="00037ECF"/>
    <w:rsid w:val="000509EE"/>
    <w:rsid w:val="0006027D"/>
    <w:rsid w:val="000646D9"/>
    <w:rsid w:val="00071185"/>
    <w:rsid w:val="00076181"/>
    <w:rsid w:val="00080C0F"/>
    <w:rsid w:val="00081855"/>
    <w:rsid w:val="00081C27"/>
    <w:rsid w:val="00087A75"/>
    <w:rsid w:val="00091299"/>
    <w:rsid w:val="000915EC"/>
    <w:rsid w:val="000922FC"/>
    <w:rsid w:val="00092BF7"/>
    <w:rsid w:val="000937F9"/>
    <w:rsid w:val="0009635B"/>
    <w:rsid w:val="000A2570"/>
    <w:rsid w:val="000A3CBB"/>
    <w:rsid w:val="000A3E2D"/>
    <w:rsid w:val="000A4747"/>
    <w:rsid w:val="000B05FC"/>
    <w:rsid w:val="000B0CD7"/>
    <w:rsid w:val="000B30CF"/>
    <w:rsid w:val="000B6366"/>
    <w:rsid w:val="000B6CB4"/>
    <w:rsid w:val="000C59AE"/>
    <w:rsid w:val="000C63DB"/>
    <w:rsid w:val="000D0C67"/>
    <w:rsid w:val="000D2DD9"/>
    <w:rsid w:val="000D32ED"/>
    <w:rsid w:val="000D7354"/>
    <w:rsid w:val="000F11BA"/>
    <w:rsid w:val="000F32DF"/>
    <w:rsid w:val="000F331E"/>
    <w:rsid w:val="000F5594"/>
    <w:rsid w:val="000F63BE"/>
    <w:rsid w:val="000F69BB"/>
    <w:rsid w:val="0010016E"/>
    <w:rsid w:val="001006F2"/>
    <w:rsid w:val="00100EC0"/>
    <w:rsid w:val="00102B6D"/>
    <w:rsid w:val="00105908"/>
    <w:rsid w:val="0010591A"/>
    <w:rsid w:val="00107CAB"/>
    <w:rsid w:val="00107DFB"/>
    <w:rsid w:val="00107FE4"/>
    <w:rsid w:val="0011347D"/>
    <w:rsid w:val="001149C3"/>
    <w:rsid w:val="00114BFA"/>
    <w:rsid w:val="001232F0"/>
    <w:rsid w:val="00124CD7"/>
    <w:rsid w:val="001272BE"/>
    <w:rsid w:val="00127460"/>
    <w:rsid w:val="0013091E"/>
    <w:rsid w:val="00131D1A"/>
    <w:rsid w:val="00134997"/>
    <w:rsid w:val="00140B4F"/>
    <w:rsid w:val="00146772"/>
    <w:rsid w:val="00150B9D"/>
    <w:rsid w:val="001515C7"/>
    <w:rsid w:val="00152538"/>
    <w:rsid w:val="00156F91"/>
    <w:rsid w:val="00162CD6"/>
    <w:rsid w:val="001656D4"/>
    <w:rsid w:val="001675EF"/>
    <w:rsid w:val="00175B5F"/>
    <w:rsid w:val="00182CF6"/>
    <w:rsid w:val="0018738B"/>
    <w:rsid w:val="00187D5D"/>
    <w:rsid w:val="00192060"/>
    <w:rsid w:val="00192F01"/>
    <w:rsid w:val="00195C78"/>
    <w:rsid w:val="001965BC"/>
    <w:rsid w:val="00196AE8"/>
    <w:rsid w:val="00197E14"/>
    <w:rsid w:val="001A1707"/>
    <w:rsid w:val="001A1A5B"/>
    <w:rsid w:val="001A2AD6"/>
    <w:rsid w:val="001A4D6F"/>
    <w:rsid w:val="001A5734"/>
    <w:rsid w:val="001B0185"/>
    <w:rsid w:val="001B2705"/>
    <w:rsid w:val="001B5E63"/>
    <w:rsid w:val="001B6BA8"/>
    <w:rsid w:val="001C2CEC"/>
    <w:rsid w:val="001D1AAF"/>
    <w:rsid w:val="001D1FF3"/>
    <w:rsid w:val="001D35E5"/>
    <w:rsid w:val="001E1D3F"/>
    <w:rsid w:val="001E5A07"/>
    <w:rsid w:val="0020292E"/>
    <w:rsid w:val="002033EB"/>
    <w:rsid w:val="00205107"/>
    <w:rsid w:val="00206B1C"/>
    <w:rsid w:val="00207822"/>
    <w:rsid w:val="00210FDA"/>
    <w:rsid w:val="00211693"/>
    <w:rsid w:val="0021273E"/>
    <w:rsid w:val="002138C4"/>
    <w:rsid w:val="00213F98"/>
    <w:rsid w:val="002145AD"/>
    <w:rsid w:val="00214A22"/>
    <w:rsid w:val="00216C20"/>
    <w:rsid w:val="00216C48"/>
    <w:rsid w:val="00222207"/>
    <w:rsid w:val="00225391"/>
    <w:rsid w:val="00230E46"/>
    <w:rsid w:val="002367CF"/>
    <w:rsid w:val="00240383"/>
    <w:rsid w:val="00242256"/>
    <w:rsid w:val="00247A30"/>
    <w:rsid w:val="002547BC"/>
    <w:rsid w:val="002574A3"/>
    <w:rsid w:val="00257833"/>
    <w:rsid w:val="00261F61"/>
    <w:rsid w:val="00265BE4"/>
    <w:rsid w:val="00267EA1"/>
    <w:rsid w:val="002708F9"/>
    <w:rsid w:val="00270C1B"/>
    <w:rsid w:val="00276264"/>
    <w:rsid w:val="00280E30"/>
    <w:rsid w:val="00284515"/>
    <w:rsid w:val="0028465C"/>
    <w:rsid w:val="002902D4"/>
    <w:rsid w:val="002925C6"/>
    <w:rsid w:val="00295A27"/>
    <w:rsid w:val="002A2E53"/>
    <w:rsid w:val="002A3B60"/>
    <w:rsid w:val="002A7AC7"/>
    <w:rsid w:val="002B40B5"/>
    <w:rsid w:val="002B5A03"/>
    <w:rsid w:val="002B6546"/>
    <w:rsid w:val="002B736B"/>
    <w:rsid w:val="002B7E49"/>
    <w:rsid w:val="002D0AB9"/>
    <w:rsid w:val="002E210F"/>
    <w:rsid w:val="002E4091"/>
    <w:rsid w:val="002F1CFC"/>
    <w:rsid w:val="002F2C32"/>
    <w:rsid w:val="002F34FC"/>
    <w:rsid w:val="002F51A7"/>
    <w:rsid w:val="00300575"/>
    <w:rsid w:val="0030142B"/>
    <w:rsid w:val="00302A3C"/>
    <w:rsid w:val="00304122"/>
    <w:rsid w:val="00307D30"/>
    <w:rsid w:val="003150DA"/>
    <w:rsid w:val="00320938"/>
    <w:rsid w:val="00320E83"/>
    <w:rsid w:val="00332A44"/>
    <w:rsid w:val="0033305E"/>
    <w:rsid w:val="00335065"/>
    <w:rsid w:val="003407BA"/>
    <w:rsid w:val="00341EE1"/>
    <w:rsid w:val="00345D98"/>
    <w:rsid w:val="00345ED9"/>
    <w:rsid w:val="0034609E"/>
    <w:rsid w:val="00351295"/>
    <w:rsid w:val="00352C61"/>
    <w:rsid w:val="00353638"/>
    <w:rsid w:val="00354FD7"/>
    <w:rsid w:val="0036473A"/>
    <w:rsid w:val="003730D8"/>
    <w:rsid w:val="003751B5"/>
    <w:rsid w:val="00375202"/>
    <w:rsid w:val="00384B63"/>
    <w:rsid w:val="0038538C"/>
    <w:rsid w:val="003860DE"/>
    <w:rsid w:val="0039408C"/>
    <w:rsid w:val="00394329"/>
    <w:rsid w:val="00396290"/>
    <w:rsid w:val="003A2566"/>
    <w:rsid w:val="003A2EF1"/>
    <w:rsid w:val="003B0976"/>
    <w:rsid w:val="003B2EA8"/>
    <w:rsid w:val="003B3306"/>
    <w:rsid w:val="003C2A1D"/>
    <w:rsid w:val="003C4924"/>
    <w:rsid w:val="003C636B"/>
    <w:rsid w:val="003C6816"/>
    <w:rsid w:val="003D0A11"/>
    <w:rsid w:val="003D1F5D"/>
    <w:rsid w:val="003D3923"/>
    <w:rsid w:val="003D74C1"/>
    <w:rsid w:val="003E05AB"/>
    <w:rsid w:val="003E3904"/>
    <w:rsid w:val="003F1237"/>
    <w:rsid w:val="003F5665"/>
    <w:rsid w:val="003F654A"/>
    <w:rsid w:val="004001C8"/>
    <w:rsid w:val="00401320"/>
    <w:rsid w:val="00401EBC"/>
    <w:rsid w:val="00404C7A"/>
    <w:rsid w:val="00404CD7"/>
    <w:rsid w:val="0041464B"/>
    <w:rsid w:val="00424D07"/>
    <w:rsid w:val="00433EEC"/>
    <w:rsid w:val="004345E8"/>
    <w:rsid w:val="00437CC1"/>
    <w:rsid w:val="0044271E"/>
    <w:rsid w:val="00443A3C"/>
    <w:rsid w:val="00446DC9"/>
    <w:rsid w:val="00450572"/>
    <w:rsid w:val="004519E3"/>
    <w:rsid w:val="004533B2"/>
    <w:rsid w:val="0045653F"/>
    <w:rsid w:val="00466358"/>
    <w:rsid w:val="00467708"/>
    <w:rsid w:val="004821F5"/>
    <w:rsid w:val="00484F8C"/>
    <w:rsid w:val="00485A7F"/>
    <w:rsid w:val="00485D37"/>
    <w:rsid w:val="004957D3"/>
    <w:rsid w:val="004A0538"/>
    <w:rsid w:val="004A0A0D"/>
    <w:rsid w:val="004A2063"/>
    <w:rsid w:val="004A49DC"/>
    <w:rsid w:val="004A53CD"/>
    <w:rsid w:val="004B0913"/>
    <w:rsid w:val="004B0A7A"/>
    <w:rsid w:val="004B361F"/>
    <w:rsid w:val="004B4CD0"/>
    <w:rsid w:val="004B77D9"/>
    <w:rsid w:val="004C13E1"/>
    <w:rsid w:val="004C1EFB"/>
    <w:rsid w:val="004D5B48"/>
    <w:rsid w:val="004D6A23"/>
    <w:rsid w:val="004E37AF"/>
    <w:rsid w:val="004F1420"/>
    <w:rsid w:val="004F2981"/>
    <w:rsid w:val="004F5E3A"/>
    <w:rsid w:val="00500B8D"/>
    <w:rsid w:val="00504385"/>
    <w:rsid w:val="00516E3C"/>
    <w:rsid w:val="005208DA"/>
    <w:rsid w:val="00521887"/>
    <w:rsid w:val="00523CFC"/>
    <w:rsid w:val="00526F96"/>
    <w:rsid w:val="0053472C"/>
    <w:rsid w:val="0053746E"/>
    <w:rsid w:val="00540BCB"/>
    <w:rsid w:val="00545153"/>
    <w:rsid w:val="00545406"/>
    <w:rsid w:val="00554D7A"/>
    <w:rsid w:val="0055663A"/>
    <w:rsid w:val="00566DFB"/>
    <w:rsid w:val="0057123E"/>
    <w:rsid w:val="0057454D"/>
    <w:rsid w:val="005776BD"/>
    <w:rsid w:val="00577B7D"/>
    <w:rsid w:val="00582BC7"/>
    <w:rsid w:val="0058366F"/>
    <w:rsid w:val="00583BE4"/>
    <w:rsid w:val="00584A8D"/>
    <w:rsid w:val="00593300"/>
    <w:rsid w:val="00595B63"/>
    <w:rsid w:val="005A0F6D"/>
    <w:rsid w:val="005A499F"/>
    <w:rsid w:val="005A7669"/>
    <w:rsid w:val="005B101C"/>
    <w:rsid w:val="005B178A"/>
    <w:rsid w:val="005B4AAB"/>
    <w:rsid w:val="005C2F30"/>
    <w:rsid w:val="005C4C66"/>
    <w:rsid w:val="005C726E"/>
    <w:rsid w:val="005D0460"/>
    <w:rsid w:val="005E2101"/>
    <w:rsid w:val="005E783F"/>
    <w:rsid w:val="005F3CF0"/>
    <w:rsid w:val="005F58A9"/>
    <w:rsid w:val="005F6F80"/>
    <w:rsid w:val="005F7515"/>
    <w:rsid w:val="006000A3"/>
    <w:rsid w:val="00601606"/>
    <w:rsid w:val="006111B7"/>
    <w:rsid w:val="0061193F"/>
    <w:rsid w:val="00611BFA"/>
    <w:rsid w:val="006140B3"/>
    <w:rsid w:val="00623A1F"/>
    <w:rsid w:val="00625499"/>
    <w:rsid w:val="00635920"/>
    <w:rsid w:val="00636A49"/>
    <w:rsid w:val="00640124"/>
    <w:rsid w:val="00640F1B"/>
    <w:rsid w:val="00644256"/>
    <w:rsid w:val="00645169"/>
    <w:rsid w:val="00646A3D"/>
    <w:rsid w:val="0064735D"/>
    <w:rsid w:val="00647B5E"/>
    <w:rsid w:val="00650791"/>
    <w:rsid w:val="00651D28"/>
    <w:rsid w:val="006530E7"/>
    <w:rsid w:val="00653381"/>
    <w:rsid w:val="0065401B"/>
    <w:rsid w:val="00663C5F"/>
    <w:rsid w:val="006701B1"/>
    <w:rsid w:val="00677892"/>
    <w:rsid w:val="0068065A"/>
    <w:rsid w:val="00681230"/>
    <w:rsid w:val="0068601C"/>
    <w:rsid w:val="006935C2"/>
    <w:rsid w:val="00696422"/>
    <w:rsid w:val="00697F03"/>
    <w:rsid w:val="006A1968"/>
    <w:rsid w:val="006A2C88"/>
    <w:rsid w:val="006A366C"/>
    <w:rsid w:val="006A6DA8"/>
    <w:rsid w:val="006A7A47"/>
    <w:rsid w:val="006B3510"/>
    <w:rsid w:val="006B6CF8"/>
    <w:rsid w:val="006C42B2"/>
    <w:rsid w:val="006C5222"/>
    <w:rsid w:val="006D2606"/>
    <w:rsid w:val="006D3C89"/>
    <w:rsid w:val="006D632A"/>
    <w:rsid w:val="006D6988"/>
    <w:rsid w:val="006E121E"/>
    <w:rsid w:val="006E25F3"/>
    <w:rsid w:val="006E33DB"/>
    <w:rsid w:val="006E7294"/>
    <w:rsid w:val="006F4322"/>
    <w:rsid w:val="006F65C2"/>
    <w:rsid w:val="006F729C"/>
    <w:rsid w:val="006F78AC"/>
    <w:rsid w:val="006F78AD"/>
    <w:rsid w:val="006F79B6"/>
    <w:rsid w:val="00701302"/>
    <w:rsid w:val="00712405"/>
    <w:rsid w:val="0071382D"/>
    <w:rsid w:val="00714107"/>
    <w:rsid w:val="00716275"/>
    <w:rsid w:val="00720853"/>
    <w:rsid w:val="00722380"/>
    <w:rsid w:val="0072264C"/>
    <w:rsid w:val="00732D73"/>
    <w:rsid w:val="007337FC"/>
    <w:rsid w:val="00734926"/>
    <w:rsid w:val="007518F2"/>
    <w:rsid w:val="00752B59"/>
    <w:rsid w:val="00752B6C"/>
    <w:rsid w:val="00753CB7"/>
    <w:rsid w:val="0075515B"/>
    <w:rsid w:val="007603E9"/>
    <w:rsid w:val="00760762"/>
    <w:rsid w:val="007637E4"/>
    <w:rsid w:val="007658C1"/>
    <w:rsid w:val="00767B07"/>
    <w:rsid w:val="00780CAF"/>
    <w:rsid w:val="00780F39"/>
    <w:rsid w:val="007812FE"/>
    <w:rsid w:val="007827E1"/>
    <w:rsid w:val="0079093E"/>
    <w:rsid w:val="00790B69"/>
    <w:rsid w:val="00790BB6"/>
    <w:rsid w:val="00793F60"/>
    <w:rsid w:val="00796C14"/>
    <w:rsid w:val="007A14AF"/>
    <w:rsid w:val="007A1A9D"/>
    <w:rsid w:val="007B0E27"/>
    <w:rsid w:val="007B5700"/>
    <w:rsid w:val="007B5869"/>
    <w:rsid w:val="007B7328"/>
    <w:rsid w:val="007B7FC2"/>
    <w:rsid w:val="007C06F0"/>
    <w:rsid w:val="007C2626"/>
    <w:rsid w:val="007C2ED8"/>
    <w:rsid w:val="007C395E"/>
    <w:rsid w:val="007C766E"/>
    <w:rsid w:val="007D0295"/>
    <w:rsid w:val="007D300B"/>
    <w:rsid w:val="007D48F5"/>
    <w:rsid w:val="007D775A"/>
    <w:rsid w:val="007E0A7A"/>
    <w:rsid w:val="007E14CF"/>
    <w:rsid w:val="007E2702"/>
    <w:rsid w:val="007E4FCA"/>
    <w:rsid w:val="007F3D7E"/>
    <w:rsid w:val="007F4820"/>
    <w:rsid w:val="007F588A"/>
    <w:rsid w:val="007F700A"/>
    <w:rsid w:val="008011F2"/>
    <w:rsid w:val="00801927"/>
    <w:rsid w:val="008022D8"/>
    <w:rsid w:val="00804B74"/>
    <w:rsid w:val="00807B26"/>
    <w:rsid w:val="008110D3"/>
    <w:rsid w:val="00821E4F"/>
    <w:rsid w:val="00823723"/>
    <w:rsid w:val="008346AC"/>
    <w:rsid w:val="00840F17"/>
    <w:rsid w:val="00847680"/>
    <w:rsid w:val="00852AD4"/>
    <w:rsid w:val="008533E5"/>
    <w:rsid w:val="00853B59"/>
    <w:rsid w:val="00853CB6"/>
    <w:rsid w:val="008545B9"/>
    <w:rsid w:val="00856877"/>
    <w:rsid w:val="00871913"/>
    <w:rsid w:val="00874066"/>
    <w:rsid w:val="008742DB"/>
    <w:rsid w:val="0088109A"/>
    <w:rsid w:val="0088112E"/>
    <w:rsid w:val="008856AE"/>
    <w:rsid w:val="008860EB"/>
    <w:rsid w:val="00890C66"/>
    <w:rsid w:val="008A0868"/>
    <w:rsid w:val="008A24E1"/>
    <w:rsid w:val="008A70AE"/>
    <w:rsid w:val="008B6202"/>
    <w:rsid w:val="008B7950"/>
    <w:rsid w:val="008C0753"/>
    <w:rsid w:val="008C558A"/>
    <w:rsid w:val="008C7C7D"/>
    <w:rsid w:val="008D47C1"/>
    <w:rsid w:val="008D6B45"/>
    <w:rsid w:val="008D7C40"/>
    <w:rsid w:val="008D7CB1"/>
    <w:rsid w:val="008E4523"/>
    <w:rsid w:val="008E4D6A"/>
    <w:rsid w:val="008E63FD"/>
    <w:rsid w:val="008F2912"/>
    <w:rsid w:val="0090169C"/>
    <w:rsid w:val="00904F79"/>
    <w:rsid w:val="0090511B"/>
    <w:rsid w:val="009059B0"/>
    <w:rsid w:val="00906F8A"/>
    <w:rsid w:val="0091008D"/>
    <w:rsid w:val="00911FA0"/>
    <w:rsid w:val="00914557"/>
    <w:rsid w:val="00915EB2"/>
    <w:rsid w:val="009207ED"/>
    <w:rsid w:val="009218ED"/>
    <w:rsid w:val="00932197"/>
    <w:rsid w:val="00932D13"/>
    <w:rsid w:val="00943B9F"/>
    <w:rsid w:val="0094498D"/>
    <w:rsid w:val="009459AD"/>
    <w:rsid w:val="00946E3B"/>
    <w:rsid w:val="00947DBE"/>
    <w:rsid w:val="00950A42"/>
    <w:rsid w:val="00950B26"/>
    <w:rsid w:val="00956DBC"/>
    <w:rsid w:val="009664F1"/>
    <w:rsid w:val="009738C6"/>
    <w:rsid w:val="00976269"/>
    <w:rsid w:val="00983789"/>
    <w:rsid w:val="0099773F"/>
    <w:rsid w:val="00997A81"/>
    <w:rsid w:val="009A0892"/>
    <w:rsid w:val="009A0CE1"/>
    <w:rsid w:val="009A165A"/>
    <w:rsid w:val="009B285E"/>
    <w:rsid w:val="009B3F13"/>
    <w:rsid w:val="009B58A6"/>
    <w:rsid w:val="009B5FF8"/>
    <w:rsid w:val="009C0487"/>
    <w:rsid w:val="009D0B44"/>
    <w:rsid w:val="009D5780"/>
    <w:rsid w:val="009E07B1"/>
    <w:rsid w:val="009E18F7"/>
    <w:rsid w:val="009E6726"/>
    <w:rsid w:val="009F041B"/>
    <w:rsid w:val="009F4120"/>
    <w:rsid w:val="009F58BD"/>
    <w:rsid w:val="009F72CA"/>
    <w:rsid w:val="00A00C03"/>
    <w:rsid w:val="00A029C1"/>
    <w:rsid w:val="00A10FBD"/>
    <w:rsid w:val="00A11044"/>
    <w:rsid w:val="00A12486"/>
    <w:rsid w:val="00A16BC9"/>
    <w:rsid w:val="00A1714A"/>
    <w:rsid w:val="00A20A5E"/>
    <w:rsid w:val="00A2484A"/>
    <w:rsid w:val="00A260C5"/>
    <w:rsid w:val="00A264F1"/>
    <w:rsid w:val="00A31AA9"/>
    <w:rsid w:val="00A3237E"/>
    <w:rsid w:val="00A37E8B"/>
    <w:rsid w:val="00A444CB"/>
    <w:rsid w:val="00A47B1F"/>
    <w:rsid w:val="00A5327F"/>
    <w:rsid w:val="00A569B3"/>
    <w:rsid w:val="00A56FDA"/>
    <w:rsid w:val="00A57167"/>
    <w:rsid w:val="00A75737"/>
    <w:rsid w:val="00A81800"/>
    <w:rsid w:val="00A85230"/>
    <w:rsid w:val="00A86EB1"/>
    <w:rsid w:val="00A9362B"/>
    <w:rsid w:val="00A93FA2"/>
    <w:rsid w:val="00A957C8"/>
    <w:rsid w:val="00A96475"/>
    <w:rsid w:val="00AA04AA"/>
    <w:rsid w:val="00AA113D"/>
    <w:rsid w:val="00AA1C57"/>
    <w:rsid w:val="00AA205E"/>
    <w:rsid w:val="00AA7F53"/>
    <w:rsid w:val="00AB1FF1"/>
    <w:rsid w:val="00AC6860"/>
    <w:rsid w:val="00AE7ADF"/>
    <w:rsid w:val="00AF0BA8"/>
    <w:rsid w:val="00AF1D9D"/>
    <w:rsid w:val="00AF3192"/>
    <w:rsid w:val="00B00281"/>
    <w:rsid w:val="00B0062C"/>
    <w:rsid w:val="00B0330E"/>
    <w:rsid w:val="00B05071"/>
    <w:rsid w:val="00B1676E"/>
    <w:rsid w:val="00B176D9"/>
    <w:rsid w:val="00B17C9D"/>
    <w:rsid w:val="00B231F5"/>
    <w:rsid w:val="00B33A85"/>
    <w:rsid w:val="00B35417"/>
    <w:rsid w:val="00B35DF2"/>
    <w:rsid w:val="00B36BF2"/>
    <w:rsid w:val="00B4261F"/>
    <w:rsid w:val="00B42A90"/>
    <w:rsid w:val="00B42FFA"/>
    <w:rsid w:val="00B44B9F"/>
    <w:rsid w:val="00B45CFC"/>
    <w:rsid w:val="00B469B0"/>
    <w:rsid w:val="00B514AD"/>
    <w:rsid w:val="00B51DD3"/>
    <w:rsid w:val="00B57941"/>
    <w:rsid w:val="00B60801"/>
    <w:rsid w:val="00B61484"/>
    <w:rsid w:val="00B666F5"/>
    <w:rsid w:val="00B70595"/>
    <w:rsid w:val="00B7462F"/>
    <w:rsid w:val="00B748A7"/>
    <w:rsid w:val="00B7631C"/>
    <w:rsid w:val="00B76A84"/>
    <w:rsid w:val="00B7719F"/>
    <w:rsid w:val="00B806F9"/>
    <w:rsid w:val="00B842F7"/>
    <w:rsid w:val="00B85191"/>
    <w:rsid w:val="00B85349"/>
    <w:rsid w:val="00B8614D"/>
    <w:rsid w:val="00B907F0"/>
    <w:rsid w:val="00B92640"/>
    <w:rsid w:val="00B97B09"/>
    <w:rsid w:val="00BA12BD"/>
    <w:rsid w:val="00BA187C"/>
    <w:rsid w:val="00BB0865"/>
    <w:rsid w:val="00BB2518"/>
    <w:rsid w:val="00BC2BB1"/>
    <w:rsid w:val="00BC364C"/>
    <w:rsid w:val="00BC3D26"/>
    <w:rsid w:val="00BC4E0A"/>
    <w:rsid w:val="00BD3052"/>
    <w:rsid w:val="00BD6198"/>
    <w:rsid w:val="00BD6DB8"/>
    <w:rsid w:val="00BF46B3"/>
    <w:rsid w:val="00BF4E67"/>
    <w:rsid w:val="00C02B34"/>
    <w:rsid w:val="00C03CED"/>
    <w:rsid w:val="00C07263"/>
    <w:rsid w:val="00C12195"/>
    <w:rsid w:val="00C168AE"/>
    <w:rsid w:val="00C17E5E"/>
    <w:rsid w:val="00C20099"/>
    <w:rsid w:val="00C2084C"/>
    <w:rsid w:val="00C21320"/>
    <w:rsid w:val="00C302A6"/>
    <w:rsid w:val="00C36377"/>
    <w:rsid w:val="00C37D16"/>
    <w:rsid w:val="00C40334"/>
    <w:rsid w:val="00C4248B"/>
    <w:rsid w:val="00C51219"/>
    <w:rsid w:val="00C525F0"/>
    <w:rsid w:val="00C53175"/>
    <w:rsid w:val="00C60396"/>
    <w:rsid w:val="00C60CA1"/>
    <w:rsid w:val="00C60FDD"/>
    <w:rsid w:val="00C63B38"/>
    <w:rsid w:val="00C66AAD"/>
    <w:rsid w:val="00C72A62"/>
    <w:rsid w:val="00C72FA6"/>
    <w:rsid w:val="00C737A0"/>
    <w:rsid w:val="00C741BC"/>
    <w:rsid w:val="00C75D2D"/>
    <w:rsid w:val="00C83904"/>
    <w:rsid w:val="00C83932"/>
    <w:rsid w:val="00C92B1C"/>
    <w:rsid w:val="00CA2333"/>
    <w:rsid w:val="00CA7C90"/>
    <w:rsid w:val="00CB0712"/>
    <w:rsid w:val="00CB1265"/>
    <w:rsid w:val="00CB1865"/>
    <w:rsid w:val="00CC1386"/>
    <w:rsid w:val="00CC1EDA"/>
    <w:rsid w:val="00CC3779"/>
    <w:rsid w:val="00CC49F1"/>
    <w:rsid w:val="00CD1EFA"/>
    <w:rsid w:val="00CD24DC"/>
    <w:rsid w:val="00CD6448"/>
    <w:rsid w:val="00CD6A64"/>
    <w:rsid w:val="00CD7512"/>
    <w:rsid w:val="00CE182A"/>
    <w:rsid w:val="00CE7A2E"/>
    <w:rsid w:val="00CF324F"/>
    <w:rsid w:val="00CF6284"/>
    <w:rsid w:val="00CF724C"/>
    <w:rsid w:val="00D02AB4"/>
    <w:rsid w:val="00D0316D"/>
    <w:rsid w:val="00D038C0"/>
    <w:rsid w:val="00D06F0C"/>
    <w:rsid w:val="00D17533"/>
    <w:rsid w:val="00D2466A"/>
    <w:rsid w:val="00D24970"/>
    <w:rsid w:val="00D27EC6"/>
    <w:rsid w:val="00D2E062"/>
    <w:rsid w:val="00D32221"/>
    <w:rsid w:val="00D36D50"/>
    <w:rsid w:val="00D40398"/>
    <w:rsid w:val="00D4064F"/>
    <w:rsid w:val="00D44089"/>
    <w:rsid w:val="00D4447F"/>
    <w:rsid w:val="00D44C22"/>
    <w:rsid w:val="00D474FD"/>
    <w:rsid w:val="00D47A5D"/>
    <w:rsid w:val="00D50C01"/>
    <w:rsid w:val="00D52014"/>
    <w:rsid w:val="00D54A29"/>
    <w:rsid w:val="00D6161D"/>
    <w:rsid w:val="00D61FB8"/>
    <w:rsid w:val="00D7299A"/>
    <w:rsid w:val="00D75918"/>
    <w:rsid w:val="00D83139"/>
    <w:rsid w:val="00D86A3B"/>
    <w:rsid w:val="00D90935"/>
    <w:rsid w:val="00D924A6"/>
    <w:rsid w:val="00D94B50"/>
    <w:rsid w:val="00D977AB"/>
    <w:rsid w:val="00DA0778"/>
    <w:rsid w:val="00DB458B"/>
    <w:rsid w:val="00DB541B"/>
    <w:rsid w:val="00DC4DE5"/>
    <w:rsid w:val="00DC795A"/>
    <w:rsid w:val="00DD1B2A"/>
    <w:rsid w:val="00DD2157"/>
    <w:rsid w:val="00DD26C3"/>
    <w:rsid w:val="00DD2911"/>
    <w:rsid w:val="00DD2EA9"/>
    <w:rsid w:val="00DD6342"/>
    <w:rsid w:val="00DD6E90"/>
    <w:rsid w:val="00DD709C"/>
    <w:rsid w:val="00DD754F"/>
    <w:rsid w:val="00DE04D5"/>
    <w:rsid w:val="00DF25FE"/>
    <w:rsid w:val="00DF5534"/>
    <w:rsid w:val="00DF5E68"/>
    <w:rsid w:val="00DF76CA"/>
    <w:rsid w:val="00E04B3A"/>
    <w:rsid w:val="00E0695F"/>
    <w:rsid w:val="00E10005"/>
    <w:rsid w:val="00E15011"/>
    <w:rsid w:val="00E1723A"/>
    <w:rsid w:val="00E20A1D"/>
    <w:rsid w:val="00E218C3"/>
    <w:rsid w:val="00E25445"/>
    <w:rsid w:val="00E262A2"/>
    <w:rsid w:val="00E3092F"/>
    <w:rsid w:val="00E30E37"/>
    <w:rsid w:val="00E31CE1"/>
    <w:rsid w:val="00E34488"/>
    <w:rsid w:val="00E34D9B"/>
    <w:rsid w:val="00E35D51"/>
    <w:rsid w:val="00E4474E"/>
    <w:rsid w:val="00E45131"/>
    <w:rsid w:val="00E45C47"/>
    <w:rsid w:val="00E47C3E"/>
    <w:rsid w:val="00E54E69"/>
    <w:rsid w:val="00E553B5"/>
    <w:rsid w:val="00E62337"/>
    <w:rsid w:val="00E65986"/>
    <w:rsid w:val="00E732E8"/>
    <w:rsid w:val="00E7602C"/>
    <w:rsid w:val="00E81634"/>
    <w:rsid w:val="00E82B3E"/>
    <w:rsid w:val="00E83646"/>
    <w:rsid w:val="00E83E31"/>
    <w:rsid w:val="00E856D3"/>
    <w:rsid w:val="00E87093"/>
    <w:rsid w:val="00E965C6"/>
    <w:rsid w:val="00EA428A"/>
    <w:rsid w:val="00EB3A62"/>
    <w:rsid w:val="00EB446A"/>
    <w:rsid w:val="00EB59E8"/>
    <w:rsid w:val="00EC0528"/>
    <w:rsid w:val="00EC314F"/>
    <w:rsid w:val="00EC5502"/>
    <w:rsid w:val="00ED49E1"/>
    <w:rsid w:val="00ED5174"/>
    <w:rsid w:val="00EF68B6"/>
    <w:rsid w:val="00EF6A35"/>
    <w:rsid w:val="00F00D68"/>
    <w:rsid w:val="00F02E2A"/>
    <w:rsid w:val="00F0400A"/>
    <w:rsid w:val="00F10B3C"/>
    <w:rsid w:val="00F13E89"/>
    <w:rsid w:val="00F22A9B"/>
    <w:rsid w:val="00F234CE"/>
    <w:rsid w:val="00F27586"/>
    <w:rsid w:val="00F27EAF"/>
    <w:rsid w:val="00F35759"/>
    <w:rsid w:val="00F3777F"/>
    <w:rsid w:val="00F421BB"/>
    <w:rsid w:val="00F429DB"/>
    <w:rsid w:val="00F440BA"/>
    <w:rsid w:val="00F51D6B"/>
    <w:rsid w:val="00F5490B"/>
    <w:rsid w:val="00F55CDB"/>
    <w:rsid w:val="00F5750F"/>
    <w:rsid w:val="00F61A42"/>
    <w:rsid w:val="00F61FE7"/>
    <w:rsid w:val="00F65B6F"/>
    <w:rsid w:val="00F76360"/>
    <w:rsid w:val="00F7705B"/>
    <w:rsid w:val="00F83DE4"/>
    <w:rsid w:val="00F84DFE"/>
    <w:rsid w:val="00F91C0C"/>
    <w:rsid w:val="00FA2738"/>
    <w:rsid w:val="00FA2953"/>
    <w:rsid w:val="00FA611B"/>
    <w:rsid w:val="00FB062B"/>
    <w:rsid w:val="00FB27A8"/>
    <w:rsid w:val="00FC070F"/>
    <w:rsid w:val="00FD623E"/>
    <w:rsid w:val="00FE32F5"/>
    <w:rsid w:val="00FE4389"/>
    <w:rsid w:val="00FE6446"/>
    <w:rsid w:val="040A8124"/>
    <w:rsid w:val="0EC59903"/>
    <w:rsid w:val="441EA3E1"/>
    <w:rsid w:val="4C616381"/>
    <w:rsid w:val="4D6A7E34"/>
    <w:rsid w:val="7965E8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2CC27"/>
  <w15:chartTrackingRefBased/>
  <w15:docId w15:val="{2152618F-A8F8-422A-A4CD-2DCC30076679}"/>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eastAsia="MS Mincho"/>
      <w:sz w:val="22"/>
      <w:szCs w:val="24"/>
      <w:lang w:eastAsia="en-US"/>
    </w:rPr>
  </w:style>
  <w:style w:type="paragraph" w:styleId="Heading1">
    <w:name w:val="heading 1"/>
    <w:aliases w:val="IPPC Headsection"/>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eastAsia="MS Mincho"/>
      <w:sz w:val="22"/>
      <w:szCs w:val="24"/>
      <w:lang w:eastAsia="en-US"/>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eastAsia="MS Mincho"/>
      <w:sz w:val="22"/>
      <w:szCs w:val="24"/>
      <w:lang w:eastAsia="en-US"/>
    </w:rPr>
  </w:style>
  <w:style w:type="character" w:customStyle="1" w:styleId="Heading1Char">
    <w:name w:val="Heading 1 Char"/>
    <w:aliases w:val="IPPC Headsection Char"/>
    <w:basedOn w:val="DefaultParagraphFont"/>
    <w:link w:val="Heading1"/>
    <w:rPr>
      <w:rFonts w:eastAsia="MS Mincho"/>
      <w:b/>
      <w:bCs/>
      <w:sz w:val="22"/>
      <w:szCs w:val="24"/>
      <w:lang w:eastAsia="en-US"/>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paragraph" w:customStyle="1" w:styleId="IPPBullet2">
    <w:name w:val="IPP Bullet2"/>
    <w:basedOn w:val="IPPNormal"/>
    <w:next w:val="IPPBullet1"/>
    <w:qFormat/>
    <w:pPr>
      <w:numPr>
        <w:numId w:val="3"/>
      </w:numPr>
      <w:tabs>
        <w:tab w:val="left" w:pos="1134"/>
      </w:tabs>
      <w:spacing w:after="60"/>
      <w:ind w:left="1134" w:hanging="567"/>
    </w:pPr>
  </w:style>
  <w:style w:type="paragraph" w:customStyle="1" w:styleId="IPPQuote">
    <w:name w:val="IPP Quote"/>
    <w:basedOn w:val="IPPNormal"/>
    <w:qFormat/>
    <w:pPr>
      <w:ind w:left="851" w:right="851"/>
    </w:pPr>
    <w:rPr>
      <w:sz w:val="18"/>
    </w:rPr>
  </w:style>
  <w:style w:type="paragraph" w:customStyle="1" w:styleId="IPPNormal">
    <w:name w:val="IPP Normal"/>
    <w:basedOn w:val="Normal"/>
    <w:link w:val="IPPNormalChar"/>
    <w:qFormat/>
    <w:pPr>
      <w:spacing w:after="180"/>
    </w:pPr>
    <w:rPr>
      <w:rFonts w:eastAsia="Times"/>
    </w:r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basedOn w:val="DefaultParagraphFont"/>
    <w:rPr>
      <w:rFonts w:ascii="Times New Roman" w:hAnsi="Times New Roman"/>
      <w:i/>
      <w:sz w:val="22"/>
      <w:lang w:val="en-US"/>
    </w:rPr>
  </w:style>
  <w:style w:type="character" w:customStyle="1" w:styleId="IPPNormalbold">
    <w:name w:val="IPP Normal bold"/>
    <w:basedOn w:val="PlainTextChar"/>
    <w:rPr>
      <w:rFonts w:ascii="Times New Roman" w:eastAsia="Times" w:hAnsi="Times New Roman"/>
      <w:b/>
      <w:sz w:val="22"/>
      <w:szCs w:val="21"/>
      <w:lang w:val="en-AU" w:eastAsia="en-US"/>
    </w:r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pPr>
      <w:keepNext/>
      <w:ind w:left="567" w:hanging="567"/>
      <w:jc w:val="left"/>
    </w:pPr>
    <w:rPr>
      <w:b/>
      <w:bCs/>
      <w:iCs/>
      <w:szCs w:val="22"/>
    </w:rPr>
  </w:style>
  <w:style w:type="character" w:customStyle="1" w:styleId="IPPNormalunderlined">
    <w:name w:val="IPP Normal underlined"/>
    <w:basedOn w:val="DefaultParagraphFont"/>
    <w:rPr>
      <w:rFonts w:ascii="Times New Roman" w:hAnsi="Times New Roman"/>
      <w:sz w:val="22"/>
      <w:u w:val="single"/>
      <w:lang w:val="en-US"/>
    </w:rPr>
  </w:style>
  <w:style w:type="paragraph" w:customStyle="1" w:styleId="IPPBullet1">
    <w:name w:val="IPP Bullet1"/>
    <w:basedOn w:val="IPPBullet1Last"/>
    <w:qFormat/>
    <w:pPr>
      <w:numPr>
        <w:numId w:val="8"/>
      </w:numPr>
      <w:spacing w:after="60"/>
      <w:ind w:left="567" w:hanging="567"/>
    </w:pPr>
    <w:rPr>
      <w:lang w:val="en-US"/>
    </w:rPr>
  </w:style>
  <w:style w:type="paragraph" w:customStyle="1" w:styleId="IPPBullet1Last">
    <w:name w:val="IPP Bullet1Last"/>
    <w:basedOn w:val="IPPNormal"/>
    <w:next w:val="IPPNormal"/>
    <w:qFormat/>
    <w:pPr>
      <w:numPr>
        <w:numId w:val="5"/>
      </w:numPr>
    </w:pPr>
  </w:style>
  <w:style w:type="character" w:customStyle="1" w:styleId="IPPNormalstrikethrough">
    <w:name w:val="IPP Normal strikethrough"/>
    <w:rPr>
      <w:rFonts w:ascii="Times New Roman" w:hAnsi="Times New Roman"/>
      <w:strike/>
      <w:dstrike w:val="0"/>
      <w:sz w:val="22"/>
    </w:r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paragraph" w:customStyle="1" w:styleId="IPPHeader">
    <w:name w:val="IPP Header"/>
    <w:basedOn w:val="Normal"/>
    <w:qFormat/>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nnexHead">
    <w:name w:val="IPP AnnexHead"/>
    <w:basedOn w:val="IPPNormal"/>
    <w:next w:val="IPPNormal"/>
    <w:qFormat/>
    <w:pPr>
      <w:keepNext/>
      <w:tabs>
        <w:tab w:val="left" w:pos="567"/>
      </w:tabs>
      <w:spacing w:before="120"/>
      <w:jc w:val="left"/>
      <w:outlineLvl w:val="1"/>
    </w:pPr>
    <w:rPr>
      <w:b/>
      <w:sz w:val="24"/>
    </w:rPr>
  </w:style>
  <w:style w:type="numbering" w:customStyle="1" w:styleId="IPPParagraphnumberedlist">
    <w:name w:val="IPP Paragraph numbered list"/>
    <w:pPr>
      <w:numPr>
        <w:numId w:val="9"/>
      </w:numPr>
    </w:pPr>
  </w:style>
  <w:style w:type="paragraph" w:customStyle="1" w:styleId="IPPNormalCloseSpace">
    <w:name w:val="IPP NormalCloseSpace"/>
    <w:basedOn w:val="Normal"/>
    <w:qFormat/>
    <w:pPr>
      <w:keepNext/>
      <w:spacing w:after="60"/>
    </w:pPr>
  </w:style>
  <w:style w:type="paragraph" w:customStyle="1" w:styleId="IPPHeading2">
    <w:name w:val="IPP Heading2"/>
    <w:basedOn w:val="IPPNormal"/>
    <w:next w:val="IPPNormal"/>
    <w:qFormat/>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customStyle="1" w:styleId="IPPReferences">
    <w:name w:val="IPP References"/>
    <w:basedOn w:val="IPPNormal"/>
    <w:qFormat/>
    <w:pPr>
      <w:spacing w:after="60"/>
      <w:ind w:left="567" w:hanging="567"/>
    </w:pPr>
  </w:style>
  <w:style w:type="paragraph" w:customStyle="1" w:styleId="IPPArial">
    <w:name w:val="IPP Arial"/>
    <w:basedOn w:val="IPPNormal"/>
    <w:qFormat/>
    <w:pPr>
      <w:spacing w:after="0"/>
    </w:pPr>
    <w:rPr>
      <w:rFonts w:ascii="Arial" w:hAnsi="Arial"/>
      <w:sz w:val="18"/>
    </w:rPr>
  </w:style>
  <w:style w:type="paragraph" w:customStyle="1" w:styleId="IPPArialTable">
    <w:name w:val="IPP Arial Table"/>
    <w:basedOn w:val="IPPArial"/>
    <w:qFormat/>
    <w:pPr>
      <w:spacing w:before="60" w:after="60"/>
      <w:jc w:val="left"/>
    </w:p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character" w:styleId="PageNumber">
    <w:name w:val="page number"/>
    <w:rPr>
      <w:rFonts w:ascii="Arial" w:hAnsi="Arial"/>
      <w:b/>
      <w:sz w:val="18"/>
    </w:rPr>
  </w:style>
  <w:style w:type="character" w:customStyle="1" w:styleId="Heading2Char">
    <w:name w:val="Heading 2 Char"/>
    <w:basedOn w:val="DefaultParagraphFont"/>
    <w:link w:val="Heading2"/>
    <w:rPr>
      <w:rFonts w:ascii="Calibri" w:eastAsia="MS Mincho" w:hAnsi="Calibri"/>
      <w:b/>
      <w:bCs/>
      <w:i/>
      <w:iCs/>
      <w:sz w:val="28"/>
      <w:szCs w:val="28"/>
      <w:lang w:eastAsia="en-US"/>
    </w:rPr>
  </w:style>
  <w:style w:type="character" w:customStyle="1" w:styleId="Heading3Char">
    <w:name w:val="Heading 3 Char"/>
    <w:basedOn w:val="DefaultParagraphFont"/>
    <w:link w:val="Heading3"/>
    <w:rPr>
      <w:rFonts w:ascii="Calibri" w:eastAsia="MS Mincho" w:hAnsi="Calibri"/>
      <w:b/>
      <w:bCs/>
      <w:sz w:val="26"/>
      <w:szCs w:val="26"/>
      <w:lang w:eastAsia="en-US"/>
    </w:rPr>
  </w:style>
  <w:style w:type="paragraph" w:styleId="FootnoteText">
    <w:name w:val="footnote text"/>
    <w:basedOn w:val="Normal"/>
    <w:link w:val="FootnoteTextChar"/>
    <w:semiHidden/>
    <w:pPr>
      <w:spacing w:before="60"/>
    </w:pPr>
    <w:rPr>
      <w:sz w:val="20"/>
    </w:rPr>
  </w:style>
  <w:style w:type="character" w:customStyle="1" w:styleId="FootnoteTextChar">
    <w:name w:val="Footnote Text Char"/>
    <w:basedOn w:val="DefaultParagraphFont"/>
    <w:link w:val="FootnoteText"/>
    <w:semiHidden/>
    <w:rPr>
      <w:rFonts w:eastAsia="MS Mincho"/>
      <w:szCs w:val="24"/>
      <w:lang w:eastAsia="en-US"/>
    </w:rPr>
  </w:style>
  <w:style w:type="character" w:styleId="FootnoteReference">
    <w:name w:val="footnote reference"/>
    <w:basedOn w:val="DefaultParagraphFont"/>
    <w:semiHidden/>
    <w:rPr>
      <w:vertAlign w:val="superscript"/>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table" w:styleId="TableGrid">
    <w:name w:val="Table Grid"/>
    <w:basedOn w:val="TableNormal"/>
    <w:rPr>
      <w:rFonts w:ascii="Cambria" w:eastAsia="MS Mincho" w:hAnsi="Cambr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MS Mincho" w:hAnsi="Tahoma" w:cs="Tahoma"/>
      <w:sz w:val="16"/>
      <w:szCs w:val="16"/>
      <w:lang w:eastAsia="en-US"/>
    </w:rPr>
  </w:style>
  <w:style w:type="paragraph" w:customStyle="1" w:styleId="IPPLetterList">
    <w:name w:val="IPP LetterList"/>
    <w:basedOn w:val="IPPBullet2"/>
    <w:qFormat/>
    <w:pPr>
      <w:numPr>
        <w:numId w:val="1"/>
      </w:numPr>
      <w:jc w:val="left"/>
    </w:pPr>
  </w:style>
  <w:style w:type="paragraph" w:customStyle="1" w:styleId="IPPLetterListIndent">
    <w:name w:val="IPP LetterList Indent"/>
    <w:basedOn w:val="IPPLetterList"/>
    <w:qFormat/>
    <w:pPr>
      <w:numPr>
        <w:numId w:val="2"/>
      </w:numPr>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paragraph" w:customStyle="1" w:styleId="IPPSubheadSpace">
    <w:name w:val="IPP Subhead Space"/>
    <w:basedOn w:val="IPPSubhead"/>
    <w:qFormat/>
    <w:pPr>
      <w:tabs>
        <w:tab w:val="left" w:pos="567"/>
      </w:tabs>
      <w:spacing w:before="60" w:after="60"/>
    </w:pPr>
  </w:style>
  <w:style w:type="paragraph" w:customStyle="1" w:styleId="IPPSubheadSpaceAfter">
    <w:name w:val="IPP Subhead SpaceAfter"/>
    <w:basedOn w:val="IPPSubhead"/>
    <w:qFormat/>
    <w:pPr>
      <w:spacing w:after="60"/>
    </w:pPr>
  </w:style>
  <w:style w:type="paragraph" w:customStyle="1" w:styleId="IPPHdg1Num">
    <w:name w:val="IPP Hdg1Num"/>
    <w:basedOn w:val="IPPHeading1"/>
    <w:next w:val="IPPNormal"/>
    <w:qFormat/>
    <w:pPr>
      <w:numPr>
        <w:numId w:val="6"/>
      </w:numPr>
    </w:pPr>
  </w:style>
  <w:style w:type="paragraph" w:customStyle="1" w:styleId="IPPHdg2Num">
    <w:name w:val="IPP Hdg2Num"/>
    <w:basedOn w:val="IPPHeading2"/>
    <w:next w:val="IPPNormal"/>
    <w:qFormat/>
    <w:pPr>
      <w:numPr>
        <w:ilvl w:val="1" numString="1.1. "/>
        <w:numId w:val="7"/>
      </w:numPr>
    </w:pPr>
  </w:style>
  <w:style w:type="paragraph" w:customStyle="1" w:styleId="IPPNumberedList">
    <w:name w:val="IPP NumberedList"/>
    <w:basedOn w:val="IPPBullet1"/>
    <w:qFormat/>
    <w:pPr>
      <w:numPr>
        <w:numId w:val="4"/>
      </w:numPr>
    </w:pPr>
  </w:style>
  <w:style w:type="paragraph" w:customStyle="1" w:styleId="IPPParagraphnumbering">
    <w:name w:val="IPP Paragraph numbering"/>
    <w:basedOn w:val="IPPNormal"/>
    <w:qFormat/>
    <w:pPr>
      <w:numPr>
        <w:numId w:val="10"/>
      </w:numPr>
    </w:pPr>
    <w:rPr>
      <w:lang w:val="en-US"/>
    </w:r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styleId="TOC4">
    <w:name w:val="toc 4"/>
    <w:basedOn w:val="Normal"/>
    <w:next w:val="Normal"/>
    <w:autoRedefine/>
    <w:uiPriority w:val="39"/>
    <w:pPr>
      <w:spacing w:after="120"/>
      <w:ind w:left="660"/>
    </w:pPr>
    <w:rPr>
      <w:rFonts w:eastAsia="Times"/>
      <w:lang w:val="en-AU"/>
    </w:rPr>
  </w:style>
  <w:style w:type="paragraph" w:styleId="TOC5">
    <w:name w:val="toc 5"/>
    <w:basedOn w:val="Normal"/>
    <w:next w:val="Normal"/>
    <w:autoRedefine/>
    <w:uiPriority w:val="39"/>
    <w:pPr>
      <w:spacing w:after="120"/>
      <w:ind w:left="880"/>
    </w:pPr>
    <w:rPr>
      <w:rFonts w:eastAsia="Times"/>
      <w:lang w:val="en-AU"/>
    </w:rPr>
  </w:style>
  <w:style w:type="paragraph" w:styleId="TOC6">
    <w:name w:val="toc 6"/>
    <w:basedOn w:val="Normal"/>
    <w:next w:val="Normal"/>
    <w:autoRedefine/>
    <w:uiPriority w:val="39"/>
    <w:pPr>
      <w:spacing w:after="120"/>
      <w:ind w:left="1100"/>
    </w:pPr>
    <w:rPr>
      <w:rFonts w:eastAsia="Times"/>
      <w:lang w:val="en-AU"/>
    </w:rPr>
  </w:style>
  <w:style w:type="paragraph" w:styleId="TOC7">
    <w:name w:val="toc 7"/>
    <w:basedOn w:val="Normal"/>
    <w:next w:val="Normal"/>
    <w:autoRedefine/>
    <w:uiPriority w:val="39"/>
    <w:pPr>
      <w:spacing w:after="120"/>
      <w:ind w:left="1320"/>
    </w:pPr>
    <w:rPr>
      <w:rFonts w:eastAsia="Times"/>
      <w:lang w:val="en-AU"/>
    </w:rPr>
  </w:style>
  <w:style w:type="paragraph" w:styleId="TOC8">
    <w:name w:val="toc 8"/>
    <w:basedOn w:val="Normal"/>
    <w:next w:val="Normal"/>
    <w:autoRedefine/>
    <w:uiPriority w:val="39"/>
    <w:pPr>
      <w:spacing w:after="120"/>
      <w:ind w:left="1540"/>
    </w:pPr>
    <w:rPr>
      <w:rFonts w:eastAsia="Times"/>
      <w:lang w:val="en-AU"/>
    </w:rPr>
  </w:style>
  <w:style w:type="paragraph" w:styleId="TOC9">
    <w:name w:val="toc 9"/>
    <w:basedOn w:val="Normal"/>
    <w:next w:val="Normal"/>
    <w:autoRedefine/>
    <w:uiPriority w:val="39"/>
    <w:pPr>
      <w:spacing w:after="120"/>
      <w:ind w:left="1760"/>
    </w:pPr>
    <w:rPr>
      <w:rFonts w:eastAsia="Times"/>
      <w:lang w:val="en-AU"/>
    </w:rPr>
  </w:style>
  <w:style w:type="paragraph" w:customStyle="1" w:styleId="IPPParagraphnumberingclose">
    <w:name w:val="IPP Paragraph numbering close"/>
    <w:basedOn w:val="IPPParagraphnumbering"/>
    <w:qFormat/>
    <w:pPr>
      <w:keepNext/>
      <w:spacing w:after="60"/>
    </w:pPr>
  </w:style>
  <w:style w:type="paragraph" w:styleId="PlainText">
    <w:name w:val="Plain Text"/>
    <w:basedOn w:val="Normal"/>
    <w:link w:val="PlainTextChar"/>
    <w:uiPriority w:val="99"/>
    <w:unhideWhenUsed/>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Pr>
      <w:rFonts w:ascii="Courier" w:eastAsia="Times" w:hAnsi="Courier"/>
      <w:sz w:val="21"/>
      <w:szCs w:val="21"/>
      <w:lang w:val="en-AU" w:eastAsia="en-US"/>
    </w:rPr>
  </w:style>
  <w:style w:type="paragraph" w:customStyle="1" w:styleId="IPPNumberedListLast">
    <w:name w:val="IPP NumberedListLast"/>
    <w:basedOn w:val="IPPNumberedList"/>
    <w:qFormat/>
    <w:pPr>
      <w:spacing w:after="180"/>
    </w:pPr>
  </w:style>
  <w:style w:type="character" w:styleId="Strong">
    <w:name w:val="Strong"/>
    <w:basedOn w:val="DefaultParagraphFont"/>
    <w:qFormat/>
    <w:rPr>
      <w:b/>
      <w:bCs/>
    </w:rPr>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val="nl-NL" w:eastAsia="nl-NL"/>
    </w:rPr>
  </w:style>
  <w:style w:type="paragraph" w:customStyle="1" w:styleId="IPPPargraphnumbering">
    <w:name w:val="IPP Pargraph numbering"/>
    <w:basedOn w:val="IPPNormal"/>
    <w:qFormat/>
    <w:pPr>
      <w:tabs>
        <w:tab w:val="num" w:pos="0"/>
      </w:tabs>
      <w:ind w:hanging="482"/>
    </w:pPr>
    <w:rPr>
      <w:lang w:val="en-US"/>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qFormat/>
    <w:rPr>
      <w:sz w:val="20"/>
      <w:szCs w:val="20"/>
      <w:lang w:val="x-none"/>
    </w:rPr>
  </w:style>
  <w:style w:type="character" w:customStyle="1" w:styleId="CommentTextChar">
    <w:name w:val="Comment Text Char"/>
    <w:link w:val="CommentText"/>
    <w:uiPriority w:val="99"/>
    <w:qFormat/>
    <w:rPr>
      <w:rFonts w:eastAsia="MS Mincho"/>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MS Mincho"/>
      <w:b/>
      <w:bCs/>
      <w:lang w:eastAsia="en-US"/>
    </w:rPr>
  </w:style>
  <w:style w:type="character" w:customStyle="1" w:styleId="IPPNormalChar">
    <w:name w:val="IPP Normal Char"/>
    <w:link w:val="IPPNormal"/>
    <w:rPr>
      <w:rFonts w:eastAsia="Times"/>
      <w:sz w:val="22"/>
      <w:szCs w:val="24"/>
      <w:lang w:eastAsia="en-US"/>
    </w:rPr>
  </w:style>
  <w:style w:type="paragraph" w:styleId="NormalWeb">
    <w:name w:val="Normal (Web)"/>
    <w:basedOn w:val="Normal"/>
    <w:uiPriority w:val="99"/>
    <w:unhideWhenUsed/>
    <w:pPr>
      <w:spacing w:before="100" w:beforeAutospacing="1" w:after="100" w:afterAutospacing="1"/>
      <w:jc w:val="left"/>
    </w:pPr>
    <w:rPr>
      <w:rFonts w:eastAsia="Times New Roman"/>
      <w:sz w:val="24"/>
      <w:lang w:val="en-US"/>
    </w:rPr>
  </w:style>
  <w:style w:type="paragraph" w:styleId="Revision">
    <w:name w:val="Revision"/>
    <w:hidden/>
    <w:uiPriority w:val="99"/>
    <w:semiHidden/>
    <w:rPr>
      <w:rFonts w:eastAsia="MS Mincho"/>
      <w:sz w:val="22"/>
      <w:szCs w:val="24"/>
      <w:lang w:eastAsia="en-US"/>
    </w:rPr>
  </w:style>
  <w:style w:type="paragraph" w:customStyle="1" w:styleId="footnotedescription">
    <w:name w:val="footnote description"/>
    <w:next w:val="Normal"/>
    <w:link w:val="footnotedescriptionChar"/>
    <w:hidden/>
    <w:pPr>
      <w:spacing w:line="276" w:lineRule="auto"/>
      <w:ind w:left="1"/>
    </w:pPr>
    <w:rPr>
      <w:rFonts w:eastAsia="Times New Roman"/>
      <w:color w:val="000000"/>
      <w:szCs w:val="22"/>
      <w:lang w:val="en-AU" w:eastAsia="en-AU"/>
    </w:rPr>
  </w:style>
  <w:style w:type="character" w:customStyle="1" w:styleId="footnotedescriptionChar">
    <w:name w:val="footnote description Char"/>
    <w:link w:val="footnotedescription"/>
    <w:rPr>
      <w:rFonts w:eastAsia="Times New Roman"/>
      <w:color w:val="000000"/>
      <w:szCs w:val="22"/>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0">
    <w:name w:val="TableGrid"/>
    <w:rPr>
      <w:rFonts w:ascii="Calibri" w:eastAsia="Times New Roman" w:hAnsi="Calibri"/>
      <w:sz w:val="22"/>
      <w:szCs w:val="22"/>
      <w:lang w:val="en-AU" w:eastAsia="en-AU"/>
    </w:rPr>
    <w:tblPr>
      <w:tblCellMar>
        <w:top w:w="0" w:type="dxa"/>
        <w:left w:w="0" w:type="dxa"/>
        <w:bottom w:w="0" w:type="dxa"/>
        <w:right w:w="0" w:type="dxa"/>
      </w:tblCellMar>
    </w:tblPr>
  </w:style>
  <w:style w:type="table" w:customStyle="1" w:styleId="TableGrid3">
    <w:name w:val="TableGrid3"/>
    <w:rPr>
      <w:rFonts w:ascii="Calibri" w:eastAsia="Times New Roman" w:hAnsi="Calibri"/>
      <w:sz w:val="22"/>
      <w:szCs w:val="22"/>
      <w:lang w:val="en-AU" w:eastAsia="en-AU"/>
    </w:rPr>
    <w:tblPr>
      <w:tblCellMar>
        <w:top w:w="0" w:type="dxa"/>
        <w:left w:w="0" w:type="dxa"/>
        <w:bottom w:w="0" w:type="dxa"/>
        <w:right w:w="0" w:type="dxa"/>
      </w:tblCellMar>
    </w:tblPr>
  </w:style>
  <w:style w:type="character" w:styleId="Hyperlink">
    <w:name w:val="Hyperlink"/>
    <w:basedOn w:val="DefaultParagraphFont"/>
    <w:unhideWhenUsed/>
    <w:rPr>
      <w:color w:val="0000FF"/>
      <w:u w:val="none"/>
    </w:rPr>
  </w:style>
  <w:style w:type="paragraph" w:customStyle="1" w:styleId="Default">
    <w:name w:val="Default"/>
    <w:pPr>
      <w:autoSpaceDE w:val="0"/>
      <w:autoSpaceDN w:val="0"/>
      <w:adjustRightInd w:val="0"/>
    </w:pPr>
    <w:rPr>
      <w:color w:val="000000"/>
      <w:sz w:val="24"/>
      <w:szCs w:val="24"/>
      <w:lang w:val="en-AU" w:eastAsia="en-AU"/>
    </w:rPr>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basedOn w:val="DefaultParagraphFont"/>
    <w:semiHidden/>
    <w:unhideWhenUsed/>
    <w:rPr>
      <w:color w:val="954F72" w:themeColor="followedHyperlink"/>
      <w:u w:val="none"/>
    </w:rPr>
  </w:style>
  <w:style w:type="character" w:customStyle="1" w:styleId="PleaseReviewParagraphId">
    <w:name w:val="PleaseReviewParagraphId"/>
    <w:basedOn w:val="DefaultParagraphFont"/>
    <w:rPr>
      <w:rFonts w:ascii="Arial" w:hAnsi="Arial"/>
      <w:b w:val="0"/>
      <w:i w:val="0"/>
      <w:color w:val="000080"/>
      <w:sz w:val="16"/>
      <w:u w:val="none"/>
    </w:rPr>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ivs>
    <w:div w:id="534848131">
      <w:bodyDiv w:val="1"/>
      <w:marLeft w:val="0"/>
      <w:marRight w:val="0"/>
      <w:marTop w:val="0"/>
      <w:marBottom w:val="0"/>
      <w:divBdr>
        <w:top w:val="none" w:sz="0" w:space="0" w:color="auto"/>
        <w:left w:val="none" w:sz="0" w:space="0" w:color="auto"/>
        <w:bottom w:val="none" w:sz="0" w:space="0" w:color="auto"/>
        <w:right w:val="none" w:sz="0" w:space="0" w:color="auto"/>
      </w:divBdr>
    </w:div>
    <w:div w:id="1245842331">
      <w:bodyDiv w:val="1"/>
      <w:marLeft w:val="0"/>
      <w:marRight w:val="0"/>
      <w:marTop w:val="0"/>
      <w:marBottom w:val="0"/>
      <w:divBdr>
        <w:top w:val="none" w:sz="0" w:space="0" w:color="auto"/>
        <w:left w:val="none" w:sz="0" w:space="0" w:color="auto"/>
        <w:bottom w:val="none" w:sz="0" w:space="0" w:color="auto"/>
        <w:right w:val="none" w:sz="0" w:space="0" w:color="auto"/>
      </w:divBdr>
    </w:div>
    <w:div w:id="1322537639">
      <w:bodyDiv w:val="1"/>
      <w:marLeft w:val="0"/>
      <w:marRight w:val="0"/>
      <w:marTop w:val="0"/>
      <w:marBottom w:val="0"/>
      <w:divBdr>
        <w:top w:val="none" w:sz="0" w:space="0" w:color="auto"/>
        <w:left w:val="none" w:sz="0" w:space="0" w:color="auto"/>
        <w:bottom w:val="none" w:sz="0" w:space="0" w:color="auto"/>
        <w:right w:val="none" w:sz="0" w:space="0" w:color="auto"/>
      </w:divBdr>
    </w:div>
    <w:div w:id="1796633991">
      <w:bodyDiv w:val="1"/>
      <w:marLeft w:val="0"/>
      <w:marRight w:val="0"/>
      <w:marTop w:val="0"/>
      <w:marBottom w:val="0"/>
      <w:divBdr>
        <w:top w:val="none" w:sz="0" w:space="0" w:color="auto"/>
        <w:left w:val="none" w:sz="0" w:space="0" w:color="auto"/>
        <w:bottom w:val="none" w:sz="0" w:space="0" w:color="auto"/>
        <w:right w:val="none" w:sz="0" w:space="0" w:color="auto"/>
      </w:divBdr>
    </w:div>
    <w:div w:id="1809349074">
      <w:bodyDiv w:val="1"/>
      <w:marLeft w:val="0"/>
      <w:marRight w:val="0"/>
      <w:marTop w:val="0"/>
      <w:marBottom w:val="0"/>
      <w:divBdr>
        <w:top w:val="none" w:sz="0" w:space="0" w:color="auto"/>
        <w:left w:val="none" w:sz="0" w:space="0" w:color="auto"/>
        <w:bottom w:val="none" w:sz="0" w:space="0" w:color="auto"/>
        <w:right w:val="none" w:sz="0" w:space="0" w:color="auto"/>
      </w:divBdr>
    </w:div>
    <w:div w:id="206178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journals.flvc.org/flaent/article/view/58735" TargetMode="External" Id="rId13" /><Relationship Type="http://schemas.openxmlformats.org/officeDocument/2006/relationships/hyperlink" Target="https://doi.org/10.1016/S0925-5214(01)00090-4"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doi.org/10.1016/0022-474X(95)00039-A" TargetMode="External" Id="rId21" /><Relationship Type="http://schemas.openxmlformats.org/officeDocument/2006/relationships/settings" Target="settings.xml" Id="rId7" /><Relationship Type="http://schemas.openxmlformats.org/officeDocument/2006/relationships/hyperlink" Target="https://doi.org/10.1093/jee/97.2.286" TargetMode="External" Id="rId12" /><Relationship Type="http://schemas.openxmlformats.org/officeDocument/2006/relationships/hyperlink" Target="https://doi.org/10.1603/EC10228" TargetMode="External" Id="rId17" /><Relationship Type="http://schemas.openxmlformats.org/officeDocument/2006/relationships/hyperlink" Target="https://doi.org/10.1093/jee/toad170" TargetMode="External" Id="rId25" /><Relationship Type="http://schemas.openxmlformats.org/officeDocument/2006/relationships/customXml" Target="../customXml/item2.xml" Id="rId2" /><Relationship Type="http://schemas.openxmlformats.org/officeDocument/2006/relationships/hyperlink" Target="https://journals.flvc.org/flaent/article/view/82599" TargetMode="External" Id="rId16" /><Relationship Type="http://schemas.openxmlformats.org/officeDocument/2006/relationships/hyperlink" Target="https://doi.org/10.1046/j.1439-0418.2003.00723.x"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ippc.int/core-activities/standards-setting/ispms" TargetMode="External" Id="rId11" /><Relationship Type="http://schemas.openxmlformats.org/officeDocument/2006/relationships/hyperlink" Target="https://journals.flvc.org/flaent/article/view/88683" TargetMode="External" Id="rId24" /><Relationship Type="http://schemas.openxmlformats.org/officeDocument/2006/relationships/numbering" Target="numbering.xml" Id="rId5" /><Relationship Type="http://schemas.openxmlformats.org/officeDocument/2006/relationships/hyperlink" Target="https://doi.org/10.1093/jee/97.4.1245" TargetMode="External" Id="rId15" /><Relationship Type="http://schemas.openxmlformats.org/officeDocument/2006/relationships/hyperlink" Target="https://journals.flvc.org/fshs/article/view/94415" TargetMode="External" Id="rId23" /><Relationship Type="http://schemas.openxmlformats.org/officeDocument/2006/relationships/endnotes" Target="endnotes.xml" Id="rId10" /><Relationship Type="http://schemas.openxmlformats.org/officeDocument/2006/relationships/hyperlink" Target="https://www-pub.iaea.org/MTCD/Publications/PDF/Pub873.pdf"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doi.org/10.1093/jee/97.3.824" TargetMode="External" Id="rId14" /><Relationship Type="http://schemas.openxmlformats.org/officeDocument/2006/relationships/hyperlink" Target="https://journals.flvc.org/fshs/article/view/94783" TargetMode="External" Id="rId22" /><Relationship Type="http://schemas.openxmlformats.org/officeDocument/2006/relationships/theme" Target="theme/theme1.xml" Id="rId27" /></Relationships>
</file>

<file path=word/_rels/settings.xml.rels>&#65279;<?xml version="1.0" encoding="utf-8"?><Relationships xmlns="http://schemas.openxmlformats.org/package/2006/relationships"><Relationship Type="http://schemas.openxmlformats.org/officeDocument/2006/relationships/attachedTemplate" Target="file:///C:\Users\Torella\Downloads\IPPC_2024-06-17%20(1).dotx" TargetMode="Externa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itemProps1.xml" Id="rId1" /></Relationships>
</file>

<file path=customXml/_rels/item2.xml.rels>&#65279;<?xml version="1.0" encoding="utf-8"?><Relationships xmlns="http://schemas.openxmlformats.org/package/2006/relationships"><Relationship Type="http://schemas.openxmlformats.org/officeDocument/2006/relationships/customXmlProps" Target="itemProps2.xml" Id="rId1" /></Relationships>
</file>

<file path=customXml/_rels/item3.xml.rels>&#65279;<?xml version="1.0" encoding="utf-8"?><Relationships xmlns="http://schemas.openxmlformats.org/package/2006/relationships"><Relationship Type="http://schemas.openxmlformats.org/officeDocument/2006/relationships/customXmlProps" Target="itemProps3.xml" Id="rId1" /></Relationships>
</file>

<file path=customXml/_rels/item4.xml.rels>&#65279;<?xml version="1.0" encoding="utf-8"?><Relationships xmlns="http://schemas.openxmlformats.org/package/2006/relationships"><Relationship Type="http://schemas.openxmlformats.org/officeDocument/2006/relationships/customXmlProps" Target="itemProps4.xml" Id="rId1" /></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20" ma:contentTypeDescription="Create a new document." ma:contentTypeScope="" ma:versionID="58c79fb002f89a5111e50c4b7040bcb6">
  <xsd:schema xmlns:xs="http://www.w3.org/2001/XMLSchema" xmlns:xsd="http://www.w3.org/2001/XMLSchema" xmlns:p="http://schemas.microsoft.com/office/2006/metadata/properties" xmlns:ns2="a05d7f75-f42e-4288-8809-604fd4d9691f" xmlns:ns3="ea6feb38-a85a-45e8-92e9-814486bbe375" targetNamespace="http://schemas.microsoft.com/office/2006/metadata/properties" ma:root="true" ma:fieldsID="c7dd2e9d878049d154ba4207012eb770"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http://www.w3.org/2001/XMLSchema" xmlns:xsd="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http://www.w3.org/2001/XMLSchema" xmlns:xsd="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4.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1D3930A8-B5DD-4598-AC05-3B357567EA8A}">
  <ds:schemaRefs>
    <ds:schemaRef ds:uri="http://schemas.microsoft.com/sharepoint/v3/contenttype/forms"/>
  </ds:schemaRefs>
</ds:datastoreItem>
</file>

<file path=customXml/itemProps2.xml><?xml version="1.0" encoding="utf-8"?>
<ds:datastoreItem xmlns:ds="http://schemas.openxmlformats.org/officeDocument/2006/customXml" ds:itemID="{3C7A07FB-3D77-4E04-97A6-D4C51DD47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D953A3-9F89-4412-A579-6CF11C9E80B0}">
  <ds:schemaRefs>
    <ds:schemaRef ds:uri="http://purl.org/dc/elements/1.1/"/>
    <ds:schemaRef ds:uri="http://schemas.microsoft.com/office/2006/metadata/properties"/>
    <ds:schemaRef ds:uri="http://purl.org/dc/dcmitype/"/>
    <ds:schemaRef ds:uri="http://www.w3.org/XML/1998/namespace"/>
    <ds:schemaRef ds:uri="http://schemas.microsoft.com/office/2006/documentManagement/types"/>
    <ds:schemaRef ds:uri="a05d7f75-f42e-4288-8809-604fd4d9691f"/>
    <ds:schemaRef ds:uri="http://purl.org/dc/terms/"/>
    <ds:schemaRef ds:uri="http://schemas.microsoft.com/office/infopath/2007/PartnerControls"/>
    <ds:schemaRef ds:uri="http://schemas.openxmlformats.org/package/2006/metadata/core-properties"/>
    <ds:schemaRef ds:uri="ea6feb38-a85a-45e8-92e9-814486bbe375"/>
  </ds:schemaRefs>
</ds:datastoreItem>
</file>

<file path=customXml/itemProps4.xml><?xml version="1.0" encoding="utf-8"?>
<ds:datastoreItem xmlns:ds="http://schemas.openxmlformats.org/officeDocument/2006/customXml" ds:itemID="{203C58C4-0A9D-4360-9AAC-00955C889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IPPC_2024-06-17 (1)</Template>
  <TotalTime>0</TotalTime>
  <Pages>1</Pages>
  <Words>1522</Words>
  <Characters>8681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FAO</dc:creator>
  <cp:keywords/>
  <cp:lastModifiedBy>Prizm</cp:lastModifiedBy>
  <cp:revision>2</cp:revision>
  <cp:lastPrinted>2024-10-07T20:43:00Z</cp:lastPrinted>
  <dcterms:created xsi:type="dcterms:W3CDTF">2025-07-01T09:48:00Z</dcterms:created>
  <dcterms:modified xsi:type="dcterms:W3CDTF">2025-07-01T09:48:00Z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0x010100299519679B1A8B4091DBA33CE26F55F5</vt:lpwstr>
  </property>
</Properties>
</file>