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4410" w14:textId="65D84C9D" w:rsidR="00F23F40" w:rsidRDefault="00F23F40" w:rsidP="00F23F40">
      <w:pPr>
        <w:pStyle w:val="Default"/>
        <w:rPr>
          <w:b/>
          <w:bCs/>
          <w:sz w:val="23"/>
          <w:szCs w:val="23"/>
        </w:rPr>
      </w:pPr>
      <w:r>
        <w:rPr>
          <w:b/>
          <w:bCs/>
          <w:sz w:val="23"/>
          <w:szCs w:val="23"/>
        </w:rPr>
        <w:t xml:space="preserve">Attachment 01: Communication on Events </w:t>
      </w:r>
    </w:p>
    <w:p w14:paraId="60D0EC87" w14:textId="77777777" w:rsidR="00F23F40" w:rsidRDefault="00F23F40" w:rsidP="00F23F40">
      <w:pPr>
        <w:pStyle w:val="Default"/>
        <w:rPr>
          <w:sz w:val="23"/>
          <w:szCs w:val="23"/>
        </w:rPr>
      </w:pPr>
    </w:p>
    <w:p w14:paraId="5524DF58" w14:textId="77777777" w:rsidR="00F23F40" w:rsidRDefault="00F23F40" w:rsidP="00F23F40">
      <w:pPr>
        <w:pStyle w:val="Default"/>
        <w:rPr>
          <w:sz w:val="22"/>
          <w:szCs w:val="22"/>
        </w:rPr>
      </w:pPr>
      <w:r>
        <w:rPr>
          <w:sz w:val="22"/>
          <w:szCs w:val="22"/>
        </w:rPr>
        <w:t xml:space="preserve">During the TC-RPPO meetings, the group noticed that there is a great </w:t>
      </w:r>
      <w:proofErr w:type="gramStart"/>
      <w:r>
        <w:rPr>
          <w:sz w:val="22"/>
          <w:szCs w:val="22"/>
        </w:rPr>
        <w:t>amount</w:t>
      </w:r>
      <w:proofErr w:type="gramEnd"/>
      <w:r>
        <w:rPr>
          <w:sz w:val="22"/>
          <w:szCs w:val="22"/>
        </w:rPr>
        <w:t xml:space="preserve"> of important and interesting events being organized and taking place in different regions. </w:t>
      </w:r>
      <w:proofErr w:type="gramStart"/>
      <w:r>
        <w:rPr>
          <w:sz w:val="22"/>
          <w:szCs w:val="22"/>
        </w:rPr>
        <w:t>In order to</w:t>
      </w:r>
      <w:proofErr w:type="gramEnd"/>
      <w:r>
        <w:rPr>
          <w:sz w:val="22"/>
          <w:szCs w:val="22"/>
        </w:rPr>
        <w:t xml:space="preserve"> make this information available and to promote participation across regions, the TC-RPPO prepared a draft to put in place a mechanism with that purpose. </w:t>
      </w:r>
    </w:p>
    <w:p w14:paraId="37C06522" w14:textId="77777777" w:rsidR="00F23F40" w:rsidRDefault="00F23F40" w:rsidP="00F23F40">
      <w:pPr>
        <w:pStyle w:val="Default"/>
        <w:rPr>
          <w:sz w:val="22"/>
          <w:szCs w:val="22"/>
        </w:rPr>
      </w:pPr>
    </w:p>
    <w:p w14:paraId="02992264" w14:textId="77777777" w:rsidR="00F23F40" w:rsidRDefault="00F23F40" w:rsidP="00F23F40">
      <w:pPr>
        <w:pStyle w:val="Default"/>
        <w:rPr>
          <w:sz w:val="22"/>
          <w:szCs w:val="22"/>
        </w:rPr>
      </w:pPr>
      <w:r>
        <w:rPr>
          <w:sz w:val="22"/>
          <w:szCs w:val="22"/>
        </w:rPr>
        <w:t xml:space="preserve">It was agreed that each RPPO contact point will communicate to the TC-RPPO future regional events using this draft, considering enough time to facilitate other NPPOs or </w:t>
      </w:r>
      <w:proofErr w:type="gramStart"/>
      <w:r>
        <w:rPr>
          <w:sz w:val="22"/>
          <w:szCs w:val="22"/>
        </w:rPr>
        <w:t>RPPOs</w:t>
      </w:r>
      <w:proofErr w:type="gramEnd"/>
      <w:r>
        <w:rPr>
          <w:sz w:val="22"/>
          <w:szCs w:val="22"/>
        </w:rPr>
        <w:t xml:space="preserve"> participation. The regional events may include Workshops, Webinars, Symposiums, etc. organized by the RPPOs. </w:t>
      </w:r>
    </w:p>
    <w:p w14:paraId="0FD2D497" w14:textId="77777777" w:rsidR="00F23F40" w:rsidRDefault="00F23F40" w:rsidP="00F23F40">
      <w:pPr>
        <w:pStyle w:val="Default"/>
        <w:rPr>
          <w:sz w:val="22"/>
          <w:szCs w:val="22"/>
        </w:rPr>
      </w:pPr>
    </w:p>
    <w:p w14:paraId="728ADC89" w14:textId="543B5733" w:rsidR="00F23F40" w:rsidRDefault="00F23F40" w:rsidP="00F23F40">
      <w:pPr>
        <w:pStyle w:val="Default"/>
        <w:rPr>
          <w:sz w:val="22"/>
          <w:szCs w:val="22"/>
        </w:rPr>
      </w:pPr>
      <w:r>
        <w:rPr>
          <w:sz w:val="22"/>
          <w:szCs w:val="22"/>
        </w:rPr>
        <w:t xml:space="preserve">The information about those regional events should include, at least, the information </w:t>
      </w:r>
      <w:proofErr w:type="gramStart"/>
      <w:r>
        <w:rPr>
          <w:sz w:val="22"/>
          <w:szCs w:val="22"/>
        </w:rPr>
        <w:t>in</w:t>
      </w:r>
      <w:proofErr w:type="gramEnd"/>
      <w:r>
        <w:rPr>
          <w:sz w:val="22"/>
          <w:szCs w:val="22"/>
        </w:rPr>
        <w:t xml:space="preserve"> the table below.</w:t>
      </w:r>
    </w:p>
    <w:p w14:paraId="574C7A3C" w14:textId="77777777" w:rsidR="00F23F40" w:rsidRDefault="00F23F40" w:rsidP="00F23F40">
      <w:pPr>
        <w:pStyle w:val="Default"/>
        <w:rPr>
          <w:sz w:val="22"/>
          <w:szCs w:val="22"/>
        </w:rPr>
      </w:pPr>
    </w:p>
    <w:tbl>
      <w:tblPr>
        <w:tblStyle w:val="TableGrid"/>
        <w:tblW w:w="9355" w:type="dxa"/>
        <w:tblLook w:val="04A0" w:firstRow="1" w:lastRow="0" w:firstColumn="1" w:lastColumn="0" w:noHBand="0" w:noVBand="1"/>
      </w:tblPr>
      <w:tblGrid>
        <w:gridCol w:w="2875"/>
        <w:gridCol w:w="6480"/>
      </w:tblGrid>
      <w:tr w:rsidR="00F23F40" w14:paraId="3166E40E" w14:textId="77777777" w:rsidTr="006F3E90">
        <w:tc>
          <w:tcPr>
            <w:tcW w:w="9355" w:type="dxa"/>
            <w:gridSpan w:val="2"/>
          </w:tcPr>
          <w:p w14:paraId="01F1B985" w14:textId="7858AEAB" w:rsidR="00F23F40" w:rsidRPr="00CF322B" w:rsidRDefault="00CF322B" w:rsidP="00F23F40">
            <w:pPr>
              <w:pStyle w:val="Default"/>
              <w:rPr>
                <w:b/>
                <w:bCs/>
                <w:sz w:val="22"/>
                <w:szCs w:val="22"/>
              </w:rPr>
            </w:pPr>
            <w:r w:rsidRPr="00CF322B">
              <w:rPr>
                <w:b/>
                <w:bCs/>
                <w:sz w:val="22"/>
                <w:szCs w:val="22"/>
              </w:rPr>
              <w:t>RPPO’S ACTIVITIES OR EVENTS OF INTEREST</w:t>
            </w:r>
          </w:p>
        </w:tc>
      </w:tr>
      <w:tr w:rsidR="00F23F40" w14:paraId="7D84F1C0" w14:textId="77777777" w:rsidTr="00480A22">
        <w:tc>
          <w:tcPr>
            <w:tcW w:w="2875" w:type="dxa"/>
          </w:tcPr>
          <w:p w14:paraId="5347C487" w14:textId="1DCE0CB8" w:rsidR="00F23F40" w:rsidRDefault="00F23F40" w:rsidP="00F23F40">
            <w:pPr>
              <w:pStyle w:val="Default"/>
              <w:jc w:val="right"/>
              <w:rPr>
                <w:sz w:val="22"/>
                <w:szCs w:val="22"/>
              </w:rPr>
            </w:pPr>
            <w:r>
              <w:rPr>
                <w:sz w:val="22"/>
                <w:szCs w:val="22"/>
              </w:rPr>
              <w:t>RPPO</w:t>
            </w:r>
          </w:p>
        </w:tc>
        <w:tc>
          <w:tcPr>
            <w:tcW w:w="6480" w:type="dxa"/>
          </w:tcPr>
          <w:p w14:paraId="034B5EEA" w14:textId="731371AC" w:rsidR="00F23F40" w:rsidRDefault="0024189D" w:rsidP="00F23F40">
            <w:pPr>
              <w:pStyle w:val="Default"/>
              <w:rPr>
                <w:sz w:val="22"/>
                <w:szCs w:val="22"/>
              </w:rPr>
            </w:pPr>
            <w:r>
              <w:rPr>
                <w:sz w:val="22"/>
                <w:szCs w:val="22"/>
              </w:rPr>
              <w:t>APPPC</w:t>
            </w:r>
          </w:p>
        </w:tc>
      </w:tr>
      <w:tr w:rsidR="00F23F40" w14:paraId="78878C0F" w14:textId="77777777" w:rsidTr="00480A22">
        <w:tc>
          <w:tcPr>
            <w:tcW w:w="2875" w:type="dxa"/>
          </w:tcPr>
          <w:p w14:paraId="703B3C2D" w14:textId="2DD1E20F" w:rsidR="00F23F40" w:rsidRDefault="00F23F40" w:rsidP="00F23F40">
            <w:pPr>
              <w:pStyle w:val="Default"/>
              <w:jc w:val="right"/>
              <w:rPr>
                <w:sz w:val="22"/>
                <w:szCs w:val="22"/>
              </w:rPr>
            </w:pPr>
            <w:r>
              <w:rPr>
                <w:sz w:val="22"/>
                <w:szCs w:val="22"/>
              </w:rPr>
              <w:t>Activity Title</w:t>
            </w:r>
          </w:p>
        </w:tc>
        <w:tc>
          <w:tcPr>
            <w:tcW w:w="6480" w:type="dxa"/>
          </w:tcPr>
          <w:p w14:paraId="2B806AA2" w14:textId="0AD77719" w:rsidR="00F23F40" w:rsidRDefault="0051742C" w:rsidP="00F23F40">
            <w:pPr>
              <w:pStyle w:val="Default"/>
              <w:rPr>
                <w:sz w:val="22"/>
                <w:szCs w:val="22"/>
              </w:rPr>
            </w:pPr>
            <w:r>
              <w:rPr>
                <w:sz w:val="22"/>
                <w:szCs w:val="22"/>
              </w:rPr>
              <w:t>E-commerce workshop in Philippines</w:t>
            </w:r>
          </w:p>
        </w:tc>
      </w:tr>
      <w:tr w:rsidR="00F23F40" w14:paraId="27CA13D3" w14:textId="77777777" w:rsidTr="00480A22">
        <w:tc>
          <w:tcPr>
            <w:tcW w:w="2875" w:type="dxa"/>
          </w:tcPr>
          <w:p w14:paraId="03151908" w14:textId="7B7846DB" w:rsidR="00F23F40" w:rsidRDefault="00F23F40" w:rsidP="00F23F40">
            <w:pPr>
              <w:pStyle w:val="Default"/>
              <w:jc w:val="right"/>
              <w:rPr>
                <w:sz w:val="22"/>
                <w:szCs w:val="22"/>
              </w:rPr>
            </w:pPr>
            <w:r>
              <w:rPr>
                <w:sz w:val="22"/>
                <w:szCs w:val="22"/>
              </w:rPr>
              <w:t>Date and Time (TIME ZONE)</w:t>
            </w:r>
          </w:p>
        </w:tc>
        <w:tc>
          <w:tcPr>
            <w:tcW w:w="6480" w:type="dxa"/>
            <w:vAlign w:val="center"/>
          </w:tcPr>
          <w:p w14:paraId="5B6E0BDD" w14:textId="13A31910" w:rsidR="00F23F40" w:rsidRDefault="006B1ECB" w:rsidP="00F23F40">
            <w:pPr>
              <w:pStyle w:val="Default"/>
              <w:rPr>
                <w:sz w:val="22"/>
                <w:szCs w:val="22"/>
              </w:rPr>
            </w:pPr>
            <w:r>
              <w:rPr>
                <w:sz w:val="22"/>
                <w:szCs w:val="22"/>
              </w:rPr>
              <w:t>10-14 November, 2025</w:t>
            </w:r>
          </w:p>
        </w:tc>
      </w:tr>
      <w:tr w:rsidR="00F23F40" w14:paraId="432D0952" w14:textId="77777777" w:rsidTr="00480A22">
        <w:tc>
          <w:tcPr>
            <w:tcW w:w="2875" w:type="dxa"/>
          </w:tcPr>
          <w:p w14:paraId="0E675DC5" w14:textId="76B387D8" w:rsidR="00F23F40" w:rsidRDefault="00F23F40" w:rsidP="00F23F40">
            <w:pPr>
              <w:pStyle w:val="Default"/>
              <w:jc w:val="right"/>
              <w:rPr>
                <w:sz w:val="22"/>
                <w:szCs w:val="22"/>
              </w:rPr>
            </w:pPr>
            <w:r>
              <w:rPr>
                <w:sz w:val="22"/>
                <w:szCs w:val="22"/>
              </w:rPr>
              <w:t>Format</w:t>
            </w:r>
          </w:p>
        </w:tc>
        <w:tc>
          <w:tcPr>
            <w:tcW w:w="6480" w:type="dxa"/>
          </w:tcPr>
          <w:p w14:paraId="2E85196C" w14:textId="285AA3BB" w:rsidR="00F23F40" w:rsidRDefault="00F23F40" w:rsidP="00F23F40">
            <w:pPr>
              <w:pStyle w:val="Default"/>
              <w:rPr>
                <w:sz w:val="22"/>
                <w:szCs w:val="22"/>
              </w:rPr>
            </w:pPr>
            <w:r>
              <w:rPr>
                <w:sz w:val="22"/>
                <w:szCs w:val="22"/>
              </w:rPr>
              <w:t xml:space="preserve">Face-to-face </w:t>
            </w:r>
            <w:r w:rsidR="006B1ECB">
              <w:rPr>
                <w:sz w:val="22"/>
                <w:szCs w:val="22"/>
              </w:rPr>
              <w:t xml:space="preserve"> </w:t>
            </w:r>
          </w:p>
        </w:tc>
      </w:tr>
      <w:tr w:rsidR="00F23F40" w14:paraId="01A3E1CF" w14:textId="77777777" w:rsidTr="00480A22">
        <w:tc>
          <w:tcPr>
            <w:tcW w:w="2875" w:type="dxa"/>
          </w:tcPr>
          <w:p w14:paraId="31CB5466" w14:textId="18CA8652" w:rsidR="00F23F40" w:rsidRDefault="00F23F40" w:rsidP="00F23F40">
            <w:pPr>
              <w:pStyle w:val="Default"/>
              <w:jc w:val="right"/>
              <w:rPr>
                <w:sz w:val="22"/>
                <w:szCs w:val="22"/>
              </w:rPr>
            </w:pPr>
            <w:r>
              <w:rPr>
                <w:sz w:val="22"/>
                <w:szCs w:val="22"/>
              </w:rPr>
              <w:t>Location or Link</w:t>
            </w:r>
          </w:p>
        </w:tc>
        <w:tc>
          <w:tcPr>
            <w:tcW w:w="6480" w:type="dxa"/>
          </w:tcPr>
          <w:p w14:paraId="60719D14" w14:textId="77777777" w:rsidR="00F23F40" w:rsidRDefault="00F23F40" w:rsidP="00F23F40">
            <w:pPr>
              <w:pStyle w:val="Default"/>
              <w:rPr>
                <w:sz w:val="22"/>
                <w:szCs w:val="22"/>
              </w:rPr>
            </w:pPr>
          </w:p>
        </w:tc>
      </w:tr>
      <w:tr w:rsidR="00F23F40" w14:paraId="24B57B9F" w14:textId="77777777" w:rsidTr="00480A22">
        <w:tc>
          <w:tcPr>
            <w:tcW w:w="2875" w:type="dxa"/>
          </w:tcPr>
          <w:p w14:paraId="1E414CFC" w14:textId="1F0CDA46" w:rsidR="00F23F40" w:rsidRDefault="00F23F40" w:rsidP="00F23F40">
            <w:pPr>
              <w:pStyle w:val="Default"/>
              <w:jc w:val="right"/>
              <w:rPr>
                <w:sz w:val="22"/>
                <w:szCs w:val="22"/>
              </w:rPr>
            </w:pPr>
            <w:r>
              <w:rPr>
                <w:sz w:val="22"/>
                <w:szCs w:val="22"/>
              </w:rPr>
              <w:t>Objectives</w:t>
            </w:r>
          </w:p>
        </w:tc>
        <w:tc>
          <w:tcPr>
            <w:tcW w:w="6480" w:type="dxa"/>
          </w:tcPr>
          <w:p w14:paraId="202514E6" w14:textId="77777777" w:rsidR="00BA159C" w:rsidRDefault="00BA159C" w:rsidP="00BA159C">
            <w:pPr>
              <w:pStyle w:val="NoSpacing"/>
              <w:numPr>
                <w:ilvl w:val="0"/>
                <w:numId w:val="1"/>
              </w:numPr>
              <w:jc w:val="both"/>
              <w:rPr>
                <w:rFonts w:ascii="Cambria" w:eastAsiaTheme="minorEastAsia" w:hAnsi="Cambria"/>
                <w:sz w:val="24"/>
                <w:szCs w:val="24"/>
                <w:lang w:val="en-PH"/>
              </w:rPr>
            </w:pPr>
            <w:r w:rsidRPr="00103F54">
              <w:rPr>
                <w:rFonts w:ascii="Cambria" w:eastAsiaTheme="minorEastAsia" w:hAnsi="Cambria"/>
                <w:sz w:val="24"/>
                <w:szCs w:val="24"/>
                <w:lang w:val="en-PH"/>
              </w:rPr>
              <w:t>To increase awareness of E-commerce risks to the regulators and stakeholders with the growing volume of plants and plant products traded online, and the importance of compliance with import regulations.</w:t>
            </w:r>
          </w:p>
          <w:p w14:paraId="499F8F40" w14:textId="77777777" w:rsidR="00BA159C" w:rsidRPr="00103F54" w:rsidRDefault="00BA159C" w:rsidP="00BA159C">
            <w:pPr>
              <w:pStyle w:val="NoSpacing"/>
              <w:ind w:left="720"/>
              <w:jc w:val="both"/>
              <w:rPr>
                <w:rFonts w:ascii="Cambria" w:eastAsiaTheme="minorEastAsia" w:hAnsi="Cambria"/>
                <w:sz w:val="24"/>
                <w:szCs w:val="24"/>
                <w:lang w:val="en-PH"/>
              </w:rPr>
            </w:pPr>
          </w:p>
          <w:p w14:paraId="09475FF9" w14:textId="77777777" w:rsidR="00BA159C" w:rsidRDefault="00BA159C" w:rsidP="00BA159C">
            <w:pPr>
              <w:pStyle w:val="NoSpacing"/>
              <w:numPr>
                <w:ilvl w:val="0"/>
                <w:numId w:val="1"/>
              </w:numPr>
              <w:jc w:val="both"/>
              <w:rPr>
                <w:rFonts w:ascii="Cambria" w:eastAsiaTheme="minorEastAsia" w:hAnsi="Cambria"/>
                <w:sz w:val="24"/>
                <w:szCs w:val="24"/>
                <w:lang w:val="en-PH"/>
              </w:rPr>
            </w:pPr>
            <w:r w:rsidRPr="00103F54">
              <w:rPr>
                <w:rFonts w:ascii="Cambria" w:eastAsiaTheme="minorEastAsia" w:hAnsi="Cambria"/>
                <w:sz w:val="24"/>
                <w:szCs w:val="24"/>
                <w:lang w:val="en-PH"/>
              </w:rPr>
              <w:t>Strengthen the cooperation between national and regional plant protection organizations (NPPOs and RPPOs), postal services, express carriers, and other relevant entities to ensure coordinated efforts in monitoring and enforcing phytosanitary standards in e-commerce.</w:t>
            </w:r>
          </w:p>
          <w:p w14:paraId="0199D24A" w14:textId="77777777" w:rsidR="00400B5E" w:rsidRDefault="00400B5E" w:rsidP="00400B5E">
            <w:pPr>
              <w:pStyle w:val="ListParagraph"/>
              <w:rPr>
                <w:rFonts w:ascii="Cambria" w:eastAsiaTheme="minorEastAsia" w:hAnsi="Cambria"/>
                <w:lang w:val="en-PH"/>
              </w:rPr>
            </w:pPr>
          </w:p>
          <w:p w14:paraId="0525236C" w14:textId="477DA543" w:rsidR="00400B5E" w:rsidRPr="00103F54" w:rsidRDefault="00400B5E" w:rsidP="00400B5E">
            <w:pPr>
              <w:pStyle w:val="NoSpacing"/>
              <w:numPr>
                <w:ilvl w:val="0"/>
                <w:numId w:val="1"/>
              </w:numPr>
              <w:jc w:val="both"/>
              <w:rPr>
                <w:rFonts w:ascii="Cambria" w:eastAsiaTheme="minorEastAsia" w:hAnsi="Cambria"/>
                <w:sz w:val="24"/>
                <w:szCs w:val="24"/>
                <w:lang w:val="en-PH"/>
              </w:rPr>
            </w:pPr>
            <w:r w:rsidRPr="00103F54">
              <w:rPr>
                <w:rFonts w:ascii="Cambria" w:eastAsiaTheme="minorEastAsia" w:hAnsi="Cambria"/>
                <w:sz w:val="24"/>
                <w:szCs w:val="24"/>
                <w:lang w:val="en-PH"/>
              </w:rPr>
              <w:t xml:space="preserve">Equip participants with the knowledge and skills to effectively monitor e-commerce platforms for the trade of plants and plant </w:t>
            </w:r>
            <w:r w:rsidR="006F3E90" w:rsidRPr="00103F54">
              <w:rPr>
                <w:rFonts w:ascii="Cambria" w:eastAsiaTheme="minorEastAsia" w:hAnsi="Cambria"/>
                <w:sz w:val="24"/>
                <w:szCs w:val="24"/>
                <w:lang w:val="en-PH"/>
              </w:rPr>
              <w:t>products and</w:t>
            </w:r>
            <w:r w:rsidRPr="00103F54">
              <w:rPr>
                <w:rFonts w:ascii="Cambria" w:eastAsiaTheme="minorEastAsia" w:hAnsi="Cambria"/>
                <w:sz w:val="24"/>
                <w:szCs w:val="24"/>
                <w:lang w:val="en-PH"/>
              </w:rPr>
              <w:t xml:space="preserve"> implement surveillance practices to identify high-risk shipments.</w:t>
            </w:r>
          </w:p>
          <w:p w14:paraId="7CCCA519" w14:textId="77777777" w:rsidR="00400B5E" w:rsidRPr="00103F54" w:rsidRDefault="00400B5E" w:rsidP="00400B5E">
            <w:pPr>
              <w:pStyle w:val="NoSpacing"/>
              <w:jc w:val="both"/>
              <w:rPr>
                <w:rFonts w:ascii="Cambria" w:eastAsiaTheme="minorEastAsia" w:hAnsi="Cambria"/>
                <w:sz w:val="24"/>
                <w:szCs w:val="24"/>
                <w:lang w:val="en-PH"/>
              </w:rPr>
            </w:pPr>
          </w:p>
          <w:p w14:paraId="4A3314E5" w14:textId="0B767C6A" w:rsidR="00F23F40" w:rsidRPr="00400B5E" w:rsidRDefault="00400B5E" w:rsidP="00F23F40">
            <w:pPr>
              <w:pStyle w:val="NoSpacing"/>
              <w:numPr>
                <w:ilvl w:val="0"/>
                <w:numId w:val="1"/>
              </w:numPr>
              <w:jc w:val="both"/>
              <w:rPr>
                <w:rFonts w:ascii="Cambria" w:eastAsiaTheme="minorEastAsia" w:hAnsi="Cambria"/>
                <w:sz w:val="24"/>
                <w:szCs w:val="24"/>
                <w:lang w:val="en-PH"/>
              </w:rPr>
            </w:pPr>
            <w:r w:rsidRPr="00103F54">
              <w:rPr>
                <w:rFonts w:ascii="Cambria" w:eastAsiaTheme="minorEastAsia" w:hAnsi="Cambria"/>
                <w:sz w:val="24"/>
                <w:szCs w:val="24"/>
                <w:lang w:val="en-PH"/>
              </w:rPr>
              <w:t>Train participants on enforcing phytosanitary regulations within postal and delivery channels, focusing on compliance checks for imported goods and ensuring that all shipments meet required standards.</w:t>
            </w:r>
          </w:p>
        </w:tc>
      </w:tr>
      <w:tr w:rsidR="00F23F40" w14:paraId="196987B2" w14:textId="77777777" w:rsidTr="00480A22">
        <w:tc>
          <w:tcPr>
            <w:tcW w:w="2875" w:type="dxa"/>
          </w:tcPr>
          <w:p w14:paraId="5A2348D2" w14:textId="06F9BCBE" w:rsidR="00F23F40" w:rsidRDefault="00F23F40" w:rsidP="00F23F40">
            <w:pPr>
              <w:pStyle w:val="Default"/>
              <w:jc w:val="right"/>
              <w:rPr>
                <w:sz w:val="22"/>
                <w:szCs w:val="22"/>
              </w:rPr>
            </w:pPr>
            <w:r>
              <w:rPr>
                <w:sz w:val="22"/>
                <w:szCs w:val="22"/>
              </w:rPr>
              <w:t>Target Audience</w:t>
            </w:r>
          </w:p>
        </w:tc>
        <w:tc>
          <w:tcPr>
            <w:tcW w:w="6480" w:type="dxa"/>
          </w:tcPr>
          <w:p w14:paraId="16AD8239" w14:textId="3C64A093" w:rsidR="00F23F40" w:rsidRDefault="00214B26" w:rsidP="00F23F40">
            <w:pPr>
              <w:pStyle w:val="Default"/>
              <w:rPr>
                <w:sz w:val="22"/>
                <w:szCs w:val="22"/>
              </w:rPr>
            </w:pPr>
            <w:r>
              <w:rPr>
                <w:sz w:val="22"/>
                <w:szCs w:val="22"/>
              </w:rPr>
              <w:t>NPPOs</w:t>
            </w:r>
          </w:p>
        </w:tc>
      </w:tr>
      <w:tr w:rsidR="00F23F40" w14:paraId="2893267E" w14:textId="77777777" w:rsidTr="00480A22">
        <w:tc>
          <w:tcPr>
            <w:tcW w:w="2875" w:type="dxa"/>
          </w:tcPr>
          <w:p w14:paraId="008779FB" w14:textId="29BEE13B" w:rsidR="00F23F40" w:rsidRDefault="00F23F40" w:rsidP="00F23F40">
            <w:pPr>
              <w:pStyle w:val="Default"/>
              <w:jc w:val="right"/>
              <w:rPr>
                <w:sz w:val="22"/>
                <w:szCs w:val="22"/>
              </w:rPr>
            </w:pPr>
            <w:r>
              <w:rPr>
                <w:sz w:val="22"/>
                <w:szCs w:val="22"/>
              </w:rPr>
              <w:t>Languages</w:t>
            </w:r>
          </w:p>
        </w:tc>
        <w:tc>
          <w:tcPr>
            <w:tcW w:w="6480" w:type="dxa"/>
          </w:tcPr>
          <w:p w14:paraId="685F3C24" w14:textId="40ED158E" w:rsidR="00F23F40" w:rsidRDefault="00214B26" w:rsidP="00F23F40">
            <w:pPr>
              <w:pStyle w:val="Default"/>
              <w:rPr>
                <w:sz w:val="22"/>
                <w:szCs w:val="22"/>
              </w:rPr>
            </w:pPr>
            <w:r>
              <w:rPr>
                <w:sz w:val="22"/>
                <w:szCs w:val="22"/>
              </w:rPr>
              <w:t>English</w:t>
            </w:r>
          </w:p>
        </w:tc>
      </w:tr>
      <w:tr w:rsidR="00F23F40" w14:paraId="095C8998" w14:textId="77777777" w:rsidTr="00480A22">
        <w:tc>
          <w:tcPr>
            <w:tcW w:w="2875" w:type="dxa"/>
          </w:tcPr>
          <w:p w14:paraId="2B0D9E15" w14:textId="7A42E5FA" w:rsidR="00F23F40" w:rsidRDefault="00F23F40" w:rsidP="00F23F40">
            <w:pPr>
              <w:pStyle w:val="Default"/>
              <w:jc w:val="right"/>
              <w:rPr>
                <w:sz w:val="22"/>
                <w:szCs w:val="22"/>
              </w:rPr>
            </w:pPr>
            <w:r>
              <w:rPr>
                <w:sz w:val="22"/>
                <w:szCs w:val="22"/>
              </w:rPr>
              <w:t>Open to other NPPO / RPPO</w:t>
            </w:r>
          </w:p>
        </w:tc>
        <w:tc>
          <w:tcPr>
            <w:tcW w:w="6480" w:type="dxa"/>
            <w:vAlign w:val="center"/>
          </w:tcPr>
          <w:p w14:paraId="44764C5E" w14:textId="65BECEA4" w:rsidR="00F23F40" w:rsidRDefault="00CF322B" w:rsidP="00F23F40">
            <w:pPr>
              <w:pStyle w:val="Default"/>
              <w:rPr>
                <w:sz w:val="22"/>
                <w:szCs w:val="22"/>
              </w:rPr>
            </w:pPr>
            <w:r>
              <w:rPr>
                <w:sz w:val="22"/>
                <w:szCs w:val="22"/>
              </w:rPr>
              <w:t xml:space="preserve">Yes </w:t>
            </w:r>
          </w:p>
        </w:tc>
      </w:tr>
      <w:tr w:rsidR="00F23F40" w14:paraId="2656990E" w14:textId="77777777" w:rsidTr="00480A22">
        <w:tc>
          <w:tcPr>
            <w:tcW w:w="2875" w:type="dxa"/>
          </w:tcPr>
          <w:p w14:paraId="3E173EB9" w14:textId="042B24A5" w:rsidR="00F23F40" w:rsidRDefault="00CF322B" w:rsidP="00F23F40">
            <w:pPr>
              <w:pStyle w:val="Default"/>
              <w:jc w:val="right"/>
              <w:rPr>
                <w:sz w:val="22"/>
                <w:szCs w:val="22"/>
              </w:rPr>
            </w:pPr>
            <w:r>
              <w:rPr>
                <w:sz w:val="22"/>
                <w:szCs w:val="22"/>
              </w:rPr>
              <w:t>Deadline for enrolment</w:t>
            </w:r>
          </w:p>
        </w:tc>
        <w:tc>
          <w:tcPr>
            <w:tcW w:w="6480" w:type="dxa"/>
          </w:tcPr>
          <w:p w14:paraId="1CCE0305" w14:textId="597E81DA" w:rsidR="00F23F40" w:rsidRDefault="00391E43" w:rsidP="00F23F40">
            <w:pPr>
              <w:pStyle w:val="Default"/>
              <w:rPr>
                <w:sz w:val="22"/>
                <w:szCs w:val="22"/>
              </w:rPr>
            </w:pPr>
            <w:r>
              <w:rPr>
                <w:sz w:val="22"/>
                <w:szCs w:val="22"/>
              </w:rPr>
              <w:t>End of September, 2025</w:t>
            </w:r>
          </w:p>
        </w:tc>
      </w:tr>
      <w:tr w:rsidR="00F23F40" w14:paraId="3B733F03" w14:textId="77777777" w:rsidTr="00480A22">
        <w:tc>
          <w:tcPr>
            <w:tcW w:w="2875" w:type="dxa"/>
          </w:tcPr>
          <w:p w14:paraId="633A7770" w14:textId="061FD751" w:rsidR="00F23F40" w:rsidRDefault="00CF322B" w:rsidP="00F23F40">
            <w:pPr>
              <w:pStyle w:val="Default"/>
              <w:jc w:val="right"/>
              <w:rPr>
                <w:sz w:val="22"/>
                <w:szCs w:val="22"/>
              </w:rPr>
            </w:pPr>
            <w:r>
              <w:rPr>
                <w:sz w:val="22"/>
                <w:szCs w:val="22"/>
              </w:rPr>
              <w:t>Enrolment method</w:t>
            </w:r>
          </w:p>
        </w:tc>
        <w:tc>
          <w:tcPr>
            <w:tcW w:w="6480" w:type="dxa"/>
          </w:tcPr>
          <w:p w14:paraId="5504FD38" w14:textId="6B940C10" w:rsidR="00F23F40" w:rsidRDefault="00CF322B" w:rsidP="00F23F40">
            <w:pPr>
              <w:pStyle w:val="Default"/>
              <w:rPr>
                <w:sz w:val="22"/>
                <w:szCs w:val="22"/>
              </w:rPr>
            </w:pPr>
            <w:r>
              <w:rPr>
                <w:sz w:val="22"/>
                <w:szCs w:val="22"/>
              </w:rPr>
              <w:t>E-Mail</w:t>
            </w:r>
          </w:p>
        </w:tc>
      </w:tr>
      <w:tr w:rsidR="00CF322B" w14:paraId="68C95B6F" w14:textId="77777777" w:rsidTr="00480A22">
        <w:tc>
          <w:tcPr>
            <w:tcW w:w="2875" w:type="dxa"/>
          </w:tcPr>
          <w:p w14:paraId="6234DE23" w14:textId="4831F125" w:rsidR="00CF322B" w:rsidRDefault="00CF322B" w:rsidP="00F23F40">
            <w:pPr>
              <w:pStyle w:val="Default"/>
              <w:jc w:val="right"/>
              <w:rPr>
                <w:sz w:val="22"/>
                <w:szCs w:val="22"/>
              </w:rPr>
            </w:pPr>
            <w:r>
              <w:rPr>
                <w:sz w:val="22"/>
                <w:szCs w:val="22"/>
              </w:rPr>
              <w:t>Further information</w:t>
            </w:r>
          </w:p>
        </w:tc>
        <w:tc>
          <w:tcPr>
            <w:tcW w:w="6480" w:type="dxa"/>
          </w:tcPr>
          <w:p w14:paraId="213AD350" w14:textId="65A243E8" w:rsidR="00CF322B" w:rsidRDefault="008B6EB1" w:rsidP="00F23F40">
            <w:pPr>
              <w:pStyle w:val="Default"/>
              <w:rPr>
                <w:sz w:val="22"/>
                <w:szCs w:val="22"/>
              </w:rPr>
            </w:pPr>
            <w:r>
              <w:rPr>
                <w:sz w:val="22"/>
                <w:szCs w:val="22"/>
              </w:rPr>
              <w:t xml:space="preserve">Can be contacted </w:t>
            </w:r>
            <w:r w:rsidR="00C333A5">
              <w:rPr>
                <w:sz w:val="22"/>
                <w:szCs w:val="22"/>
              </w:rPr>
              <w:t xml:space="preserve">through </w:t>
            </w:r>
            <w:r>
              <w:rPr>
                <w:sz w:val="22"/>
                <w:szCs w:val="22"/>
              </w:rPr>
              <w:t>the Secretariat of the APPPC which is hosted by FAO RAP, Bangkok</w:t>
            </w:r>
          </w:p>
        </w:tc>
      </w:tr>
      <w:tr w:rsidR="00CF322B" w14:paraId="7A9CEEF8" w14:textId="77777777" w:rsidTr="00480A22">
        <w:tc>
          <w:tcPr>
            <w:tcW w:w="2875" w:type="dxa"/>
          </w:tcPr>
          <w:p w14:paraId="78BE0BD6" w14:textId="46C75036" w:rsidR="00CF322B" w:rsidRDefault="00CF322B" w:rsidP="00F23F40">
            <w:pPr>
              <w:pStyle w:val="Default"/>
              <w:jc w:val="right"/>
              <w:rPr>
                <w:sz w:val="22"/>
                <w:szCs w:val="22"/>
              </w:rPr>
            </w:pPr>
            <w:r>
              <w:rPr>
                <w:sz w:val="22"/>
                <w:szCs w:val="22"/>
              </w:rPr>
              <w:lastRenderedPageBreak/>
              <w:t>E-Mail for enquiries regarding the event</w:t>
            </w:r>
          </w:p>
        </w:tc>
        <w:tc>
          <w:tcPr>
            <w:tcW w:w="6480" w:type="dxa"/>
          </w:tcPr>
          <w:p w14:paraId="2DD90B8D" w14:textId="5AB6998D" w:rsidR="00CF322B" w:rsidRDefault="007B42EE" w:rsidP="00F23F40">
            <w:pPr>
              <w:pStyle w:val="Default"/>
              <w:rPr>
                <w:sz w:val="22"/>
                <w:szCs w:val="22"/>
              </w:rPr>
            </w:pPr>
            <w:hyperlink r:id="rId8" w:history="1">
              <w:r w:rsidRPr="00E82F5A">
                <w:rPr>
                  <w:rStyle w:val="Hyperlink"/>
                  <w:sz w:val="22"/>
                  <w:szCs w:val="22"/>
                </w:rPr>
                <w:t>Yubak.gc@fao.org</w:t>
              </w:r>
            </w:hyperlink>
            <w:r>
              <w:rPr>
                <w:sz w:val="22"/>
                <w:szCs w:val="22"/>
              </w:rPr>
              <w:t xml:space="preserve"> or </w:t>
            </w:r>
            <w:r w:rsidRPr="007B42EE">
              <w:rPr>
                <w:sz w:val="22"/>
                <w:szCs w:val="22"/>
              </w:rPr>
              <w:t>Boonphun, Posatorn (FAORAP) &lt;Posatorn.Boonphun@fao.org&gt;</w:t>
            </w:r>
          </w:p>
        </w:tc>
      </w:tr>
    </w:tbl>
    <w:p w14:paraId="36306E7E" w14:textId="77777777" w:rsidR="00F23F40" w:rsidRDefault="00F23F40" w:rsidP="00F23F40">
      <w:pPr>
        <w:pStyle w:val="Default"/>
        <w:rPr>
          <w:sz w:val="22"/>
          <w:szCs w:val="22"/>
        </w:rPr>
      </w:pPr>
    </w:p>
    <w:sectPr w:rsidR="00F2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8012C"/>
    <w:multiLevelType w:val="hybridMultilevel"/>
    <w:tmpl w:val="FFFFFFFF"/>
    <w:lvl w:ilvl="0" w:tplc="3409000F">
      <w:start w:val="1"/>
      <w:numFmt w:val="decimal"/>
      <w:lvlText w:val="%1."/>
      <w:lvlJc w:val="left"/>
      <w:pPr>
        <w:ind w:left="720" w:hanging="360"/>
      </w:pPr>
      <w:rPr>
        <w:rFonts w:cs="Times New Roman"/>
      </w:rPr>
    </w:lvl>
    <w:lvl w:ilvl="1" w:tplc="34090019" w:tentative="1">
      <w:start w:val="1"/>
      <w:numFmt w:val="lowerLetter"/>
      <w:lvlText w:val="%2."/>
      <w:lvlJc w:val="left"/>
      <w:pPr>
        <w:ind w:left="1440" w:hanging="360"/>
      </w:pPr>
      <w:rPr>
        <w:rFonts w:cs="Times New Roman"/>
      </w:rPr>
    </w:lvl>
    <w:lvl w:ilvl="2" w:tplc="3409001B" w:tentative="1">
      <w:start w:val="1"/>
      <w:numFmt w:val="lowerRoman"/>
      <w:lvlText w:val="%3."/>
      <w:lvlJc w:val="right"/>
      <w:pPr>
        <w:ind w:left="2160" w:hanging="180"/>
      </w:pPr>
      <w:rPr>
        <w:rFonts w:cs="Times New Roman"/>
      </w:rPr>
    </w:lvl>
    <w:lvl w:ilvl="3" w:tplc="3409000F" w:tentative="1">
      <w:start w:val="1"/>
      <w:numFmt w:val="decimal"/>
      <w:lvlText w:val="%4."/>
      <w:lvlJc w:val="left"/>
      <w:pPr>
        <w:ind w:left="2880" w:hanging="360"/>
      </w:pPr>
      <w:rPr>
        <w:rFonts w:cs="Times New Roman"/>
      </w:rPr>
    </w:lvl>
    <w:lvl w:ilvl="4" w:tplc="34090019" w:tentative="1">
      <w:start w:val="1"/>
      <w:numFmt w:val="lowerLetter"/>
      <w:lvlText w:val="%5."/>
      <w:lvlJc w:val="left"/>
      <w:pPr>
        <w:ind w:left="3600" w:hanging="360"/>
      </w:pPr>
      <w:rPr>
        <w:rFonts w:cs="Times New Roman"/>
      </w:rPr>
    </w:lvl>
    <w:lvl w:ilvl="5" w:tplc="3409001B" w:tentative="1">
      <w:start w:val="1"/>
      <w:numFmt w:val="lowerRoman"/>
      <w:lvlText w:val="%6."/>
      <w:lvlJc w:val="right"/>
      <w:pPr>
        <w:ind w:left="4320" w:hanging="180"/>
      </w:pPr>
      <w:rPr>
        <w:rFonts w:cs="Times New Roman"/>
      </w:rPr>
    </w:lvl>
    <w:lvl w:ilvl="6" w:tplc="3409000F" w:tentative="1">
      <w:start w:val="1"/>
      <w:numFmt w:val="decimal"/>
      <w:lvlText w:val="%7."/>
      <w:lvlJc w:val="left"/>
      <w:pPr>
        <w:ind w:left="5040" w:hanging="360"/>
      </w:pPr>
      <w:rPr>
        <w:rFonts w:cs="Times New Roman"/>
      </w:rPr>
    </w:lvl>
    <w:lvl w:ilvl="7" w:tplc="34090019" w:tentative="1">
      <w:start w:val="1"/>
      <w:numFmt w:val="lowerLetter"/>
      <w:lvlText w:val="%8."/>
      <w:lvlJc w:val="left"/>
      <w:pPr>
        <w:ind w:left="5760" w:hanging="360"/>
      </w:pPr>
      <w:rPr>
        <w:rFonts w:cs="Times New Roman"/>
      </w:rPr>
    </w:lvl>
    <w:lvl w:ilvl="8" w:tplc="3409001B" w:tentative="1">
      <w:start w:val="1"/>
      <w:numFmt w:val="lowerRoman"/>
      <w:lvlText w:val="%9."/>
      <w:lvlJc w:val="right"/>
      <w:pPr>
        <w:ind w:left="6480" w:hanging="180"/>
      </w:pPr>
      <w:rPr>
        <w:rFonts w:cs="Times New Roman"/>
      </w:rPr>
    </w:lvl>
  </w:abstractNum>
  <w:num w:numId="1" w16cid:durableId="967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40"/>
    <w:rsid w:val="000D59D2"/>
    <w:rsid w:val="00184E3D"/>
    <w:rsid w:val="00214B26"/>
    <w:rsid w:val="0024189D"/>
    <w:rsid w:val="00391E43"/>
    <w:rsid w:val="00400B5E"/>
    <w:rsid w:val="00480A22"/>
    <w:rsid w:val="0051742C"/>
    <w:rsid w:val="00624AE2"/>
    <w:rsid w:val="0069161E"/>
    <w:rsid w:val="006B1ECB"/>
    <w:rsid w:val="006C420A"/>
    <w:rsid w:val="006F3E90"/>
    <w:rsid w:val="007B42EE"/>
    <w:rsid w:val="008B6EB1"/>
    <w:rsid w:val="009C4505"/>
    <w:rsid w:val="00BA159C"/>
    <w:rsid w:val="00C333A5"/>
    <w:rsid w:val="00CF322B"/>
    <w:rsid w:val="00DA7BD7"/>
    <w:rsid w:val="00E928D5"/>
    <w:rsid w:val="00F23F40"/>
    <w:rsid w:val="00F3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F733"/>
  <w15:chartTrackingRefBased/>
  <w15:docId w15:val="{0AC6F977-D2EE-4606-A35B-53E181C1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F40"/>
    <w:rPr>
      <w:rFonts w:eastAsiaTheme="majorEastAsia" w:cstheme="majorBidi"/>
      <w:color w:val="272727" w:themeColor="text1" w:themeTint="D8"/>
    </w:rPr>
  </w:style>
  <w:style w:type="paragraph" w:styleId="Title">
    <w:name w:val="Title"/>
    <w:basedOn w:val="Normal"/>
    <w:next w:val="Normal"/>
    <w:link w:val="TitleChar"/>
    <w:uiPriority w:val="10"/>
    <w:qFormat/>
    <w:rsid w:val="00F23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F40"/>
    <w:pPr>
      <w:spacing w:before="160"/>
      <w:jc w:val="center"/>
    </w:pPr>
    <w:rPr>
      <w:i/>
      <w:iCs/>
      <w:color w:val="404040" w:themeColor="text1" w:themeTint="BF"/>
    </w:rPr>
  </w:style>
  <w:style w:type="character" w:customStyle="1" w:styleId="QuoteChar">
    <w:name w:val="Quote Char"/>
    <w:basedOn w:val="DefaultParagraphFont"/>
    <w:link w:val="Quote"/>
    <w:uiPriority w:val="29"/>
    <w:rsid w:val="00F23F40"/>
    <w:rPr>
      <w:i/>
      <w:iCs/>
      <w:color w:val="404040" w:themeColor="text1" w:themeTint="BF"/>
    </w:rPr>
  </w:style>
  <w:style w:type="paragraph" w:styleId="ListParagraph">
    <w:name w:val="List Paragraph"/>
    <w:basedOn w:val="Normal"/>
    <w:uiPriority w:val="34"/>
    <w:qFormat/>
    <w:rsid w:val="00F23F40"/>
    <w:pPr>
      <w:ind w:left="720"/>
      <w:contextualSpacing/>
    </w:pPr>
  </w:style>
  <w:style w:type="character" w:styleId="IntenseEmphasis">
    <w:name w:val="Intense Emphasis"/>
    <w:basedOn w:val="DefaultParagraphFont"/>
    <w:uiPriority w:val="21"/>
    <w:qFormat/>
    <w:rsid w:val="00F23F40"/>
    <w:rPr>
      <w:i/>
      <w:iCs/>
      <w:color w:val="0F4761" w:themeColor="accent1" w:themeShade="BF"/>
    </w:rPr>
  </w:style>
  <w:style w:type="paragraph" w:styleId="IntenseQuote">
    <w:name w:val="Intense Quote"/>
    <w:basedOn w:val="Normal"/>
    <w:next w:val="Normal"/>
    <w:link w:val="IntenseQuoteChar"/>
    <w:uiPriority w:val="30"/>
    <w:qFormat/>
    <w:rsid w:val="00F23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F40"/>
    <w:rPr>
      <w:i/>
      <w:iCs/>
      <w:color w:val="0F4761" w:themeColor="accent1" w:themeShade="BF"/>
    </w:rPr>
  </w:style>
  <w:style w:type="character" w:styleId="IntenseReference">
    <w:name w:val="Intense Reference"/>
    <w:basedOn w:val="DefaultParagraphFont"/>
    <w:uiPriority w:val="32"/>
    <w:qFormat/>
    <w:rsid w:val="00F23F40"/>
    <w:rPr>
      <w:b/>
      <w:bCs/>
      <w:smallCaps/>
      <w:color w:val="0F4761" w:themeColor="accent1" w:themeShade="BF"/>
      <w:spacing w:val="5"/>
    </w:rPr>
  </w:style>
  <w:style w:type="paragraph" w:customStyle="1" w:styleId="Default">
    <w:name w:val="Default"/>
    <w:rsid w:val="00F23F40"/>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F2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159C"/>
    <w:pPr>
      <w:spacing w:after="0" w:line="240" w:lineRule="auto"/>
    </w:pPr>
    <w:rPr>
      <w:rFonts w:ascii="Calibri" w:eastAsia="Times New Roman" w:hAnsi="Calibri" w:cs="Calibri"/>
      <w:kern w:val="0"/>
      <w:sz w:val="22"/>
      <w:szCs w:val="22"/>
      <w:lang w:val="en-GB" w:eastAsia="en-PH"/>
      <w14:ligatures w14:val="none"/>
    </w:rPr>
  </w:style>
  <w:style w:type="character" w:styleId="Hyperlink">
    <w:name w:val="Hyperlink"/>
    <w:basedOn w:val="DefaultParagraphFont"/>
    <w:uiPriority w:val="99"/>
    <w:unhideWhenUsed/>
    <w:rsid w:val="007B42EE"/>
    <w:rPr>
      <w:color w:val="467886" w:themeColor="hyperlink"/>
      <w:u w:val="single"/>
    </w:rPr>
  </w:style>
  <w:style w:type="character" w:styleId="UnresolvedMention">
    <w:name w:val="Unresolved Mention"/>
    <w:basedOn w:val="DefaultParagraphFont"/>
    <w:uiPriority w:val="99"/>
    <w:semiHidden/>
    <w:unhideWhenUsed/>
    <w:rsid w:val="007B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bak.gc@fao.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BCF7C-9622-459C-980E-4DFBDDCFE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C167A-7703-465D-B124-D1E73330274B}">
  <ds:schemaRefs>
    <ds:schemaRef ds:uri="http://www.w3.org/XML/1998/namespace"/>
    <ds:schemaRef ds:uri="http://purl.org/dc/terms/"/>
    <ds:schemaRef ds:uri="http://purl.org/dc/elements/1.1/"/>
    <ds:schemaRef ds:uri="http://purl.org/dc/dcmitype/"/>
    <ds:schemaRef ds:uri="http://schemas.microsoft.com/office/2006/metadata/properties"/>
    <ds:schemaRef ds:uri="a05d7f75-f42e-4288-8809-604fd4d9691f"/>
    <ds:schemaRef ds:uri="http://schemas.openxmlformats.org/package/2006/metadata/core-properties"/>
    <ds:schemaRef ds:uri="http://schemas.microsoft.com/office/2006/documentManagement/types"/>
    <ds:schemaRef ds:uri="http://schemas.microsoft.com/office/infopath/2007/PartnerControls"/>
    <ds:schemaRef ds:uri="ea6feb38-a85a-45e8-92e9-814486bbe375"/>
  </ds:schemaRefs>
</ds:datastoreItem>
</file>

<file path=customXml/itemProps3.xml><?xml version="1.0" encoding="utf-8"?>
<ds:datastoreItem xmlns:ds="http://schemas.openxmlformats.org/officeDocument/2006/customXml" ds:itemID="{BE4FC68E-DF8C-431F-9631-A462A691A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Caplen, Russell (NSPD)</dc:creator>
  <cp:keywords/>
  <dc:description/>
  <cp:lastModifiedBy>Caplen, Russell (NSPD)</cp:lastModifiedBy>
  <cp:revision>2</cp:revision>
  <dcterms:created xsi:type="dcterms:W3CDTF">2025-09-10T11:32:00Z</dcterms:created>
  <dcterms:modified xsi:type="dcterms:W3CDTF">2025-09-10T11:32:00Z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