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A3216" w14:textId="77777777" w:rsidR="00986ED4" w:rsidRDefault="00986ED4" w:rsidP="00986ED4">
      <w:pPr>
        <w:pStyle w:val="Default"/>
      </w:pPr>
    </w:p>
    <w:p w14:paraId="7E80657B" w14:textId="77777777" w:rsidR="00986ED4" w:rsidRDefault="00986ED4" w:rsidP="00986ED4">
      <w:pPr>
        <w:pStyle w:val="Default"/>
        <w:rPr>
          <w:sz w:val="23"/>
          <w:szCs w:val="23"/>
        </w:rPr>
      </w:pPr>
      <w:r>
        <w:t xml:space="preserve"> </w:t>
      </w:r>
      <w:r>
        <w:rPr>
          <w:b/>
          <w:bCs/>
          <w:sz w:val="23"/>
          <w:szCs w:val="23"/>
        </w:rPr>
        <w:t xml:space="preserve">Attachment 02: Sharing Information about Pests of Concern </w:t>
      </w:r>
    </w:p>
    <w:p w14:paraId="37AB01E1" w14:textId="77777777" w:rsidR="00986ED4" w:rsidRPr="00986ED4" w:rsidRDefault="00986ED4" w:rsidP="00986ED4">
      <w:pPr>
        <w:pStyle w:val="Default"/>
        <w:rPr>
          <w:sz w:val="23"/>
          <w:szCs w:val="23"/>
        </w:rPr>
      </w:pPr>
    </w:p>
    <w:p w14:paraId="1EC22AAE" w14:textId="77777777" w:rsidR="00986ED4" w:rsidRDefault="00986ED4" w:rsidP="00986ED4">
      <w:pPr>
        <w:pStyle w:val="Default"/>
        <w:rPr>
          <w:sz w:val="22"/>
          <w:szCs w:val="22"/>
        </w:rPr>
      </w:pPr>
      <w:r>
        <w:rPr>
          <w:sz w:val="22"/>
          <w:szCs w:val="22"/>
        </w:rPr>
        <w:t xml:space="preserve">During each annual TC-RPPO meeting, RPPOs deliver an update regarding issues </w:t>
      </w:r>
      <w:proofErr w:type="gramStart"/>
      <w:r>
        <w:rPr>
          <w:sz w:val="22"/>
          <w:szCs w:val="22"/>
        </w:rPr>
        <w:t>such as:</w:t>
      </w:r>
      <w:proofErr w:type="gramEnd"/>
      <w:r>
        <w:rPr>
          <w:sz w:val="22"/>
          <w:szCs w:val="22"/>
        </w:rPr>
        <w:t xml:space="preserve"> technical and capacity development achievements; emerging pests and issues; surveillance projects and activities; and proposals for further collaboration/cooperation. </w:t>
      </w:r>
    </w:p>
    <w:p w14:paraId="150AFE2E" w14:textId="77777777" w:rsidR="00986ED4" w:rsidRDefault="00986ED4" w:rsidP="00986ED4">
      <w:pPr>
        <w:pStyle w:val="Default"/>
        <w:rPr>
          <w:sz w:val="22"/>
          <w:szCs w:val="22"/>
        </w:rPr>
      </w:pPr>
    </w:p>
    <w:p w14:paraId="19EC0697" w14:textId="77777777" w:rsidR="00986ED4" w:rsidRDefault="00986ED4" w:rsidP="00986ED4">
      <w:pPr>
        <w:pStyle w:val="Default"/>
        <w:rPr>
          <w:sz w:val="22"/>
          <w:szCs w:val="22"/>
        </w:rPr>
      </w:pPr>
      <w:r>
        <w:rPr>
          <w:sz w:val="22"/>
          <w:szCs w:val="22"/>
        </w:rPr>
        <w:t xml:space="preserve">As a result of those updates, it was noticed that some issues or concerns are shared by more than one RPPO, mostly regarding some specific pests. For instance, in the 34° TC-RPPO meeting, pests such as </w:t>
      </w:r>
      <w:r w:rsidRPr="00986ED4">
        <w:rPr>
          <w:i/>
          <w:iCs/>
          <w:sz w:val="22"/>
          <w:szCs w:val="22"/>
        </w:rPr>
        <w:t xml:space="preserve">Trogoderma </w:t>
      </w:r>
      <w:proofErr w:type="spellStart"/>
      <w:r w:rsidRPr="00986ED4">
        <w:rPr>
          <w:i/>
          <w:iCs/>
          <w:sz w:val="22"/>
          <w:szCs w:val="22"/>
        </w:rPr>
        <w:t>granarium</w:t>
      </w:r>
      <w:proofErr w:type="spellEnd"/>
      <w:r>
        <w:rPr>
          <w:sz w:val="22"/>
          <w:szCs w:val="22"/>
        </w:rPr>
        <w:t xml:space="preserve">, </w:t>
      </w:r>
      <w:r w:rsidRPr="00986ED4">
        <w:rPr>
          <w:i/>
          <w:iCs/>
          <w:sz w:val="22"/>
          <w:szCs w:val="22"/>
        </w:rPr>
        <w:t>Xylella fastidiosa</w:t>
      </w:r>
      <w:r>
        <w:rPr>
          <w:sz w:val="22"/>
          <w:szCs w:val="22"/>
        </w:rPr>
        <w:t xml:space="preserve"> and </w:t>
      </w:r>
      <w:r w:rsidRPr="00986ED4">
        <w:rPr>
          <w:i/>
          <w:iCs/>
          <w:sz w:val="22"/>
          <w:szCs w:val="22"/>
        </w:rPr>
        <w:t xml:space="preserve">Spodoptera </w:t>
      </w:r>
      <w:proofErr w:type="spellStart"/>
      <w:r w:rsidRPr="00986ED4">
        <w:rPr>
          <w:i/>
          <w:iCs/>
          <w:sz w:val="22"/>
          <w:szCs w:val="22"/>
        </w:rPr>
        <w:t>frugiperda</w:t>
      </w:r>
      <w:proofErr w:type="spellEnd"/>
      <w:r>
        <w:rPr>
          <w:sz w:val="22"/>
          <w:szCs w:val="22"/>
        </w:rPr>
        <w:t xml:space="preserve"> were pests of common concern for at least three regions. </w:t>
      </w:r>
    </w:p>
    <w:p w14:paraId="7DE9D49E" w14:textId="77777777" w:rsidR="00986ED4" w:rsidRDefault="00986ED4" w:rsidP="00986ED4">
      <w:pPr>
        <w:pStyle w:val="Default"/>
        <w:rPr>
          <w:sz w:val="22"/>
          <w:szCs w:val="22"/>
        </w:rPr>
      </w:pPr>
    </w:p>
    <w:p w14:paraId="0EC59D3C" w14:textId="77777777" w:rsidR="00986ED4" w:rsidRDefault="00986ED4" w:rsidP="00986ED4">
      <w:pPr>
        <w:pStyle w:val="Default"/>
        <w:rPr>
          <w:sz w:val="22"/>
          <w:szCs w:val="22"/>
        </w:rPr>
      </w:pPr>
      <w:r>
        <w:rPr>
          <w:sz w:val="22"/>
          <w:szCs w:val="22"/>
        </w:rPr>
        <w:t xml:space="preserve">In this sense, it was agreed that the TC consolidate a document after each annual TC-RPPO meeting that includes the pests of interest for each region. One of the objectives is to easily see which are the prioritized pests for the regions, those for which specific actions are being developed, such as a surveillance programs, a contingency plans, an eradication program, a quarantine treatment, a diagnostic protocol, </w:t>
      </w:r>
      <w:proofErr w:type="gramStart"/>
      <w:r>
        <w:rPr>
          <w:sz w:val="22"/>
          <w:szCs w:val="22"/>
        </w:rPr>
        <w:t>as a way to</w:t>
      </w:r>
      <w:proofErr w:type="gramEnd"/>
      <w:r>
        <w:rPr>
          <w:sz w:val="22"/>
          <w:szCs w:val="22"/>
        </w:rPr>
        <w:t xml:space="preserve"> find links of collaborations, exchange of information, and share experiences. It may happen that some regions have similar concerns with a certain pest, which can result in synergies within them or at the global level, avoiding duplication of efforts. </w:t>
      </w:r>
    </w:p>
    <w:p w14:paraId="504E3BCD" w14:textId="77777777" w:rsidR="00986ED4" w:rsidRDefault="00986ED4" w:rsidP="00986ED4">
      <w:pPr>
        <w:pStyle w:val="Default"/>
        <w:rPr>
          <w:sz w:val="22"/>
          <w:szCs w:val="22"/>
        </w:rPr>
      </w:pPr>
    </w:p>
    <w:p w14:paraId="4709DAEC" w14:textId="38AEBD23" w:rsidR="00986ED4" w:rsidRDefault="00986ED4" w:rsidP="00986ED4">
      <w:pPr>
        <w:pStyle w:val="Default"/>
        <w:rPr>
          <w:sz w:val="22"/>
          <w:szCs w:val="22"/>
        </w:rPr>
      </w:pPr>
      <w:r>
        <w:rPr>
          <w:sz w:val="22"/>
          <w:szCs w:val="22"/>
        </w:rPr>
        <w:t>The following chart can be used as a template to consolidate the information:</w:t>
      </w:r>
    </w:p>
    <w:p w14:paraId="271CC975" w14:textId="77777777" w:rsidR="00986ED4" w:rsidRDefault="00986ED4" w:rsidP="00986ED4">
      <w:pPr>
        <w:pStyle w:val="Default"/>
        <w:rPr>
          <w:sz w:val="22"/>
          <w:szCs w:val="22"/>
        </w:rPr>
      </w:pPr>
    </w:p>
    <w:tbl>
      <w:tblPr>
        <w:tblStyle w:val="TableGrid"/>
        <w:tblW w:w="10440" w:type="dxa"/>
        <w:tblInd w:w="-545" w:type="dxa"/>
        <w:tblLayout w:type="fixed"/>
        <w:tblLook w:val="04A0" w:firstRow="1" w:lastRow="0" w:firstColumn="1" w:lastColumn="0" w:noHBand="0" w:noVBand="1"/>
      </w:tblPr>
      <w:tblGrid>
        <w:gridCol w:w="630"/>
        <w:gridCol w:w="1080"/>
        <w:gridCol w:w="1280"/>
        <w:gridCol w:w="785"/>
        <w:gridCol w:w="1017"/>
        <w:gridCol w:w="806"/>
        <w:gridCol w:w="829"/>
        <w:gridCol w:w="872"/>
        <w:gridCol w:w="850"/>
        <w:gridCol w:w="1097"/>
        <w:gridCol w:w="1194"/>
      </w:tblGrid>
      <w:tr w:rsidR="00986ED4" w14:paraId="437AD61D" w14:textId="029C4DE0" w:rsidTr="00986ED4">
        <w:tc>
          <w:tcPr>
            <w:tcW w:w="630" w:type="dxa"/>
            <w:vAlign w:val="center"/>
          </w:tcPr>
          <w:p w14:paraId="14BA46E0" w14:textId="7C4B9590" w:rsidR="00986ED4" w:rsidRDefault="00986ED4" w:rsidP="00986ED4">
            <w:pPr>
              <w:pStyle w:val="Default"/>
              <w:jc w:val="center"/>
              <w:rPr>
                <w:sz w:val="22"/>
                <w:szCs w:val="22"/>
              </w:rPr>
            </w:pPr>
            <w:r>
              <w:rPr>
                <w:sz w:val="20"/>
                <w:szCs w:val="20"/>
              </w:rPr>
              <w:t>Pest type</w:t>
            </w:r>
          </w:p>
        </w:tc>
        <w:tc>
          <w:tcPr>
            <w:tcW w:w="1080" w:type="dxa"/>
            <w:vAlign w:val="center"/>
          </w:tcPr>
          <w:p w14:paraId="493DAE48" w14:textId="78CA010A" w:rsidR="00986ED4" w:rsidRDefault="00986ED4" w:rsidP="00986ED4">
            <w:pPr>
              <w:pStyle w:val="Default"/>
              <w:jc w:val="center"/>
              <w:rPr>
                <w:sz w:val="22"/>
                <w:szCs w:val="22"/>
              </w:rPr>
            </w:pPr>
            <w:r>
              <w:rPr>
                <w:sz w:val="20"/>
                <w:szCs w:val="20"/>
              </w:rPr>
              <w:t>APPPC</w:t>
            </w:r>
          </w:p>
        </w:tc>
        <w:tc>
          <w:tcPr>
            <w:tcW w:w="1280" w:type="dxa"/>
            <w:vAlign w:val="center"/>
          </w:tcPr>
          <w:p w14:paraId="5E53CEC1" w14:textId="70A6AABE" w:rsidR="00986ED4" w:rsidRDefault="00986ED4" w:rsidP="00986ED4">
            <w:pPr>
              <w:pStyle w:val="Default"/>
              <w:jc w:val="center"/>
              <w:rPr>
                <w:sz w:val="22"/>
                <w:szCs w:val="22"/>
              </w:rPr>
            </w:pPr>
            <w:r>
              <w:rPr>
                <w:sz w:val="20"/>
                <w:szCs w:val="20"/>
              </w:rPr>
              <w:t>CAHFSA</w:t>
            </w:r>
          </w:p>
        </w:tc>
        <w:tc>
          <w:tcPr>
            <w:tcW w:w="785" w:type="dxa"/>
            <w:vAlign w:val="center"/>
          </w:tcPr>
          <w:p w14:paraId="502FB0B5" w14:textId="5DCCC3F8" w:rsidR="00986ED4" w:rsidRDefault="00986ED4" w:rsidP="00986ED4">
            <w:pPr>
              <w:pStyle w:val="Default"/>
              <w:jc w:val="center"/>
              <w:rPr>
                <w:sz w:val="22"/>
                <w:szCs w:val="22"/>
              </w:rPr>
            </w:pPr>
            <w:r>
              <w:rPr>
                <w:sz w:val="20"/>
                <w:szCs w:val="20"/>
              </w:rPr>
              <w:t>CAN</w:t>
            </w:r>
          </w:p>
        </w:tc>
        <w:tc>
          <w:tcPr>
            <w:tcW w:w="1017" w:type="dxa"/>
            <w:vAlign w:val="center"/>
          </w:tcPr>
          <w:p w14:paraId="509AED7D" w14:textId="7CEE83D5" w:rsidR="00986ED4" w:rsidRDefault="00986ED4" w:rsidP="00986ED4">
            <w:pPr>
              <w:pStyle w:val="Default"/>
              <w:jc w:val="center"/>
              <w:rPr>
                <w:sz w:val="22"/>
                <w:szCs w:val="22"/>
              </w:rPr>
            </w:pPr>
            <w:r>
              <w:rPr>
                <w:sz w:val="20"/>
                <w:szCs w:val="20"/>
              </w:rPr>
              <w:t>COSAVE</w:t>
            </w:r>
          </w:p>
        </w:tc>
        <w:tc>
          <w:tcPr>
            <w:tcW w:w="806" w:type="dxa"/>
            <w:vAlign w:val="center"/>
          </w:tcPr>
          <w:p w14:paraId="6295B72A" w14:textId="5724B05E" w:rsidR="00986ED4" w:rsidRDefault="00986ED4" w:rsidP="00986ED4">
            <w:pPr>
              <w:pStyle w:val="Default"/>
              <w:jc w:val="center"/>
              <w:rPr>
                <w:sz w:val="22"/>
                <w:szCs w:val="22"/>
              </w:rPr>
            </w:pPr>
            <w:r>
              <w:rPr>
                <w:sz w:val="20"/>
                <w:szCs w:val="20"/>
              </w:rPr>
              <w:t>EPPO</w:t>
            </w:r>
          </w:p>
        </w:tc>
        <w:tc>
          <w:tcPr>
            <w:tcW w:w="829" w:type="dxa"/>
            <w:vAlign w:val="center"/>
          </w:tcPr>
          <w:p w14:paraId="24A0AF89" w14:textId="711A4E01" w:rsidR="00986ED4" w:rsidRDefault="00986ED4" w:rsidP="00986ED4">
            <w:pPr>
              <w:pStyle w:val="Default"/>
              <w:jc w:val="center"/>
              <w:rPr>
                <w:sz w:val="22"/>
                <w:szCs w:val="22"/>
              </w:rPr>
            </w:pPr>
            <w:r>
              <w:rPr>
                <w:sz w:val="20"/>
                <w:szCs w:val="20"/>
              </w:rPr>
              <w:t>IASPC</w:t>
            </w:r>
          </w:p>
        </w:tc>
        <w:tc>
          <w:tcPr>
            <w:tcW w:w="872" w:type="dxa"/>
            <w:vAlign w:val="center"/>
          </w:tcPr>
          <w:p w14:paraId="416438D5" w14:textId="085DF5A1" w:rsidR="00986ED4" w:rsidRDefault="00986ED4" w:rsidP="00986ED4">
            <w:pPr>
              <w:pStyle w:val="Default"/>
              <w:jc w:val="center"/>
              <w:rPr>
                <w:sz w:val="22"/>
                <w:szCs w:val="22"/>
              </w:rPr>
            </w:pPr>
            <w:r>
              <w:rPr>
                <w:sz w:val="20"/>
                <w:szCs w:val="20"/>
              </w:rPr>
              <w:t>NAPPO</w:t>
            </w:r>
          </w:p>
        </w:tc>
        <w:tc>
          <w:tcPr>
            <w:tcW w:w="850" w:type="dxa"/>
            <w:vAlign w:val="center"/>
          </w:tcPr>
          <w:p w14:paraId="3CE50E89" w14:textId="1854E640" w:rsidR="00986ED4" w:rsidRDefault="00986ED4" w:rsidP="00986ED4">
            <w:pPr>
              <w:pStyle w:val="Default"/>
              <w:jc w:val="center"/>
              <w:rPr>
                <w:sz w:val="22"/>
                <w:szCs w:val="22"/>
              </w:rPr>
            </w:pPr>
            <w:r>
              <w:rPr>
                <w:sz w:val="20"/>
                <w:szCs w:val="20"/>
              </w:rPr>
              <w:t>NEPPO</w:t>
            </w:r>
          </w:p>
        </w:tc>
        <w:tc>
          <w:tcPr>
            <w:tcW w:w="1097" w:type="dxa"/>
            <w:vAlign w:val="center"/>
          </w:tcPr>
          <w:p w14:paraId="3A6B6F5E" w14:textId="15DF520D" w:rsidR="00986ED4" w:rsidRDefault="00986ED4" w:rsidP="00986ED4">
            <w:pPr>
              <w:pStyle w:val="Default"/>
              <w:jc w:val="center"/>
              <w:rPr>
                <w:sz w:val="22"/>
                <w:szCs w:val="22"/>
              </w:rPr>
            </w:pPr>
            <w:r>
              <w:rPr>
                <w:sz w:val="20"/>
                <w:szCs w:val="20"/>
              </w:rPr>
              <w:t>OIRSA</w:t>
            </w:r>
          </w:p>
        </w:tc>
        <w:tc>
          <w:tcPr>
            <w:tcW w:w="1194" w:type="dxa"/>
            <w:vAlign w:val="center"/>
          </w:tcPr>
          <w:p w14:paraId="469C3B92" w14:textId="4ABBCEC9" w:rsidR="00986ED4" w:rsidRDefault="00986ED4" w:rsidP="00986ED4">
            <w:pPr>
              <w:pStyle w:val="Default"/>
              <w:jc w:val="center"/>
              <w:rPr>
                <w:sz w:val="22"/>
                <w:szCs w:val="22"/>
              </w:rPr>
            </w:pPr>
            <w:r>
              <w:rPr>
                <w:sz w:val="22"/>
                <w:szCs w:val="22"/>
              </w:rPr>
              <w:t>PPPO</w:t>
            </w:r>
          </w:p>
        </w:tc>
      </w:tr>
      <w:tr w:rsidR="00986ED4" w14:paraId="4F4CE2D1" w14:textId="72A62262" w:rsidTr="00986ED4">
        <w:tc>
          <w:tcPr>
            <w:tcW w:w="630" w:type="dxa"/>
            <w:vAlign w:val="center"/>
          </w:tcPr>
          <w:p w14:paraId="5A74EAFA" w14:textId="77777777" w:rsidR="00986ED4" w:rsidRDefault="00986ED4" w:rsidP="00986ED4">
            <w:pPr>
              <w:pStyle w:val="Default"/>
              <w:jc w:val="center"/>
              <w:rPr>
                <w:sz w:val="22"/>
                <w:szCs w:val="22"/>
              </w:rPr>
            </w:pPr>
          </w:p>
        </w:tc>
        <w:tc>
          <w:tcPr>
            <w:tcW w:w="1080" w:type="dxa"/>
            <w:vAlign w:val="center"/>
          </w:tcPr>
          <w:p w14:paraId="52676DDC" w14:textId="736B3CAF" w:rsidR="00986ED4" w:rsidRDefault="00986ED4" w:rsidP="00986ED4">
            <w:pPr>
              <w:pStyle w:val="Default"/>
              <w:jc w:val="center"/>
              <w:rPr>
                <w:sz w:val="22"/>
                <w:szCs w:val="22"/>
              </w:rPr>
            </w:pPr>
            <w:r>
              <w:rPr>
                <w:sz w:val="20"/>
                <w:szCs w:val="20"/>
              </w:rPr>
              <w:t>FOC TR4</w:t>
            </w:r>
          </w:p>
        </w:tc>
        <w:tc>
          <w:tcPr>
            <w:tcW w:w="1280" w:type="dxa"/>
            <w:vAlign w:val="center"/>
          </w:tcPr>
          <w:p w14:paraId="64EE601F" w14:textId="1A104F24" w:rsidR="00986ED4" w:rsidRDefault="00986ED4" w:rsidP="00986ED4">
            <w:pPr>
              <w:pStyle w:val="Default"/>
              <w:jc w:val="center"/>
              <w:rPr>
                <w:sz w:val="22"/>
                <w:szCs w:val="22"/>
              </w:rPr>
            </w:pPr>
            <w:r>
              <w:rPr>
                <w:sz w:val="20"/>
                <w:szCs w:val="20"/>
              </w:rPr>
              <w:t>FOC TR4</w:t>
            </w:r>
          </w:p>
        </w:tc>
        <w:tc>
          <w:tcPr>
            <w:tcW w:w="785" w:type="dxa"/>
            <w:vAlign w:val="center"/>
          </w:tcPr>
          <w:p w14:paraId="27EA5EE1" w14:textId="7EB8D9F0" w:rsidR="00986ED4" w:rsidRDefault="00986ED4" w:rsidP="00986ED4">
            <w:pPr>
              <w:pStyle w:val="Default"/>
              <w:jc w:val="center"/>
              <w:rPr>
                <w:sz w:val="22"/>
                <w:szCs w:val="22"/>
              </w:rPr>
            </w:pPr>
            <w:r>
              <w:rPr>
                <w:sz w:val="20"/>
                <w:szCs w:val="20"/>
              </w:rPr>
              <w:t>FOC TR4</w:t>
            </w:r>
          </w:p>
        </w:tc>
        <w:tc>
          <w:tcPr>
            <w:tcW w:w="1017" w:type="dxa"/>
            <w:vAlign w:val="center"/>
          </w:tcPr>
          <w:p w14:paraId="65469A81" w14:textId="2024B9EC" w:rsidR="00986ED4" w:rsidRDefault="00986ED4" w:rsidP="00986ED4">
            <w:pPr>
              <w:pStyle w:val="Default"/>
              <w:jc w:val="center"/>
              <w:rPr>
                <w:sz w:val="22"/>
                <w:szCs w:val="22"/>
              </w:rPr>
            </w:pPr>
            <w:r>
              <w:rPr>
                <w:sz w:val="20"/>
                <w:szCs w:val="20"/>
              </w:rPr>
              <w:t>FOC TR4</w:t>
            </w:r>
          </w:p>
        </w:tc>
        <w:tc>
          <w:tcPr>
            <w:tcW w:w="806" w:type="dxa"/>
            <w:vAlign w:val="center"/>
          </w:tcPr>
          <w:p w14:paraId="60A22C9D" w14:textId="77777777" w:rsidR="00986ED4" w:rsidRDefault="00986ED4" w:rsidP="00986ED4">
            <w:pPr>
              <w:pStyle w:val="Default"/>
              <w:jc w:val="center"/>
              <w:rPr>
                <w:sz w:val="22"/>
                <w:szCs w:val="22"/>
              </w:rPr>
            </w:pPr>
          </w:p>
        </w:tc>
        <w:tc>
          <w:tcPr>
            <w:tcW w:w="829" w:type="dxa"/>
            <w:vAlign w:val="center"/>
          </w:tcPr>
          <w:p w14:paraId="48967680" w14:textId="1FBB7DE9" w:rsidR="00986ED4" w:rsidRDefault="00986ED4" w:rsidP="00986ED4">
            <w:pPr>
              <w:pStyle w:val="Default"/>
              <w:jc w:val="center"/>
              <w:rPr>
                <w:sz w:val="22"/>
                <w:szCs w:val="22"/>
              </w:rPr>
            </w:pPr>
            <w:r>
              <w:rPr>
                <w:sz w:val="20"/>
                <w:szCs w:val="20"/>
              </w:rPr>
              <w:t>FOC TR4</w:t>
            </w:r>
          </w:p>
        </w:tc>
        <w:tc>
          <w:tcPr>
            <w:tcW w:w="872" w:type="dxa"/>
            <w:vAlign w:val="center"/>
          </w:tcPr>
          <w:p w14:paraId="6A81FB57" w14:textId="77777777" w:rsidR="00986ED4" w:rsidRDefault="00986ED4" w:rsidP="00986ED4">
            <w:pPr>
              <w:pStyle w:val="Default"/>
              <w:jc w:val="center"/>
              <w:rPr>
                <w:sz w:val="22"/>
                <w:szCs w:val="22"/>
              </w:rPr>
            </w:pPr>
          </w:p>
        </w:tc>
        <w:tc>
          <w:tcPr>
            <w:tcW w:w="850" w:type="dxa"/>
            <w:vAlign w:val="center"/>
          </w:tcPr>
          <w:p w14:paraId="17942E9F" w14:textId="76DA1581" w:rsidR="00986ED4" w:rsidRDefault="00986ED4" w:rsidP="00986ED4">
            <w:pPr>
              <w:pStyle w:val="Default"/>
              <w:jc w:val="center"/>
              <w:rPr>
                <w:sz w:val="22"/>
                <w:szCs w:val="22"/>
              </w:rPr>
            </w:pPr>
            <w:r>
              <w:rPr>
                <w:sz w:val="20"/>
                <w:szCs w:val="20"/>
              </w:rPr>
              <w:t>FOC TR4</w:t>
            </w:r>
          </w:p>
        </w:tc>
        <w:tc>
          <w:tcPr>
            <w:tcW w:w="1097" w:type="dxa"/>
            <w:vAlign w:val="center"/>
          </w:tcPr>
          <w:p w14:paraId="2ACD4076" w14:textId="0BCC1F26" w:rsidR="00986ED4" w:rsidRDefault="00986ED4" w:rsidP="00986ED4">
            <w:pPr>
              <w:pStyle w:val="Default"/>
              <w:jc w:val="center"/>
              <w:rPr>
                <w:sz w:val="22"/>
                <w:szCs w:val="22"/>
              </w:rPr>
            </w:pPr>
            <w:r>
              <w:rPr>
                <w:sz w:val="20"/>
                <w:szCs w:val="20"/>
              </w:rPr>
              <w:t>FOC TR4</w:t>
            </w:r>
          </w:p>
        </w:tc>
        <w:tc>
          <w:tcPr>
            <w:tcW w:w="1194" w:type="dxa"/>
            <w:vAlign w:val="center"/>
          </w:tcPr>
          <w:p w14:paraId="1F2EB946" w14:textId="771518CA" w:rsidR="00986ED4" w:rsidRDefault="00986ED4" w:rsidP="00986ED4">
            <w:pPr>
              <w:pStyle w:val="Default"/>
              <w:jc w:val="center"/>
              <w:rPr>
                <w:sz w:val="22"/>
                <w:szCs w:val="22"/>
              </w:rPr>
            </w:pPr>
            <w:r>
              <w:rPr>
                <w:sz w:val="20"/>
                <w:szCs w:val="20"/>
              </w:rPr>
              <w:t>FOC TR4</w:t>
            </w:r>
          </w:p>
        </w:tc>
      </w:tr>
      <w:tr w:rsidR="00986ED4" w14:paraId="53F1D8A4" w14:textId="5E867411" w:rsidTr="00986ED4">
        <w:tc>
          <w:tcPr>
            <w:tcW w:w="630" w:type="dxa"/>
            <w:vAlign w:val="center"/>
          </w:tcPr>
          <w:p w14:paraId="53A64F5B" w14:textId="77777777" w:rsidR="00986ED4" w:rsidRDefault="00986ED4" w:rsidP="00986ED4">
            <w:pPr>
              <w:pStyle w:val="Default"/>
              <w:jc w:val="center"/>
              <w:rPr>
                <w:sz w:val="22"/>
                <w:szCs w:val="22"/>
              </w:rPr>
            </w:pPr>
          </w:p>
        </w:tc>
        <w:tc>
          <w:tcPr>
            <w:tcW w:w="1080" w:type="dxa"/>
            <w:vAlign w:val="center"/>
          </w:tcPr>
          <w:p w14:paraId="2E3F3153" w14:textId="77777777" w:rsidR="00986ED4" w:rsidRDefault="00986ED4" w:rsidP="00986ED4">
            <w:pPr>
              <w:pStyle w:val="Default"/>
              <w:jc w:val="center"/>
              <w:rPr>
                <w:sz w:val="22"/>
                <w:szCs w:val="22"/>
              </w:rPr>
            </w:pPr>
          </w:p>
        </w:tc>
        <w:tc>
          <w:tcPr>
            <w:tcW w:w="1280" w:type="dxa"/>
            <w:vAlign w:val="center"/>
          </w:tcPr>
          <w:p w14:paraId="4953F9C5" w14:textId="77777777" w:rsidR="00986ED4" w:rsidRDefault="00986ED4" w:rsidP="00986ED4">
            <w:pPr>
              <w:pStyle w:val="Default"/>
              <w:jc w:val="center"/>
              <w:rPr>
                <w:sz w:val="22"/>
                <w:szCs w:val="22"/>
              </w:rPr>
            </w:pPr>
          </w:p>
        </w:tc>
        <w:tc>
          <w:tcPr>
            <w:tcW w:w="785" w:type="dxa"/>
            <w:vAlign w:val="center"/>
          </w:tcPr>
          <w:p w14:paraId="35A1D262" w14:textId="77777777" w:rsidR="00986ED4" w:rsidRDefault="00986ED4" w:rsidP="00986ED4">
            <w:pPr>
              <w:pStyle w:val="Default"/>
              <w:jc w:val="center"/>
              <w:rPr>
                <w:sz w:val="22"/>
                <w:szCs w:val="22"/>
              </w:rPr>
            </w:pPr>
          </w:p>
        </w:tc>
        <w:tc>
          <w:tcPr>
            <w:tcW w:w="1017" w:type="dxa"/>
            <w:vAlign w:val="center"/>
          </w:tcPr>
          <w:p w14:paraId="1C10CEF3" w14:textId="0EEDDED0" w:rsidR="00986ED4" w:rsidRDefault="00986ED4" w:rsidP="00986ED4">
            <w:pPr>
              <w:pStyle w:val="Default"/>
              <w:jc w:val="center"/>
              <w:rPr>
                <w:sz w:val="22"/>
                <w:szCs w:val="22"/>
              </w:rPr>
            </w:pPr>
            <w:proofErr w:type="spellStart"/>
            <w:r>
              <w:rPr>
                <w:sz w:val="20"/>
                <w:szCs w:val="20"/>
              </w:rPr>
              <w:t>Lobesia</w:t>
            </w:r>
            <w:proofErr w:type="spellEnd"/>
            <w:r>
              <w:rPr>
                <w:sz w:val="20"/>
                <w:szCs w:val="20"/>
              </w:rPr>
              <w:t xml:space="preserve"> botrana</w:t>
            </w:r>
          </w:p>
        </w:tc>
        <w:tc>
          <w:tcPr>
            <w:tcW w:w="806" w:type="dxa"/>
            <w:vAlign w:val="center"/>
          </w:tcPr>
          <w:p w14:paraId="4BDFEF7B" w14:textId="77777777" w:rsidR="00986ED4" w:rsidRDefault="00986ED4" w:rsidP="00986ED4">
            <w:pPr>
              <w:pStyle w:val="Default"/>
              <w:jc w:val="center"/>
              <w:rPr>
                <w:sz w:val="22"/>
                <w:szCs w:val="22"/>
              </w:rPr>
            </w:pPr>
          </w:p>
        </w:tc>
        <w:tc>
          <w:tcPr>
            <w:tcW w:w="829" w:type="dxa"/>
            <w:vAlign w:val="center"/>
          </w:tcPr>
          <w:p w14:paraId="68F32C28" w14:textId="77777777" w:rsidR="00986ED4" w:rsidRDefault="00986ED4" w:rsidP="00986ED4">
            <w:pPr>
              <w:pStyle w:val="Default"/>
              <w:jc w:val="center"/>
              <w:rPr>
                <w:sz w:val="22"/>
                <w:szCs w:val="22"/>
              </w:rPr>
            </w:pPr>
          </w:p>
        </w:tc>
        <w:tc>
          <w:tcPr>
            <w:tcW w:w="872" w:type="dxa"/>
            <w:vAlign w:val="center"/>
          </w:tcPr>
          <w:p w14:paraId="671F8E82" w14:textId="77777777" w:rsidR="00986ED4" w:rsidRDefault="00986ED4" w:rsidP="00986ED4">
            <w:pPr>
              <w:pStyle w:val="Default"/>
              <w:jc w:val="center"/>
              <w:rPr>
                <w:sz w:val="22"/>
                <w:szCs w:val="22"/>
              </w:rPr>
            </w:pPr>
          </w:p>
        </w:tc>
        <w:tc>
          <w:tcPr>
            <w:tcW w:w="850" w:type="dxa"/>
            <w:vAlign w:val="center"/>
          </w:tcPr>
          <w:p w14:paraId="40AB055E" w14:textId="77777777" w:rsidR="00986ED4" w:rsidRDefault="00986ED4" w:rsidP="00986ED4">
            <w:pPr>
              <w:pStyle w:val="Default"/>
              <w:jc w:val="center"/>
              <w:rPr>
                <w:sz w:val="22"/>
                <w:szCs w:val="22"/>
              </w:rPr>
            </w:pPr>
          </w:p>
        </w:tc>
        <w:tc>
          <w:tcPr>
            <w:tcW w:w="1097" w:type="dxa"/>
            <w:vAlign w:val="center"/>
          </w:tcPr>
          <w:p w14:paraId="7BF9AF73" w14:textId="77777777" w:rsidR="00986ED4" w:rsidRDefault="00986ED4" w:rsidP="00986ED4">
            <w:pPr>
              <w:pStyle w:val="Default"/>
              <w:jc w:val="center"/>
              <w:rPr>
                <w:sz w:val="22"/>
                <w:szCs w:val="22"/>
              </w:rPr>
            </w:pPr>
          </w:p>
        </w:tc>
        <w:tc>
          <w:tcPr>
            <w:tcW w:w="1194" w:type="dxa"/>
            <w:vAlign w:val="center"/>
          </w:tcPr>
          <w:p w14:paraId="34CCD9D8" w14:textId="77777777" w:rsidR="00986ED4" w:rsidRDefault="00986ED4" w:rsidP="00986ED4">
            <w:pPr>
              <w:pStyle w:val="Default"/>
              <w:jc w:val="center"/>
              <w:rPr>
                <w:sz w:val="22"/>
                <w:szCs w:val="22"/>
              </w:rPr>
            </w:pPr>
          </w:p>
        </w:tc>
      </w:tr>
    </w:tbl>
    <w:p w14:paraId="60F6F772" w14:textId="77777777" w:rsidR="00986ED4" w:rsidRDefault="00986ED4" w:rsidP="00986ED4">
      <w:pPr>
        <w:pStyle w:val="Default"/>
        <w:rPr>
          <w:sz w:val="22"/>
          <w:szCs w:val="22"/>
        </w:rPr>
      </w:pPr>
    </w:p>
    <w:p w14:paraId="7685CDB2" w14:textId="77777777" w:rsidR="00986ED4" w:rsidRDefault="00986ED4" w:rsidP="00986ED4">
      <w:pPr>
        <w:pStyle w:val="Default"/>
        <w:rPr>
          <w:sz w:val="22"/>
          <w:szCs w:val="22"/>
        </w:rPr>
      </w:pPr>
    </w:p>
    <w:p w14:paraId="54E14BCA" w14:textId="77777777" w:rsidR="00986ED4" w:rsidRDefault="00986ED4" w:rsidP="00986ED4">
      <w:pPr>
        <w:pStyle w:val="Default"/>
      </w:pPr>
    </w:p>
    <w:p w14:paraId="23FCE4A0" w14:textId="6225760C" w:rsidR="00986ED4" w:rsidRDefault="00986ED4" w:rsidP="00986ED4">
      <w:pPr>
        <w:pStyle w:val="Default"/>
        <w:rPr>
          <w:sz w:val="22"/>
          <w:szCs w:val="22"/>
        </w:rPr>
      </w:pPr>
      <w:r>
        <w:t xml:space="preserve"> </w:t>
      </w:r>
      <w:r>
        <w:rPr>
          <w:sz w:val="22"/>
          <w:szCs w:val="22"/>
        </w:rPr>
        <w:t>*Fill in with the scientific name of the pest, the status of the pest in the region and the main actions of the RPPO regarding the pest. It is important to note the date of the update.</w:t>
      </w:r>
    </w:p>
    <w:sectPr w:rsidR="00986E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D4"/>
    <w:rsid w:val="000D59D2"/>
    <w:rsid w:val="004D3E48"/>
    <w:rsid w:val="00643E8E"/>
    <w:rsid w:val="006C420A"/>
    <w:rsid w:val="00986ED4"/>
    <w:rsid w:val="00B32ABC"/>
    <w:rsid w:val="00DA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D5828"/>
  <w15:chartTrackingRefBased/>
  <w15:docId w15:val="{BC589221-317D-4BD7-980D-C356178C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6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E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E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E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E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E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E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E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E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6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E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E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6E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ED4"/>
    <w:rPr>
      <w:rFonts w:eastAsiaTheme="majorEastAsia" w:cstheme="majorBidi"/>
      <w:color w:val="272727" w:themeColor="text1" w:themeTint="D8"/>
    </w:rPr>
  </w:style>
  <w:style w:type="paragraph" w:styleId="Title">
    <w:name w:val="Title"/>
    <w:basedOn w:val="Normal"/>
    <w:next w:val="Normal"/>
    <w:link w:val="TitleChar"/>
    <w:uiPriority w:val="10"/>
    <w:qFormat/>
    <w:rsid w:val="00986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E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ED4"/>
    <w:pPr>
      <w:spacing w:before="160"/>
      <w:jc w:val="center"/>
    </w:pPr>
    <w:rPr>
      <w:i/>
      <w:iCs/>
      <w:color w:val="404040" w:themeColor="text1" w:themeTint="BF"/>
    </w:rPr>
  </w:style>
  <w:style w:type="character" w:customStyle="1" w:styleId="QuoteChar">
    <w:name w:val="Quote Char"/>
    <w:basedOn w:val="DefaultParagraphFont"/>
    <w:link w:val="Quote"/>
    <w:uiPriority w:val="29"/>
    <w:rsid w:val="00986ED4"/>
    <w:rPr>
      <w:i/>
      <w:iCs/>
      <w:color w:val="404040" w:themeColor="text1" w:themeTint="BF"/>
    </w:rPr>
  </w:style>
  <w:style w:type="paragraph" w:styleId="ListParagraph">
    <w:name w:val="List Paragraph"/>
    <w:basedOn w:val="Normal"/>
    <w:uiPriority w:val="34"/>
    <w:qFormat/>
    <w:rsid w:val="00986ED4"/>
    <w:pPr>
      <w:ind w:left="720"/>
      <w:contextualSpacing/>
    </w:pPr>
  </w:style>
  <w:style w:type="character" w:styleId="IntenseEmphasis">
    <w:name w:val="Intense Emphasis"/>
    <w:basedOn w:val="DefaultParagraphFont"/>
    <w:uiPriority w:val="21"/>
    <w:qFormat/>
    <w:rsid w:val="00986ED4"/>
    <w:rPr>
      <w:i/>
      <w:iCs/>
      <w:color w:val="0F4761" w:themeColor="accent1" w:themeShade="BF"/>
    </w:rPr>
  </w:style>
  <w:style w:type="paragraph" w:styleId="IntenseQuote">
    <w:name w:val="Intense Quote"/>
    <w:basedOn w:val="Normal"/>
    <w:next w:val="Normal"/>
    <w:link w:val="IntenseQuoteChar"/>
    <w:uiPriority w:val="30"/>
    <w:qFormat/>
    <w:rsid w:val="00986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ED4"/>
    <w:rPr>
      <w:i/>
      <w:iCs/>
      <w:color w:val="0F4761" w:themeColor="accent1" w:themeShade="BF"/>
    </w:rPr>
  </w:style>
  <w:style w:type="character" w:styleId="IntenseReference">
    <w:name w:val="Intense Reference"/>
    <w:basedOn w:val="DefaultParagraphFont"/>
    <w:uiPriority w:val="32"/>
    <w:qFormat/>
    <w:rsid w:val="00986ED4"/>
    <w:rPr>
      <w:b/>
      <w:bCs/>
      <w:smallCaps/>
      <w:color w:val="0F4761" w:themeColor="accent1" w:themeShade="BF"/>
      <w:spacing w:val="5"/>
    </w:rPr>
  </w:style>
  <w:style w:type="paragraph" w:customStyle="1" w:styleId="Default">
    <w:name w:val="Default"/>
    <w:rsid w:val="00986ED4"/>
    <w:pPr>
      <w:autoSpaceDE w:val="0"/>
      <w:autoSpaceDN w:val="0"/>
      <w:adjustRightInd w:val="0"/>
      <w:spacing w:after="0" w:line="240" w:lineRule="auto"/>
    </w:pPr>
    <w:rPr>
      <w:rFonts w:ascii="Times New Roman" w:hAnsi="Times New Roman" w:cs="Times New Roman"/>
      <w:color w:val="000000"/>
      <w:kern w:val="0"/>
    </w:rPr>
  </w:style>
  <w:style w:type="table" w:styleId="TableGrid">
    <w:name w:val="Table Grid"/>
    <w:basedOn w:val="TableNormal"/>
    <w:uiPriority w:val="39"/>
    <w:rsid w:val="00986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58c79fb002f89a5111e50c4b7040bcb6">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c7dd2e9d878049d154ba4207012eb770"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5d7f75-f42e-4288-8809-604fd4d9691f"/>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Props1.xml><?xml version="1.0" encoding="utf-8"?>
<ds:datastoreItem xmlns:ds="http://schemas.openxmlformats.org/officeDocument/2006/customXml" ds:itemID="{ED9F549E-9581-401A-AE3A-8AA6431EC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B01D0A-168B-404D-87D6-EB8C90831CBC}">
  <ds:schemaRefs>
    <ds:schemaRef ds:uri="http://schemas.microsoft.com/sharepoint/v3/contenttype/forms"/>
  </ds:schemaRefs>
</ds:datastoreItem>
</file>

<file path=customXml/itemProps3.xml><?xml version="1.0" encoding="utf-8"?>
<ds:datastoreItem xmlns:ds="http://schemas.openxmlformats.org/officeDocument/2006/customXml" ds:itemID="{46EC86D9-E608-4E78-A5F7-A311828372A2}">
  <ds:schemaRefs>
    <ds:schemaRef ds:uri="http://schemas.microsoft.com/office/2006/metadata/properties"/>
    <ds:schemaRef ds:uri="http://schemas.microsoft.com/office/infopath/2007/PartnerControls"/>
    <ds:schemaRef ds:uri="a05d7f75-f42e-4288-8809-604fd4d9691f"/>
    <ds:schemaRef ds:uri="ea6feb38-a85a-45e8-92e9-814486bbe375"/>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Caplen, Russell (NSPD)</dc:creator>
  <cp:keywords/>
  <dc:description/>
  <cp:lastModifiedBy>Caplen, Russell (NSPD)</cp:lastModifiedBy>
  <cp:revision>3</cp:revision>
  <dcterms:created xsi:type="dcterms:W3CDTF">2025-09-08T07:39:00Z</dcterms:created>
  <dcterms:modified xsi:type="dcterms:W3CDTF">2025-09-08T07:52:00Z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ies>
</file>