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9D74" w14:textId="77777777" w:rsidR="005B498A" w:rsidRDefault="005B498A" w:rsidP="003178B6">
      <w:pPr>
        <w:jc w:val="center"/>
        <w:rPr>
          <w:b/>
          <w:bCs/>
        </w:rPr>
      </w:pPr>
    </w:p>
    <w:p w14:paraId="737AA62B" w14:textId="77777777" w:rsidR="007D605C" w:rsidRPr="0010621C" w:rsidRDefault="007D605C" w:rsidP="007D605C">
      <w:pPr>
        <w:pStyle w:val="IPPHeadSection"/>
        <w:jc w:val="center"/>
        <w:rPr>
          <w:smallCaps/>
        </w:rPr>
      </w:pPr>
      <w:bookmarkStart w:id="0" w:name="_Hlk210634284"/>
      <w:r w:rsidRPr="0010621C">
        <w:t>Commission on Phytosanitary Measures</w:t>
      </w:r>
    </w:p>
    <w:p w14:paraId="4345B748" w14:textId="77777777" w:rsidR="007D605C" w:rsidRPr="007D605C" w:rsidRDefault="007D605C" w:rsidP="007D605C">
      <w:pPr>
        <w:pStyle w:val="IPPHeadSection"/>
        <w:jc w:val="center"/>
      </w:pPr>
      <w:r w:rsidRPr="007D605C">
        <w:t>STRATEGIC PLANNING GROUP</w:t>
      </w:r>
    </w:p>
    <w:bookmarkEnd w:id="0"/>
    <w:p w14:paraId="741505C0" w14:textId="7967B7CA" w:rsidR="0082734B" w:rsidRPr="007D605C" w:rsidRDefault="005B498A" w:rsidP="007D605C">
      <w:pPr>
        <w:pStyle w:val="IPPHeadSection"/>
        <w:jc w:val="center"/>
      </w:pPr>
      <w:r w:rsidRPr="00D275C8">
        <w:t>RE-THINKING ISPMS - SOME OBSERVATIONS FROM THE UK</w:t>
      </w:r>
    </w:p>
    <w:p w14:paraId="14272E90" w14:textId="237F1A38" w:rsidR="003178B6" w:rsidRPr="005B498A" w:rsidRDefault="005B498A" w:rsidP="003178B6">
      <w:pPr>
        <w:jc w:val="center"/>
        <w:rPr>
          <w:i/>
          <w:iCs/>
        </w:rPr>
      </w:pPr>
      <w:r w:rsidRPr="005B498A">
        <w:rPr>
          <w:i/>
          <w:iCs/>
        </w:rPr>
        <w:t>(Prepared by the UK)</w:t>
      </w:r>
    </w:p>
    <w:p w14:paraId="70429A37" w14:textId="77777777" w:rsidR="00546799" w:rsidRDefault="00546799" w:rsidP="00D275C8">
      <w:pPr>
        <w:rPr>
          <w:b/>
          <w:bCs/>
        </w:rPr>
      </w:pPr>
    </w:p>
    <w:p w14:paraId="32907E86" w14:textId="36651D56" w:rsidR="0082734B" w:rsidRPr="002936CE" w:rsidRDefault="000F48B1" w:rsidP="000F48B1">
      <w:pPr>
        <w:pStyle w:val="IPPHeading1"/>
      </w:pPr>
      <w:r>
        <w:t>1.</w:t>
      </w:r>
      <w:r>
        <w:tab/>
      </w:r>
      <w:r w:rsidR="00855164" w:rsidRPr="002936CE">
        <w:t>What are we trying to achieve</w:t>
      </w:r>
    </w:p>
    <w:p w14:paraId="50AE9B23" w14:textId="1527B36F" w:rsidR="00855164" w:rsidRDefault="00855164" w:rsidP="000F48B1">
      <w:pPr>
        <w:pStyle w:val="IPPParagraphnumbering"/>
      </w:pPr>
      <w:r>
        <w:t>There appears to be a misconception that the concept of re</w:t>
      </w:r>
      <w:r w:rsidR="00926651">
        <w:t>-</w:t>
      </w:r>
      <w:r>
        <w:t xml:space="preserve">thinking ISPMs is about ‘dumbing then down’, it is not clear why this has </w:t>
      </w:r>
      <w:proofErr w:type="gramStart"/>
      <w:r>
        <w:t>arisen</w:t>
      </w:r>
      <w:proofErr w:type="gramEnd"/>
      <w:r>
        <w:t xml:space="preserve"> but it may be due to the use of the wor</w:t>
      </w:r>
      <w:r w:rsidR="00062013">
        <w:t>d</w:t>
      </w:r>
      <w:r>
        <w:t xml:space="preserve"> ‘simplification’.  In this context ‘simplification’ is being used to express an ambition to make standards easier to read, and therefore implement, rather than </w:t>
      </w:r>
      <w:r w:rsidR="00D275C8">
        <w:t xml:space="preserve">reducing </w:t>
      </w:r>
      <w:r>
        <w:t>their technical or scientific basis</w:t>
      </w:r>
      <w:r w:rsidR="00062013">
        <w:t xml:space="preserve"> or credibility.</w:t>
      </w:r>
      <w:r w:rsidR="009A7DB5">
        <w:t xml:space="preserve">  </w:t>
      </w:r>
    </w:p>
    <w:p w14:paraId="3F1951CD" w14:textId="594444E4" w:rsidR="001D44F9" w:rsidRDefault="009A7DB5" w:rsidP="000F48B1">
      <w:pPr>
        <w:pStyle w:val="IPPParagraphnumbering"/>
      </w:pPr>
      <w:r>
        <w:t>Removing complex guidance material from ISPMs and instead focusing on obligations and the justification</w:t>
      </w:r>
      <w:r w:rsidR="00D275C8">
        <w:t xml:space="preserve"> for them</w:t>
      </w:r>
      <w:r>
        <w:t xml:space="preserve"> will </w:t>
      </w:r>
      <w:r w:rsidR="00EE3331">
        <w:t>improve</w:t>
      </w:r>
      <w:r>
        <w:t xml:space="preserve"> the quality and value of the standards we adopt and use.</w:t>
      </w:r>
      <w:r w:rsidR="001D44F9">
        <w:t xml:space="preserve"> </w:t>
      </w:r>
      <w:r w:rsidR="00565334">
        <w:t xml:space="preserve">  It will </w:t>
      </w:r>
      <w:r w:rsidR="0038364F">
        <w:t xml:space="preserve">however </w:t>
      </w:r>
      <w:r w:rsidR="00565334">
        <w:t>not be possible</w:t>
      </w:r>
      <w:r w:rsidR="00062013">
        <w:t xml:space="preserve"> or desirable</w:t>
      </w:r>
      <w:r w:rsidR="00565334">
        <w:t xml:space="preserve"> to remove all guidance from an ISPM</w:t>
      </w:r>
      <w:r w:rsidR="00062013">
        <w:t>,</w:t>
      </w:r>
      <w:r w:rsidR="00565334">
        <w:t xml:space="preserve"> as sometime</w:t>
      </w:r>
      <w:r w:rsidR="00062013">
        <w:t xml:space="preserve">s some </w:t>
      </w:r>
      <w:r w:rsidR="0038364F">
        <w:t>guidance will be</w:t>
      </w:r>
      <w:r w:rsidR="00565334">
        <w:t xml:space="preserve"> needed to </w:t>
      </w:r>
      <w:r w:rsidR="00062013">
        <w:t xml:space="preserve">help support comprehension of the text. </w:t>
      </w:r>
    </w:p>
    <w:p w14:paraId="0573D242" w14:textId="4C27126E" w:rsidR="00062013" w:rsidRDefault="00062013" w:rsidP="000F48B1">
      <w:pPr>
        <w:pStyle w:val="IPPParagraphnumbering"/>
      </w:pPr>
      <w:r>
        <w:t xml:space="preserve">There </w:t>
      </w:r>
      <w:r w:rsidR="00D275C8">
        <w:t>have</w:t>
      </w:r>
      <w:r>
        <w:t xml:space="preserve"> been concerns expressed that rethinking ISPMs would put at risk the </w:t>
      </w:r>
      <w:r w:rsidR="0049051E">
        <w:t>recognition</w:t>
      </w:r>
      <w:r>
        <w:t xml:space="preserve"> of </w:t>
      </w:r>
      <w:r w:rsidR="00D275C8">
        <w:t xml:space="preserve">the </w:t>
      </w:r>
      <w:r>
        <w:t>IPPC</w:t>
      </w:r>
      <w:r w:rsidR="0038364F">
        <w:t>’s</w:t>
      </w:r>
      <w:r>
        <w:t xml:space="preserve"> standards under the WTO-SPS agreement.   This is unlikely to be the case as the SPS agreement simply recognises </w:t>
      </w:r>
      <w:r w:rsidR="0038364F">
        <w:t xml:space="preserve">the </w:t>
      </w:r>
      <w:r>
        <w:t>standards produced by the IPPC (and other two sisters), it makes no comment on their ‘quality’.</w:t>
      </w:r>
    </w:p>
    <w:p w14:paraId="2C886653" w14:textId="7B103667" w:rsidR="0041027D" w:rsidRDefault="001D44F9" w:rsidP="000F48B1">
      <w:pPr>
        <w:pStyle w:val="IPPParagraphnumbering"/>
      </w:pPr>
      <w:r>
        <w:t xml:space="preserve">Increasing the readability of a draft ISPM and </w:t>
      </w:r>
      <w:r w:rsidR="0038364F">
        <w:t xml:space="preserve">ensuring there is a clear focus </w:t>
      </w:r>
      <w:r>
        <w:t xml:space="preserve">on obligations should </w:t>
      </w:r>
      <w:r w:rsidR="0049051E">
        <w:t xml:space="preserve">also </w:t>
      </w:r>
      <w:r>
        <w:t xml:space="preserve">make the process </w:t>
      </w:r>
      <w:proofErr w:type="gramStart"/>
      <w:r>
        <w:t>of country</w:t>
      </w:r>
      <w:proofErr w:type="gramEnd"/>
      <w:r>
        <w:t xml:space="preserve"> consultation eas</w:t>
      </w:r>
      <w:r w:rsidR="0038364F">
        <w:t>i</w:t>
      </w:r>
      <w:r>
        <w:t>er and potentially reduce the number of comments global stewards are required to review.</w:t>
      </w:r>
    </w:p>
    <w:p w14:paraId="3A02D111" w14:textId="1FC4F254" w:rsidR="00967AC3" w:rsidRPr="00F87611" w:rsidRDefault="000F48B1" w:rsidP="000F48B1">
      <w:pPr>
        <w:pStyle w:val="IPPHeading1"/>
      </w:pPr>
      <w:r>
        <w:t>2.</w:t>
      </w:r>
      <w:r>
        <w:tab/>
      </w:r>
      <w:r w:rsidR="00967AC3" w:rsidRPr="00F87611">
        <w:t>What should we be reviewing</w:t>
      </w:r>
    </w:p>
    <w:p w14:paraId="662DA1DA" w14:textId="71CF1C53" w:rsidR="00886E8C" w:rsidRDefault="00D275C8" w:rsidP="000F48B1">
      <w:pPr>
        <w:pStyle w:val="IPPParagraphnumbering"/>
      </w:pPr>
      <w:r>
        <w:t xml:space="preserve">There also unfounded concern that it is being proposed to review all ISPMs at the same time.  This is clearly neither practical </w:t>
      </w:r>
      <w:proofErr w:type="gramStart"/>
      <w:r>
        <w:t>or</w:t>
      </w:r>
      <w:proofErr w:type="gramEnd"/>
      <w:r>
        <w:t xml:space="preserve"> desirable.  The process of re-thinking ISPMs needs to be staged and it is our view that this would best be achieved by focusing on both new drafts </w:t>
      </w:r>
      <w:proofErr w:type="gramStart"/>
      <w:r>
        <w:t>or</w:t>
      </w:r>
      <w:proofErr w:type="gramEnd"/>
      <w:r>
        <w:t xml:space="preserve"> revisions to existing ISPM, i.e. only those standards which are included </w:t>
      </w:r>
      <w:proofErr w:type="gramStart"/>
      <w:r>
        <w:t>on</w:t>
      </w:r>
      <w:proofErr w:type="gramEnd"/>
      <w:r>
        <w:t xml:space="preserve"> the workplan.</w:t>
      </w:r>
      <w:r w:rsidR="00886E8C">
        <w:t xml:space="preserve">  </w:t>
      </w:r>
    </w:p>
    <w:p w14:paraId="26FACAEF" w14:textId="74A88E73" w:rsidR="00325835" w:rsidRDefault="00325835" w:rsidP="000F48B1">
      <w:pPr>
        <w:pStyle w:val="IPPParagraphnumbering"/>
      </w:pPr>
      <w:r>
        <w:t xml:space="preserve">There </w:t>
      </w:r>
      <w:r w:rsidR="0056425D">
        <w:t xml:space="preserve">will inevitably be </w:t>
      </w:r>
      <w:r w:rsidRPr="00325835">
        <w:t xml:space="preserve">variation in readability between ISPMs, i.e. some </w:t>
      </w:r>
      <w:r w:rsidR="0056425D">
        <w:t>being</w:t>
      </w:r>
      <w:r w:rsidRPr="00325835">
        <w:t xml:space="preserve"> more accessible than others</w:t>
      </w:r>
      <w:r w:rsidR="00E32162">
        <w:t>, t</w:t>
      </w:r>
      <w:r w:rsidR="0056425D">
        <w:t xml:space="preserve">his means that there is unlikely to be </w:t>
      </w:r>
      <w:r w:rsidR="00E846E0">
        <w:t xml:space="preserve">a </w:t>
      </w:r>
      <w:r w:rsidR="0056425D">
        <w:t xml:space="preserve">need </w:t>
      </w:r>
      <w:r w:rsidR="00E846E0">
        <w:t xml:space="preserve">for </w:t>
      </w:r>
      <w:r w:rsidRPr="00325835">
        <w:t>all ISPMs need to be</w:t>
      </w:r>
      <w:r w:rsidR="007826A8">
        <w:t xml:space="preserve"> re-worded</w:t>
      </w:r>
    </w:p>
    <w:p w14:paraId="246FBC11" w14:textId="4DF0AB15" w:rsidR="003B15A1" w:rsidRPr="003B15A1" w:rsidRDefault="003B15A1" w:rsidP="007D605C">
      <w:pPr>
        <w:pStyle w:val="IPPParagraphnumberingclose"/>
      </w:pPr>
      <w:r>
        <w:t xml:space="preserve">We </w:t>
      </w:r>
      <w:r w:rsidR="00191C19">
        <w:t>subjected a</w:t>
      </w:r>
      <w:r>
        <w:t xml:space="preserve"> small sample of ISPMs </w:t>
      </w:r>
      <w:r w:rsidR="00191C19">
        <w:t xml:space="preserve">to three different readability </w:t>
      </w:r>
      <w:proofErr w:type="gramStart"/>
      <w:r w:rsidR="004335B7">
        <w:t>tests,</w:t>
      </w:r>
      <w:proofErr w:type="gramEnd"/>
      <w:r w:rsidR="004335B7">
        <w:t xml:space="preserve"> the outcome of this work is </w:t>
      </w:r>
      <w:r w:rsidR="00F845C6">
        <w:t>appended to this paper but in summary o</w:t>
      </w:r>
      <w:r w:rsidRPr="003B15A1">
        <w:t>f the six ISPMs examined: </w:t>
      </w:r>
    </w:p>
    <w:p w14:paraId="6D8EAFEA" w14:textId="77777777" w:rsidR="003B15A1" w:rsidRPr="003B15A1" w:rsidRDefault="003B15A1" w:rsidP="007D605C">
      <w:pPr>
        <w:pStyle w:val="IPPBullet1"/>
      </w:pPr>
      <w:r w:rsidRPr="003B15A1">
        <w:t>ISPM 15 and ISPM 17 are the most readable, with higher Flesch Reading Ease and lower grade levels.</w:t>
      </w:r>
    </w:p>
    <w:p w14:paraId="15FF98C0" w14:textId="77777777" w:rsidR="003B15A1" w:rsidRPr="003B15A1" w:rsidRDefault="003B15A1" w:rsidP="007D605C">
      <w:pPr>
        <w:pStyle w:val="IPPBullet1"/>
      </w:pPr>
      <w:r w:rsidRPr="003B15A1">
        <w:t>ISPM 23 and ISPM 11 are the most complex, requiring college-level comprehension.</w:t>
      </w:r>
    </w:p>
    <w:p w14:paraId="0993B13B" w14:textId="77777777" w:rsidR="003B15A1" w:rsidRPr="003B15A1" w:rsidRDefault="003B15A1" w:rsidP="007D605C">
      <w:pPr>
        <w:pStyle w:val="IPPBullet1"/>
      </w:pPr>
      <w:r w:rsidRPr="003B15A1">
        <w:t>ISPM 1 and ISPM 2 fall in the middle, leaning toward technical complexity.</w:t>
      </w:r>
    </w:p>
    <w:p w14:paraId="1699B807" w14:textId="5A295A59" w:rsidR="00150A28" w:rsidRPr="0041027D" w:rsidRDefault="0082734B" w:rsidP="000F48B1">
      <w:pPr>
        <w:pStyle w:val="IPPHeading1"/>
      </w:pPr>
      <w:r w:rsidRPr="0041027D">
        <w:t xml:space="preserve">ISPM 5 – </w:t>
      </w:r>
      <w:r w:rsidR="0041027D">
        <w:t>F</w:t>
      </w:r>
      <w:r w:rsidRPr="0041027D">
        <w:t>riend or Foe</w:t>
      </w:r>
    </w:p>
    <w:p w14:paraId="7740033D" w14:textId="53820FDF" w:rsidR="0082734B" w:rsidRDefault="0041027D" w:rsidP="000F48B1">
      <w:pPr>
        <w:pStyle w:val="IPPParagraphnumbering"/>
      </w:pPr>
      <w:r>
        <w:t xml:space="preserve">Is it time to take a fresh look at ISPM 5?  One of the biggest </w:t>
      </w:r>
      <w:proofErr w:type="gramStart"/>
      <w:r>
        <w:t>challenge</w:t>
      </w:r>
      <w:proofErr w:type="gramEnd"/>
      <w:r>
        <w:t xml:space="preserve"> we face when drafting ISPMs is the inability to use words which are defined in ISPM5 in their ‘normal’</w:t>
      </w:r>
      <w:r w:rsidR="006324A8">
        <w:t xml:space="preserve"> or ‘common’</w:t>
      </w:r>
      <w:r>
        <w:t xml:space="preserve"> understanding.  A good example is </w:t>
      </w:r>
      <w:r w:rsidR="003E3781">
        <w:t xml:space="preserve">‘field’, this has a very narrow definition in </w:t>
      </w:r>
      <w:proofErr w:type="gramStart"/>
      <w:r w:rsidR="003E3781">
        <w:t>ISPM  which</w:t>
      </w:r>
      <w:proofErr w:type="gramEnd"/>
      <w:r w:rsidR="003E3781">
        <w:t xml:space="preserve"> prevents it from being used in the way most people would understand it:</w:t>
      </w:r>
    </w:p>
    <w:p w14:paraId="7C1EBE46" w14:textId="2E6E9395" w:rsidR="00D02DB1" w:rsidRDefault="003E3781" w:rsidP="00DF00E6">
      <w:pPr>
        <w:pStyle w:val="IPPBullet1"/>
      </w:pPr>
      <w:r>
        <w:lastRenderedPageBreak/>
        <w:t xml:space="preserve">A simple phrase such as ‘surveying the surrounding </w:t>
      </w:r>
      <w:proofErr w:type="gramStart"/>
      <w:r>
        <w:t>fields’</w:t>
      </w:r>
      <w:proofErr w:type="gramEnd"/>
      <w:r>
        <w:t xml:space="preserve"> could not be included in an ISPM with its commonly understood meaning due to the ISPM 5 definition of field.</w:t>
      </w:r>
    </w:p>
    <w:p w14:paraId="0168530E" w14:textId="24716016" w:rsidR="003E3781" w:rsidRDefault="003E3781" w:rsidP="00DF00E6">
      <w:pPr>
        <w:pStyle w:val="IPPBullet1"/>
      </w:pPr>
      <w:r>
        <w:t xml:space="preserve">‘Surveying the </w:t>
      </w:r>
      <w:r w:rsidR="0095241B">
        <w:t>surrounding</w:t>
      </w:r>
      <w:r>
        <w:t xml:space="preserve"> area’ </w:t>
      </w:r>
      <w:r w:rsidR="0095241B">
        <w:t xml:space="preserve">would be an obvious alternative wording, however the ISPM 5 definition of ‘area’ makes this impossible. </w:t>
      </w:r>
      <w:r>
        <w:t xml:space="preserve"> </w:t>
      </w:r>
    </w:p>
    <w:p w14:paraId="583D08AB" w14:textId="076AE8C2" w:rsidR="00D02DB1" w:rsidRDefault="00D02DB1" w:rsidP="00DF00E6">
      <w:pPr>
        <w:pStyle w:val="IPPParagraphnumbering"/>
      </w:pPr>
      <w:r>
        <w:t>Another example could be</w:t>
      </w:r>
    </w:p>
    <w:p w14:paraId="7C8EB9AA" w14:textId="7E52E084" w:rsidR="00B35B50" w:rsidRDefault="00D02DB1" w:rsidP="00DF00E6">
      <w:pPr>
        <w:pStyle w:val="IPPBullet1"/>
      </w:pPr>
      <w:r>
        <w:t xml:space="preserve">‘should </w:t>
      </w:r>
      <w:r w:rsidR="00C61C91">
        <w:t>result in the</w:t>
      </w:r>
      <w:r>
        <w:t xml:space="preserve"> refusal to issue a phytosanitary certificate’.  The ISPM 5 definition of </w:t>
      </w:r>
      <w:r w:rsidR="00C61C91">
        <w:t>‘</w:t>
      </w:r>
      <w:r>
        <w:t>refusal</w:t>
      </w:r>
      <w:r w:rsidR="00C61C91">
        <w:t>’</w:t>
      </w:r>
      <w:r>
        <w:t xml:space="preserve"> means such a statement could not be included in an ISPM</w:t>
      </w:r>
      <w:r w:rsidR="00225681">
        <w:t>.</w:t>
      </w:r>
    </w:p>
    <w:p w14:paraId="499A68D4" w14:textId="4732E76E" w:rsidR="00F67AC2" w:rsidRDefault="00B35B50" w:rsidP="00DF00E6">
      <w:pPr>
        <w:pStyle w:val="IPPParagraphnumbering"/>
      </w:pPr>
      <w:r>
        <w:t xml:space="preserve">ISPM 5 also includes </w:t>
      </w:r>
    </w:p>
    <w:p w14:paraId="3C65EC9C" w14:textId="0E40A1E0" w:rsidR="00B35B50" w:rsidRDefault="0038364F" w:rsidP="00DF00E6">
      <w:pPr>
        <w:pStyle w:val="IPPBullet1"/>
      </w:pPr>
      <w:r>
        <w:t>W</w:t>
      </w:r>
      <w:r w:rsidR="00B35B50">
        <w:t xml:space="preserve">ords which </w:t>
      </w:r>
      <w:r w:rsidR="00F67AC2">
        <w:t>arguably do</w:t>
      </w:r>
      <w:r w:rsidR="00B35B50">
        <w:t xml:space="preserve"> not need to be defined</w:t>
      </w:r>
      <w:r w:rsidR="00F67AC2">
        <w:t xml:space="preserve"> by the IPPC</w:t>
      </w:r>
      <w:r w:rsidR="00B35B50">
        <w:t>, such as habitat and secretary.</w:t>
      </w:r>
    </w:p>
    <w:p w14:paraId="1B5698F6" w14:textId="429FEAC7" w:rsidR="00F67AC2" w:rsidRDefault="00F67AC2" w:rsidP="00DF00E6">
      <w:pPr>
        <w:pStyle w:val="IPPBullet1"/>
      </w:pPr>
      <w:r>
        <w:t xml:space="preserve">Acronyms, e.g. RPPO and NPPO.  Acronyms do not need to have a definition, </w:t>
      </w:r>
      <w:r w:rsidR="0038364F">
        <w:t>although recognising</w:t>
      </w:r>
      <w:r>
        <w:t xml:space="preserve"> that</w:t>
      </w:r>
      <w:r w:rsidR="0038364F">
        <w:t xml:space="preserve"> w</w:t>
      </w:r>
      <w:r>
        <w:t xml:space="preserve">hat they are acronyms of may need defining. </w:t>
      </w:r>
    </w:p>
    <w:p w14:paraId="0DE2DA5F" w14:textId="234160B0" w:rsidR="00C61C91" w:rsidRDefault="00126BAB" w:rsidP="00DF00E6">
      <w:pPr>
        <w:pStyle w:val="IPPBullet1"/>
      </w:pPr>
      <w:r>
        <w:t>Words which may no longer feature in ISPMs follow</w:t>
      </w:r>
      <w:r w:rsidR="0038364F">
        <w:t>ing</w:t>
      </w:r>
      <w:r>
        <w:t xml:space="preserve"> a revision of the standard.   ‘transience’ may be an example of this following the revision of ISPM 8 </w:t>
      </w:r>
    </w:p>
    <w:p w14:paraId="7AD889FF" w14:textId="77777777" w:rsidR="00DF00E6" w:rsidRDefault="00DF00E6" w:rsidP="00DF00E6">
      <w:pPr>
        <w:pStyle w:val="IPPBullet1"/>
        <w:numPr>
          <w:ilvl w:val="0"/>
          <w:numId w:val="0"/>
        </w:numPr>
        <w:ind w:left="567"/>
      </w:pPr>
    </w:p>
    <w:p w14:paraId="10445106" w14:textId="07006AE9" w:rsidR="00C61C91" w:rsidRDefault="00C61C91" w:rsidP="00DF00E6">
      <w:pPr>
        <w:pStyle w:val="IPPParagraphnumbering"/>
      </w:pPr>
      <w:r>
        <w:t xml:space="preserve">Having defined terminology is demonstrably vital when </w:t>
      </w:r>
      <w:r w:rsidR="0038364F">
        <w:t>relying on</w:t>
      </w:r>
      <w:r>
        <w:t xml:space="preserve"> international standards to harmonise activities but should this be to the detriment of being able to use plain language</w:t>
      </w:r>
      <w:r w:rsidR="00126BAB">
        <w:t>?</w:t>
      </w:r>
    </w:p>
    <w:p w14:paraId="02EC286A" w14:textId="36121435" w:rsidR="007072C8" w:rsidRDefault="007072C8" w:rsidP="00DF00E6">
      <w:pPr>
        <w:pStyle w:val="IPPParagraphnumbering"/>
      </w:pPr>
      <w:r>
        <w:t xml:space="preserve">Several years </w:t>
      </w:r>
      <w:proofErr w:type="gramStart"/>
      <w:r>
        <w:t>ago</w:t>
      </w:r>
      <w:proofErr w:type="gramEnd"/>
      <w:r>
        <w:t xml:space="preserve"> the Standards Committee considered, but rejected, a proposal for terms to </w:t>
      </w:r>
      <w:proofErr w:type="gramStart"/>
      <w:r>
        <w:t>be in</w:t>
      </w:r>
      <w:proofErr w:type="gramEnd"/>
      <w:r>
        <w:t xml:space="preserve"> bold or underlined when being used to express the</w:t>
      </w:r>
      <w:r w:rsidR="00126BAB">
        <w:t>ir</w:t>
      </w:r>
      <w:r>
        <w:t xml:space="preserve"> ISPM 5 definition.  Such an approach would have allowed words and </w:t>
      </w:r>
      <w:r w:rsidR="006324A8">
        <w:t>phrases</w:t>
      </w:r>
      <w:r>
        <w:t xml:space="preserve"> to be used </w:t>
      </w:r>
      <w:r w:rsidR="006324A8">
        <w:t xml:space="preserve">with </w:t>
      </w:r>
      <w:r>
        <w:t>their ‘ordinary’ understanding whilst also ensuring that ISPM 5 terms were used when appropriate.  In the sprit of re-thinking ISPMs it may be timely to reconsider such an approach.</w:t>
      </w:r>
    </w:p>
    <w:p w14:paraId="19761ED1" w14:textId="0724733B" w:rsidR="00126BAB" w:rsidRDefault="00126BAB" w:rsidP="00DF00E6">
      <w:pPr>
        <w:pStyle w:val="IPPParagraphnumbering"/>
      </w:pPr>
      <w:r>
        <w:t xml:space="preserve">Another solution </w:t>
      </w:r>
      <w:r w:rsidR="0038364F">
        <w:t>would</w:t>
      </w:r>
      <w:r>
        <w:t xml:space="preserve"> be </w:t>
      </w:r>
      <w:r w:rsidR="0038364F">
        <w:t xml:space="preserve">to </w:t>
      </w:r>
      <w:r>
        <w:t xml:space="preserve">have a smaller list of key defined terms, including those which are included in annex II of the convection, and include standard specific definitions in an ISPM when needed to help with drafting or comprehension.  </w:t>
      </w:r>
    </w:p>
    <w:p w14:paraId="56F5BD10" w14:textId="460C6D95" w:rsidR="00C61C91" w:rsidRPr="006E0798" w:rsidRDefault="00437B2D" w:rsidP="00DF00E6">
      <w:pPr>
        <w:pStyle w:val="IPPParagraphnumbering"/>
      </w:pPr>
      <w:r w:rsidRPr="006E0798">
        <w:t xml:space="preserve">Some </w:t>
      </w:r>
      <w:r w:rsidR="0049051E" w:rsidRPr="006E0798">
        <w:t xml:space="preserve">proposals </w:t>
      </w:r>
      <w:r w:rsidR="00FD76A1">
        <w:t xml:space="preserve">which could be </w:t>
      </w:r>
      <w:r w:rsidR="0049051E" w:rsidRPr="006E0798">
        <w:t>consider</w:t>
      </w:r>
      <w:r w:rsidR="00FD76A1">
        <w:t>ed</w:t>
      </w:r>
    </w:p>
    <w:p w14:paraId="5880844B" w14:textId="623B8C8B" w:rsidR="0049051E" w:rsidRDefault="0049051E" w:rsidP="00DF00E6">
      <w:pPr>
        <w:pStyle w:val="IPPBullet1"/>
      </w:pPr>
      <w:r>
        <w:t>Not having appendices in ISPMs</w:t>
      </w:r>
    </w:p>
    <w:p w14:paraId="069C397D" w14:textId="7AC8F7D9" w:rsidR="0049051E" w:rsidRDefault="0049051E" w:rsidP="00DF00E6">
      <w:pPr>
        <w:pStyle w:val="IPPBullet1"/>
      </w:pPr>
      <w:r>
        <w:t>Not hav</w:t>
      </w:r>
      <w:r w:rsidR="00437B2D">
        <w:t>ing</w:t>
      </w:r>
      <w:r w:rsidR="006E0798">
        <w:t xml:space="preserve"> examples in </w:t>
      </w:r>
      <w:proofErr w:type="gramStart"/>
      <w:r w:rsidR="006E0798">
        <w:t xml:space="preserve">parenthesises </w:t>
      </w:r>
      <w:r>
        <w:t xml:space="preserve"> (</w:t>
      </w:r>
      <w:proofErr w:type="gramEnd"/>
      <w:r>
        <w:t xml:space="preserve">e.g. something, </w:t>
      </w:r>
      <w:r w:rsidR="00437B2D">
        <w:t>another thing)</w:t>
      </w:r>
    </w:p>
    <w:p w14:paraId="55C4343D" w14:textId="15FC7FD1" w:rsidR="006E0798" w:rsidRDefault="006E0798" w:rsidP="00DF00E6">
      <w:pPr>
        <w:pStyle w:val="IPPBullet1"/>
      </w:pPr>
      <w:r>
        <w:t>As an interim measure, guidance removed from ISPMs could be saved as a pdf document and saved on the IPP</w:t>
      </w:r>
      <w:r w:rsidR="00B20EDB">
        <w:t xml:space="preserve"> with a link to the ISPM and vice versa</w:t>
      </w:r>
    </w:p>
    <w:p w14:paraId="400FA6AB" w14:textId="6EF3649E" w:rsidR="006E0798" w:rsidRDefault="006E0798" w:rsidP="00DF00E6">
      <w:pPr>
        <w:pStyle w:val="IPPBullet1"/>
      </w:pPr>
      <w:r>
        <w:t xml:space="preserve">Review how it was envisaged the SC and IC would work together to ensure that standards and supporting guidance material were developed together.  One of the main </w:t>
      </w:r>
      <w:proofErr w:type="gramStart"/>
      <w:r>
        <w:t>barriers  to</w:t>
      </w:r>
      <w:proofErr w:type="gramEnd"/>
      <w:r>
        <w:t xml:space="preserve"> this has been the lack of regular program budget available to the IC and a solution to th</w:t>
      </w:r>
      <w:r w:rsidR="00620664">
        <w:t>is</w:t>
      </w:r>
      <w:r>
        <w:t xml:space="preserve">, as </w:t>
      </w:r>
      <w:r w:rsidR="00B8098D">
        <w:t>raised at</w:t>
      </w:r>
      <w:r>
        <w:t xml:space="preserve"> SPG 2024</w:t>
      </w:r>
      <w:r w:rsidR="00620664">
        <w:rPr>
          <w:rStyle w:val="FootnoteReference"/>
        </w:rPr>
        <w:footnoteReference w:id="1"/>
      </w:r>
      <w:r w:rsidR="002D7DC6">
        <w:t xml:space="preserve"> </w:t>
      </w:r>
      <w:r>
        <w:t xml:space="preserve">would be to reduce the size of the standards committee to its previous size (15) and </w:t>
      </w:r>
      <w:proofErr w:type="gramStart"/>
      <w:r>
        <w:t>making</w:t>
      </w:r>
      <w:proofErr w:type="gramEnd"/>
      <w:r>
        <w:t xml:space="preserve"> the money saved available to the IC.</w:t>
      </w:r>
    </w:p>
    <w:p w14:paraId="0018CFB5" w14:textId="77777777" w:rsidR="00DC46E6" w:rsidRPr="007D605C" w:rsidRDefault="00DC46E6" w:rsidP="007D605C">
      <w:pPr>
        <w:pStyle w:val="IPPBullet1"/>
        <w:numPr>
          <w:ilvl w:val="0"/>
          <w:numId w:val="0"/>
        </w:numPr>
        <w:ind w:left="567"/>
        <w:sectPr w:rsidR="00DC46E6" w:rsidRPr="007D605C" w:rsidSect="00D23D82">
          <w:headerReference w:type="even" r:id="rId11"/>
          <w:headerReference w:type="default" r:id="rId12"/>
          <w:footerReference w:type="even" r:id="rId13"/>
          <w:footerReference w:type="default" r:id="rId14"/>
          <w:headerReference w:type="first" r:id="rId15"/>
          <w:footerReference w:type="first" r:id="rId16"/>
          <w:pgSz w:w="11906" w:h="16838"/>
          <w:pgMar w:top="1440" w:right="991" w:bottom="851" w:left="993" w:header="708" w:footer="708" w:gutter="0"/>
          <w:cols w:space="708"/>
          <w:titlePg/>
          <w:docGrid w:linePitch="360"/>
        </w:sectPr>
      </w:pPr>
    </w:p>
    <w:p w14:paraId="4E769449" w14:textId="77777777" w:rsidR="007D605C" w:rsidRDefault="007D605C" w:rsidP="00E5082D">
      <w:pPr>
        <w:rPr>
          <w:b/>
          <w:bCs/>
        </w:rPr>
      </w:pPr>
    </w:p>
    <w:p w14:paraId="69550D45" w14:textId="0C92172D" w:rsidR="00E5082D" w:rsidRDefault="00E5082D" w:rsidP="00E5082D">
      <w:pPr>
        <w:rPr>
          <w:b/>
          <w:bCs/>
        </w:rPr>
      </w:pPr>
      <w:r w:rsidRPr="000F3314">
        <w:rPr>
          <w:b/>
          <w:bCs/>
        </w:rPr>
        <w:t>Appendix</w:t>
      </w:r>
      <w:r w:rsidR="007D605C">
        <w:rPr>
          <w:b/>
          <w:bCs/>
        </w:rPr>
        <w:t xml:space="preserve"> 1</w:t>
      </w:r>
      <w:r w:rsidRPr="000F3314">
        <w:rPr>
          <w:b/>
          <w:bCs/>
        </w:rPr>
        <w:t xml:space="preserve">: </w:t>
      </w:r>
      <w:r w:rsidR="000F3314" w:rsidRPr="000F3314">
        <w:rPr>
          <w:b/>
          <w:bCs/>
        </w:rPr>
        <w:t>Readability scores for a sample of ISPMs</w:t>
      </w:r>
    </w:p>
    <w:p w14:paraId="0D13FA83" w14:textId="77777777" w:rsidR="007D605C" w:rsidRPr="000F3314" w:rsidRDefault="007D605C" w:rsidP="00E5082D">
      <w:pPr>
        <w:rPr>
          <w:b/>
          <w:bCs/>
        </w:rPr>
      </w:pPr>
    </w:p>
    <w:tbl>
      <w:tblPr>
        <w:tblStyle w:val="TableGrid"/>
        <w:tblW w:w="0" w:type="auto"/>
        <w:tblInd w:w="-5" w:type="dxa"/>
        <w:tblLook w:val="04A0" w:firstRow="1" w:lastRow="0" w:firstColumn="1" w:lastColumn="0" w:noHBand="0" w:noVBand="1"/>
      </w:tblPr>
      <w:tblGrid>
        <w:gridCol w:w="2119"/>
        <w:gridCol w:w="2123"/>
        <w:gridCol w:w="1849"/>
        <w:gridCol w:w="1989"/>
        <w:gridCol w:w="1554"/>
        <w:gridCol w:w="4253"/>
      </w:tblGrid>
      <w:tr w:rsidR="00E2762B" w14:paraId="1A6866BF" w14:textId="77777777" w:rsidTr="007459B7">
        <w:tc>
          <w:tcPr>
            <w:tcW w:w="2119" w:type="dxa"/>
          </w:tcPr>
          <w:p w14:paraId="4BF6EFC2" w14:textId="77777777" w:rsidR="00E2762B" w:rsidRPr="00FF62ED" w:rsidRDefault="00E2762B" w:rsidP="007459B7">
            <w:pPr>
              <w:rPr>
                <w:b/>
                <w:bCs/>
                <w:lang w:val="en-US"/>
              </w:rPr>
            </w:pPr>
            <w:r w:rsidRPr="00FF62ED">
              <w:rPr>
                <w:b/>
                <w:bCs/>
                <w:lang w:val="en-US"/>
              </w:rPr>
              <w:t>ISPM</w:t>
            </w:r>
          </w:p>
        </w:tc>
        <w:tc>
          <w:tcPr>
            <w:tcW w:w="2123" w:type="dxa"/>
          </w:tcPr>
          <w:p w14:paraId="5B58D2A5" w14:textId="77777777" w:rsidR="00E2762B" w:rsidRPr="00FF62ED" w:rsidRDefault="00E2762B" w:rsidP="007459B7">
            <w:pPr>
              <w:rPr>
                <w:b/>
                <w:bCs/>
                <w:lang w:val="en-US"/>
              </w:rPr>
            </w:pPr>
            <w:r w:rsidRPr="00FF62ED">
              <w:rPr>
                <w:b/>
                <w:bCs/>
                <w:lang w:val="en-US"/>
              </w:rPr>
              <w:t>Flesch Reading Ease</w:t>
            </w:r>
          </w:p>
        </w:tc>
        <w:tc>
          <w:tcPr>
            <w:tcW w:w="1849" w:type="dxa"/>
          </w:tcPr>
          <w:p w14:paraId="7995F6BA" w14:textId="77777777" w:rsidR="00E2762B" w:rsidRPr="00FF62ED" w:rsidRDefault="00E2762B" w:rsidP="007459B7">
            <w:pPr>
              <w:rPr>
                <w:b/>
                <w:bCs/>
                <w:lang w:val="en-US"/>
              </w:rPr>
            </w:pPr>
            <w:r w:rsidRPr="00FF62ED">
              <w:rPr>
                <w:b/>
                <w:bCs/>
                <w:lang w:val="en-US"/>
              </w:rPr>
              <w:t>Flesch-Kincaid Grade Level</w:t>
            </w:r>
          </w:p>
        </w:tc>
        <w:tc>
          <w:tcPr>
            <w:tcW w:w="1989" w:type="dxa"/>
          </w:tcPr>
          <w:p w14:paraId="09274844" w14:textId="77777777" w:rsidR="00E2762B" w:rsidRPr="00FF62ED" w:rsidRDefault="00E2762B" w:rsidP="007459B7">
            <w:pPr>
              <w:rPr>
                <w:b/>
                <w:bCs/>
                <w:lang w:val="en-US"/>
              </w:rPr>
            </w:pPr>
            <w:r w:rsidRPr="00FF62ED">
              <w:rPr>
                <w:b/>
                <w:bCs/>
                <w:lang w:val="en-US"/>
              </w:rPr>
              <w:t>Gunning Fog Index</w:t>
            </w:r>
          </w:p>
        </w:tc>
        <w:tc>
          <w:tcPr>
            <w:tcW w:w="1554" w:type="dxa"/>
          </w:tcPr>
          <w:p w14:paraId="430C1492" w14:textId="77777777" w:rsidR="00E2762B" w:rsidRPr="00FF62ED" w:rsidRDefault="00E2762B" w:rsidP="007459B7">
            <w:pPr>
              <w:rPr>
                <w:b/>
                <w:bCs/>
                <w:lang w:val="en-US"/>
              </w:rPr>
            </w:pPr>
            <w:r w:rsidRPr="00FF62ED">
              <w:rPr>
                <w:b/>
                <w:bCs/>
                <w:lang w:val="en-US"/>
              </w:rPr>
              <w:t>SMOG Index</w:t>
            </w:r>
          </w:p>
        </w:tc>
        <w:tc>
          <w:tcPr>
            <w:tcW w:w="4253" w:type="dxa"/>
          </w:tcPr>
          <w:p w14:paraId="417E03E6" w14:textId="77777777" w:rsidR="00E2762B" w:rsidRPr="00FF62ED" w:rsidRDefault="00E2762B" w:rsidP="007459B7">
            <w:pPr>
              <w:rPr>
                <w:b/>
                <w:bCs/>
                <w:lang w:val="en-US"/>
              </w:rPr>
            </w:pPr>
            <w:r w:rsidRPr="00FF62ED">
              <w:rPr>
                <w:b/>
                <w:bCs/>
                <w:lang w:val="en-US"/>
              </w:rPr>
              <w:t>Summary</w:t>
            </w:r>
          </w:p>
        </w:tc>
      </w:tr>
      <w:tr w:rsidR="00E2762B" w14:paraId="62FA9BF7" w14:textId="77777777" w:rsidTr="007459B7">
        <w:tc>
          <w:tcPr>
            <w:tcW w:w="2119" w:type="dxa"/>
          </w:tcPr>
          <w:p w14:paraId="323A7F36" w14:textId="77777777" w:rsidR="00E2762B" w:rsidRDefault="00E2762B" w:rsidP="007459B7">
            <w:pPr>
              <w:rPr>
                <w:lang w:val="en-US"/>
              </w:rPr>
            </w:pPr>
            <w:r>
              <w:rPr>
                <w:lang w:val="en-US"/>
              </w:rPr>
              <w:t xml:space="preserve">1: </w:t>
            </w:r>
            <w:r w:rsidRPr="00CE44FE">
              <w:rPr>
                <w:lang w:val="en-US"/>
              </w:rPr>
              <w:t xml:space="preserve">Phytosanitary principles for the protection of plants </w:t>
            </w:r>
            <w:r>
              <w:rPr>
                <w:lang w:val="en-US"/>
              </w:rPr>
              <w:t>….</w:t>
            </w:r>
            <w:r w:rsidRPr="00CE44FE">
              <w:rPr>
                <w:lang w:val="en-US"/>
              </w:rPr>
              <w:t xml:space="preserve"> in international trade</w:t>
            </w:r>
          </w:p>
        </w:tc>
        <w:tc>
          <w:tcPr>
            <w:tcW w:w="2123" w:type="dxa"/>
          </w:tcPr>
          <w:p w14:paraId="092EFB95" w14:textId="77777777" w:rsidR="00E2762B" w:rsidRDefault="00E2762B" w:rsidP="007459B7">
            <w:pPr>
              <w:rPr>
                <w:lang w:val="en-US"/>
              </w:rPr>
            </w:pPr>
            <w:r>
              <w:rPr>
                <w:lang w:val="en-US"/>
              </w:rPr>
              <w:t>30.5</w:t>
            </w:r>
            <w:r w:rsidRPr="005C58F6">
              <w:rPr>
                <w:lang w:val="en-US"/>
              </w:rPr>
              <w:t xml:space="preserve"> </w:t>
            </w:r>
          </w:p>
          <w:p w14:paraId="6A76491C" w14:textId="77777777" w:rsidR="00E2762B" w:rsidRDefault="00E2762B" w:rsidP="007459B7">
            <w:pPr>
              <w:rPr>
                <w:lang w:val="en-US"/>
              </w:rPr>
            </w:pPr>
            <w:r w:rsidRPr="005C58F6">
              <w:rPr>
                <w:lang w:val="en-US"/>
              </w:rPr>
              <w:t>difficult reading, typically suitable for university-level readers</w:t>
            </w:r>
          </w:p>
        </w:tc>
        <w:tc>
          <w:tcPr>
            <w:tcW w:w="1849" w:type="dxa"/>
          </w:tcPr>
          <w:p w14:paraId="56DFAA09" w14:textId="77777777" w:rsidR="00E2762B" w:rsidRDefault="00E2762B" w:rsidP="007459B7">
            <w:pPr>
              <w:rPr>
                <w:lang w:val="en-US"/>
              </w:rPr>
            </w:pPr>
            <w:r>
              <w:rPr>
                <w:lang w:val="en-US"/>
              </w:rPr>
              <w:t>12.1</w:t>
            </w:r>
          </w:p>
          <w:p w14:paraId="5D8B0691" w14:textId="77777777" w:rsidR="00E2762B" w:rsidRDefault="00E2762B" w:rsidP="007459B7">
            <w:pPr>
              <w:rPr>
                <w:lang w:val="en-US"/>
              </w:rPr>
            </w:pPr>
            <w:r w:rsidRPr="005C58F6">
              <w:rPr>
                <w:lang w:val="en-US"/>
              </w:rPr>
              <w:t>12th-grade reading level, i.e., late secondary school</w:t>
            </w:r>
          </w:p>
        </w:tc>
        <w:tc>
          <w:tcPr>
            <w:tcW w:w="1989" w:type="dxa"/>
          </w:tcPr>
          <w:p w14:paraId="3987C6B6" w14:textId="77777777" w:rsidR="00E2762B" w:rsidRDefault="00E2762B" w:rsidP="007459B7">
            <w:pPr>
              <w:rPr>
                <w:lang w:val="en-US"/>
              </w:rPr>
            </w:pPr>
            <w:r>
              <w:rPr>
                <w:lang w:val="en-US"/>
              </w:rPr>
              <w:t>16.9</w:t>
            </w:r>
            <w:r w:rsidRPr="005C58F6">
              <w:rPr>
                <w:lang w:val="en-US"/>
              </w:rPr>
              <w:t xml:space="preserve"> </w:t>
            </w:r>
          </w:p>
          <w:p w14:paraId="28DF0C62" w14:textId="77777777" w:rsidR="00E2762B" w:rsidRDefault="00E2762B" w:rsidP="007459B7">
            <w:pPr>
              <w:rPr>
                <w:lang w:val="en-US"/>
              </w:rPr>
            </w:pPr>
            <w:r w:rsidRPr="005C58F6">
              <w:rPr>
                <w:lang w:val="en-US"/>
              </w:rPr>
              <w:t>best understood by someone with college-level education</w:t>
            </w:r>
          </w:p>
        </w:tc>
        <w:tc>
          <w:tcPr>
            <w:tcW w:w="1554" w:type="dxa"/>
          </w:tcPr>
          <w:p w14:paraId="0FEAE465" w14:textId="77777777" w:rsidR="00E2762B" w:rsidRDefault="00E2762B" w:rsidP="007459B7">
            <w:pPr>
              <w:rPr>
                <w:lang w:val="en-US"/>
              </w:rPr>
            </w:pPr>
            <w:r>
              <w:rPr>
                <w:lang w:val="en-US"/>
              </w:rPr>
              <w:t>14.1</w:t>
            </w:r>
            <w:r w:rsidRPr="005C58F6">
              <w:rPr>
                <w:lang w:val="en-US"/>
              </w:rPr>
              <w:t xml:space="preserve"> </w:t>
            </w:r>
          </w:p>
          <w:p w14:paraId="4148B389" w14:textId="77777777" w:rsidR="00E2762B" w:rsidRDefault="00E2762B" w:rsidP="007459B7">
            <w:pPr>
              <w:rPr>
                <w:lang w:val="en-US"/>
              </w:rPr>
            </w:pPr>
            <w:r w:rsidRPr="005C58F6">
              <w:rPr>
                <w:lang w:val="en-US"/>
              </w:rPr>
              <w:t>college-level reading requirement.</w:t>
            </w:r>
          </w:p>
        </w:tc>
        <w:tc>
          <w:tcPr>
            <w:tcW w:w="4253" w:type="dxa"/>
          </w:tcPr>
          <w:p w14:paraId="1D1C5521" w14:textId="77777777" w:rsidR="00E2762B" w:rsidRDefault="00E2762B" w:rsidP="007459B7">
            <w:pPr>
              <w:rPr>
                <w:lang w:val="en-US"/>
              </w:rPr>
            </w:pPr>
            <w:r w:rsidRPr="005C58F6">
              <w:rPr>
                <w:lang w:val="en-US"/>
              </w:rPr>
              <w:t>The document is highly technical and formal, consistent with its purpose as an international regulatory standard. It’s best suited for professionals or academics familiar with phytosanitary or trade-related terminology.</w:t>
            </w:r>
          </w:p>
        </w:tc>
      </w:tr>
      <w:tr w:rsidR="00E2762B" w14:paraId="4267919B" w14:textId="77777777" w:rsidTr="007459B7">
        <w:tc>
          <w:tcPr>
            <w:tcW w:w="2119" w:type="dxa"/>
          </w:tcPr>
          <w:p w14:paraId="433E4FC9" w14:textId="77777777" w:rsidR="00E2762B" w:rsidRDefault="00E2762B" w:rsidP="007459B7">
            <w:pPr>
              <w:rPr>
                <w:lang w:val="en-US"/>
              </w:rPr>
            </w:pPr>
            <w:r>
              <w:rPr>
                <w:lang w:val="en-US"/>
              </w:rPr>
              <w:t>2: Framework for PRA</w:t>
            </w:r>
          </w:p>
        </w:tc>
        <w:tc>
          <w:tcPr>
            <w:tcW w:w="2123" w:type="dxa"/>
          </w:tcPr>
          <w:p w14:paraId="4887B1ED" w14:textId="77777777" w:rsidR="00E2762B" w:rsidRDefault="00E2762B" w:rsidP="007459B7">
            <w:r>
              <w:rPr>
                <w:lang w:val="en-US"/>
              </w:rPr>
              <w:t>39.3</w:t>
            </w:r>
            <w:r>
              <w:t xml:space="preserve"> </w:t>
            </w:r>
          </w:p>
          <w:p w14:paraId="18C1BE1F" w14:textId="77777777" w:rsidR="00E2762B" w:rsidRDefault="00E2762B" w:rsidP="007459B7">
            <w:pPr>
              <w:rPr>
                <w:lang w:val="en-US"/>
              </w:rPr>
            </w:pPr>
            <w:r w:rsidRPr="00D243CE">
              <w:rPr>
                <w:lang w:val="en-US"/>
              </w:rPr>
              <w:t>fairly difficult reading, suitable for readers with higher education.</w:t>
            </w:r>
          </w:p>
        </w:tc>
        <w:tc>
          <w:tcPr>
            <w:tcW w:w="1849" w:type="dxa"/>
          </w:tcPr>
          <w:p w14:paraId="5BA769C0" w14:textId="77777777" w:rsidR="00E2762B" w:rsidRDefault="00E2762B" w:rsidP="007459B7">
            <w:pPr>
              <w:rPr>
                <w:lang w:val="en-US"/>
              </w:rPr>
            </w:pPr>
            <w:r>
              <w:rPr>
                <w:lang w:val="en-US"/>
              </w:rPr>
              <w:t>11.9</w:t>
            </w:r>
            <w:r w:rsidRPr="00BD46AD">
              <w:rPr>
                <w:lang w:val="en-US"/>
              </w:rPr>
              <w:t xml:space="preserve"> </w:t>
            </w:r>
          </w:p>
          <w:p w14:paraId="4090D752" w14:textId="77777777" w:rsidR="00E2762B" w:rsidRDefault="00E2762B" w:rsidP="007459B7">
            <w:pPr>
              <w:rPr>
                <w:lang w:val="en-US"/>
              </w:rPr>
            </w:pPr>
            <w:r w:rsidRPr="00BD46AD">
              <w:rPr>
                <w:lang w:val="en-US"/>
              </w:rPr>
              <w:t>12th-grade reading level, i.e., late secondary school.</w:t>
            </w:r>
          </w:p>
        </w:tc>
        <w:tc>
          <w:tcPr>
            <w:tcW w:w="1989" w:type="dxa"/>
          </w:tcPr>
          <w:p w14:paraId="0FA14633" w14:textId="77777777" w:rsidR="00E2762B" w:rsidRDefault="00E2762B" w:rsidP="007459B7">
            <w:pPr>
              <w:rPr>
                <w:lang w:val="en-US"/>
              </w:rPr>
            </w:pPr>
            <w:r>
              <w:rPr>
                <w:lang w:val="en-US"/>
              </w:rPr>
              <w:t>17.4</w:t>
            </w:r>
          </w:p>
          <w:p w14:paraId="390ECB19" w14:textId="77777777" w:rsidR="00E2762B" w:rsidRDefault="00E2762B" w:rsidP="007459B7">
            <w:pPr>
              <w:rPr>
                <w:lang w:val="en-US"/>
              </w:rPr>
            </w:pPr>
            <w:r>
              <w:t xml:space="preserve"> </w:t>
            </w:r>
            <w:r w:rsidRPr="00E25165">
              <w:rPr>
                <w:lang w:val="en-US"/>
              </w:rPr>
              <w:t>best understood by someone with college-level education.</w:t>
            </w:r>
          </w:p>
        </w:tc>
        <w:tc>
          <w:tcPr>
            <w:tcW w:w="1554" w:type="dxa"/>
          </w:tcPr>
          <w:p w14:paraId="07925D3F" w14:textId="77777777" w:rsidR="00E2762B" w:rsidRDefault="00E2762B" w:rsidP="007459B7">
            <w:r>
              <w:rPr>
                <w:lang w:val="en-US"/>
              </w:rPr>
              <w:t>15.2</w:t>
            </w:r>
            <w:r>
              <w:t xml:space="preserve"> </w:t>
            </w:r>
          </w:p>
          <w:p w14:paraId="150FE13A" w14:textId="77777777" w:rsidR="00E2762B" w:rsidRDefault="00E2762B" w:rsidP="007459B7">
            <w:pPr>
              <w:rPr>
                <w:lang w:val="en-US"/>
              </w:rPr>
            </w:pPr>
            <w:r w:rsidRPr="00E25165">
              <w:rPr>
                <w:lang w:val="en-US"/>
              </w:rPr>
              <w:t>college-level reading requirement.</w:t>
            </w:r>
          </w:p>
        </w:tc>
        <w:tc>
          <w:tcPr>
            <w:tcW w:w="4253" w:type="dxa"/>
          </w:tcPr>
          <w:p w14:paraId="1D402F69" w14:textId="77777777" w:rsidR="00E2762B" w:rsidRDefault="00E2762B" w:rsidP="007459B7">
            <w:pPr>
              <w:rPr>
                <w:lang w:val="en-US"/>
              </w:rPr>
            </w:pPr>
            <w:r w:rsidRPr="005C58F6">
              <w:rPr>
                <w:lang w:val="en-US"/>
              </w:rPr>
              <w:t>Like ISPM 1, this document is technical and formal, designed for professionals in plant health, trade, or regulatory roles. It uses complex sentence structures and specialized vocabulary, making it less accessible to general audiences.</w:t>
            </w:r>
          </w:p>
        </w:tc>
      </w:tr>
      <w:tr w:rsidR="00E2762B" w14:paraId="08A018CA" w14:textId="77777777" w:rsidTr="007459B7">
        <w:tc>
          <w:tcPr>
            <w:tcW w:w="2119" w:type="dxa"/>
          </w:tcPr>
          <w:p w14:paraId="1A49C592" w14:textId="77777777" w:rsidR="00E2762B" w:rsidRDefault="00E2762B" w:rsidP="007459B7">
            <w:pPr>
              <w:rPr>
                <w:lang w:val="en-US"/>
              </w:rPr>
            </w:pPr>
            <w:r>
              <w:rPr>
                <w:lang w:val="en-US"/>
              </w:rPr>
              <w:t>11: Pest risk analysis for quarantine pests</w:t>
            </w:r>
          </w:p>
        </w:tc>
        <w:tc>
          <w:tcPr>
            <w:tcW w:w="2123" w:type="dxa"/>
          </w:tcPr>
          <w:p w14:paraId="1B2D38D9" w14:textId="77777777" w:rsidR="00E2762B" w:rsidRDefault="00E2762B" w:rsidP="007459B7">
            <w:pPr>
              <w:rPr>
                <w:lang w:val="en-US"/>
              </w:rPr>
            </w:pPr>
            <w:r>
              <w:rPr>
                <w:lang w:val="en-US"/>
              </w:rPr>
              <w:t xml:space="preserve">30.4 </w:t>
            </w:r>
          </w:p>
          <w:p w14:paraId="30EAA943" w14:textId="77777777" w:rsidR="00E2762B" w:rsidRDefault="00E2762B" w:rsidP="007459B7">
            <w:pPr>
              <w:rPr>
                <w:lang w:val="en-US"/>
              </w:rPr>
            </w:pPr>
            <w:r w:rsidRPr="007775DC">
              <w:rPr>
                <w:lang w:val="en-US"/>
              </w:rPr>
              <w:t>difficult reading, suitable for readers with higher education.</w:t>
            </w:r>
          </w:p>
        </w:tc>
        <w:tc>
          <w:tcPr>
            <w:tcW w:w="1849" w:type="dxa"/>
          </w:tcPr>
          <w:p w14:paraId="356C2D4E" w14:textId="77777777" w:rsidR="00E2762B" w:rsidRDefault="00E2762B" w:rsidP="007459B7">
            <w:pPr>
              <w:rPr>
                <w:lang w:val="en-US"/>
              </w:rPr>
            </w:pPr>
            <w:r>
              <w:rPr>
                <w:lang w:val="en-US"/>
              </w:rPr>
              <w:t>12.8</w:t>
            </w:r>
          </w:p>
          <w:p w14:paraId="1212EB7F" w14:textId="77777777" w:rsidR="00E2762B" w:rsidRDefault="00E2762B" w:rsidP="007459B7">
            <w:pPr>
              <w:rPr>
                <w:lang w:val="en-US"/>
              </w:rPr>
            </w:pPr>
            <w:r w:rsidRPr="0032714E">
              <w:rPr>
                <w:lang w:val="en-US"/>
              </w:rPr>
              <w:t>college-level reading requirement.</w:t>
            </w:r>
          </w:p>
        </w:tc>
        <w:tc>
          <w:tcPr>
            <w:tcW w:w="1989" w:type="dxa"/>
          </w:tcPr>
          <w:p w14:paraId="7AE118A9" w14:textId="77777777" w:rsidR="00E2762B" w:rsidRDefault="00E2762B" w:rsidP="007459B7">
            <w:pPr>
              <w:rPr>
                <w:lang w:val="en-US"/>
              </w:rPr>
            </w:pPr>
            <w:r>
              <w:rPr>
                <w:lang w:val="en-US"/>
              </w:rPr>
              <w:t xml:space="preserve">17.1 </w:t>
            </w:r>
          </w:p>
          <w:p w14:paraId="287C0E12" w14:textId="77777777" w:rsidR="00E2762B" w:rsidRDefault="00E2762B" w:rsidP="007459B7">
            <w:pPr>
              <w:rPr>
                <w:lang w:val="en-US"/>
              </w:rPr>
            </w:pPr>
            <w:r w:rsidRPr="0032714E">
              <w:rPr>
                <w:lang w:val="en-US"/>
              </w:rPr>
              <w:t>Best understood by someone with advanced education, typically postgraduate level.</w:t>
            </w:r>
          </w:p>
        </w:tc>
        <w:tc>
          <w:tcPr>
            <w:tcW w:w="1554" w:type="dxa"/>
          </w:tcPr>
          <w:p w14:paraId="3A3499FD" w14:textId="77777777" w:rsidR="00E2762B" w:rsidRDefault="00E2762B" w:rsidP="007459B7">
            <w:pPr>
              <w:rPr>
                <w:lang w:val="en-US"/>
              </w:rPr>
            </w:pPr>
            <w:r>
              <w:rPr>
                <w:lang w:val="en-US"/>
              </w:rPr>
              <w:t>14.8</w:t>
            </w:r>
          </w:p>
          <w:p w14:paraId="0F044366" w14:textId="77777777" w:rsidR="00E2762B" w:rsidRDefault="00E2762B" w:rsidP="007459B7">
            <w:pPr>
              <w:rPr>
                <w:lang w:val="en-US"/>
              </w:rPr>
            </w:pPr>
            <w:r w:rsidRPr="008B3C26">
              <w:rPr>
                <w:lang w:val="en-US"/>
              </w:rPr>
              <w:t>college-level reading requirement.</w:t>
            </w:r>
          </w:p>
        </w:tc>
        <w:tc>
          <w:tcPr>
            <w:tcW w:w="4253" w:type="dxa"/>
          </w:tcPr>
          <w:p w14:paraId="319A5448" w14:textId="77777777" w:rsidR="00E2762B" w:rsidRPr="00402673" w:rsidRDefault="00E2762B" w:rsidP="007459B7">
            <w:pPr>
              <w:rPr>
                <w:lang w:val="en-US"/>
              </w:rPr>
            </w:pPr>
            <w:r w:rsidRPr="008B3C26">
              <w:rPr>
                <w:lang w:val="en-US"/>
              </w:rPr>
              <w:t>ISPM 11 is a highly technical and complex document, reflecting its role in guiding detailed risk analysis procedures. It’s best suited for professionals in plant health, regulatory policy, or scientific research.</w:t>
            </w:r>
          </w:p>
        </w:tc>
      </w:tr>
      <w:tr w:rsidR="00E2762B" w14:paraId="341BAC54" w14:textId="77777777" w:rsidTr="007459B7">
        <w:tc>
          <w:tcPr>
            <w:tcW w:w="2119" w:type="dxa"/>
          </w:tcPr>
          <w:p w14:paraId="00E3AD91" w14:textId="77777777" w:rsidR="00E2762B" w:rsidRPr="00474400" w:rsidRDefault="00E2762B" w:rsidP="007459B7">
            <w:pPr>
              <w:rPr>
                <w:lang w:val="en-US"/>
              </w:rPr>
            </w:pPr>
            <w:r>
              <w:rPr>
                <w:lang w:val="en-US"/>
              </w:rPr>
              <w:t xml:space="preserve">15: </w:t>
            </w:r>
            <w:r w:rsidRPr="00474400">
              <w:rPr>
                <w:lang w:val="en-US"/>
              </w:rPr>
              <w:t xml:space="preserve">Regulation of wood packaging material in </w:t>
            </w:r>
          </w:p>
          <w:p w14:paraId="39863F49" w14:textId="77777777" w:rsidR="00E2762B" w:rsidRDefault="00E2762B" w:rsidP="007459B7">
            <w:pPr>
              <w:rPr>
                <w:lang w:val="en-US"/>
              </w:rPr>
            </w:pPr>
            <w:r w:rsidRPr="00474400">
              <w:rPr>
                <w:lang w:val="en-US"/>
              </w:rPr>
              <w:t>international trade</w:t>
            </w:r>
          </w:p>
        </w:tc>
        <w:tc>
          <w:tcPr>
            <w:tcW w:w="2123" w:type="dxa"/>
          </w:tcPr>
          <w:p w14:paraId="6E36A26B" w14:textId="77777777" w:rsidR="00E2762B" w:rsidRDefault="00E2762B" w:rsidP="007459B7">
            <w:pPr>
              <w:rPr>
                <w:lang w:val="en-US"/>
              </w:rPr>
            </w:pPr>
            <w:r>
              <w:rPr>
                <w:lang w:val="en-US"/>
              </w:rPr>
              <w:t>78.5</w:t>
            </w:r>
          </w:p>
          <w:p w14:paraId="4101D271" w14:textId="77777777" w:rsidR="00E2762B" w:rsidRDefault="00E2762B" w:rsidP="007459B7">
            <w:pPr>
              <w:rPr>
                <w:lang w:val="en-US"/>
              </w:rPr>
            </w:pPr>
            <w:r w:rsidRPr="00402673">
              <w:rPr>
                <w:lang w:val="en-US"/>
              </w:rPr>
              <w:t>fairly easy reading, suitable for a wide audience.</w:t>
            </w:r>
          </w:p>
        </w:tc>
        <w:tc>
          <w:tcPr>
            <w:tcW w:w="1849" w:type="dxa"/>
          </w:tcPr>
          <w:p w14:paraId="7DF2FE5B" w14:textId="77777777" w:rsidR="00E2762B" w:rsidRDefault="00E2762B" w:rsidP="007459B7">
            <w:pPr>
              <w:rPr>
                <w:lang w:val="en-US"/>
              </w:rPr>
            </w:pPr>
            <w:r>
              <w:rPr>
                <w:lang w:val="en-US"/>
              </w:rPr>
              <w:t>6.8</w:t>
            </w:r>
          </w:p>
          <w:p w14:paraId="6E14E9EF" w14:textId="77777777" w:rsidR="00E2762B" w:rsidRDefault="00E2762B" w:rsidP="007459B7">
            <w:pPr>
              <w:rPr>
                <w:lang w:val="en-US"/>
              </w:rPr>
            </w:pPr>
            <w:r w:rsidRPr="00402673">
              <w:rPr>
                <w:lang w:val="en-US"/>
              </w:rPr>
              <w:t>7th-grade reading level, i.e., early secondary school.</w:t>
            </w:r>
          </w:p>
        </w:tc>
        <w:tc>
          <w:tcPr>
            <w:tcW w:w="1989" w:type="dxa"/>
          </w:tcPr>
          <w:p w14:paraId="335F5FD9" w14:textId="77777777" w:rsidR="00E2762B" w:rsidRDefault="00E2762B" w:rsidP="007459B7">
            <w:pPr>
              <w:rPr>
                <w:lang w:val="en-US"/>
              </w:rPr>
            </w:pPr>
            <w:r>
              <w:rPr>
                <w:lang w:val="en-US"/>
              </w:rPr>
              <w:t>11.2</w:t>
            </w:r>
          </w:p>
          <w:p w14:paraId="6CECE291" w14:textId="77777777" w:rsidR="00E2762B" w:rsidRDefault="00E2762B" w:rsidP="007459B7">
            <w:pPr>
              <w:rPr>
                <w:lang w:val="en-US"/>
              </w:rPr>
            </w:pPr>
            <w:r>
              <w:rPr>
                <w:lang w:val="en-US"/>
              </w:rPr>
              <w:t>b</w:t>
            </w:r>
            <w:r w:rsidRPr="00402673">
              <w:rPr>
                <w:lang w:val="en-US"/>
              </w:rPr>
              <w:t>est understood by someone with high school education.</w:t>
            </w:r>
          </w:p>
        </w:tc>
        <w:tc>
          <w:tcPr>
            <w:tcW w:w="1554" w:type="dxa"/>
          </w:tcPr>
          <w:p w14:paraId="56BCD39A" w14:textId="77777777" w:rsidR="00E2762B" w:rsidRDefault="00E2762B" w:rsidP="007459B7">
            <w:pPr>
              <w:rPr>
                <w:lang w:val="en-US"/>
              </w:rPr>
            </w:pPr>
            <w:r>
              <w:rPr>
                <w:lang w:val="en-US"/>
              </w:rPr>
              <w:t>10.8</w:t>
            </w:r>
          </w:p>
          <w:p w14:paraId="250EAFC3" w14:textId="77777777" w:rsidR="00E2762B" w:rsidRDefault="00E2762B" w:rsidP="007459B7">
            <w:pPr>
              <w:rPr>
                <w:lang w:val="en-US"/>
              </w:rPr>
            </w:pPr>
            <w:r w:rsidRPr="00402673">
              <w:rPr>
                <w:lang w:val="en-US"/>
              </w:rPr>
              <w:t>high school-level reading requirement.</w:t>
            </w:r>
          </w:p>
        </w:tc>
        <w:tc>
          <w:tcPr>
            <w:tcW w:w="4253" w:type="dxa"/>
          </w:tcPr>
          <w:p w14:paraId="3F798622" w14:textId="77777777" w:rsidR="00E2762B" w:rsidRDefault="00E2762B" w:rsidP="007459B7">
            <w:pPr>
              <w:rPr>
                <w:lang w:val="en-US"/>
              </w:rPr>
            </w:pPr>
            <w:r w:rsidRPr="00402673">
              <w:rPr>
                <w:lang w:val="en-US"/>
              </w:rPr>
              <w:t>Compared to ISPM 1 and ISPM 2, ISPM 15 is significantly more readable, likely due to its practical and procedural focus rather than conceptual or policy-heavy content. It’s more accessible to a broader audience, including technical staff and inspectors.</w:t>
            </w:r>
          </w:p>
        </w:tc>
      </w:tr>
      <w:tr w:rsidR="00E2762B" w14:paraId="06A182D6" w14:textId="77777777" w:rsidTr="007459B7">
        <w:tc>
          <w:tcPr>
            <w:tcW w:w="2119" w:type="dxa"/>
            <w:tcBorders>
              <w:bottom w:val="single" w:sz="4" w:space="0" w:color="auto"/>
            </w:tcBorders>
          </w:tcPr>
          <w:p w14:paraId="24AEF486" w14:textId="77777777" w:rsidR="00E2762B" w:rsidRDefault="00E2762B" w:rsidP="007459B7">
            <w:pPr>
              <w:rPr>
                <w:lang w:val="en-US"/>
              </w:rPr>
            </w:pPr>
            <w:r>
              <w:rPr>
                <w:lang w:val="en-US"/>
              </w:rPr>
              <w:t>17: Pest Reporting</w:t>
            </w:r>
          </w:p>
        </w:tc>
        <w:tc>
          <w:tcPr>
            <w:tcW w:w="2123" w:type="dxa"/>
            <w:tcBorders>
              <w:bottom w:val="single" w:sz="4" w:space="0" w:color="auto"/>
            </w:tcBorders>
          </w:tcPr>
          <w:p w14:paraId="66E782A2" w14:textId="77777777" w:rsidR="00E2762B" w:rsidRDefault="00E2762B" w:rsidP="007459B7">
            <w:pPr>
              <w:rPr>
                <w:lang w:val="en-US"/>
              </w:rPr>
            </w:pPr>
            <w:r>
              <w:rPr>
                <w:lang w:val="en-US"/>
              </w:rPr>
              <w:t>66</w:t>
            </w:r>
          </w:p>
          <w:p w14:paraId="5A8B6567" w14:textId="77777777" w:rsidR="00E2762B" w:rsidRDefault="00E2762B" w:rsidP="007459B7">
            <w:pPr>
              <w:rPr>
                <w:lang w:val="en-US"/>
              </w:rPr>
            </w:pPr>
            <w:r w:rsidRPr="0054791C">
              <w:rPr>
                <w:lang w:val="en-US"/>
              </w:rPr>
              <w:t xml:space="preserve">plain English, </w:t>
            </w:r>
            <w:proofErr w:type="gramStart"/>
            <w:r w:rsidRPr="0054791C">
              <w:rPr>
                <w:lang w:val="en-US"/>
              </w:rPr>
              <w:t>fairly easy</w:t>
            </w:r>
            <w:proofErr w:type="gramEnd"/>
            <w:r w:rsidRPr="0054791C">
              <w:rPr>
                <w:lang w:val="en-US"/>
              </w:rPr>
              <w:t xml:space="preserve"> to read for most adults</w:t>
            </w:r>
          </w:p>
        </w:tc>
        <w:tc>
          <w:tcPr>
            <w:tcW w:w="1849" w:type="dxa"/>
            <w:tcBorders>
              <w:bottom w:val="single" w:sz="4" w:space="0" w:color="auto"/>
            </w:tcBorders>
          </w:tcPr>
          <w:p w14:paraId="30BE177B" w14:textId="77777777" w:rsidR="00E2762B" w:rsidRDefault="00E2762B" w:rsidP="007459B7">
            <w:pPr>
              <w:rPr>
                <w:lang w:val="en-US"/>
              </w:rPr>
            </w:pPr>
            <w:r>
              <w:rPr>
                <w:lang w:val="en-US"/>
              </w:rPr>
              <w:t>7.5</w:t>
            </w:r>
          </w:p>
          <w:p w14:paraId="07979537" w14:textId="77777777" w:rsidR="00E2762B" w:rsidRDefault="00E2762B" w:rsidP="007459B7">
            <w:pPr>
              <w:rPr>
                <w:lang w:val="en-US"/>
              </w:rPr>
            </w:pPr>
            <w:r w:rsidRPr="0054791C">
              <w:rPr>
                <w:lang w:val="en-US"/>
              </w:rPr>
              <w:t>7th–8th grade reading level, suitable for early secondary school.</w:t>
            </w:r>
          </w:p>
        </w:tc>
        <w:tc>
          <w:tcPr>
            <w:tcW w:w="1989" w:type="dxa"/>
            <w:tcBorders>
              <w:bottom w:val="single" w:sz="4" w:space="0" w:color="auto"/>
            </w:tcBorders>
          </w:tcPr>
          <w:p w14:paraId="5D44160D" w14:textId="77777777" w:rsidR="00E2762B" w:rsidRDefault="00E2762B" w:rsidP="007459B7">
            <w:pPr>
              <w:rPr>
                <w:lang w:val="en-US"/>
              </w:rPr>
            </w:pPr>
            <w:r>
              <w:rPr>
                <w:lang w:val="en-US"/>
              </w:rPr>
              <w:t>9.5</w:t>
            </w:r>
          </w:p>
          <w:p w14:paraId="180EDDF9" w14:textId="77777777" w:rsidR="00E2762B" w:rsidRDefault="00E2762B" w:rsidP="007459B7">
            <w:pPr>
              <w:rPr>
                <w:lang w:val="en-US"/>
              </w:rPr>
            </w:pPr>
            <w:r w:rsidRPr="00863250">
              <w:rPr>
                <w:lang w:val="en-US"/>
              </w:rPr>
              <w:t>best understood by someone with secondary education</w:t>
            </w:r>
          </w:p>
        </w:tc>
        <w:tc>
          <w:tcPr>
            <w:tcW w:w="1554" w:type="dxa"/>
            <w:tcBorders>
              <w:bottom w:val="single" w:sz="4" w:space="0" w:color="auto"/>
            </w:tcBorders>
          </w:tcPr>
          <w:p w14:paraId="0D66467E" w14:textId="77777777" w:rsidR="00E2762B" w:rsidRDefault="00E2762B" w:rsidP="007459B7">
            <w:pPr>
              <w:rPr>
                <w:lang w:val="en-US"/>
              </w:rPr>
            </w:pPr>
            <w:r>
              <w:rPr>
                <w:lang w:val="en-US"/>
              </w:rPr>
              <w:t xml:space="preserve">9.8 </w:t>
            </w:r>
          </w:p>
          <w:p w14:paraId="27AB099F" w14:textId="77777777" w:rsidR="00E2762B" w:rsidRDefault="00E2762B" w:rsidP="007459B7">
            <w:pPr>
              <w:rPr>
                <w:lang w:val="en-US"/>
              </w:rPr>
            </w:pPr>
            <w:r w:rsidRPr="00863250">
              <w:rPr>
                <w:lang w:val="en-US"/>
              </w:rPr>
              <w:t>secondary school-level reading requirement.</w:t>
            </w:r>
          </w:p>
        </w:tc>
        <w:tc>
          <w:tcPr>
            <w:tcW w:w="4253" w:type="dxa"/>
            <w:tcBorders>
              <w:bottom w:val="single" w:sz="4" w:space="0" w:color="auto"/>
            </w:tcBorders>
          </w:tcPr>
          <w:p w14:paraId="679CD4ED" w14:textId="77777777" w:rsidR="00E2762B" w:rsidRDefault="00E2762B" w:rsidP="007459B7">
            <w:pPr>
              <w:rPr>
                <w:lang w:val="en-US"/>
              </w:rPr>
            </w:pPr>
            <w:r w:rsidRPr="00B932B6">
              <w:rPr>
                <w:lang w:val="en-US"/>
              </w:rPr>
              <w:t>ISPM 17 is moderately readable, more accessible than ISPM 1 and ISPM 2, but slightly more complex than ISPM 15. It balances technical detail with clarity, making it suitable for both professionals and informed stakeholders.</w:t>
            </w:r>
          </w:p>
        </w:tc>
      </w:tr>
      <w:tr w:rsidR="00E2762B" w14:paraId="004DFFAB" w14:textId="77777777" w:rsidTr="007459B7">
        <w:tc>
          <w:tcPr>
            <w:tcW w:w="2119" w:type="dxa"/>
            <w:tcBorders>
              <w:bottom w:val="double" w:sz="4" w:space="0" w:color="auto"/>
            </w:tcBorders>
          </w:tcPr>
          <w:p w14:paraId="7D24ED15" w14:textId="77777777" w:rsidR="00E2762B" w:rsidRDefault="00E2762B" w:rsidP="007459B7">
            <w:pPr>
              <w:rPr>
                <w:lang w:val="en-US"/>
              </w:rPr>
            </w:pPr>
            <w:r>
              <w:rPr>
                <w:lang w:val="en-US"/>
              </w:rPr>
              <w:t>23: Guidelines for inspection</w:t>
            </w:r>
          </w:p>
        </w:tc>
        <w:tc>
          <w:tcPr>
            <w:tcW w:w="2123" w:type="dxa"/>
            <w:tcBorders>
              <w:bottom w:val="double" w:sz="4" w:space="0" w:color="auto"/>
            </w:tcBorders>
          </w:tcPr>
          <w:p w14:paraId="0CA83851" w14:textId="77777777" w:rsidR="00E2762B" w:rsidRDefault="00E2762B" w:rsidP="007459B7">
            <w:pPr>
              <w:rPr>
                <w:lang w:val="en-US"/>
              </w:rPr>
            </w:pPr>
            <w:r>
              <w:rPr>
                <w:lang w:val="en-US"/>
              </w:rPr>
              <w:t>27.6</w:t>
            </w:r>
          </w:p>
          <w:p w14:paraId="2C852E4E" w14:textId="77777777" w:rsidR="00E2762B" w:rsidRDefault="00E2762B" w:rsidP="007459B7">
            <w:pPr>
              <w:rPr>
                <w:lang w:val="en-US"/>
              </w:rPr>
            </w:pPr>
            <w:r w:rsidRPr="00E92D4F">
              <w:rPr>
                <w:lang w:val="en-US"/>
              </w:rPr>
              <w:t>very difficult reading, suitable for expert or professional audiences.</w:t>
            </w:r>
          </w:p>
        </w:tc>
        <w:tc>
          <w:tcPr>
            <w:tcW w:w="1849" w:type="dxa"/>
            <w:tcBorders>
              <w:bottom w:val="double" w:sz="4" w:space="0" w:color="auto"/>
            </w:tcBorders>
          </w:tcPr>
          <w:p w14:paraId="0C4E26A1" w14:textId="77777777" w:rsidR="00E2762B" w:rsidRDefault="00E2762B" w:rsidP="007459B7">
            <w:pPr>
              <w:rPr>
                <w:lang w:val="en-US"/>
              </w:rPr>
            </w:pPr>
            <w:r>
              <w:rPr>
                <w:lang w:val="en-US"/>
              </w:rPr>
              <w:t xml:space="preserve">13.5 </w:t>
            </w:r>
          </w:p>
          <w:p w14:paraId="2D2C9C1F" w14:textId="77777777" w:rsidR="00E2762B" w:rsidRDefault="00E2762B" w:rsidP="007459B7">
            <w:pPr>
              <w:rPr>
                <w:lang w:val="en-US"/>
              </w:rPr>
            </w:pPr>
            <w:r w:rsidRPr="00E92D4F">
              <w:rPr>
                <w:lang w:val="en-US"/>
              </w:rPr>
              <w:t>college-level reading requirement.</w:t>
            </w:r>
          </w:p>
        </w:tc>
        <w:tc>
          <w:tcPr>
            <w:tcW w:w="1989" w:type="dxa"/>
            <w:tcBorders>
              <w:bottom w:val="double" w:sz="4" w:space="0" w:color="auto"/>
            </w:tcBorders>
          </w:tcPr>
          <w:p w14:paraId="236E1C7E" w14:textId="77777777" w:rsidR="00E2762B" w:rsidRDefault="00E2762B" w:rsidP="007459B7">
            <w:pPr>
              <w:rPr>
                <w:lang w:val="en-US"/>
              </w:rPr>
            </w:pPr>
            <w:r>
              <w:rPr>
                <w:lang w:val="en-US"/>
              </w:rPr>
              <w:t>18.0</w:t>
            </w:r>
          </w:p>
          <w:p w14:paraId="5247CF56" w14:textId="77777777" w:rsidR="00E2762B" w:rsidRDefault="00E2762B" w:rsidP="007459B7">
            <w:pPr>
              <w:rPr>
                <w:lang w:val="en-US"/>
              </w:rPr>
            </w:pPr>
            <w:r w:rsidRPr="00254469">
              <w:rPr>
                <w:lang w:val="en-US"/>
              </w:rPr>
              <w:t>best understood by someone with advanced education, typically postgraduate level.</w:t>
            </w:r>
          </w:p>
          <w:p w14:paraId="27E9ED9C" w14:textId="77777777" w:rsidR="00E2762B" w:rsidRDefault="00E2762B" w:rsidP="007459B7">
            <w:pPr>
              <w:rPr>
                <w:lang w:val="en-US"/>
              </w:rPr>
            </w:pPr>
          </w:p>
        </w:tc>
        <w:tc>
          <w:tcPr>
            <w:tcW w:w="1554" w:type="dxa"/>
            <w:tcBorders>
              <w:bottom w:val="double" w:sz="4" w:space="0" w:color="auto"/>
            </w:tcBorders>
          </w:tcPr>
          <w:p w14:paraId="544D4B91" w14:textId="77777777" w:rsidR="00E2762B" w:rsidRDefault="00E2762B" w:rsidP="007459B7">
            <w:pPr>
              <w:rPr>
                <w:lang w:val="en-US"/>
              </w:rPr>
            </w:pPr>
            <w:r>
              <w:rPr>
                <w:lang w:val="en-US"/>
              </w:rPr>
              <w:t>15.5</w:t>
            </w:r>
          </w:p>
          <w:p w14:paraId="3458E7F9" w14:textId="77777777" w:rsidR="00E2762B" w:rsidRDefault="00E2762B" w:rsidP="007459B7">
            <w:pPr>
              <w:rPr>
                <w:lang w:val="en-US"/>
              </w:rPr>
            </w:pPr>
            <w:r w:rsidRPr="00254469">
              <w:rPr>
                <w:lang w:val="en-US"/>
              </w:rPr>
              <w:t>college-level reading requirement.</w:t>
            </w:r>
          </w:p>
        </w:tc>
        <w:tc>
          <w:tcPr>
            <w:tcW w:w="4253" w:type="dxa"/>
            <w:tcBorders>
              <w:bottom w:val="double" w:sz="4" w:space="0" w:color="auto"/>
            </w:tcBorders>
          </w:tcPr>
          <w:p w14:paraId="51C7FD51" w14:textId="77777777" w:rsidR="00E2762B" w:rsidRPr="00B932B6" w:rsidRDefault="00E2762B" w:rsidP="007459B7">
            <w:pPr>
              <w:rPr>
                <w:lang w:val="en-US"/>
              </w:rPr>
            </w:pPr>
            <w:r w:rsidRPr="00CA75BA">
              <w:rPr>
                <w:lang w:val="en-US"/>
              </w:rPr>
              <w:t>ISPM 23 is one of the most complex ISPMs analyzed so far, likely due to its technical language, procedural detail, and regulatory terminology. It’s designed for professionals involved in plant health inspections and regulatory compliance.</w:t>
            </w:r>
          </w:p>
        </w:tc>
      </w:tr>
    </w:tbl>
    <w:p w14:paraId="1DD71665" w14:textId="429E3F80" w:rsidR="00E5082D" w:rsidRDefault="00E5082D" w:rsidP="00E2762B"/>
    <w:sectPr w:rsidR="00E5082D" w:rsidSect="00DC46E6">
      <w:pgSz w:w="16838" w:h="11906" w:orient="landscape"/>
      <w:pgMar w:top="992"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68A6" w14:textId="77777777" w:rsidR="00620664" w:rsidRDefault="00620664" w:rsidP="00620664">
      <w:r>
        <w:separator/>
      </w:r>
    </w:p>
  </w:endnote>
  <w:endnote w:type="continuationSeparator" w:id="0">
    <w:p w14:paraId="029BFE56" w14:textId="77777777" w:rsidR="00620664" w:rsidRDefault="00620664" w:rsidP="0062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8AB5" w14:textId="0236E72E" w:rsidR="00DF00E6" w:rsidRPr="000D0A9A" w:rsidRDefault="000D0A9A" w:rsidP="000D0A9A">
    <w:pPr>
      <w:pStyle w:val="IPPFooterLandscape"/>
      <w:jc w:val="both"/>
      <w:rPr>
        <w:b w:val="0"/>
      </w:rPr>
    </w:pPr>
    <w:r w:rsidRPr="000D0A9A">
      <w:rPr>
        <w:rStyle w:val="PageNumber"/>
        <w:b/>
      </w:rPr>
      <w:t xml:space="preserve">Page </w:t>
    </w:r>
    <w:r w:rsidRPr="000D0A9A">
      <w:rPr>
        <w:rStyle w:val="PageNumber"/>
        <w:b/>
      </w:rPr>
      <w:fldChar w:fldCharType="begin"/>
    </w:r>
    <w:r w:rsidRPr="000D0A9A">
      <w:rPr>
        <w:rStyle w:val="PageNumber"/>
        <w:b/>
      </w:rPr>
      <w:instrText xml:space="preserve"> PAGE </w:instrText>
    </w:r>
    <w:r w:rsidRPr="000D0A9A">
      <w:rPr>
        <w:rStyle w:val="PageNumber"/>
        <w:b/>
      </w:rPr>
      <w:fldChar w:fldCharType="separate"/>
    </w:r>
    <w:r>
      <w:rPr>
        <w:rStyle w:val="PageNumber"/>
        <w:b/>
      </w:rPr>
      <w:t>2</w:t>
    </w:r>
    <w:r w:rsidRPr="000D0A9A">
      <w:rPr>
        <w:rStyle w:val="PageNumber"/>
        <w:b/>
      </w:rPr>
      <w:fldChar w:fldCharType="end"/>
    </w:r>
    <w:r w:rsidRPr="000D0A9A">
      <w:rPr>
        <w:rStyle w:val="PageNumber"/>
        <w:b/>
      </w:rPr>
      <w:t xml:space="preserve"> of </w:t>
    </w:r>
    <w:r w:rsidRPr="000D0A9A">
      <w:rPr>
        <w:rStyle w:val="PageNumber"/>
        <w:b/>
      </w:rPr>
      <w:fldChar w:fldCharType="begin"/>
    </w:r>
    <w:r w:rsidRPr="000D0A9A">
      <w:rPr>
        <w:rStyle w:val="PageNumber"/>
        <w:b/>
      </w:rPr>
      <w:instrText xml:space="preserve"> NUMPAGES </w:instrText>
    </w:r>
    <w:r w:rsidRPr="000D0A9A">
      <w:rPr>
        <w:rStyle w:val="PageNumber"/>
        <w:b/>
      </w:rPr>
      <w:fldChar w:fldCharType="separate"/>
    </w:r>
    <w:r>
      <w:rPr>
        <w:rStyle w:val="PageNumber"/>
        <w:b/>
      </w:rPr>
      <w:t>3</w:t>
    </w:r>
    <w:r w:rsidRPr="000D0A9A">
      <w:rPr>
        <w:rStyle w:val="PageNumber"/>
        <w:b/>
      </w:rPr>
      <w:fldChar w:fldCharType="end"/>
    </w:r>
    <w:r>
      <w:rPr>
        <w:b w:val="0"/>
      </w:rPr>
      <w:tab/>
    </w:r>
    <w:r>
      <w:rPr>
        <w:b w:val="0"/>
      </w:rPr>
      <w:tab/>
    </w:r>
    <w:r w:rsidRPr="00A62A0E">
      <w:t>Internatio</w:t>
    </w:r>
    <w:r>
      <w:t xml:space="preserve">nal Plant Protection Convention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521C" w14:textId="3AA4EB44" w:rsidR="00DF00E6" w:rsidRPr="000D0A9A" w:rsidRDefault="000D0A9A" w:rsidP="000D0A9A">
    <w:pPr>
      <w:pStyle w:val="IPPFooterLandscape"/>
      <w:tabs>
        <w:tab w:val="clear" w:pos="14034"/>
      </w:tabs>
      <w:jc w:val="both"/>
      <w:rPr>
        <w:b w:val="0"/>
      </w:rPr>
    </w:pPr>
    <w:r w:rsidRPr="00A62A0E">
      <w:t>Internatio</w:t>
    </w:r>
    <w:r>
      <w:t>nal Plant Protection Convention</w:t>
    </w:r>
    <w:r>
      <w:tab/>
    </w:r>
    <w:r>
      <w:tab/>
    </w:r>
    <w:r>
      <w:tab/>
    </w:r>
    <w:r>
      <w:tab/>
    </w:r>
    <w:r>
      <w:tab/>
    </w:r>
    <w:r>
      <w:tab/>
    </w:r>
    <w:r>
      <w:tab/>
    </w:r>
    <w:r>
      <w:tab/>
    </w:r>
    <w:r>
      <w:tab/>
    </w:r>
    <w:r>
      <w:tab/>
    </w:r>
    <w:r>
      <w:tab/>
    </w:r>
    <w:r>
      <w:tab/>
    </w:r>
    <w:r>
      <w:tab/>
    </w:r>
    <w:r>
      <w:tab/>
    </w:r>
    <w:r w:rsidRPr="000D0A9A">
      <w:rPr>
        <w:rStyle w:val="PageNumber"/>
        <w:b/>
      </w:rPr>
      <w:t xml:space="preserve">Page </w:t>
    </w:r>
    <w:r w:rsidRPr="000D0A9A">
      <w:rPr>
        <w:rStyle w:val="PageNumber"/>
        <w:b/>
      </w:rPr>
      <w:fldChar w:fldCharType="begin"/>
    </w:r>
    <w:r w:rsidRPr="000D0A9A">
      <w:rPr>
        <w:rStyle w:val="PageNumber"/>
        <w:b/>
      </w:rPr>
      <w:instrText xml:space="preserve"> PAGE </w:instrText>
    </w:r>
    <w:r w:rsidRPr="000D0A9A">
      <w:rPr>
        <w:rStyle w:val="PageNumber"/>
        <w:b/>
      </w:rPr>
      <w:fldChar w:fldCharType="separate"/>
    </w:r>
    <w:r>
      <w:rPr>
        <w:rStyle w:val="PageNumber"/>
        <w:b/>
      </w:rPr>
      <w:t>2</w:t>
    </w:r>
    <w:r w:rsidRPr="000D0A9A">
      <w:rPr>
        <w:rStyle w:val="PageNumber"/>
        <w:b/>
      </w:rPr>
      <w:fldChar w:fldCharType="end"/>
    </w:r>
    <w:r w:rsidRPr="000D0A9A">
      <w:rPr>
        <w:rStyle w:val="PageNumber"/>
        <w:b/>
      </w:rPr>
      <w:t xml:space="preserve"> of </w:t>
    </w:r>
    <w:r w:rsidRPr="000D0A9A">
      <w:rPr>
        <w:rStyle w:val="PageNumber"/>
        <w:b/>
      </w:rPr>
      <w:fldChar w:fldCharType="begin"/>
    </w:r>
    <w:r w:rsidRPr="000D0A9A">
      <w:rPr>
        <w:rStyle w:val="PageNumber"/>
        <w:b/>
      </w:rPr>
      <w:instrText xml:space="preserve"> NUMPAGES </w:instrText>
    </w:r>
    <w:r w:rsidRPr="000D0A9A">
      <w:rPr>
        <w:rStyle w:val="PageNumber"/>
        <w:b/>
      </w:rPr>
      <w:fldChar w:fldCharType="separate"/>
    </w:r>
    <w:r>
      <w:rPr>
        <w:rStyle w:val="PageNumber"/>
        <w:b/>
      </w:rPr>
      <w:t>3</w:t>
    </w:r>
    <w:r w:rsidRPr="000D0A9A">
      <w:rPr>
        <w:rStyle w:val="PageNumber"/>
        <w:b/>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C58D" w14:textId="5CA39ABD" w:rsidR="00DF00E6" w:rsidRPr="00A61942" w:rsidRDefault="000D0A9A" w:rsidP="00A61942">
    <w:pPr>
      <w:pStyle w:val="IPPFooterLandscape"/>
      <w:jc w:val="both"/>
      <w:rPr>
        <w:b w:val="0"/>
      </w:rPr>
    </w:pPr>
    <w:r w:rsidRPr="00A62A0E">
      <w:t>Internatio</w:t>
    </w:r>
    <w:r>
      <w:t xml:space="preserve">nal Plant Protection Convention </w:t>
    </w:r>
    <w:r>
      <w:tab/>
    </w:r>
    <w:r w:rsidRPr="000D0A9A">
      <w:rPr>
        <w:rStyle w:val="PageNumber"/>
        <w:b/>
      </w:rPr>
      <w:t xml:space="preserve">Page </w:t>
    </w:r>
    <w:r w:rsidRPr="000D0A9A">
      <w:rPr>
        <w:rStyle w:val="PageNumber"/>
        <w:b/>
      </w:rPr>
      <w:fldChar w:fldCharType="begin"/>
    </w:r>
    <w:r w:rsidRPr="000D0A9A">
      <w:rPr>
        <w:rStyle w:val="PageNumber"/>
        <w:b/>
      </w:rPr>
      <w:instrText xml:space="preserve"> PAGE </w:instrText>
    </w:r>
    <w:r w:rsidRPr="000D0A9A">
      <w:rPr>
        <w:rStyle w:val="PageNumber"/>
        <w:b/>
      </w:rPr>
      <w:fldChar w:fldCharType="separate"/>
    </w:r>
    <w:r w:rsidRPr="000D0A9A">
      <w:rPr>
        <w:rStyle w:val="PageNumber"/>
        <w:b/>
      </w:rPr>
      <w:t>1</w:t>
    </w:r>
    <w:r w:rsidRPr="000D0A9A">
      <w:rPr>
        <w:rStyle w:val="PageNumber"/>
        <w:b/>
      </w:rPr>
      <w:fldChar w:fldCharType="end"/>
    </w:r>
    <w:r w:rsidRPr="000D0A9A">
      <w:rPr>
        <w:rStyle w:val="PageNumber"/>
        <w:b/>
      </w:rPr>
      <w:t xml:space="preserve"> of </w:t>
    </w:r>
    <w:r w:rsidRPr="000D0A9A">
      <w:rPr>
        <w:rStyle w:val="PageNumber"/>
        <w:b/>
      </w:rPr>
      <w:fldChar w:fldCharType="begin"/>
    </w:r>
    <w:r w:rsidRPr="000D0A9A">
      <w:rPr>
        <w:rStyle w:val="PageNumber"/>
        <w:b/>
      </w:rPr>
      <w:instrText xml:space="preserve"> NUMPAGES </w:instrText>
    </w:r>
    <w:r w:rsidRPr="000D0A9A">
      <w:rPr>
        <w:rStyle w:val="PageNumber"/>
        <w:b/>
      </w:rPr>
      <w:fldChar w:fldCharType="separate"/>
    </w:r>
    <w:r w:rsidRPr="000D0A9A">
      <w:rPr>
        <w:rStyle w:val="PageNumber"/>
        <w:b/>
      </w:rPr>
      <w:t>4</w:t>
    </w:r>
    <w:r w:rsidRPr="000D0A9A">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C21C" w14:textId="77777777" w:rsidR="00620664" w:rsidRDefault="00620664" w:rsidP="00620664">
      <w:r>
        <w:separator/>
      </w:r>
    </w:p>
  </w:footnote>
  <w:footnote w:type="continuationSeparator" w:id="0">
    <w:p w14:paraId="3483C1D8" w14:textId="77777777" w:rsidR="00620664" w:rsidRDefault="00620664" w:rsidP="00620664">
      <w:r>
        <w:continuationSeparator/>
      </w:r>
    </w:p>
  </w:footnote>
  <w:footnote w:id="1">
    <w:p w14:paraId="2E2544CF" w14:textId="2780BF41" w:rsidR="00620664" w:rsidRDefault="00620664">
      <w:pPr>
        <w:pStyle w:val="FootnoteText"/>
      </w:pPr>
      <w:r>
        <w:rPr>
          <w:rStyle w:val="FootnoteReference"/>
        </w:rPr>
        <w:footnoteRef/>
      </w:r>
      <w:r>
        <w:t xml:space="preserve"> </w:t>
      </w:r>
      <w:hyperlink r:id="rId1" w:history="1">
        <w:r>
          <w:rPr>
            <w:rStyle w:val="Hyperlink"/>
          </w:rPr>
          <w:t>06_SPG_2024_Oct_ISPMs_and_Guidance_UK_paper_2024-10-10.docx</w:t>
        </w:r>
      </w:hyperlink>
    </w:p>
    <w:p w14:paraId="1C4100C3" w14:textId="77777777" w:rsidR="00E5082D" w:rsidRDefault="00E508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CE32" w14:textId="38C41FB8" w:rsidR="00DF00E6" w:rsidRPr="00DF00E6" w:rsidRDefault="00AD27A4" w:rsidP="00A61942">
    <w:pPr>
      <w:pStyle w:val="IPPHeader"/>
      <w:tabs>
        <w:tab w:val="clear" w:pos="9072"/>
        <w:tab w:val="right" w:pos="9900"/>
      </w:tabs>
    </w:pPr>
    <w:r>
      <w:t>14</w:t>
    </w:r>
    <w:r w:rsidR="00DF00E6" w:rsidRPr="00DF00E6">
      <w:t>_SPG_2025_Oct</w:t>
    </w:r>
    <w:r>
      <w:t xml:space="preserve"> (9.8)</w:t>
    </w:r>
    <w:r w:rsidR="00DF00E6" w:rsidRPr="00DF00E6">
      <w:t xml:space="preserve"> </w:t>
    </w:r>
    <w:r w:rsidR="00DF00E6">
      <w:tab/>
    </w:r>
    <w:r w:rsidR="00DF00E6" w:rsidRPr="00DF00E6">
      <w:t xml:space="preserve">Rethinking of ISPMs - UK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4C7" w14:textId="30FE5113" w:rsidR="00DF00E6" w:rsidRPr="00DF00E6" w:rsidRDefault="00DF00E6" w:rsidP="00A61942">
    <w:pPr>
      <w:pStyle w:val="IPPHeaderlandscape"/>
      <w:tabs>
        <w:tab w:val="clear" w:pos="14034"/>
        <w:tab w:val="right" w:pos="14579"/>
      </w:tabs>
    </w:pPr>
    <w:r w:rsidRPr="00DF00E6">
      <w:t xml:space="preserve">Rethinking of ISPMs - UK </w:t>
    </w:r>
    <w:r w:rsidR="00352FB5">
      <w:tab/>
    </w:r>
    <w:r w:rsidR="00AD27A4">
      <w:t>14</w:t>
    </w:r>
    <w:r w:rsidRPr="00DF00E6">
      <w:t xml:space="preserve">_SPG_2025_Oct  </w:t>
    </w:r>
    <w:r w:rsidR="00AD27A4">
      <w:t>(9.8)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0E41" w14:textId="185ACC26" w:rsidR="005B498A" w:rsidRDefault="00AD27A4" w:rsidP="005B498A">
    <w:pPr>
      <w:pStyle w:val="IPPHeader"/>
      <w:tabs>
        <w:tab w:val="clear" w:pos="1134"/>
      </w:tabs>
      <w:spacing w:before="240" w:after="0"/>
      <w:ind w:left="880"/>
    </w:pPr>
    <w:bookmarkStart w:id="1" w:name="_Hlk38796923"/>
    <w:bookmarkStart w:id="2" w:name="_Hlk38796924"/>
    <w:r>
      <w:rPr>
        <w:noProof/>
      </w:rPr>
      <mc:AlternateContent>
        <mc:Choice Requires="wps">
          <w:drawing>
            <wp:anchor distT="0" distB="0" distL="114300" distR="114300" simplePos="0" relativeHeight="251662336" behindDoc="0" locked="0" layoutInCell="1" allowOverlap="1" wp14:anchorId="0D0BA297" wp14:editId="468300FA">
              <wp:simplePos x="0" y="0"/>
              <wp:positionH relativeFrom="margin">
                <wp:posOffset>1826260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444565"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43.8pt,56.7pt" to="143.8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" strokecolor="black [3213]" strokeweight=".5pt">
              <v:stroke joinstyle="miter"/>
              <w10:wrap anchorx="margin" anchory="page"/>
            </v:line>
          </w:pict>
        </mc:Fallback>
      </mc:AlternateContent>
    </w:r>
    <w:r w:rsidR="005B498A">
      <w:rPr>
        <w:i/>
        <w:iCs/>
        <w:noProof/>
        <w14:ligatures w14:val="standardContextual"/>
      </w:rPr>
      <w:drawing>
        <wp:anchor distT="0" distB="0" distL="114300" distR="114300" simplePos="0" relativeHeight="251661312" behindDoc="0" locked="0" layoutInCell="1" allowOverlap="1" wp14:anchorId="225E2BE5" wp14:editId="3B66F51E">
          <wp:simplePos x="0" y="0"/>
          <wp:positionH relativeFrom="page">
            <wp:posOffset>2520315</wp:posOffset>
          </wp:positionH>
          <wp:positionV relativeFrom="page">
            <wp:posOffset>558165</wp:posOffset>
          </wp:positionV>
          <wp:extent cx="1756800" cy="698400"/>
          <wp:effectExtent l="0" t="0" r="0" b="6985"/>
          <wp:wrapSquare wrapText="bothSides"/>
          <wp:docPr id="57601831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005B498A" w:rsidRPr="000321A6">
      <w:rPr>
        <w:noProof/>
      </w:rPr>
      <w:drawing>
        <wp:anchor distT="0" distB="0" distL="114300" distR="114300" simplePos="0" relativeHeight="251659264" behindDoc="0" locked="0" layoutInCell="1" allowOverlap="1" wp14:anchorId="672C0FAC" wp14:editId="20621C04">
          <wp:simplePos x="0" y="0"/>
          <wp:positionH relativeFrom="page">
            <wp:posOffset>0</wp:posOffset>
          </wp:positionH>
          <wp:positionV relativeFrom="page">
            <wp:posOffset>0</wp:posOffset>
          </wp:positionV>
          <wp:extent cx="7617600" cy="558000"/>
          <wp:effectExtent l="0" t="0" r="2540" b="0"/>
          <wp:wrapTopAndBottom/>
          <wp:docPr id="1359949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sidR="005B498A">
      <w:rPr>
        <w:noProof/>
        <w14:ligatures w14:val="standardContextual"/>
      </w:rPr>
      <w:drawing>
        <wp:anchor distT="0" distB="0" distL="114300" distR="114300" simplePos="0" relativeHeight="251660288" behindDoc="0" locked="0" layoutInCell="1" allowOverlap="1" wp14:anchorId="6ED999D2" wp14:editId="2CEEFB5C">
          <wp:simplePos x="0" y="0"/>
          <wp:positionH relativeFrom="page">
            <wp:posOffset>742950</wp:posOffset>
          </wp:positionH>
          <wp:positionV relativeFrom="page">
            <wp:posOffset>558165</wp:posOffset>
          </wp:positionV>
          <wp:extent cx="1728000" cy="698400"/>
          <wp:effectExtent l="0" t="0" r="5715" b="6985"/>
          <wp:wrapSquare wrapText="bothSides"/>
          <wp:docPr id="161691775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005B498A">
      <w:tab/>
    </w:r>
    <w:r>
      <w:t>14</w:t>
    </w:r>
    <w:r w:rsidR="005B498A">
      <w:t>_SPG</w:t>
    </w:r>
    <w:r w:rsidR="005B498A" w:rsidRPr="00606019">
      <w:t>_</w:t>
    </w:r>
    <w:r w:rsidR="005B498A">
      <w:t>2025_Oct</w:t>
    </w:r>
  </w:p>
  <w:p w14:paraId="1698BE04" w14:textId="410CA457" w:rsidR="005B498A" w:rsidRDefault="005B498A" w:rsidP="005B498A">
    <w:pPr>
      <w:pStyle w:val="IPPHeader"/>
      <w:tabs>
        <w:tab w:val="clear" w:pos="1134"/>
      </w:tabs>
      <w:spacing w:after="0"/>
      <w:ind w:left="880"/>
    </w:pPr>
    <w:r w:rsidRPr="0076596B">
      <w:tab/>
      <w:t xml:space="preserve">Agenda item: </w:t>
    </w:r>
    <w:bookmarkEnd w:id="1"/>
    <w:bookmarkEnd w:id="2"/>
    <w:r w:rsidR="00AD27A4">
      <w:t>9.8</w:t>
    </w:r>
  </w:p>
  <w:p w14:paraId="7CBE673B" w14:textId="77777777" w:rsidR="005B498A" w:rsidRDefault="005B498A" w:rsidP="005B498A">
    <w:pPr>
      <w:pStyle w:val="IPPHeader"/>
      <w:tabs>
        <w:tab w:val="clear" w:pos="1134"/>
      </w:tabs>
      <w:spacing w:after="0"/>
      <w:ind w:left="880"/>
    </w:pPr>
  </w:p>
  <w:p w14:paraId="2F8B4316" w14:textId="77777777" w:rsidR="005B498A" w:rsidRDefault="005B498A" w:rsidP="005B498A">
    <w:pPr>
      <w:pStyle w:val="IPPHeader"/>
      <w:tabs>
        <w:tab w:val="clear" w:pos="1134"/>
      </w:tabs>
      <w:spacing w:after="0"/>
      <w:ind w:left="880"/>
    </w:pPr>
  </w:p>
  <w:p w14:paraId="0C997830" w14:textId="77777777" w:rsidR="005B498A" w:rsidRDefault="005B498A" w:rsidP="005B498A">
    <w:pPr>
      <w:pStyle w:val="IPPHeader"/>
      <w:tabs>
        <w:tab w:val="clear" w:pos="1134"/>
      </w:tabs>
      <w:spacing w:after="0"/>
      <w:ind w:left="880"/>
    </w:pPr>
  </w:p>
  <w:p w14:paraId="61D49B46" w14:textId="242ED83C" w:rsidR="00D23D82" w:rsidRPr="0017145F" w:rsidRDefault="005B498A" w:rsidP="005B498A">
    <w:pPr>
      <w:pStyle w:val="IPPHeader"/>
      <w:tabs>
        <w:tab w:val="clear" w:pos="1134"/>
      </w:tabs>
      <w:spacing w:after="0"/>
      <w:ind w:left="880"/>
    </w:pPr>
    <w:r>
      <w:t xml:space="preserve">Rethinking of ISPMs - UK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2DC"/>
    <w:multiLevelType w:val="hybridMultilevel"/>
    <w:tmpl w:val="6EBE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886D1D"/>
    <w:multiLevelType w:val="hybridMultilevel"/>
    <w:tmpl w:val="62468B2E"/>
    <w:lvl w:ilvl="0" w:tplc="08090001">
      <w:start w:val="1"/>
      <w:numFmt w:val="bullet"/>
      <w:lvlText w:val=""/>
      <w:lvlJc w:val="left"/>
      <w:pPr>
        <w:ind w:left="720" w:hanging="360"/>
      </w:pPr>
      <w:rPr>
        <w:rFonts w:ascii="Symbol" w:hAnsi="Symbol" w:hint="default"/>
      </w:rPr>
    </w:lvl>
    <w:lvl w:ilvl="1" w:tplc="E070BA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1FC5639"/>
    <w:multiLevelType w:val="hybridMultilevel"/>
    <w:tmpl w:val="929A99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8" w15:restartNumberingAfterBreak="0">
    <w:nsid w:val="3553759C"/>
    <w:multiLevelType w:val="hybridMultilevel"/>
    <w:tmpl w:val="8090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901F3"/>
    <w:multiLevelType w:val="hybridMultilevel"/>
    <w:tmpl w:val="E9E82E5E"/>
    <w:lvl w:ilvl="0" w:tplc="DB76F8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F06966"/>
    <w:multiLevelType w:val="hybridMultilevel"/>
    <w:tmpl w:val="6664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A3BBC"/>
    <w:multiLevelType w:val="hybridMultilevel"/>
    <w:tmpl w:val="D59C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986543"/>
    <w:multiLevelType w:val="hybridMultilevel"/>
    <w:tmpl w:val="0042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E6"/>
    <w:multiLevelType w:val="hybridMultilevel"/>
    <w:tmpl w:val="743EFF24"/>
    <w:lvl w:ilvl="0" w:tplc="817850E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B011D"/>
    <w:multiLevelType w:val="multilevel"/>
    <w:tmpl w:val="DDF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1955653">
    <w:abstractNumId w:val="12"/>
  </w:num>
  <w:num w:numId="2" w16cid:durableId="1353343587">
    <w:abstractNumId w:val="11"/>
  </w:num>
  <w:num w:numId="3" w16cid:durableId="296565648">
    <w:abstractNumId w:val="14"/>
  </w:num>
  <w:num w:numId="4" w16cid:durableId="210919772">
    <w:abstractNumId w:val="19"/>
  </w:num>
  <w:num w:numId="5" w16cid:durableId="1576623247">
    <w:abstractNumId w:val="8"/>
  </w:num>
  <w:num w:numId="6" w16cid:durableId="315455127">
    <w:abstractNumId w:val="1"/>
  </w:num>
  <w:num w:numId="7" w16cid:durableId="79520713">
    <w:abstractNumId w:val="4"/>
  </w:num>
  <w:num w:numId="8" w16cid:durableId="1577280186">
    <w:abstractNumId w:val="6"/>
  </w:num>
  <w:num w:numId="9" w16cid:durableId="280763718">
    <w:abstractNumId w:val="17"/>
  </w:num>
  <w:num w:numId="10" w16cid:durableId="1292903261">
    <w:abstractNumId w:val="3"/>
  </w:num>
  <w:num w:numId="11" w16cid:durableId="638847168">
    <w:abstractNumId w:val="2"/>
  </w:num>
  <w:num w:numId="12" w16cid:durableId="604775870">
    <w:abstractNumId w:val="7"/>
  </w:num>
  <w:num w:numId="13" w16cid:durableId="1256212346">
    <w:abstractNumId w:val="20"/>
  </w:num>
  <w:num w:numId="14" w16cid:durableId="1827739327">
    <w:abstractNumId w:val="16"/>
  </w:num>
  <w:num w:numId="15" w16cid:durableId="1137603254">
    <w:abstractNumId w:val="10"/>
  </w:num>
  <w:num w:numId="16" w16cid:durableId="292568007">
    <w:abstractNumId w:val="21"/>
  </w:num>
  <w:num w:numId="17" w16cid:durableId="1542935101">
    <w:abstractNumId w:val="5"/>
  </w:num>
  <w:num w:numId="18" w16cid:durableId="136724211">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14638107">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455106564">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209419466">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2040816150">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004017785">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1026908355">
    <w:abstractNumId w:val="0"/>
  </w:num>
  <w:num w:numId="25" w16cid:durableId="625546059">
    <w:abstractNumId w:val="13"/>
  </w:num>
  <w:num w:numId="26" w16cid:durableId="1200246193">
    <w:abstractNumId w:val="18"/>
  </w:num>
  <w:num w:numId="27" w16cid:durableId="1902210887">
    <w:abstractNumId w:val="15"/>
  </w:num>
  <w:num w:numId="28" w16cid:durableId="748574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linkStyle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4B"/>
    <w:rsid w:val="00023701"/>
    <w:rsid w:val="00055370"/>
    <w:rsid w:val="00062013"/>
    <w:rsid w:val="0009570F"/>
    <w:rsid w:val="000D0A9A"/>
    <w:rsid w:val="000F3314"/>
    <w:rsid w:val="000F48B1"/>
    <w:rsid w:val="00126BAB"/>
    <w:rsid w:val="00150A28"/>
    <w:rsid w:val="0017145F"/>
    <w:rsid w:val="001866A5"/>
    <w:rsid w:val="00191C19"/>
    <w:rsid w:val="001D44F9"/>
    <w:rsid w:val="00225681"/>
    <w:rsid w:val="002936CE"/>
    <w:rsid w:val="002C42DE"/>
    <w:rsid w:val="002D7DC6"/>
    <w:rsid w:val="003178B6"/>
    <w:rsid w:val="00325835"/>
    <w:rsid w:val="00352FB5"/>
    <w:rsid w:val="0038364F"/>
    <w:rsid w:val="003B15A1"/>
    <w:rsid w:val="003E3781"/>
    <w:rsid w:val="0041027D"/>
    <w:rsid w:val="004335B7"/>
    <w:rsid w:val="00437B2D"/>
    <w:rsid w:val="00440351"/>
    <w:rsid w:val="0044436E"/>
    <w:rsid w:val="00451BAF"/>
    <w:rsid w:val="0049051E"/>
    <w:rsid w:val="004B4C4E"/>
    <w:rsid w:val="00546799"/>
    <w:rsid w:val="0056425D"/>
    <w:rsid w:val="00565334"/>
    <w:rsid w:val="00595ABF"/>
    <w:rsid w:val="005B498A"/>
    <w:rsid w:val="00620664"/>
    <w:rsid w:val="006324A8"/>
    <w:rsid w:val="006E0798"/>
    <w:rsid w:val="006E14BF"/>
    <w:rsid w:val="00704801"/>
    <w:rsid w:val="007072C8"/>
    <w:rsid w:val="007826A8"/>
    <w:rsid w:val="007A23CF"/>
    <w:rsid w:val="007D605C"/>
    <w:rsid w:val="0082734B"/>
    <w:rsid w:val="00853665"/>
    <w:rsid w:val="00855164"/>
    <w:rsid w:val="0088362A"/>
    <w:rsid w:val="00886E8C"/>
    <w:rsid w:val="00926651"/>
    <w:rsid w:val="0095241B"/>
    <w:rsid w:val="00967AC3"/>
    <w:rsid w:val="00974BD6"/>
    <w:rsid w:val="009A51D5"/>
    <w:rsid w:val="009A7DB5"/>
    <w:rsid w:val="00A04041"/>
    <w:rsid w:val="00A05F17"/>
    <w:rsid w:val="00A561F6"/>
    <w:rsid w:val="00A61942"/>
    <w:rsid w:val="00A91D7E"/>
    <w:rsid w:val="00AD27A4"/>
    <w:rsid w:val="00B20EDB"/>
    <w:rsid w:val="00B35B50"/>
    <w:rsid w:val="00B76007"/>
    <w:rsid w:val="00B8098D"/>
    <w:rsid w:val="00BF2251"/>
    <w:rsid w:val="00C34BC1"/>
    <w:rsid w:val="00C61C91"/>
    <w:rsid w:val="00CF2DD8"/>
    <w:rsid w:val="00D02DB1"/>
    <w:rsid w:val="00D06670"/>
    <w:rsid w:val="00D20C66"/>
    <w:rsid w:val="00D23D82"/>
    <w:rsid w:val="00D275C8"/>
    <w:rsid w:val="00D90AED"/>
    <w:rsid w:val="00DC46E6"/>
    <w:rsid w:val="00DC7E35"/>
    <w:rsid w:val="00DF00E6"/>
    <w:rsid w:val="00E2762B"/>
    <w:rsid w:val="00E32162"/>
    <w:rsid w:val="00E5082D"/>
    <w:rsid w:val="00E674C1"/>
    <w:rsid w:val="00E846E0"/>
    <w:rsid w:val="00EB45CF"/>
    <w:rsid w:val="00EE3331"/>
    <w:rsid w:val="00F361B7"/>
    <w:rsid w:val="00F67AC2"/>
    <w:rsid w:val="00F845C6"/>
    <w:rsid w:val="00F87611"/>
    <w:rsid w:val="00FD7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842B4"/>
  <w15:chartTrackingRefBased/>
  <w15:docId w15:val="{B91FCE95-2895-45BB-B9AA-236938E0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D82"/>
    <w:pPr>
      <w:spacing w:after="0" w:line="240" w:lineRule="auto"/>
      <w:jc w:val="both"/>
    </w:pPr>
    <w:rPr>
      <w:rFonts w:ascii="Times New Roman" w:eastAsia="MS Mincho" w:hAnsi="Times New Roman" w:cs="Times New Roman"/>
      <w:kern w:val="0"/>
      <w:szCs w:val="24"/>
      <w14:ligatures w14:val="none"/>
    </w:rPr>
  </w:style>
  <w:style w:type="paragraph" w:styleId="Heading1">
    <w:name w:val="heading 1"/>
    <w:basedOn w:val="Normal"/>
    <w:next w:val="Normal"/>
    <w:link w:val="Heading1Char"/>
    <w:qFormat/>
    <w:rsid w:val="00D23D82"/>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D23D82"/>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23D82"/>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827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3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3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3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3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D82"/>
    <w:rPr>
      <w:rFonts w:ascii="Times New Roman" w:eastAsia="MS Mincho" w:hAnsi="Times New Roman" w:cs="Times New Roman"/>
      <w:b/>
      <w:bCs/>
      <w:kern w:val="0"/>
      <w:szCs w:val="24"/>
      <w14:ligatures w14:val="none"/>
    </w:rPr>
  </w:style>
  <w:style w:type="character" w:customStyle="1" w:styleId="Heading2Char">
    <w:name w:val="Heading 2 Char"/>
    <w:basedOn w:val="DefaultParagraphFont"/>
    <w:link w:val="Heading2"/>
    <w:rsid w:val="00D23D82"/>
    <w:rPr>
      <w:rFonts w:ascii="Calibri" w:eastAsia="MS Mincho" w:hAnsi="Calibri" w:cs="Times New Roman"/>
      <w:b/>
      <w:bCs/>
      <w:i/>
      <w:iCs/>
      <w:kern w:val="0"/>
      <w:sz w:val="28"/>
      <w:szCs w:val="28"/>
      <w14:ligatures w14:val="none"/>
    </w:rPr>
  </w:style>
  <w:style w:type="character" w:customStyle="1" w:styleId="Heading3Char">
    <w:name w:val="Heading 3 Char"/>
    <w:basedOn w:val="DefaultParagraphFont"/>
    <w:link w:val="Heading3"/>
    <w:rsid w:val="00D23D82"/>
    <w:rPr>
      <w:rFonts w:ascii="Calibri" w:eastAsia="MS Mincho" w:hAnsi="Calibri" w:cs="Times New Roman"/>
      <w:b/>
      <w:bCs/>
      <w:kern w:val="0"/>
      <w:sz w:val="26"/>
      <w:szCs w:val="26"/>
      <w14:ligatures w14:val="none"/>
    </w:rPr>
  </w:style>
  <w:style w:type="character" w:customStyle="1" w:styleId="Heading4Char">
    <w:name w:val="Heading 4 Char"/>
    <w:basedOn w:val="DefaultParagraphFont"/>
    <w:link w:val="Heading4"/>
    <w:uiPriority w:val="9"/>
    <w:semiHidden/>
    <w:rsid w:val="00827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34B"/>
    <w:rPr>
      <w:rFonts w:eastAsiaTheme="majorEastAsia" w:cstheme="majorBidi"/>
      <w:color w:val="272727" w:themeColor="text1" w:themeTint="D8"/>
    </w:rPr>
  </w:style>
  <w:style w:type="paragraph" w:styleId="Title">
    <w:name w:val="Title"/>
    <w:basedOn w:val="Normal"/>
    <w:next w:val="Normal"/>
    <w:link w:val="TitleChar"/>
    <w:uiPriority w:val="10"/>
    <w:qFormat/>
    <w:rsid w:val="00827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34B"/>
    <w:pPr>
      <w:spacing w:before="160"/>
      <w:jc w:val="center"/>
    </w:pPr>
    <w:rPr>
      <w:i/>
      <w:iCs/>
      <w:color w:val="404040" w:themeColor="text1" w:themeTint="BF"/>
    </w:rPr>
  </w:style>
  <w:style w:type="character" w:customStyle="1" w:styleId="QuoteChar">
    <w:name w:val="Quote Char"/>
    <w:basedOn w:val="DefaultParagraphFont"/>
    <w:link w:val="Quote"/>
    <w:uiPriority w:val="29"/>
    <w:rsid w:val="0082734B"/>
    <w:rPr>
      <w:i/>
      <w:iCs/>
      <w:color w:val="404040" w:themeColor="text1" w:themeTint="BF"/>
    </w:rPr>
  </w:style>
  <w:style w:type="paragraph" w:styleId="ListParagraph">
    <w:name w:val="List Paragraph"/>
    <w:basedOn w:val="Normal"/>
    <w:uiPriority w:val="34"/>
    <w:qFormat/>
    <w:rsid w:val="00D23D82"/>
    <w:pPr>
      <w:spacing w:line="240" w:lineRule="atLeast"/>
      <w:ind w:leftChars="400" w:left="800"/>
    </w:pPr>
    <w:rPr>
      <w:rFonts w:ascii="Verdana" w:eastAsia="Times New Roman" w:hAnsi="Verdana"/>
      <w:sz w:val="20"/>
      <w:lang w:val="nl-NL" w:eastAsia="nl-NL"/>
    </w:rPr>
  </w:style>
  <w:style w:type="character" w:styleId="IntenseEmphasis">
    <w:name w:val="Intense Emphasis"/>
    <w:basedOn w:val="DefaultParagraphFont"/>
    <w:uiPriority w:val="21"/>
    <w:qFormat/>
    <w:rsid w:val="0082734B"/>
    <w:rPr>
      <w:i/>
      <w:iCs/>
      <w:color w:val="0F4761" w:themeColor="accent1" w:themeShade="BF"/>
    </w:rPr>
  </w:style>
  <w:style w:type="paragraph" w:styleId="IntenseQuote">
    <w:name w:val="Intense Quote"/>
    <w:basedOn w:val="Normal"/>
    <w:next w:val="Normal"/>
    <w:link w:val="IntenseQuoteChar"/>
    <w:uiPriority w:val="30"/>
    <w:qFormat/>
    <w:rsid w:val="00827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34B"/>
    <w:rPr>
      <w:i/>
      <w:iCs/>
      <w:color w:val="0F4761" w:themeColor="accent1" w:themeShade="BF"/>
    </w:rPr>
  </w:style>
  <w:style w:type="character" w:styleId="IntenseReference">
    <w:name w:val="Intense Reference"/>
    <w:basedOn w:val="DefaultParagraphFont"/>
    <w:uiPriority w:val="32"/>
    <w:qFormat/>
    <w:rsid w:val="0082734B"/>
    <w:rPr>
      <w:b/>
      <w:bCs/>
      <w:smallCaps/>
      <w:color w:val="0F4761" w:themeColor="accent1" w:themeShade="BF"/>
      <w:spacing w:val="5"/>
    </w:rPr>
  </w:style>
  <w:style w:type="character" w:styleId="Hyperlink">
    <w:name w:val="Hyperlink"/>
    <w:basedOn w:val="DefaultParagraphFont"/>
    <w:uiPriority w:val="99"/>
    <w:semiHidden/>
    <w:unhideWhenUsed/>
    <w:rsid w:val="00451BAF"/>
    <w:rPr>
      <w:color w:val="0000FF"/>
      <w:u w:val="single"/>
    </w:rPr>
  </w:style>
  <w:style w:type="paragraph" w:styleId="FootnoteText">
    <w:name w:val="footnote text"/>
    <w:basedOn w:val="Normal"/>
    <w:link w:val="FootnoteTextChar"/>
    <w:semiHidden/>
    <w:rsid w:val="00D23D82"/>
    <w:pPr>
      <w:spacing w:before="60"/>
    </w:pPr>
    <w:rPr>
      <w:sz w:val="20"/>
    </w:rPr>
  </w:style>
  <w:style w:type="character" w:customStyle="1" w:styleId="FootnoteTextChar">
    <w:name w:val="Footnote Text Char"/>
    <w:basedOn w:val="DefaultParagraphFont"/>
    <w:link w:val="FootnoteText"/>
    <w:semiHidden/>
    <w:rsid w:val="00D23D82"/>
    <w:rPr>
      <w:rFonts w:ascii="Times New Roman" w:eastAsia="MS Mincho" w:hAnsi="Times New Roman" w:cs="Times New Roman"/>
      <w:kern w:val="0"/>
      <w:sz w:val="20"/>
      <w:szCs w:val="24"/>
      <w14:ligatures w14:val="none"/>
    </w:rPr>
  </w:style>
  <w:style w:type="character" w:styleId="FootnoteReference">
    <w:name w:val="footnote reference"/>
    <w:basedOn w:val="DefaultParagraphFont"/>
    <w:semiHidden/>
    <w:rsid w:val="00D23D82"/>
    <w:rPr>
      <w:vertAlign w:val="superscript"/>
    </w:rPr>
  </w:style>
  <w:style w:type="table" w:styleId="TableGrid">
    <w:name w:val="Table Grid"/>
    <w:basedOn w:val="TableNormal"/>
    <w:rsid w:val="00D23D82"/>
    <w:pPr>
      <w:spacing w:after="0" w:line="240" w:lineRule="auto"/>
    </w:pPr>
    <w:rPr>
      <w:rFonts w:ascii="Cambria" w:eastAsia="MS Mincho" w:hAnsi="Cambria"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23D82"/>
    <w:pPr>
      <w:tabs>
        <w:tab w:val="center" w:pos="4680"/>
        <w:tab w:val="right" w:pos="9360"/>
      </w:tabs>
    </w:pPr>
  </w:style>
  <w:style w:type="character" w:customStyle="1" w:styleId="HeaderChar">
    <w:name w:val="Header Char"/>
    <w:basedOn w:val="DefaultParagraphFont"/>
    <w:link w:val="Header"/>
    <w:rsid w:val="00D23D82"/>
    <w:rPr>
      <w:rFonts w:ascii="Times New Roman" w:eastAsia="MS Mincho" w:hAnsi="Times New Roman" w:cs="Times New Roman"/>
      <w:kern w:val="0"/>
      <w:szCs w:val="24"/>
      <w14:ligatures w14:val="none"/>
    </w:rPr>
  </w:style>
  <w:style w:type="paragraph" w:styleId="Footer">
    <w:name w:val="footer"/>
    <w:basedOn w:val="Normal"/>
    <w:link w:val="FooterChar"/>
    <w:rsid w:val="00D23D82"/>
    <w:pPr>
      <w:tabs>
        <w:tab w:val="center" w:pos="4680"/>
        <w:tab w:val="right" w:pos="9360"/>
      </w:tabs>
    </w:pPr>
  </w:style>
  <w:style w:type="character" w:customStyle="1" w:styleId="FooterChar">
    <w:name w:val="Footer Char"/>
    <w:basedOn w:val="DefaultParagraphFont"/>
    <w:link w:val="Footer"/>
    <w:rsid w:val="00D23D82"/>
    <w:rPr>
      <w:rFonts w:ascii="Times New Roman" w:eastAsia="MS Mincho" w:hAnsi="Times New Roman" w:cs="Times New Roman"/>
      <w:kern w:val="0"/>
      <w:szCs w:val="24"/>
      <w14:ligatures w14:val="none"/>
    </w:rPr>
  </w:style>
  <w:style w:type="character" w:styleId="CommentReference">
    <w:name w:val="annotation reference"/>
    <w:basedOn w:val="DefaultParagraphFont"/>
    <w:unhideWhenUsed/>
    <w:qFormat/>
    <w:rsid w:val="00D23D82"/>
    <w:rPr>
      <w:sz w:val="16"/>
      <w:szCs w:val="16"/>
    </w:rPr>
  </w:style>
  <w:style w:type="paragraph" w:styleId="CommentText">
    <w:name w:val="annotation text"/>
    <w:basedOn w:val="Normal"/>
    <w:link w:val="CommentTextChar"/>
    <w:uiPriority w:val="99"/>
    <w:unhideWhenUsed/>
    <w:qFormat/>
    <w:rsid w:val="00D23D82"/>
    <w:rPr>
      <w:sz w:val="20"/>
      <w:szCs w:val="20"/>
    </w:rPr>
  </w:style>
  <w:style w:type="character" w:customStyle="1" w:styleId="CommentTextChar">
    <w:name w:val="Comment Text Char"/>
    <w:basedOn w:val="DefaultParagraphFont"/>
    <w:link w:val="CommentText"/>
    <w:uiPriority w:val="99"/>
    <w:qFormat/>
    <w:rsid w:val="00D23D82"/>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D82"/>
    <w:rPr>
      <w:b/>
      <w:bCs/>
    </w:rPr>
  </w:style>
  <w:style w:type="character" w:customStyle="1" w:styleId="CommentSubjectChar">
    <w:name w:val="Comment Subject Char"/>
    <w:basedOn w:val="CommentTextChar"/>
    <w:link w:val="CommentSubject"/>
    <w:uiPriority w:val="99"/>
    <w:semiHidden/>
    <w:rsid w:val="00D23D82"/>
    <w:rPr>
      <w:rFonts w:ascii="Times New Roman" w:eastAsia="MS Mincho" w:hAnsi="Times New Roman" w:cs="Times New Roman"/>
      <w:b/>
      <w:bCs/>
      <w:kern w:val="0"/>
      <w:sz w:val="20"/>
      <w:szCs w:val="20"/>
      <w14:ligatures w14:val="none"/>
    </w:rPr>
  </w:style>
  <w:style w:type="paragraph" w:styleId="BalloonText">
    <w:name w:val="Balloon Text"/>
    <w:basedOn w:val="Normal"/>
    <w:link w:val="BalloonTextChar"/>
    <w:rsid w:val="00D23D82"/>
    <w:rPr>
      <w:rFonts w:ascii="Tahoma" w:hAnsi="Tahoma" w:cs="Tahoma"/>
      <w:sz w:val="16"/>
      <w:szCs w:val="16"/>
    </w:rPr>
  </w:style>
  <w:style w:type="character" w:customStyle="1" w:styleId="BalloonTextChar">
    <w:name w:val="Balloon Text Char"/>
    <w:basedOn w:val="DefaultParagraphFont"/>
    <w:link w:val="BalloonText"/>
    <w:rsid w:val="00D23D82"/>
    <w:rPr>
      <w:rFonts w:ascii="Tahoma" w:eastAsia="MS Mincho" w:hAnsi="Tahoma" w:cs="Tahoma"/>
      <w:kern w:val="0"/>
      <w:sz w:val="16"/>
      <w:szCs w:val="16"/>
      <w14:ligatures w14:val="none"/>
    </w:rPr>
  </w:style>
  <w:style w:type="paragraph" w:customStyle="1" w:styleId="Style">
    <w:name w:val="Style"/>
    <w:basedOn w:val="Footer"/>
    <w:autoRedefine/>
    <w:qFormat/>
    <w:rsid w:val="00D23D82"/>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D23D82"/>
    <w:rPr>
      <w:rFonts w:ascii="Arial" w:hAnsi="Arial"/>
      <w:b/>
      <w:sz w:val="18"/>
    </w:rPr>
  </w:style>
  <w:style w:type="paragraph" w:customStyle="1" w:styleId="IPPArialFootnote">
    <w:name w:val="IPP Arial Footnote"/>
    <w:basedOn w:val="IPPArialTable"/>
    <w:qFormat/>
    <w:rsid w:val="00D23D82"/>
    <w:pPr>
      <w:tabs>
        <w:tab w:val="left" w:pos="28"/>
      </w:tabs>
      <w:ind w:left="284" w:hanging="284"/>
    </w:pPr>
    <w:rPr>
      <w:sz w:val="16"/>
    </w:rPr>
  </w:style>
  <w:style w:type="paragraph" w:customStyle="1" w:styleId="IPPContentsHead">
    <w:name w:val="IPP ContentsHead"/>
    <w:basedOn w:val="IPPSubhead"/>
    <w:next w:val="IPPNormal"/>
    <w:qFormat/>
    <w:rsid w:val="00D23D82"/>
    <w:pPr>
      <w:spacing w:after="240"/>
    </w:pPr>
    <w:rPr>
      <w:sz w:val="24"/>
    </w:rPr>
  </w:style>
  <w:style w:type="paragraph" w:customStyle="1" w:styleId="IPPBullet2">
    <w:name w:val="IPP Bullet2"/>
    <w:basedOn w:val="IPPNormal"/>
    <w:next w:val="IPPBullet1"/>
    <w:qFormat/>
    <w:rsid w:val="00D23D82"/>
    <w:pPr>
      <w:numPr>
        <w:numId w:val="13"/>
      </w:numPr>
      <w:tabs>
        <w:tab w:val="left" w:pos="1134"/>
      </w:tabs>
      <w:spacing w:after="60"/>
      <w:ind w:left="1134" w:hanging="567"/>
    </w:pPr>
  </w:style>
  <w:style w:type="paragraph" w:customStyle="1" w:styleId="IPPQuote">
    <w:name w:val="IPP Quote"/>
    <w:basedOn w:val="IPPNormal"/>
    <w:qFormat/>
    <w:rsid w:val="00D23D82"/>
    <w:pPr>
      <w:ind w:left="851" w:right="851"/>
    </w:pPr>
    <w:rPr>
      <w:sz w:val="18"/>
    </w:rPr>
  </w:style>
  <w:style w:type="paragraph" w:customStyle="1" w:styleId="IPPNormal">
    <w:name w:val="IPP Normal"/>
    <w:basedOn w:val="Normal"/>
    <w:link w:val="IPPNormalChar"/>
    <w:qFormat/>
    <w:rsid w:val="00D23D82"/>
    <w:pPr>
      <w:spacing w:after="180"/>
    </w:pPr>
    <w:rPr>
      <w:rFonts w:eastAsia="Times"/>
    </w:rPr>
  </w:style>
  <w:style w:type="paragraph" w:customStyle="1" w:styleId="IPPIndentClose">
    <w:name w:val="IPP Indent Close"/>
    <w:basedOn w:val="IPPNormal"/>
    <w:qFormat/>
    <w:rsid w:val="00D23D82"/>
    <w:pPr>
      <w:tabs>
        <w:tab w:val="left" w:pos="2835"/>
      </w:tabs>
      <w:spacing w:after="60"/>
      <w:ind w:left="567"/>
    </w:pPr>
  </w:style>
  <w:style w:type="paragraph" w:customStyle="1" w:styleId="IPPIndent">
    <w:name w:val="IPP Indent"/>
    <w:basedOn w:val="IPPIndentClose"/>
    <w:qFormat/>
    <w:rsid w:val="00D23D82"/>
    <w:pPr>
      <w:spacing w:after="180"/>
    </w:pPr>
  </w:style>
  <w:style w:type="paragraph" w:customStyle="1" w:styleId="IPPFootnote">
    <w:name w:val="IPP Footnote"/>
    <w:basedOn w:val="IPPArialFootnote"/>
    <w:qFormat/>
    <w:rsid w:val="00D23D82"/>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D23D82"/>
    <w:pPr>
      <w:keepNext/>
      <w:tabs>
        <w:tab w:val="left" w:pos="567"/>
      </w:tabs>
      <w:spacing w:before="120" w:after="120"/>
      <w:ind w:left="567" w:hanging="567"/>
    </w:pPr>
    <w:rPr>
      <w:b/>
      <w:i/>
    </w:rPr>
  </w:style>
  <w:style w:type="character" w:customStyle="1" w:styleId="IPPnormalitalics">
    <w:name w:val="IPP normal italics"/>
    <w:basedOn w:val="DefaultParagraphFont"/>
    <w:rsid w:val="00D23D82"/>
    <w:rPr>
      <w:rFonts w:ascii="Times New Roman" w:hAnsi="Times New Roman"/>
      <w:i/>
      <w:sz w:val="22"/>
      <w:lang w:val="en-US"/>
    </w:rPr>
  </w:style>
  <w:style w:type="character" w:customStyle="1" w:styleId="IPPNormalbold">
    <w:name w:val="IPP Normal bold"/>
    <w:basedOn w:val="PlainTextChar"/>
    <w:rsid w:val="00D23D82"/>
    <w:rPr>
      <w:rFonts w:ascii="Times New Roman" w:eastAsia="Times" w:hAnsi="Times New Roman" w:cs="Times New Roman"/>
      <w:b/>
      <w:kern w:val="0"/>
      <w:sz w:val="22"/>
      <w:szCs w:val="21"/>
      <w:lang w:val="en-AU"/>
      <w14:ligatures w14:val="none"/>
    </w:rPr>
  </w:style>
  <w:style w:type="paragraph" w:customStyle="1" w:styleId="IPPHeadSection">
    <w:name w:val="IPP HeadSection"/>
    <w:basedOn w:val="Normal"/>
    <w:next w:val="Normal"/>
    <w:qFormat/>
    <w:rsid w:val="00D23D82"/>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D23D82"/>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D23D82"/>
    <w:pPr>
      <w:keepNext/>
      <w:ind w:left="567" w:hanging="567"/>
      <w:jc w:val="left"/>
    </w:pPr>
    <w:rPr>
      <w:b/>
      <w:bCs/>
      <w:iCs/>
      <w:szCs w:val="22"/>
    </w:rPr>
  </w:style>
  <w:style w:type="character" w:customStyle="1" w:styleId="IPPNormalunderlined">
    <w:name w:val="IPP Normal underlined"/>
    <w:basedOn w:val="DefaultParagraphFont"/>
    <w:rsid w:val="00D23D82"/>
    <w:rPr>
      <w:rFonts w:ascii="Times New Roman" w:hAnsi="Times New Roman"/>
      <w:sz w:val="22"/>
      <w:u w:val="single"/>
      <w:lang w:val="en-US"/>
    </w:rPr>
  </w:style>
  <w:style w:type="paragraph" w:customStyle="1" w:styleId="IPPBullet1">
    <w:name w:val="IPP Bullet1"/>
    <w:basedOn w:val="IPPBullet1Last"/>
    <w:qFormat/>
    <w:rsid w:val="00D23D82"/>
    <w:pPr>
      <w:numPr>
        <w:numId w:val="26"/>
      </w:numPr>
      <w:spacing w:after="60"/>
      <w:ind w:left="567" w:hanging="567"/>
    </w:pPr>
    <w:rPr>
      <w:lang w:val="en-US"/>
    </w:rPr>
  </w:style>
  <w:style w:type="paragraph" w:customStyle="1" w:styleId="IPPBullet1Last">
    <w:name w:val="IPP Bullet1Last"/>
    <w:basedOn w:val="IPPNormal"/>
    <w:next w:val="IPPNormal"/>
    <w:autoRedefine/>
    <w:qFormat/>
    <w:rsid w:val="00D23D82"/>
    <w:pPr>
      <w:numPr>
        <w:numId w:val="14"/>
      </w:numPr>
    </w:pPr>
  </w:style>
  <w:style w:type="character" w:customStyle="1" w:styleId="IPPNormalstrikethrough">
    <w:name w:val="IPP Normal strikethrough"/>
    <w:rsid w:val="00D23D82"/>
    <w:rPr>
      <w:rFonts w:ascii="Times New Roman" w:hAnsi="Times New Roman"/>
      <w:strike/>
      <w:dstrike w:val="0"/>
      <w:sz w:val="22"/>
    </w:rPr>
  </w:style>
  <w:style w:type="paragraph" w:customStyle="1" w:styleId="IPPTitle16pt">
    <w:name w:val="IPP Title16pt"/>
    <w:basedOn w:val="Normal"/>
    <w:qFormat/>
    <w:rsid w:val="00D23D82"/>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D23D82"/>
    <w:pPr>
      <w:spacing w:after="360"/>
      <w:jc w:val="center"/>
    </w:pPr>
    <w:rPr>
      <w:rFonts w:ascii="Arial" w:hAnsi="Arial" w:cs="Arial"/>
      <w:b/>
      <w:bCs/>
      <w:sz w:val="36"/>
      <w:szCs w:val="36"/>
    </w:rPr>
  </w:style>
  <w:style w:type="paragraph" w:customStyle="1" w:styleId="IPPHeader">
    <w:name w:val="IPP Header"/>
    <w:basedOn w:val="Normal"/>
    <w:qFormat/>
    <w:rsid w:val="00D23D82"/>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D23D82"/>
    <w:pPr>
      <w:keepNext/>
      <w:tabs>
        <w:tab w:val="left" w:pos="567"/>
      </w:tabs>
      <w:spacing w:before="120"/>
      <w:jc w:val="left"/>
      <w:outlineLvl w:val="1"/>
    </w:pPr>
    <w:rPr>
      <w:b/>
      <w:sz w:val="24"/>
    </w:rPr>
  </w:style>
  <w:style w:type="numbering" w:customStyle="1" w:styleId="IPPParagraphnumberedlist">
    <w:name w:val="IPP Paragraph numbered list"/>
    <w:rsid w:val="00D23D82"/>
    <w:pPr>
      <w:numPr>
        <w:numId w:val="12"/>
      </w:numPr>
    </w:pPr>
  </w:style>
  <w:style w:type="paragraph" w:customStyle="1" w:styleId="IPPNormalCloseSpace">
    <w:name w:val="IPP NormalCloseSpace"/>
    <w:basedOn w:val="Normal"/>
    <w:qFormat/>
    <w:rsid w:val="00D23D82"/>
    <w:pPr>
      <w:keepNext/>
      <w:spacing w:after="60"/>
    </w:pPr>
  </w:style>
  <w:style w:type="paragraph" w:customStyle="1" w:styleId="IPPHeading2">
    <w:name w:val="IPP Heading2"/>
    <w:basedOn w:val="IPPNormal"/>
    <w:next w:val="IPPNormal"/>
    <w:qFormat/>
    <w:rsid w:val="00D23D82"/>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D23D82"/>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D23D82"/>
    <w:pPr>
      <w:tabs>
        <w:tab w:val="right" w:leader="dot" w:pos="9072"/>
      </w:tabs>
      <w:spacing w:before="240"/>
      <w:ind w:left="567" w:hanging="567"/>
    </w:pPr>
  </w:style>
  <w:style w:type="paragraph" w:styleId="TOC2">
    <w:name w:val="toc 2"/>
    <w:basedOn w:val="TOC1"/>
    <w:next w:val="Normal"/>
    <w:autoRedefine/>
    <w:uiPriority w:val="39"/>
    <w:rsid w:val="00D23D82"/>
    <w:pPr>
      <w:keepNext w:val="0"/>
      <w:tabs>
        <w:tab w:val="left" w:pos="425"/>
      </w:tabs>
      <w:spacing w:before="120" w:after="0"/>
      <w:ind w:left="425" w:right="284" w:hanging="425"/>
    </w:pPr>
  </w:style>
  <w:style w:type="paragraph" w:styleId="TOC3">
    <w:name w:val="toc 3"/>
    <w:basedOn w:val="TOC2"/>
    <w:next w:val="Normal"/>
    <w:autoRedefine/>
    <w:uiPriority w:val="39"/>
    <w:rsid w:val="00D23D82"/>
    <w:pPr>
      <w:tabs>
        <w:tab w:val="left" w:pos="1276"/>
      </w:tabs>
      <w:spacing w:before="60"/>
      <w:ind w:left="1276" w:hanging="851"/>
    </w:pPr>
    <w:rPr>
      <w:rFonts w:eastAsia="Times"/>
    </w:rPr>
  </w:style>
  <w:style w:type="paragraph" w:styleId="TOC4">
    <w:name w:val="toc 4"/>
    <w:basedOn w:val="Normal"/>
    <w:next w:val="Normal"/>
    <w:autoRedefine/>
    <w:uiPriority w:val="39"/>
    <w:rsid w:val="00D23D82"/>
    <w:pPr>
      <w:spacing w:after="120"/>
      <w:ind w:left="660"/>
    </w:pPr>
    <w:rPr>
      <w:rFonts w:eastAsia="Times"/>
      <w:lang w:val="en-AU"/>
    </w:rPr>
  </w:style>
  <w:style w:type="paragraph" w:styleId="TOC5">
    <w:name w:val="toc 5"/>
    <w:basedOn w:val="Normal"/>
    <w:next w:val="Normal"/>
    <w:autoRedefine/>
    <w:uiPriority w:val="39"/>
    <w:rsid w:val="00D23D82"/>
    <w:pPr>
      <w:spacing w:after="120"/>
      <w:ind w:left="880"/>
    </w:pPr>
    <w:rPr>
      <w:rFonts w:eastAsia="Times"/>
      <w:lang w:val="en-AU"/>
    </w:rPr>
  </w:style>
  <w:style w:type="paragraph" w:styleId="TOC6">
    <w:name w:val="toc 6"/>
    <w:basedOn w:val="Normal"/>
    <w:next w:val="Normal"/>
    <w:autoRedefine/>
    <w:uiPriority w:val="39"/>
    <w:rsid w:val="00D23D82"/>
    <w:pPr>
      <w:spacing w:after="120"/>
      <w:ind w:left="1100"/>
    </w:pPr>
    <w:rPr>
      <w:rFonts w:eastAsia="Times"/>
      <w:lang w:val="en-AU"/>
    </w:rPr>
  </w:style>
  <w:style w:type="paragraph" w:styleId="TOC7">
    <w:name w:val="toc 7"/>
    <w:basedOn w:val="Normal"/>
    <w:next w:val="Normal"/>
    <w:autoRedefine/>
    <w:uiPriority w:val="39"/>
    <w:rsid w:val="00D23D82"/>
    <w:pPr>
      <w:spacing w:after="120"/>
      <w:ind w:left="1320"/>
    </w:pPr>
    <w:rPr>
      <w:rFonts w:eastAsia="Times"/>
      <w:lang w:val="en-AU"/>
    </w:rPr>
  </w:style>
  <w:style w:type="paragraph" w:styleId="TOC8">
    <w:name w:val="toc 8"/>
    <w:basedOn w:val="Normal"/>
    <w:next w:val="Normal"/>
    <w:autoRedefine/>
    <w:uiPriority w:val="39"/>
    <w:rsid w:val="00D23D82"/>
    <w:pPr>
      <w:spacing w:after="120"/>
      <w:ind w:left="1540"/>
    </w:pPr>
    <w:rPr>
      <w:rFonts w:eastAsia="Times"/>
      <w:lang w:val="en-AU"/>
    </w:rPr>
  </w:style>
  <w:style w:type="paragraph" w:styleId="TOC9">
    <w:name w:val="toc 9"/>
    <w:basedOn w:val="Normal"/>
    <w:next w:val="Normal"/>
    <w:autoRedefine/>
    <w:uiPriority w:val="39"/>
    <w:rsid w:val="00D23D82"/>
    <w:pPr>
      <w:spacing w:after="120"/>
      <w:ind w:left="1760"/>
    </w:pPr>
    <w:rPr>
      <w:rFonts w:eastAsia="Times"/>
      <w:lang w:val="en-AU"/>
    </w:rPr>
  </w:style>
  <w:style w:type="paragraph" w:customStyle="1" w:styleId="IPPReferences">
    <w:name w:val="IPP References"/>
    <w:basedOn w:val="IPPNormal"/>
    <w:qFormat/>
    <w:rsid w:val="00D23D82"/>
    <w:pPr>
      <w:spacing w:after="60"/>
      <w:ind w:left="567" w:hanging="567"/>
    </w:pPr>
  </w:style>
  <w:style w:type="paragraph" w:customStyle="1" w:styleId="IPPArial">
    <w:name w:val="IPP Arial"/>
    <w:basedOn w:val="IPPNormal"/>
    <w:qFormat/>
    <w:rsid w:val="00D23D82"/>
    <w:pPr>
      <w:spacing w:after="0"/>
    </w:pPr>
    <w:rPr>
      <w:rFonts w:ascii="Arial" w:hAnsi="Arial"/>
      <w:sz w:val="18"/>
    </w:rPr>
  </w:style>
  <w:style w:type="paragraph" w:customStyle="1" w:styleId="IPPArialTable">
    <w:name w:val="IPP Arial Table"/>
    <w:basedOn w:val="IPPArial"/>
    <w:qFormat/>
    <w:rsid w:val="00D23D82"/>
    <w:pPr>
      <w:spacing w:before="60" w:after="60"/>
      <w:jc w:val="left"/>
    </w:pPr>
  </w:style>
  <w:style w:type="paragraph" w:customStyle="1" w:styleId="IPPHeaderlandscape">
    <w:name w:val="IPP Header landscape"/>
    <w:basedOn w:val="IPPHeader"/>
    <w:qFormat/>
    <w:rsid w:val="00D23D82"/>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D23D82"/>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D23D82"/>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D23D82"/>
    <w:pPr>
      <w:tabs>
        <w:tab w:val="num" w:pos="1134"/>
      </w:tabs>
      <w:jc w:val="left"/>
    </w:pPr>
  </w:style>
  <w:style w:type="paragraph" w:customStyle="1" w:styleId="IPPLetterListIndent">
    <w:name w:val="IPP LetterList Indent"/>
    <w:basedOn w:val="IPPLetterList"/>
    <w:qFormat/>
    <w:rsid w:val="00D23D82"/>
    <w:pPr>
      <w:numPr>
        <w:numId w:val="10"/>
      </w:numPr>
    </w:pPr>
  </w:style>
  <w:style w:type="paragraph" w:customStyle="1" w:styleId="IPPFooterLandscape">
    <w:name w:val="IPP Footer Landscape"/>
    <w:basedOn w:val="IPPHeaderlandscape"/>
    <w:qFormat/>
    <w:rsid w:val="00D23D82"/>
    <w:pPr>
      <w:pBdr>
        <w:top w:val="single" w:sz="4" w:space="1" w:color="auto"/>
        <w:bottom w:val="none" w:sz="0" w:space="0" w:color="auto"/>
      </w:pBdr>
      <w:jc w:val="right"/>
    </w:pPr>
    <w:rPr>
      <w:b/>
    </w:rPr>
  </w:style>
  <w:style w:type="paragraph" w:customStyle="1" w:styleId="IPPSubheadSpace">
    <w:name w:val="IPP Subhead Space"/>
    <w:basedOn w:val="IPPSubhead"/>
    <w:qFormat/>
    <w:rsid w:val="00D23D82"/>
    <w:pPr>
      <w:tabs>
        <w:tab w:val="left" w:pos="567"/>
      </w:tabs>
      <w:spacing w:before="60" w:after="60"/>
    </w:pPr>
  </w:style>
  <w:style w:type="paragraph" w:customStyle="1" w:styleId="IPPSubheadSpaceAfter">
    <w:name w:val="IPP Subhead SpaceAfter"/>
    <w:basedOn w:val="IPPSubhead"/>
    <w:qFormat/>
    <w:rsid w:val="00D23D82"/>
    <w:pPr>
      <w:spacing w:after="60"/>
    </w:pPr>
  </w:style>
  <w:style w:type="paragraph" w:customStyle="1" w:styleId="IPPHdg1Num">
    <w:name w:val="IPP Hdg1Num"/>
    <w:basedOn w:val="IPPHeading1"/>
    <w:next w:val="IPPNormal"/>
    <w:qFormat/>
    <w:rsid w:val="00D23D82"/>
    <w:pPr>
      <w:numPr>
        <w:numId w:val="15"/>
      </w:numPr>
    </w:pPr>
  </w:style>
  <w:style w:type="paragraph" w:customStyle="1" w:styleId="IPPHdg2Num">
    <w:name w:val="IPP Hdg2Num"/>
    <w:basedOn w:val="IPPHeading2"/>
    <w:next w:val="IPPNormal"/>
    <w:qFormat/>
    <w:rsid w:val="00D23D82"/>
    <w:pPr>
      <w:numPr>
        <w:ilvl w:val="1"/>
        <w:numId w:val="16"/>
      </w:numPr>
    </w:pPr>
  </w:style>
  <w:style w:type="paragraph" w:customStyle="1" w:styleId="IPPNumberedList">
    <w:name w:val="IPP NumberedList"/>
    <w:basedOn w:val="IPPBullet1"/>
    <w:qFormat/>
    <w:rsid w:val="00D23D82"/>
    <w:pPr>
      <w:numPr>
        <w:numId w:val="24"/>
      </w:numPr>
    </w:pPr>
  </w:style>
  <w:style w:type="character" w:styleId="Strong">
    <w:name w:val="Strong"/>
    <w:basedOn w:val="DefaultParagraphFont"/>
    <w:qFormat/>
    <w:rsid w:val="00D23D82"/>
    <w:rPr>
      <w:b/>
      <w:bCs/>
    </w:rPr>
  </w:style>
  <w:style w:type="paragraph" w:customStyle="1" w:styleId="IPPParagraphnumbering">
    <w:name w:val="IPP Paragraph numbering"/>
    <w:basedOn w:val="IPPNormal"/>
    <w:qFormat/>
    <w:rsid w:val="00D23D82"/>
    <w:pPr>
      <w:numPr>
        <w:numId w:val="11"/>
      </w:numPr>
    </w:pPr>
    <w:rPr>
      <w:lang w:val="en-US"/>
    </w:rPr>
  </w:style>
  <w:style w:type="paragraph" w:customStyle="1" w:styleId="IPPParagraphnumberingclose">
    <w:name w:val="IPP Paragraph numbering close"/>
    <w:basedOn w:val="IPPParagraphnumbering"/>
    <w:qFormat/>
    <w:rsid w:val="00D23D82"/>
    <w:pPr>
      <w:keepNext/>
      <w:spacing w:after="60"/>
    </w:pPr>
  </w:style>
  <w:style w:type="paragraph" w:customStyle="1" w:styleId="IPPNumberedListLast">
    <w:name w:val="IPP NumberedListLast"/>
    <w:basedOn w:val="IPPNumberedList"/>
    <w:qFormat/>
    <w:rsid w:val="00D23D82"/>
    <w:pPr>
      <w:spacing w:after="180"/>
    </w:pPr>
  </w:style>
  <w:style w:type="character" w:customStyle="1" w:styleId="IPPNormalChar">
    <w:name w:val="IPP Normal Char"/>
    <w:link w:val="IPPNormal"/>
    <w:rsid w:val="00D23D82"/>
    <w:rPr>
      <w:rFonts w:ascii="Times New Roman" w:eastAsia="Times" w:hAnsi="Times New Roman" w:cs="Times New Roman"/>
      <w:kern w:val="0"/>
      <w:szCs w:val="24"/>
      <w14:ligatures w14:val="none"/>
    </w:rPr>
  </w:style>
  <w:style w:type="paragraph" w:styleId="NoSpacing">
    <w:name w:val="No Spacing"/>
    <w:uiPriority w:val="1"/>
    <w:qFormat/>
    <w:rsid w:val="00D23D82"/>
    <w:pPr>
      <w:spacing w:after="0" w:line="240" w:lineRule="auto"/>
    </w:pPr>
    <w:rPr>
      <w:kern w:val="0"/>
      <w:lang w:val="ru-RU"/>
      <w14:ligatures w14:val="none"/>
    </w:rPr>
  </w:style>
  <w:style w:type="paragraph" w:styleId="Revision">
    <w:name w:val="Revision"/>
    <w:hidden/>
    <w:uiPriority w:val="99"/>
    <w:semiHidden/>
    <w:rsid w:val="00D23D82"/>
    <w:pPr>
      <w:spacing w:after="0" w:line="240" w:lineRule="auto"/>
    </w:pPr>
    <w:rPr>
      <w:rFonts w:ascii="Times New Roman" w:eastAsia="MS Mincho"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assets.ippc.int%2Fstatic%2Fmedia%2Ffiles%2Fpublication%2Fen%2F2024%2F10%2F06_SPG_2024_Oct_ISPMs_and_Guidance_UK_paper_2024-10-10.docx&amp;wdOrigin=BROWSELIN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Downloads\Template_MeetingDocuments_2025-01-14%20(1)%20-%20Cop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Props1.xml><?xml version="1.0" encoding="utf-8"?>
<ds:datastoreItem xmlns:ds="http://schemas.openxmlformats.org/officeDocument/2006/customXml" ds:itemID="{499BF2B3-4296-446B-9131-C9C37397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BB45B-F855-41D5-956D-5A20E9AE5298}">
  <ds:schemaRefs>
    <ds:schemaRef ds:uri="http://schemas.microsoft.com/sharepoint/v3/contenttype/forms"/>
  </ds:schemaRefs>
</ds:datastoreItem>
</file>

<file path=customXml/itemProps3.xml><?xml version="1.0" encoding="utf-8"?>
<ds:datastoreItem xmlns:ds="http://schemas.openxmlformats.org/officeDocument/2006/customXml" ds:itemID="{B4EE4289-B982-4B13-9330-B90BF9F19CCB}">
  <ds:schemaRefs>
    <ds:schemaRef ds:uri="http://schemas.openxmlformats.org/officeDocument/2006/bibliography"/>
  </ds:schemaRefs>
</ds:datastoreItem>
</file>

<file path=customXml/itemProps4.xml><?xml version="1.0" encoding="utf-8"?>
<ds:datastoreItem xmlns:ds="http://schemas.openxmlformats.org/officeDocument/2006/customXml" ds:itemID="{F56BD7A7-6C29-49A9-AB9A-4D72DC5DAF69}">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a05d7f75-f42e-4288-8809-604fd4d9691f"/>
    <ds:schemaRef ds:uri="http://purl.org/dc/dcmitype/"/>
    <ds:schemaRef ds:uri="http://purl.org/dc/terms/"/>
    <ds:schemaRef ds:uri="ea6feb38-a85a-45e8-92e9-814486bbe37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Template_MeetingDocuments_2025-01-14 (1) - Copy</Template>
  <TotalTime>22</TotalTime>
  <Pages>3</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Sam</dc:creator>
  <cp:keywords/>
  <dc:description/>
  <cp:lastModifiedBy>Cassin, Aoife (NSPD)</cp:lastModifiedBy>
  <cp:revision>12</cp:revision>
  <dcterms:created xsi:type="dcterms:W3CDTF">2025-09-25T15:29:00Z</dcterms:created>
  <dcterms:modified xsi:type="dcterms:W3CDTF">2025-10-06T07:50:00Z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