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A185" w14:textId="77777777" w:rsidR="00F5265C" w:rsidRPr="0010621C" w:rsidRDefault="00F5265C" w:rsidP="00F5265C">
      <w:pPr>
        <w:pStyle w:val="IPPHeadSection"/>
        <w:jc w:val="center"/>
        <w:rPr>
          <w:smallCaps/>
        </w:rPr>
      </w:pPr>
      <w:bookmarkStart w:id="0" w:name="_Hlk210634284"/>
      <w:r w:rsidRPr="0010621C">
        <w:t>Commission on Phytosanitary Measures</w:t>
      </w:r>
    </w:p>
    <w:p w14:paraId="32963845" w14:textId="77777777" w:rsidR="00F5265C" w:rsidRDefault="00F5265C" w:rsidP="00F5265C">
      <w:pPr>
        <w:keepNext/>
        <w:tabs>
          <w:tab w:val="left" w:pos="851"/>
        </w:tabs>
        <w:spacing w:before="240" w:after="120"/>
        <w:ind w:left="850" w:hanging="850"/>
        <w:jc w:val="center"/>
        <w:outlineLvl w:val="0"/>
        <w:rPr>
          <w:rFonts w:eastAsia="Times"/>
          <w:b/>
          <w:sz w:val="24"/>
          <w:lang w:val="en-US"/>
        </w:rPr>
      </w:pPr>
      <w:r w:rsidRPr="007F3810">
        <w:rPr>
          <w:rFonts w:eastAsia="Times"/>
          <w:b/>
          <w:sz w:val="24"/>
          <w:lang w:val="en-US"/>
        </w:rPr>
        <w:t>STRATEGIC PLANNING GROUP</w:t>
      </w:r>
    </w:p>
    <w:bookmarkEnd w:id="0"/>
    <w:p w14:paraId="414AC285" w14:textId="51600146" w:rsidR="00F5265C" w:rsidRPr="00F5265C" w:rsidRDefault="00CD3AF0" w:rsidP="00F5265C">
      <w:pPr>
        <w:pStyle w:val="IPPHeadSection"/>
        <w:jc w:val="center"/>
      </w:pPr>
      <w:r w:rsidRPr="00F5265C">
        <w:t>Discussion Paper</w:t>
      </w:r>
    </w:p>
    <w:p w14:paraId="43482111" w14:textId="6C1531E5" w:rsidR="00A355A2" w:rsidRDefault="00A355A2" w:rsidP="00F5265C">
      <w:pPr>
        <w:pStyle w:val="IPPHeadSection"/>
        <w:jc w:val="center"/>
      </w:pPr>
      <w:r w:rsidRPr="00F5265C">
        <w:t>Reduction and Replacement of Methyl Bromide as Phytosanitary treatment in Pakistan</w:t>
      </w:r>
    </w:p>
    <w:p w14:paraId="6FA79512" w14:textId="6035497B" w:rsidR="00F5265C" w:rsidRPr="00F5265C" w:rsidRDefault="00F5265C" w:rsidP="00F5265C">
      <w:pPr>
        <w:spacing w:after="240"/>
        <w:jc w:val="center"/>
        <w:rPr>
          <w:i/>
          <w:iCs/>
        </w:rPr>
      </w:pPr>
      <w:r w:rsidRPr="00F5265C">
        <w:rPr>
          <w:i/>
          <w:iCs/>
        </w:rPr>
        <w:t>(Submitted by: Pakistan)</w:t>
      </w:r>
    </w:p>
    <w:p w14:paraId="412968EF" w14:textId="77777777" w:rsidR="00FA1A90" w:rsidRPr="001658BA" w:rsidRDefault="00CD3AF0" w:rsidP="00F5265C">
      <w:pPr>
        <w:pStyle w:val="IPPParagraphnumbering"/>
      </w:pPr>
      <w:r w:rsidRPr="001658BA">
        <w:t>Pakistan’s agricultural exports, particularly rice,</w:t>
      </w:r>
      <w:r w:rsidR="00453789" w:rsidRPr="001658BA">
        <w:t xml:space="preserve"> maize, sesame seeds,</w:t>
      </w:r>
      <w:r w:rsidRPr="001658BA">
        <w:t xml:space="preserve"> citrus fruits, mangoes, vegetables, hold immense potential in global markets. However, the country's ability to fully capitalize on this potential is hindered by challenges in meeting international Sanitary and Phytosanitary (SPS) standards, which restrict access to key export destinations such as China, the European Union (EU), Australia and the United States. To overcome these barriers, Pakistan must align its SPS measures with international standards, ensuring compliance with IPPC and WTO-SPS regulations. Strengthening the Plant Protection Departments at federal and provincial levels, enhancing pest risk analysis,</w:t>
      </w:r>
      <w:r w:rsidR="00453789" w:rsidRPr="001658BA">
        <w:t xml:space="preserve"> phytosanitary measures,</w:t>
      </w:r>
      <w:r w:rsidRPr="001658BA">
        <w:t xml:space="preserve"> improving traceability systems, and building the capacity of stakeholders on SPS requirements will be critical in reducing trade rejections, expanding market access, and fostering sustainable economic growth.</w:t>
      </w:r>
    </w:p>
    <w:p w14:paraId="6CAB77E8" w14:textId="77777777" w:rsidR="00FA1A90" w:rsidRPr="00FA1A90" w:rsidRDefault="00FA1A90" w:rsidP="00F5265C">
      <w:pPr>
        <w:pStyle w:val="IPPHeading1"/>
      </w:pPr>
      <w:r w:rsidRPr="00FA1A90">
        <w:t>The Montreal Protocol</w:t>
      </w:r>
    </w:p>
    <w:p w14:paraId="0923EC61" w14:textId="77777777" w:rsidR="003F63F4" w:rsidRPr="001658BA" w:rsidRDefault="00FA1A90" w:rsidP="00F5265C">
      <w:pPr>
        <w:pStyle w:val="IPPParagraphnumbering"/>
      </w:pPr>
      <w:r w:rsidRPr="00FA1A90">
        <w:t>The Montreal Protocol on Substances that Deplete the Ozone Layer is the landmark multilateral environmental agreement that regulates the production and consumption of ozone depleting substances (ODS).</w:t>
      </w:r>
      <w:r w:rsidR="007D1C91" w:rsidRPr="001658BA">
        <w:t xml:space="preserve"> Methyl bromide (MB) was phased out under the Montreal Protocol by 2005 for non-Article 5 (developed) countries and by 2015 for Article 5 (developing) countries, with ongoing exemptions for Quarantine and Pre-Shipment (QPS) uses, which now represent the largest remaining consumption of the substance. </w:t>
      </w:r>
    </w:p>
    <w:p w14:paraId="42300AB2" w14:textId="7977E268" w:rsidR="00CD3AF0" w:rsidRPr="001658BA" w:rsidRDefault="00FA1A90" w:rsidP="00F5265C">
      <w:pPr>
        <w:pStyle w:val="IPPHeading1"/>
      </w:pPr>
      <w:r w:rsidRPr="001658BA">
        <w:t xml:space="preserve">Methyl Bromide as a </w:t>
      </w:r>
      <w:r w:rsidR="00A355A2" w:rsidRPr="001658BA">
        <w:t>Phytosanitary</w:t>
      </w:r>
      <w:r w:rsidRPr="001658BA">
        <w:t xml:space="preserve"> treatment</w:t>
      </w:r>
    </w:p>
    <w:p w14:paraId="4817371D" w14:textId="77777777" w:rsidR="003F63F4" w:rsidRPr="001658BA" w:rsidRDefault="003F63F4" w:rsidP="00F5265C">
      <w:pPr>
        <w:pStyle w:val="IPPParagraphnumbering"/>
      </w:pPr>
      <w:r w:rsidRPr="001658BA">
        <w:t xml:space="preserve">In Pakistan </w:t>
      </w:r>
      <w:r w:rsidR="00E140B5" w:rsidRPr="001658BA">
        <w:t xml:space="preserve">Methyl bromide has been widely used as a </w:t>
      </w:r>
      <w:r w:rsidRPr="001658BA">
        <w:t xml:space="preserve">store grain </w:t>
      </w:r>
      <w:r w:rsidR="00E140B5" w:rsidRPr="001658BA">
        <w:t>pest control treatment for many decades. Most uses of methyl bromide as a phytosanitary measure are for the treatment of durable commodities, such as grains, cereals and dried foodstuffs, wood packaging materials, wood and logs</w:t>
      </w:r>
      <w:r w:rsidRPr="001658BA">
        <w:t>.</w:t>
      </w:r>
    </w:p>
    <w:p w14:paraId="3DAA3551" w14:textId="77777777" w:rsidR="00E140B5" w:rsidRPr="001658BA" w:rsidRDefault="003F63F4" w:rsidP="00F5265C">
      <w:pPr>
        <w:pStyle w:val="IPPHeading1"/>
      </w:pPr>
      <w:r w:rsidRPr="001658BA">
        <w:t xml:space="preserve">Pakistan’s Efforts for </w:t>
      </w:r>
      <w:r w:rsidR="00E140B5" w:rsidRPr="001658BA">
        <w:t>Replacement of Methyl Bromide Use as a Phytosanitary Measure</w:t>
      </w:r>
    </w:p>
    <w:p w14:paraId="45CC3FD7" w14:textId="77777777" w:rsidR="00A355A2" w:rsidRPr="001658BA" w:rsidRDefault="00A355A2" w:rsidP="00F5265C">
      <w:pPr>
        <w:pStyle w:val="IPPParagraphnumberingclose"/>
      </w:pPr>
      <w:r w:rsidRPr="001658BA">
        <w:t>Department of Plant Protection which is NPPO of Pakistan has taken the following steps to reduce the use of MB as a phytosanitary treatment:</w:t>
      </w:r>
    </w:p>
    <w:p w14:paraId="47B9E5A9" w14:textId="77777777" w:rsidR="003F63F4" w:rsidRPr="00F5265C" w:rsidRDefault="00675851" w:rsidP="00E71E20">
      <w:pPr>
        <w:pStyle w:val="ListParagraph"/>
        <w:numPr>
          <w:ilvl w:val="0"/>
          <w:numId w:val="4"/>
        </w:numPr>
        <w:spacing w:line="276" w:lineRule="auto"/>
        <w:ind w:left="1240"/>
        <w:rPr>
          <w:rFonts w:ascii="Times New Roman" w:hAnsi="Times New Roman"/>
          <w:sz w:val="22"/>
          <w:szCs w:val="22"/>
        </w:rPr>
      </w:pPr>
      <w:r w:rsidRPr="00F5265C">
        <w:rPr>
          <w:rFonts w:ascii="Times New Roman" w:hAnsi="Times New Roman"/>
          <w:sz w:val="22"/>
          <w:szCs w:val="22"/>
        </w:rPr>
        <w:t>Amendment in legislation</w:t>
      </w:r>
    </w:p>
    <w:p w14:paraId="41AC53F8" w14:textId="77777777" w:rsidR="00675851" w:rsidRPr="00F5265C" w:rsidRDefault="00675851" w:rsidP="00E71E20">
      <w:pPr>
        <w:pStyle w:val="ListParagraph"/>
        <w:numPr>
          <w:ilvl w:val="0"/>
          <w:numId w:val="4"/>
        </w:numPr>
        <w:spacing w:line="276" w:lineRule="auto"/>
        <w:ind w:left="1240"/>
        <w:rPr>
          <w:rFonts w:ascii="Times New Roman" w:hAnsi="Times New Roman"/>
          <w:sz w:val="22"/>
          <w:szCs w:val="22"/>
        </w:rPr>
      </w:pPr>
      <w:r w:rsidRPr="00F5265C">
        <w:rPr>
          <w:rFonts w:ascii="Times New Roman" w:hAnsi="Times New Roman"/>
          <w:sz w:val="22"/>
          <w:szCs w:val="22"/>
        </w:rPr>
        <w:t>Revised Import Conditions of Plant and Plant Material.</w:t>
      </w:r>
    </w:p>
    <w:p w14:paraId="0B1E2731" w14:textId="77777777" w:rsidR="00675851" w:rsidRPr="00F5265C" w:rsidRDefault="00675851" w:rsidP="00E71E20">
      <w:pPr>
        <w:pStyle w:val="ListParagraph"/>
        <w:numPr>
          <w:ilvl w:val="0"/>
          <w:numId w:val="4"/>
        </w:numPr>
        <w:spacing w:line="276" w:lineRule="auto"/>
        <w:ind w:left="1240"/>
        <w:rPr>
          <w:rFonts w:ascii="Times New Roman" w:hAnsi="Times New Roman"/>
          <w:sz w:val="22"/>
          <w:szCs w:val="22"/>
        </w:rPr>
      </w:pPr>
      <w:r w:rsidRPr="00F5265C">
        <w:rPr>
          <w:rFonts w:ascii="Times New Roman" w:hAnsi="Times New Roman"/>
          <w:sz w:val="22"/>
          <w:szCs w:val="22"/>
        </w:rPr>
        <w:t>Guidelines on use of MB and Trainning of accredited fumigation companies</w:t>
      </w:r>
    </w:p>
    <w:p w14:paraId="1ED22AF7" w14:textId="77777777" w:rsidR="00675851" w:rsidRPr="00F5265C" w:rsidRDefault="00675851" w:rsidP="00E71E20">
      <w:pPr>
        <w:pStyle w:val="ListParagraph"/>
        <w:numPr>
          <w:ilvl w:val="0"/>
          <w:numId w:val="4"/>
        </w:numPr>
        <w:spacing w:line="276" w:lineRule="auto"/>
        <w:ind w:left="1240"/>
        <w:rPr>
          <w:rFonts w:ascii="Times New Roman" w:hAnsi="Times New Roman"/>
          <w:sz w:val="22"/>
          <w:szCs w:val="22"/>
        </w:rPr>
      </w:pPr>
      <w:r w:rsidRPr="00F5265C">
        <w:rPr>
          <w:rFonts w:ascii="Times New Roman" w:hAnsi="Times New Roman"/>
          <w:sz w:val="22"/>
          <w:szCs w:val="22"/>
        </w:rPr>
        <w:t xml:space="preserve">Ban on mandatory </w:t>
      </w:r>
      <w:r w:rsidR="00453789" w:rsidRPr="00F5265C">
        <w:rPr>
          <w:rFonts w:ascii="Times New Roman" w:hAnsi="Times New Roman"/>
          <w:sz w:val="22"/>
          <w:szCs w:val="22"/>
        </w:rPr>
        <w:t>phytosanitary</w:t>
      </w:r>
      <w:r w:rsidRPr="00F5265C">
        <w:rPr>
          <w:rFonts w:ascii="Times New Roman" w:hAnsi="Times New Roman"/>
          <w:sz w:val="22"/>
          <w:szCs w:val="22"/>
        </w:rPr>
        <w:t xml:space="preserve"> Treatment with MB</w:t>
      </w:r>
    </w:p>
    <w:p w14:paraId="7FC706FD" w14:textId="77777777" w:rsidR="00E140B5" w:rsidRPr="00F5265C" w:rsidRDefault="00675851" w:rsidP="00E71E20">
      <w:pPr>
        <w:pStyle w:val="ListParagraph"/>
        <w:numPr>
          <w:ilvl w:val="0"/>
          <w:numId w:val="4"/>
        </w:numPr>
        <w:spacing w:line="276" w:lineRule="auto"/>
        <w:ind w:left="1240"/>
        <w:rPr>
          <w:rFonts w:ascii="Times New Roman" w:hAnsi="Times New Roman"/>
          <w:sz w:val="22"/>
          <w:szCs w:val="22"/>
        </w:rPr>
      </w:pPr>
      <w:r w:rsidRPr="00F5265C">
        <w:rPr>
          <w:rFonts w:ascii="Times New Roman" w:hAnsi="Times New Roman"/>
          <w:sz w:val="22"/>
          <w:szCs w:val="22"/>
        </w:rPr>
        <w:lastRenderedPageBreak/>
        <w:t>Replacement of MB by I</w:t>
      </w:r>
      <w:r w:rsidR="00E140B5" w:rsidRPr="00F5265C">
        <w:rPr>
          <w:rFonts w:ascii="Times New Roman" w:hAnsi="Times New Roman"/>
          <w:sz w:val="22"/>
          <w:szCs w:val="22"/>
        </w:rPr>
        <w:t>mplementation of systems approaches, pest free areas, areas of low pest prevalence, pest free places of production, pest free production sites and equivalence.</w:t>
      </w:r>
    </w:p>
    <w:p w14:paraId="11642022" w14:textId="77777777" w:rsidR="00675851" w:rsidRPr="00F5265C" w:rsidRDefault="00675851" w:rsidP="00F5265C">
      <w:pPr>
        <w:pStyle w:val="ListParagraph"/>
        <w:numPr>
          <w:ilvl w:val="0"/>
          <w:numId w:val="4"/>
        </w:numPr>
        <w:spacing w:after="180" w:line="276" w:lineRule="auto"/>
        <w:ind w:left="1240"/>
        <w:rPr>
          <w:rFonts w:ascii="Times New Roman" w:hAnsi="Times New Roman"/>
          <w:sz w:val="22"/>
          <w:szCs w:val="22"/>
        </w:rPr>
      </w:pPr>
      <w:r w:rsidRPr="00F5265C">
        <w:rPr>
          <w:rFonts w:ascii="Times New Roman" w:hAnsi="Times New Roman"/>
          <w:sz w:val="22"/>
          <w:szCs w:val="22"/>
        </w:rPr>
        <w:t xml:space="preserve">NPPO </w:t>
      </w:r>
      <w:r w:rsidR="00453789" w:rsidRPr="00F5265C">
        <w:rPr>
          <w:rFonts w:ascii="Times New Roman" w:hAnsi="Times New Roman"/>
          <w:sz w:val="22"/>
          <w:szCs w:val="22"/>
        </w:rPr>
        <w:t xml:space="preserve">of </w:t>
      </w:r>
      <w:r w:rsidRPr="00F5265C">
        <w:rPr>
          <w:rFonts w:ascii="Times New Roman" w:hAnsi="Times New Roman"/>
          <w:sz w:val="22"/>
          <w:szCs w:val="22"/>
        </w:rPr>
        <w:t>Pakistan’s acceptance of alternatives</w:t>
      </w:r>
      <w:r w:rsidR="007304BA" w:rsidRPr="00F5265C">
        <w:rPr>
          <w:rFonts w:ascii="Times New Roman" w:hAnsi="Times New Roman"/>
          <w:sz w:val="22"/>
          <w:szCs w:val="22"/>
        </w:rPr>
        <w:t xml:space="preserve"> treatments</w:t>
      </w:r>
      <w:r w:rsidRPr="00F5265C">
        <w:rPr>
          <w:rFonts w:ascii="Times New Roman" w:hAnsi="Times New Roman"/>
          <w:sz w:val="22"/>
          <w:szCs w:val="22"/>
        </w:rPr>
        <w:t xml:space="preserve"> of MB in import consignments</w:t>
      </w:r>
    </w:p>
    <w:p w14:paraId="49317485" w14:textId="77777777" w:rsidR="00453789" w:rsidRPr="001658BA" w:rsidRDefault="00E71E20" w:rsidP="00F5265C">
      <w:pPr>
        <w:pStyle w:val="IPPHeading1"/>
      </w:pPr>
      <w:r w:rsidRPr="00E71E20">
        <w:t xml:space="preserve">       </w:t>
      </w:r>
      <w:r w:rsidR="00453789" w:rsidRPr="001658BA">
        <w:t xml:space="preserve">Significant reduction in use of </w:t>
      </w:r>
      <w:proofErr w:type="gramStart"/>
      <w:r w:rsidR="00453789" w:rsidRPr="001658BA">
        <w:t>MB  in</w:t>
      </w:r>
      <w:proofErr w:type="gramEnd"/>
      <w:r w:rsidR="00453789" w:rsidRPr="001658BA">
        <w:t xml:space="preserve"> Pakistan</w:t>
      </w:r>
      <w:r w:rsidR="008F4F96" w:rsidRPr="001658BA">
        <w:t xml:space="preserve"> in 2025</w:t>
      </w:r>
    </w:p>
    <w:p w14:paraId="094FE6B0" w14:textId="0B890460" w:rsidR="00A355A2" w:rsidRPr="001658BA" w:rsidRDefault="008F4F96" w:rsidP="00F5265C">
      <w:pPr>
        <w:pStyle w:val="IPPParagraphnumbering"/>
      </w:pPr>
      <w:r w:rsidRPr="001658BA">
        <w:t xml:space="preserve">Due to the </w:t>
      </w:r>
      <w:r w:rsidR="0025444D" w:rsidRPr="001658BA">
        <w:t>corrective measures/</w:t>
      </w:r>
      <w:r w:rsidRPr="001658BA">
        <w:t xml:space="preserve"> steps taken by DPP, a significant reduction</w:t>
      </w:r>
      <w:r w:rsidR="0025444D" w:rsidRPr="001658BA">
        <w:t xml:space="preserve"> (more than 50</w:t>
      </w:r>
      <w:proofErr w:type="gramStart"/>
      <w:r w:rsidR="0025444D" w:rsidRPr="001658BA">
        <w:t>%)</w:t>
      </w:r>
      <w:r w:rsidRPr="001658BA">
        <w:t xml:space="preserve"> </w:t>
      </w:r>
      <w:r w:rsidR="00E71E20">
        <w:t xml:space="preserve">  </w:t>
      </w:r>
      <w:proofErr w:type="gramEnd"/>
      <w:r w:rsidRPr="001658BA">
        <w:t>in the use of methyl bromide is observed</w:t>
      </w:r>
      <w:r w:rsidR="0025444D" w:rsidRPr="001658BA">
        <w:t xml:space="preserve"> as mentioned in the table below:</w:t>
      </w:r>
    </w:p>
    <w:tbl>
      <w:tblPr>
        <w:tblpPr w:leftFromText="180" w:rightFromText="180" w:vertAnchor="text" w:tblpXSpec="center" w:tblpY="1"/>
        <w:tblOverlap w:val="never"/>
        <w:tblW w:w="5929" w:type="dxa"/>
        <w:tblLook w:val="04A0" w:firstRow="1" w:lastRow="0" w:firstColumn="1" w:lastColumn="0" w:noHBand="0" w:noVBand="1"/>
      </w:tblPr>
      <w:tblGrid>
        <w:gridCol w:w="2599"/>
        <w:gridCol w:w="1710"/>
        <w:gridCol w:w="1620"/>
      </w:tblGrid>
      <w:tr w:rsidR="008F4F96" w:rsidRPr="00F5265C" w14:paraId="57BAC96B" w14:textId="77777777" w:rsidTr="00E71E20">
        <w:trPr>
          <w:trHeight w:val="468"/>
        </w:trPr>
        <w:tc>
          <w:tcPr>
            <w:tcW w:w="2599" w:type="dxa"/>
            <w:vMerge w:val="restart"/>
            <w:tcBorders>
              <w:top w:val="single" w:sz="4" w:space="0" w:color="000000"/>
              <w:left w:val="single" w:sz="4" w:space="0" w:color="000000"/>
              <w:bottom w:val="single" w:sz="4" w:space="0" w:color="000000"/>
              <w:right w:val="single" w:sz="4" w:space="0" w:color="000000"/>
            </w:tcBorders>
            <w:vAlign w:val="center"/>
          </w:tcPr>
          <w:p w14:paraId="5951B5A5" w14:textId="77777777" w:rsidR="008F4F96" w:rsidRPr="00F5265C" w:rsidRDefault="008F4F96" w:rsidP="00E71E20">
            <w:pPr>
              <w:textAlignment w:val="center"/>
              <w:rPr>
                <w:rFonts w:ascii="Arial" w:hAnsi="Arial" w:cs="Arial"/>
                <w:b/>
                <w:bCs/>
                <w:color w:val="000000"/>
                <w:sz w:val="18"/>
                <w:szCs w:val="18"/>
              </w:rPr>
            </w:pPr>
            <w:r w:rsidRPr="00F5265C">
              <w:rPr>
                <w:rFonts w:ascii="Arial" w:eastAsia="SimSun" w:hAnsi="Arial" w:cs="Arial"/>
                <w:b/>
                <w:bCs/>
                <w:color w:val="000000"/>
                <w:sz w:val="18"/>
                <w:szCs w:val="18"/>
                <w:lang w:eastAsia="zh-CN" w:bidi="ar"/>
              </w:rPr>
              <w:t>MONTH</w:t>
            </w:r>
          </w:p>
        </w:tc>
        <w:tc>
          <w:tcPr>
            <w:tcW w:w="1710" w:type="dxa"/>
            <w:tcBorders>
              <w:top w:val="single" w:sz="4" w:space="0" w:color="000000"/>
              <w:left w:val="single" w:sz="4" w:space="0" w:color="000000"/>
              <w:bottom w:val="single" w:sz="4" w:space="0" w:color="000000"/>
              <w:right w:val="single" w:sz="4" w:space="0" w:color="000000"/>
            </w:tcBorders>
            <w:vAlign w:val="center"/>
          </w:tcPr>
          <w:p w14:paraId="2EB24E43" w14:textId="77777777" w:rsidR="008F4F96" w:rsidRPr="00F5265C" w:rsidRDefault="008F4F96" w:rsidP="00E71E20">
            <w:pPr>
              <w:textAlignment w:val="center"/>
              <w:rPr>
                <w:rFonts w:ascii="Arial" w:hAnsi="Arial" w:cs="Arial"/>
                <w:b/>
                <w:bCs/>
                <w:color w:val="000000"/>
                <w:sz w:val="18"/>
                <w:szCs w:val="18"/>
              </w:rPr>
            </w:pPr>
            <w:r w:rsidRPr="00F5265C">
              <w:rPr>
                <w:rFonts w:ascii="Arial" w:eastAsia="SimSun" w:hAnsi="Arial" w:cs="Arial"/>
                <w:b/>
                <w:bCs/>
                <w:color w:val="000000"/>
                <w:sz w:val="18"/>
                <w:szCs w:val="18"/>
                <w:lang w:eastAsia="zh-CN" w:bidi="ar"/>
              </w:rPr>
              <w:t>2024</w:t>
            </w:r>
          </w:p>
        </w:tc>
        <w:tc>
          <w:tcPr>
            <w:tcW w:w="1620" w:type="dxa"/>
            <w:tcBorders>
              <w:top w:val="single" w:sz="4" w:space="0" w:color="000000"/>
              <w:left w:val="single" w:sz="4" w:space="0" w:color="000000"/>
              <w:bottom w:val="single" w:sz="4" w:space="0" w:color="000000"/>
              <w:right w:val="single" w:sz="4" w:space="0" w:color="000000"/>
            </w:tcBorders>
            <w:vAlign w:val="center"/>
          </w:tcPr>
          <w:p w14:paraId="09713995" w14:textId="77777777" w:rsidR="008F4F96" w:rsidRPr="00F5265C" w:rsidRDefault="008F4F96" w:rsidP="00E71E20">
            <w:pPr>
              <w:textAlignment w:val="center"/>
              <w:rPr>
                <w:rFonts w:ascii="Arial" w:hAnsi="Arial" w:cs="Arial"/>
                <w:b/>
                <w:bCs/>
                <w:color w:val="000000"/>
                <w:sz w:val="18"/>
                <w:szCs w:val="18"/>
              </w:rPr>
            </w:pPr>
            <w:r w:rsidRPr="00F5265C">
              <w:rPr>
                <w:rFonts w:ascii="Arial" w:eastAsia="SimSun" w:hAnsi="Arial" w:cs="Arial"/>
                <w:b/>
                <w:bCs/>
                <w:color w:val="000000"/>
                <w:sz w:val="18"/>
                <w:szCs w:val="18"/>
                <w:lang w:eastAsia="zh-CN" w:bidi="ar"/>
              </w:rPr>
              <w:t>2025</w:t>
            </w:r>
          </w:p>
        </w:tc>
      </w:tr>
      <w:tr w:rsidR="008F4F96" w:rsidRPr="00F5265C" w14:paraId="37FA826A" w14:textId="77777777" w:rsidTr="00E71E20">
        <w:trPr>
          <w:trHeight w:val="312"/>
        </w:trPr>
        <w:tc>
          <w:tcPr>
            <w:tcW w:w="2599" w:type="dxa"/>
            <w:vMerge/>
            <w:tcBorders>
              <w:top w:val="single" w:sz="4" w:space="0" w:color="000000"/>
              <w:left w:val="single" w:sz="4" w:space="0" w:color="000000"/>
              <w:bottom w:val="single" w:sz="4" w:space="0" w:color="000000"/>
              <w:right w:val="single" w:sz="4" w:space="0" w:color="000000"/>
            </w:tcBorders>
            <w:vAlign w:val="center"/>
          </w:tcPr>
          <w:p w14:paraId="33CDE1DE" w14:textId="77777777" w:rsidR="008F4F96" w:rsidRPr="00F5265C" w:rsidRDefault="008F4F96" w:rsidP="00E71E20">
            <w:pPr>
              <w:rPr>
                <w:rFonts w:ascii="Arial" w:hAnsi="Arial" w:cs="Arial"/>
                <w:b/>
                <w:bCs/>
                <w:color w:val="000000"/>
                <w:sz w:val="18"/>
                <w:szCs w:val="18"/>
              </w:rPr>
            </w:pPr>
          </w:p>
        </w:tc>
        <w:tc>
          <w:tcPr>
            <w:tcW w:w="1710" w:type="dxa"/>
            <w:tcBorders>
              <w:top w:val="single" w:sz="4" w:space="0" w:color="000000"/>
              <w:left w:val="single" w:sz="4" w:space="0" w:color="000000"/>
              <w:bottom w:val="single" w:sz="4" w:space="0" w:color="000000"/>
              <w:right w:val="single" w:sz="4" w:space="0" w:color="000000"/>
            </w:tcBorders>
            <w:vAlign w:val="bottom"/>
          </w:tcPr>
          <w:p w14:paraId="7C5ECCE0"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Consumption (KGs)</w:t>
            </w:r>
          </w:p>
        </w:tc>
        <w:tc>
          <w:tcPr>
            <w:tcW w:w="1620" w:type="dxa"/>
            <w:tcBorders>
              <w:top w:val="single" w:sz="4" w:space="0" w:color="000000"/>
              <w:left w:val="single" w:sz="4" w:space="0" w:color="000000"/>
              <w:bottom w:val="single" w:sz="4" w:space="0" w:color="000000"/>
              <w:right w:val="single" w:sz="4" w:space="0" w:color="000000"/>
            </w:tcBorders>
            <w:vAlign w:val="bottom"/>
          </w:tcPr>
          <w:p w14:paraId="5BE6954D"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Consumption (KGs)</w:t>
            </w:r>
          </w:p>
        </w:tc>
      </w:tr>
      <w:tr w:rsidR="008F4F96" w:rsidRPr="00F5265C" w14:paraId="4D2F80B4"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2069F560"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 xml:space="preserve">JANUARY </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1BF727B0"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58,207</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73BA4D2C"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31,239 </w:t>
            </w:r>
          </w:p>
        </w:tc>
      </w:tr>
      <w:tr w:rsidR="008F4F96" w:rsidRPr="00F5265C" w14:paraId="56A761E8"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32694CA3"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 xml:space="preserve">FEBRUARY </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0CADDB7D"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74,382</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04CA0ED3"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21,677 </w:t>
            </w:r>
          </w:p>
        </w:tc>
      </w:tr>
      <w:tr w:rsidR="008F4F96" w:rsidRPr="00F5265C" w14:paraId="406584C1"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6E63F664"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MARCH</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0BF056DD"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67,945</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1E410B91"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10,437 </w:t>
            </w:r>
          </w:p>
        </w:tc>
      </w:tr>
      <w:tr w:rsidR="008F4F96" w:rsidRPr="00F5265C" w14:paraId="0A561DC6"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11A2BA1B"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APRIL</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2ACA570E"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 xml:space="preserve">33609 </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2F7A853C"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24,610 </w:t>
            </w:r>
          </w:p>
        </w:tc>
      </w:tr>
      <w:tr w:rsidR="008F4F96" w:rsidRPr="00F5265C" w14:paraId="27CB1445"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24C0F9A4"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MAY</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1A35D1B6"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42,731</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1DBAF163"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18,141 </w:t>
            </w:r>
          </w:p>
        </w:tc>
      </w:tr>
      <w:tr w:rsidR="008F4F96" w:rsidRPr="00F5265C" w14:paraId="3190B254"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34D56279"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JUNE</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792F99C4"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37,801</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322ADDEE"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33,220 </w:t>
            </w:r>
          </w:p>
        </w:tc>
      </w:tr>
      <w:tr w:rsidR="008F4F96" w:rsidRPr="00F5265C" w14:paraId="101708BA"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17160334"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JULY</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4285AEB1"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42,306</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1D8B9D1C"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30,930 </w:t>
            </w:r>
          </w:p>
        </w:tc>
      </w:tr>
      <w:tr w:rsidR="008F4F96" w:rsidRPr="00F5265C" w14:paraId="3776B2A2"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5EB67AF8"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AUGUST</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19986D2A"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25,744</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07A09B69"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28,680 </w:t>
            </w:r>
          </w:p>
        </w:tc>
      </w:tr>
      <w:tr w:rsidR="008F4F96" w:rsidRPr="00F5265C" w14:paraId="15D14C78"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5FAFC020"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SEPTEMBER</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746A6C34"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20,873</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31C60C44" w14:textId="77777777" w:rsidR="008F4F96" w:rsidRPr="00F5265C" w:rsidRDefault="008F4F96" w:rsidP="00E71E20">
            <w:pPr>
              <w:textAlignment w:val="bottom"/>
              <w:rPr>
                <w:rFonts w:ascii="Arial" w:hAnsi="Arial" w:cs="Arial"/>
                <w:color w:val="538135" w:themeColor="accent6" w:themeShade="BF"/>
                <w:sz w:val="18"/>
                <w:szCs w:val="18"/>
              </w:rPr>
            </w:pPr>
            <w:r w:rsidRPr="00F5265C">
              <w:rPr>
                <w:rFonts w:ascii="Arial" w:eastAsia="SimSun" w:hAnsi="Arial" w:cs="Arial"/>
                <w:color w:val="538135" w:themeColor="accent6" w:themeShade="BF"/>
                <w:sz w:val="18"/>
                <w:szCs w:val="18"/>
                <w:lang w:eastAsia="zh-CN" w:bidi="ar"/>
              </w:rPr>
              <w:t xml:space="preserve"> 19,699 </w:t>
            </w:r>
          </w:p>
        </w:tc>
      </w:tr>
      <w:tr w:rsidR="008F4F96" w:rsidRPr="00F5265C" w14:paraId="4CC62EC4"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196F612D"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OCTOBER</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60EFBD0F"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21,863</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6834CDC0"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 xml:space="preserve"> ..... </w:t>
            </w:r>
          </w:p>
        </w:tc>
      </w:tr>
      <w:tr w:rsidR="008F4F96" w:rsidRPr="00F5265C" w14:paraId="324C2833"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69FD043F"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NOVEMBER</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2A98C612"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24,772</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41F36A92"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 xml:space="preserve"> ..... </w:t>
            </w:r>
          </w:p>
        </w:tc>
      </w:tr>
      <w:tr w:rsidR="008F4F96" w:rsidRPr="00F5265C" w14:paraId="5C48578C" w14:textId="77777777" w:rsidTr="00E71E20">
        <w:trPr>
          <w:trHeight w:val="432"/>
        </w:trPr>
        <w:tc>
          <w:tcPr>
            <w:tcW w:w="2599" w:type="dxa"/>
            <w:tcBorders>
              <w:top w:val="single" w:sz="4" w:space="0" w:color="000000"/>
              <w:left w:val="single" w:sz="4" w:space="0" w:color="000000"/>
              <w:bottom w:val="single" w:sz="4" w:space="0" w:color="000000"/>
              <w:right w:val="single" w:sz="4" w:space="0" w:color="000000"/>
            </w:tcBorders>
            <w:noWrap/>
            <w:vAlign w:val="bottom"/>
          </w:tcPr>
          <w:p w14:paraId="2EAEF91B" w14:textId="77777777" w:rsidR="008F4F96" w:rsidRPr="00F5265C" w:rsidRDefault="008F4F96" w:rsidP="00E71E20">
            <w:pPr>
              <w:textAlignment w:val="bottom"/>
              <w:rPr>
                <w:rFonts w:ascii="Arial" w:hAnsi="Arial" w:cs="Arial"/>
                <w:b/>
                <w:bCs/>
                <w:color w:val="000000"/>
                <w:sz w:val="18"/>
                <w:szCs w:val="18"/>
              </w:rPr>
            </w:pPr>
            <w:r w:rsidRPr="00F5265C">
              <w:rPr>
                <w:rFonts w:ascii="Arial" w:eastAsia="SimSun" w:hAnsi="Arial" w:cs="Arial"/>
                <w:b/>
                <w:bCs/>
                <w:color w:val="000000"/>
                <w:sz w:val="18"/>
                <w:szCs w:val="18"/>
                <w:lang w:eastAsia="zh-CN" w:bidi="ar"/>
              </w:rPr>
              <w:t>DECEMBER</w:t>
            </w:r>
          </w:p>
        </w:tc>
        <w:tc>
          <w:tcPr>
            <w:tcW w:w="1710" w:type="dxa"/>
            <w:tcBorders>
              <w:top w:val="single" w:sz="4" w:space="0" w:color="000000"/>
              <w:left w:val="single" w:sz="4" w:space="0" w:color="000000"/>
              <w:bottom w:val="single" w:sz="4" w:space="0" w:color="000000"/>
              <w:right w:val="single" w:sz="4" w:space="0" w:color="000000"/>
            </w:tcBorders>
            <w:noWrap/>
            <w:vAlign w:val="bottom"/>
          </w:tcPr>
          <w:p w14:paraId="09974CB7"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29,820</w:t>
            </w:r>
          </w:p>
        </w:tc>
        <w:tc>
          <w:tcPr>
            <w:tcW w:w="1620" w:type="dxa"/>
            <w:tcBorders>
              <w:top w:val="single" w:sz="4" w:space="0" w:color="000000"/>
              <w:left w:val="single" w:sz="4" w:space="0" w:color="000000"/>
              <w:bottom w:val="single" w:sz="4" w:space="0" w:color="000000"/>
              <w:right w:val="single" w:sz="4" w:space="0" w:color="000000"/>
            </w:tcBorders>
            <w:noWrap/>
            <w:vAlign w:val="bottom"/>
          </w:tcPr>
          <w:p w14:paraId="0C66BC09" w14:textId="77777777" w:rsidR="008F4F96" w:rsidRPr="00F5265C" w:rsidRDefault="008F4F96" w:rsidP="00E71E20">
            <w:pPr>
              <w:textAlignment w:val="bottom"/>
              <w:rPr>
                <w:rFonts w:ascii="Arial" w:hAnsi="Arial" w:cs="Arial"/>
                <w:color w:val="000000"/>
                <w:sz w:val="18"/>
                <w:szCs w:val="18"/>
              </w:rPr>
            </w:pPr>
            <w:r w:rsidRPr="00F5265C">
              <w:rPr>
                <w:rFonts w:ascii="Arial" w:eastAsia="SimSun" w:hAnsi="Arial" w:cs="Arial"/>
                <w:color w:val="000000"/>
                <w:sz w:val="18"/>
                <w:szCs w:val="18"/>
                <w:lang w:eastAsia="zh-CN" w:bidi="ar"/>
              </w:rPr>
              <w:t xml:space="preserve"> ..... </w:t>
            </w:r>
          </w:p>
        </w:tc>
      </w:tr>
      <w:tr w:rsidR="008F4F96" w:rsidRPr="00F5265C" w14:paraId="086C25BB" w14:textId="77777777" w:rsidTr="00E71E20">
        <w:trPr>
          <w:trHeight w:val="588"/>
        </w:trPr>
        <w:tc>
          <w:tcPr>
            <w:tcW w:w="2599" w:type="dxa"/>
            <w:tcBorders>
              <w:top w:val="single" w:sz="4" w:space="0" w:color="000000"/>
              <w:left w:val="single" w:sz="4" w:space="0" w:color="000000"/>
              <w:bottom w:val="single" w:sz="4" w:space="0" w:color="000000"/>
              <w:right w:val="single" w:sz="4" w:space="0" w:color="000000"/>
            </w:tcBorders>
            <w:noWrap/>
            <w:vAlign w:val="center"/>
          </w:tcPr>
          <w:p w14:paraId="5E536B20" w14:textId="77777777" w:rsidR="008F4F96" w:rsidRPr="00F5265C" w:rsidRDefault="008F4F96" w:rsidP="00E71E20">
            <w:pPr>
              <w:textAlignment w:val="center"/>
              <w:rPr>
                <w:rFonts w:ascii="Arial" w:hAnsi="Arial" w:cs="Arial"/>
                <w:b/>
                <w:bCs/>
                <w:color w:val="000000"/>
                <w:sz w:val="18"/>
                <w:szCs w:val="18"/>
              </w:rPr>
            </w:pPr>
            <w:r w:rsidRPr="00F5265C">
              <w:rPr>
                <w:rFonts w:ascii="Arial" w:eastAsia="SimSun" w:hAnsi="Arial" w:cs="Arial"/>
                <w:b/>
                <w:bCs/>
                <w:color w:val="000000"/>
                <w:sz w:val="18"/>
                <w:szCs w:val="18"/>
                <w:lang w:eastAsia="zh-CN" w:bidi="ar"/>
              </w:rPr>
              <w:t>TOTAL:</w:t>
            </w:r>
          </w:p>
        </w:tc>
        <w:tc>
          <w:tcPr>
            <w:tcW w:w="1710" w:type="dxa"/>
            <w:tcBorders>
              <w:top w:val="single" w:sz="4" w:space="0" w:color="000000"/>
              <w:left w:val="single" w:sz="4" w:space="0" w:color="000000"/>
              <w:bottom w:val="single" w:sz="4" w:space="0" w:color="000000"/>
              <w:right w:val="single" w:sz="4" w:space="0" w:color="000000"/>
            </w:tcBorders>
            <w:noWrap/>
            <w:vAlign w:val="center"/>
          </w:tcPr>
          <w:p w14:paraId="41419F97" w14:textId="77777777" w:rsidR="008F4F96" w:rsidRPr="00F5265C" w:rsidRDefault="008F4F96" w:rsidP="00E71E20">
            <w:pPr>
              <w:textAlignment w:val="center"/>
              <w:rPr>
                <w:rFonts w:ascii="Arial" w:hAnsi="Arial" w:cs="Arial"/>
                <w:b/>
                <w:bCs/>
                <w:color w:val="000000"/>
                <w:sz w:val="18"/>
                <w:szCs w:val="18"/>
              </w:rPr>
            </w:pPr>
            <w:r w:rsidRPr="00F5265C">
              <w:rPr>
                <w:rFonts w:ascii="Arial" w:eastAsia="SimSun" w:hAnsi="Arial" w:cs="Arial"/>
                <w:b/>
                <w:bCs/>
                <w:color w:val="EE0000"/>
                <w:sz w:val="18"/>
                <w:szCs w:val="18"/>
                <w:lang w:eastAsia="zh-CN" w:bidi="ar"/>
              </w:rPr>
              <w:t>480,054</w:t>
            </w:r>
          </w:p>
        </w:tc>
        <w:tc>
          <w:tcPr>
            <w:tcW w:w="1620" w:type="dxa"/>
            <w:tcBorders>
              <w:top w:val="single" w:sz="4" w:space="0" w:color="000000"/>
              <w:left w:val="single" w:sz="4" w:space="0" w:color="000000"/>
              <w:bottom w:val="single" w:sz="4" w:space="0" w:color="000000"/>
              <w:right w:val="single" w:sz="4" w:space="0" w:color="000000"/>
            </w:tcBorders>
            <w:noWrap/>
            <w:vAlign w:val="center"/>
          </w:tcPr>
          <w:p w14:paraId="0D942C17" w14:textId="77777777" w:rsidR="008F4F96" w:rsidRPr="00F5265C" w:rsidRDefault="008F4F96" w:rsidP="00E71E20">
            <w:pPr>
              <w:textAlignment w:val="center"/>
              <w:rPr>
                <w:rFonts w:ascii="Arial" w:hAnsi="Arial" w:cs="Arial"/>
                <w:b/>
                <w:bCs/>
                <w:color w:val="000000"/>
                <w:sz w:val="18"/>
                <w:szCs w:val="18"/>
              </w:rPr>
            </w:pPr>
            <w:r w:rsidRPr="00F5265C">
              <w:rPr>
                <w:rFonts w:ascii="Arial" w:eastAsia="SimSun" w:hAnsi="Arial" w:cs="Arial"/>
                <w:b/>
                <w:bCs/>
                <w:color w:val="388600"/>
                <w:sz w:val="18"/>
                <w:szCs w:val="18"/>
                <w:lang w:eastAsia="zh-CN" w:bidi="ar"/>
              </w:rPr>
              <w:t>218,632</w:t>
            </w:r>
          </w:p>
        </w:tc>
      </w:tr>
    </w:tbl>
    <w:p w14:paraId="37F03354" w14:textId="77777777" w:rsidR="008F4F96" w:rsidRPr="00F5265C" w:rsidRDefault="00E71E20" w:rsidP="007560DD">
      <w:pPr>
        <w:spacing w:after="180" w:line="276" w:lineRule="auto"/>
        <w:ind w:left="360"/>
        <w:rPr>
          <w:rFonts w:ascii="Arial" w:hAnsi="Arial" w:cs="Arial"/>
          <w:sz w:val="24"/>
        </w:rPr>
      </w:pPr>
      <w:r>
        <w:rPr>
          <w:sz w:val="24"/>
        </w:rPr>
        <w:br w:type="textWrapping" w:clear="all"/>
      </w:r>
      <w:r w:rsidR="003838D6" w:rsidRPr="007560DD">
        <w:rPr>
          <w:rFonts w:ascii="Arial" w:hAnsi="Arial" w:cs="Arial"/>
          <w:b/>
          <w:bCs/>
          <w:sz w:val="18"/>
          <w:szCs w:val="18"/>
        </w:rPr>
        <w:t xml:space="preserve">                        </w:t>
      </w:r>
      <w:r w:rsidR="000A012A" w:rsidRPr="007560DD">
        <w:rPr>
          <w:rFonts w:ascii="Arial" w:hAnsi="Arial" w:cs="Arial"/>
          <w:b/>
          <w:bCs/>
          <w:sz w:val="18"/>
          <w:szCs w:val="18"/>
        </w:rPr>
        <w:t>Source</w:t>
      </w:r>
      <w:r w:rsidR="000A012A" w:rsidRPr="007560DD">
        <w:rPr>
          <w:rFonts w:ascii="Arial" w:hAnsi="Arial" w:cs="Arial"/>
          <w:sz w:val="18"/>
          <w:szCs w:val="18"/>
        </w:rPr>
        <w:t>: D</w:t>
      </w:r>
      <w:r w:rsidR="00215DCF" w:rsidRPr="007560DD">
        <w:rPr>
          <w:rFonts w:ascii="Arial" w:hAnsi="Arial" w:cs="Arial"/>
          <w:sz w:val="18"/>
          <w:szCs w:val="18"/>
        </w:rPr>
        <w:t>epartment of Plant Protection</w:t>
      </w:r>
      <w:r w:rsidR="000A012A" w:rsidRPr="007560DD">
        <w:rPr>
          <w:rFonts w:ascii="Arial" w:hAnsi="Arial" w:cs="Arial"/>
          <w:sz w:val="18"/>
          <w:szCs w:val="18"/>
        </w:rPr>
        <w:t xml:space="preserve"> data center Pakistan</w:t>
      </w:r>
    </w:p>
    <w:p w14:paraId="14EDE06E" w14:textId="77777777" w:rsidR="007304BA" w:rsidRPr="001658BA" w:rsidRDefault="00675851" w:rsidP="007560DD">
      <w:pPr>
        <w:pStyle w:val="IPPParagraphnumberingclose"/>
      </w:pPr>
      <w:r w:rsidRPr="001658BA">
        <w:t>Pakistan is</w:t>
      </w:r>
      <w:r w:rsidR="007304BA" w:rsidRPr="001658BA">
        <w:t xml:space="preserve"> focusing on</w:t>
      </w:r>
      <w:r w:rsidRPr="001658BA">
        <w:t xml:space="preserve"> the </w:t>
      </w:r>
      <w:r w:rsidR="007304BA" w:rsidRPr="001658BA">
        <w:t>following alternatives</w:t>
      </w:r>
      <w:r w:rsidR="00A355A2" w:rsidRPr="001658BA">
        <w:t xml:space="preserve"> </w:t>
      </w:r>
      <w:r w:rsidR="001658BA">
        <w:t>phytosanitary measures</w:t>
      </w:r>
      <w:r w:rsidR="00446C49">
        <w:t xml:space="preserve"> </w:t>
      </w:r>
      <w:r w:rsidR="007304BA" w:rsidRPr="001658BA">
        <w:t xml:space="preserve">for export </w:t>
      </w:r>
      <w:r w:rsidR="003905D6" w:rsidRPr="001658BA">
        <w:t xml:space="preserve">/ import </w:t>
      </w:r>
      <w:r w:rsidR="007304BA" w:rsidRPr="001658BA">
        <w:t>consignments</w:t>
      </w:r>
      <w:r w:rsidR="00446C49">
        <w:t xml:space="preserve"> of plant and plant material</w:t>
      </w:r>
      <w:r w:rsidR="007304BA" w:rsidRPr="001658BA">
        <w:t>:</w:t>
      </w:r>
    </w:p>
    <w:p w14:paraId="04C7974F" w14:textId="77777777" w:rsidR="007304BA" w:rsidRPr="007560DD" w:rsidRDefault="00675851" w:rsidP="00E71E20">
      <w:pPr>
        <w:pStyle w:val="ListParagraph"/>
        <w:numPr>
          <w:ilvl w:val="0"/>
          <w:numId w:val="5"/>
        </w:numPr>
        <w:spacing w:line="276" w:lineRule="auto"/>
        <w:ind w:left="1240"/>
        <w:rPr>
          <w:rFonts w:ascii="Times New Roman" w:hAnsi="Times New Roman"/>
          <w:sz w:val="22"/>
          <w:szCs w:val="22"/>
        </w:rPr>
      </w:pPr>
      <w:r w:rsidRPr="007560DD">
        <w:rPr>
          <w:rFonts w:ascii="Times New Roman" w:hAnsi="Times New Roman"/>
          <w:sz w:val="22"/>
          <w:szCs w:val="22"/>
        </w:rPr>
        <w:t>Cold Treatment</w:t>
      </w:r>
      <w:r w:rsidR="007304BA" w:rsidRPr="007560DD">
        <w:rPr>
          <w:rFonts w:ascii="Times New Roman" w:hAnsi="Times New Roman"/>
          <w:sz w:val="22"/>
          <w:szCs w:val="22"/>
        </w:rPr>
        <w:t xml:space="preserve"> (citrus fruits)</w:t>
      </w:r>
    </w:p>
    <w:p w14:paraId="78045FC7" w14:textId="77777777" w:rsidR="007304BA" w:rsidRPr="007560DD" w:rsidRDefault="00675851" w:rsidP="00E71E20">
      <w:pPr>
        <w:pStyle w:val="ListParagraph"/>
        <w:numPr>
          <w:ilvl w:val="0"/>
          <w:numId w:val="5"/>
        </w:numPr>
        <w:spacing w:line="276" w:lineRule="auto"/>
        <w:ind w:left="1240"/>
        <w:rPr>
          <w:rFonts w:ascii="Times New Roman" w:hAnsi="Times New Roman"/>
          <w:sz w:val="22"/>
          <w:szCs w:val="22"/>
        </w:rPr>
      </w:pPr>
      <w:r w:rsidRPr="007560DD">
        <w:rPr>
          <w:rFonts w:ascii="Times New Roman" w:hAnsi="Times New Roman"/>
          <w:sz w:val="22"/>
          <w:szCs w:val="22"/>
        </w:rPr>
        <w:t>Hot Water Treatment</w:t>
      </w:r>
      <w:r w:rsidR="007304BA" w:rsidRPr="007560DD">
        <w:rPr>
          <w:rFonts w:ascii="Times New Roman" w:hAnsi="Times New Roman"/>
          <w:sz w:val="22"/>
          <w:szCs w:val="22"/>
        </w:rPr>
        <w:t xml:space="preserve"> (Mangoes)</w:t>
      </w:r>
    </w:p>
    <w:p w14:paraId="5ADB4A54" w14:textId="77777777" w:rsidR="007304BA" w:rsidRPr="007560DD" w:rsidRDefault="00675851" w:rsidP="00E71E20">
      <w:pPr>
        <w:pStyle w:val="ListParagraph"/>
        <w:numPr>
          <w:ilvl w:val="0"/>
          <w:numId w:val="5"/>
        </w:numPr>
        <w:spacing w:line="276" w:lineRule="auto"/>
        <w:ind w:left="1240"/>
        <w:rPr>
          <w:rFonts w:ascii="Times New Roman" w:hAnsi="Times New Roman"/>
          <w:sz w:val="22"/>
          <w:szCs w:val="22"/>
        </w:rPr>
      </w:pPr>
      <w:r w:rsidRPr="007560DD">
        <w:rPr>
          <w:rFonts w:ascii="Times New Roman" w:hAnsi="Times New Roman"/>
          <w:sz w:val="22"/>
          <w:szCs w:val="22"/>
        </w:rPr>
        <w:t>Irradiation Treatment</w:t>
      </w:r>
      <w:r w:rsidR="007304BA" w:rsidRPr="007560DD">
        <w:rPr>
          <w:rFonts w:ascii="Times New Roman" w:hAnsi="Times New Roman"/>
          <w:sz w:val="22"/>
          <w:szCs w:val="22"/>
        </w:rPr>
        <w:t xml:space="preserve"> (fruits and vegetables)</w:t>
      </w:r>
    </w:p>
    <w:p w14:paraId="29BF6E3B" w14:textId="77777777" w:rsidR="007304BA" w:rsidRPr="007560DD" w:rsidRDefault="00675851" w:rsidP="00E71E20">
      <w:pPr>
        <w:pStyle w:val="ListParagraph"/>
        <w:numPr>
          <w:ilvl w:val="0"/>
          <w:numId w:val="5"/>
        </w:numPr>
        <w:spacing w:line="276" w:lineRule="auto"/>
        <w:ind w:left="1240"/>
        <w:rPr>
          <w:rFonts w:ascii="Times New Roman" w:hAnsi="Times New Roman"/>
          <w:sz w:val="22"/>
          <w:szCs w:val="22"/>
        </w:rPr>
      </w:pPr>
      <w:r w:rsidRPr="007560DD">
        <w:rPr>
          <w:rFonts w:ascii="Times New Roman" w:hAnsi="Times New Roman"/>
          <w:sz w:val="22"/>
          <w:szCs w:val="22"/>
        </w:rPr>
        <w:t>Heat Treatment</w:t>
      </w:r>
      <w:r w:rsidR="007304BA" w:rsidRPr="007560DD">
        <w:rPr>
          <w:rFonts w:ascii="Times New Roman" w:hAnsi="Times New Roman"/>
          <w:sz w:val="22"/>
          <w:szCs w:val="22"/>
        </w:rPr>
        <w:t xml:space="preserve"> (wooden pallets)</w:t>
      </w:r>
    </w:p>
    <w:p w14:paraId="2FF48E9F" w14:textId="77777777" w:rsidR="00675851" w:rsidRPr="007560DD" w:rsidRDefault="007304BA" w:rsidP="00E71E20">
      <w:pPr>
        <w:pStyle w:val="ListParagraph"/>
        <w:numPr>
          <w:ilvl w:val="0"/>
          <w:numId w:val="5"/>
        </w:numPr>
        <w:spacing w:line="276" w:lineRule="auto"/>
        <w:ind w:left="1240"/>
        <w:rPr>
          <w:rFonts w:ascii="Times New Roman" w:hAnsi="Times New Roman"/>
          <w:sz w:val="22"/>
          <w:szCs w:val="22"/>
        </w:rPr>
      </w:pPr>
      <w:r w:rsidRPr="007560DD">
        <w:rPr>
          <w:rFonts w:ascii="Times New Roman" w:hAnsi="Times New Roman"/>
          <w:sz w:val="22"/>
          <w:szCs w:val="22"/>
        </w:rPr>
        <w:t>U</w:t>
      </w:r>
      <w:r w:rsidR="00675851" w:rsidRPr="007560DD">
        <w:rPr>
          <w:rFonts w:ascii="Times New Roman" w:hAnsi="Times New Roman"/>
          <w:sz w:val="22"/>
          <w:szCs w:val="22"/>
        </w:rPr>
        <w:t>se of aluminum phosphide treatment instead of MB</w:t>
      </w:r>
      <w:r w:rsidRPr="007560DD">
        <w:rPr>
          <w:rFonts w:ascii="Times New Roman" w:hAnsi="Times New Roman"/>
          <w:sz w:val="22"/>
          <w:szCs w:val="22"/>
        </w:rPr>
        <w:t xml:space="preserve"> for the control of store grain pest.</w:t>
      </w:r>
    </w:p>
    <w:p w14:paraId="541044A6" w14:textId="77777777" w:rsidR="003905D6" w:rsidRPr="007560DD" w:rsidRDefault="003905D6" w:rsidP="00E71E20">
      <w:pPr>
        <w:pStyle w:val="ListParagraph"/>
        <w:numPr>
          <w:ilvl w:val="0"/>
          <w:numId w:val="5"/>
        </w:numPr>
        <w:spacing w:line="276" w:lineRule="auto"/>
        <w:ind w:left="1240"/>
        <w:rPr>
          <w:rFonts w:ascii="Times New Roman" w:hAnsi="Times New Roman"/>
          <w:bCs/>
          <w:sz w:val="22"/>
          <w:szCs w:val="22"/>
        </w:rPr>
      </w:pPr>
      <w:r w:rsidRPr="007560DD">
        <w:rPr>
          <w:rFonts w:ascii="Times New Roman" w:hAnsi="Times New Roman"/>
          <w:bCs/>
          <w:sz w:val="22"/>
          <w:szCs w:val="22"/>
        </w:rPr>
        <w:t>The imported grains are meant for human consumption and are part of the food chain, devitalization is unnecessary. Instead, a strict monitoring system should be enforced to prevent their use for sowing and to ensure no pest infestation occurs through imported grains.</w:t>
      </w:r>
    </w:p>
    <w:p w14:paraId="0F267ACF" w14:textId="77777777" w:rsidR="003905D6" w:rsidRPr="007560DD" w:rsidRDefault="003905D6" w:rsidP="00E71E20">
      <w:pPr>
        <w:pStyle w:val="ListParagraph"/>
        <w:numPr>
          <w:ilvl w:val="0"/>
          <w:numId w:val="5"/>
        </w:numPr>
        <w:spacing w:line="276" w:lineRule="auto"/>
        <w:ind w:left="1240"/>
        <w:rPr>
          <w:rFonts w:ascii="Times New Roman" w:hAnsi="Times New Roman"/>
          <w:bCs/>
          <w:sz w:val="22"/>
          <w:szCs w:val="22"/>
        </w:rPr>
      </w:pPr>
      <w:r w:rsidRPr="007560DD">
        <w:rPr>
          <w:rFonts w:ascii="Times New Roman" w:hAnsi="Times New Roman"/>
          <w:bCs/>
          <w:sz w:val="22"/>
          <w:szCs w:val="22"/>
        </w:rPr>
        <w:t>Plants and Plant Material already notified commodities that will not be fumigated on arrival if standardized treatment done prior to the shipment at place of origin</w:t>
      </w:r>
      <w:r w:rsidRPr="001658BA">
        <w:rPr>
          <w:rFonts w:ascii="Times New Roman" w:hAnsi="Times New Roman"/>
          <w:bCs/>
          <w:sz w:val="24"/>
        </w:rPr>
        <w:t xml:space="preserve"> and found </w:t>
      </w:r>
      <w:r w:rsidRPr="007560DD">
        <w:rPr>
          <w:rFonts w:ascii="Times New Roman" w:hAnsi="Times New Roman"/>
          <w:bCs/>
          <w:sz w:val="22"/>
          <w:szCs w:val="22"/>
        </w:rPr>
        <w:lastRenderedPageBreak/>
        <w:t>free from insect pest, noxious weeds, sign &amp; symptoms of pathogens as per rule of PPQR-2019.</w:t>
      </w:r>
    </w:p>
    <w:p w14:paraId="52421D42" w14:textId="77777777" w:rsidR="0047063B" w:rsidRPr="007560DD" w:rsidRDefault="0047063B" w:rsidP="00E71E20">
      <w:pPr>
        <w:pStyle w:val="ListParagraph"/>
        <w:numPr>
          <w:ilvl w:val="0"/>
          <w:numId w:val="5"/>
        </w:numPr>
        <w:spacing w:line="276" w:lineRule="auto"/>
        <w:ind w:left="1240"/>
        <w:rPr>
          <w:rFonts w:ascii="Times New Roman" w:hAnsi="Times New Roman"/>
          <w:sz w:val="22"/>
          <w:szCs w:val="22"/>
        </w:rPr>
      </w:pPr>
      <w:r w:rsidRPr="007560DD">
        <w:rPr>
          <w:rFonts w:ascii="Times New Roman" w:hAnsi="Times New Roman"/>
          <w:sz w:val="22"/>
          <w:szCs w:val="22"/>
        </w:rPr>
        <w:t>Immediate commodity processing (Grains/seeds for oil extraction are being directly milled on arrival</w:t>
      </w:r>
      <w:r w:rsidR="00453789" w:rsidRPr="007560DD">
        <w:rPr>
          <w:rFonts w:ascii="Times New Roman" w:hAnsi="Times New Roman"/>
          <w:sz w:val="22"/>
          <w:szCs w:val="22"/>
        </w:rPr>
        <w:t xml:space="preserve"> without devitalization with MB</w:t>
      </w:r>
      <w:r w:rsidRPr="007560DD">
        <w:rPr>
          <w:rFonts w:ascii="Times New Roman" w:hAnsi="Times New Roman"/>
          <w:sz w:val="22"/>
          <w:szCs w:val="22"/>
        </w:rPr>
        <w:t>)</w:t>
      </w:r>
    </w:p>
    <w:p w14:paraId="59DA3C97" w14:textId="2B166E94" w:rsidR="00845CDA" w:rsidRPr="007560DD" w:rsidRDefault="00845CDA" w:rsidP="007560DD">
      <w:pPr>
        <w:pStyle w:val="IPPHeading1"/>
      </w:pPr>
      <w:r w:rsidRPr="001658BA">
        <w:t>NPPO of</w:t>
      </w:r>
      <w:r w:rsidR="00FD4601" w:rsidRPr="001658BA">
        <w:t xml:space="preserve"> Pakistan Regulatory Steps to Reduce </w:t>
      </w:r>
      <w:r w:rsidRPr="001658BA">
        <w:t>U</w:t>
      </w:r>
      <w:r w:rsidR="00FD4601" w:rsidRPr="001658BA">
        <w:t>se of MB</w:t>
      </w:r>
    </w:p>
    <w:p w14:paraId="24534B44" w14:textId="77777777" w:rsidR="00BF66F7" w:rsidRPr="001658BA" w:rsidRDefault="003838D6" w:rsidP="00E71E20">
      <w:pPr>
        <w:pStyle w:val="ListParagraph"/>
        <w:spacing w:line="276" w:lineRule="auto"/>
        <w:ind w:left="880"/>
        <w:rPr>
          <w:rFonts w:ascii="Times New Roman" w:hAnsi="Times New Roman"/>
          <w:b/>
          <w:sz w:val="24"/>
        </w:rPr>
      </w:pPr>
      <w:r w:rsidRPr="001658BA">
        <w:rPr>
          <w:rFonts w:ascii="Times New Roman" w:hAnsi="Times New Roman"/>
          <w:b/>
          <w:sz w:val="24"/>
        </w:rPr>
        <w:t>62</w:t>
      </w:r>
      <w:r w:rsidRPr="001658BA">
        <w:rPr>
          <w:rFonts w:ascii="Times New Roman" w:hAnsi="Times New Roman"/>
          <w:b/>
          <w:sz w:val="24"/>
          <w:vertAlign w:val="superscript"/>
        </w:rPr>
        <w:t xml:space="preserve">nd </w:t>
      </w:r>
      <w:r w:rsidRPr="001658BA">
        <w:rPr>
          <w:rFonts w:ascii="Times New Roman" w:hAnsi="Times New Roman"/>
          <w:b/>
          <w:sz w:val="24"/>
        </w:rPr>
        <w:t>agricultural pesticides technical advisory committee (APTAC) decision in 2025</w:t>
      </w:r>
    </w:p>
    <w:p w14:paraId="2A7B4473" w14:textId="77777777" w:rsidR="00845CDA" w:rsidRPr="001658BA" w:rsidRDefault="00845CDA" w:rsidP="00E71E20">
      <w:pPr>
        <w:pStyle w:val="ListParagraph"/>
        <w:spacing w:line="276" w:lineRule="auto"/>
        <w:ind w:left="880"/>
        <w:rPr>
          <w:rFonts w:ascii="Times New Roman" w:hAnsi="Times New Roman"/>
          <w:b/>
          <w:sz w:val="24"/>
        </w:rPr>
      </w:pPr>
    </w:p>
    <w:p w14:paraId="55FDB3F6" w14:textId="77777777" w:rsidR="00BF66F7" w:rsidRPr="00FF075E" w:rsidRDefault="00FD4601" w:rsidP="00E71E20">
      <w:pPr>
        <w:pStyle w:val="ListParagraph"/>
        <w:numPr>
          <w:ilvl w:val="0"/>
          <w:numId w:val="10"/>
        </w:numPr>
        <w:spacing w:line="276" w:lineRule="auto"/>
        <w:ind w:left="1240"/>
        <w:rPr>
          <w:rFonts w:ascii="Times New Roman" w:hAnsi="Times New Roman"/>
          <w:bCs/>
          <w:sz w:val="22"/>
          <w:szCs w:val="22"/>
        </w:rPr>
      </w:pPr>
      <w:r w:rsidRPr="00FF075E">
        <w:rPr>
          <w:rFonts w:ascii="Times New Roman" w:hAnsi="Times New Roman"/>
          <w:sz w:val="22"/>
          <w:szCs w:val="22"/>
        </w:rPr>
        <w:t xml:space="preserve">For </w:t>
      </w:r>
      <w:r w:rsidR="00BF66F7" w:rsidRPr="00FF075E">
        <w:rPr>
          <w:rFonts w:ascii="Times New Roman" w:hAnsi="Times New Roman"/>
          <w:sz w:val="22"/>
          <w:szCs w:val="22"/>
        </w:rPr>
        <w:t>revisions of import conditions, in line with scientific evidences, allowing any internationally accepted phytosanitary treatments at the country of origin, rather than mandatory methyl bromide fumigation and explore effective use of a system approach as an alternative to MB-based devitalization for achieving phytosanitary objectives.</w:t>
      </w:r>
      <w:r w:rsidR="00BF66F7" w:rsidRPr="00FF075E">
        <w:rPr>
          <w:rFonts w:ascii="Times New Roman" w:hAnsi="Times New Roman"/>
          <w:bCs/>
          <w:sz w:val="22"/>
          <w:szCs w:val="22"/>
        </w:rPr>
        <w:t xml:space="preserve"> </w:t>
      </w:r>
    </w:p>
    <w:p w14:paraId="00EDC973" w14:textId="77777777" w:rsidR="00BF66F7" w:rsidRPr="00FF075E" w:rsidRDefault="00BF66F7" w:rsidP="00E71E20">
      <w:pPr>
        <w:pStyle w:val="ListParagraph"/>
        <w:numPr>
          <w:ilvl w:val="0"/>
          <w:numId w:val="9"/>
        </w:numPr>
        <w:spacing w:line="276" w:lineRule="auto"/>
        <w:ind w:left="1240"/>
        <w:rPr>
          <w:rFonts w:ascii="Times New Roman" w:hAnsi="Times New Roman"/>
          <w:bCs/>
          <w:sz w:val="22"/>
          <w:szCs w:val="22"/>
        </w:rPr>
      </w:pPr>
      <w:r w:rsidRPr="00FF075E">
        <w:rPr>
          <w:rFonts w:ascii="Times New Roman" w:hAnsi="Times New Roman"/>
          <w:bCs/>
          <w:sz w:val="22"/>
          <w:szCs w:val="22"/>
        </w:rPr>
        <w:t>In Pakistan, Methyl Bromide is predominantly used for imports rather than exports. Therefore, there is a need for scientific input from the Technical Committee to identify and recommend suitable alternatives to Methyl Bromide on scientific lines.</w:t>
      </w:r>
    </w:p>
    <w:p w14:paraId="3D55F587" w14:textId="77777777" w:rsidR="00BF66F7" w:rsidRPr="00FF075E" w:rsidRDefault="00FD4601" w:rsidP="00E71E20">
      <w:pPr>
        <w:pStyle w:val="ListParagraph"/>
        <w:numPr>
          <w:ilvl w:val="0"/>
          <w:numId w:val="9"/>
        </w:numPr>
        <w:spacing w:line="276" w:lineRule="auto"/>
        <w:ind w:left="1240"/>
        <w:rPr>
          <w:rFonts w:ascii="Times New Roman" w:hAnsi="Times New Roman"/>
          <w:sz w:val="22"/>
          <w:szCs w:val="22"/>
        </w:rPr>
      </w:pPr>
      <w:r w:rsidRPr="00FF075E">
        <w:rPr>
          <w:rFonts w:ascii="Times New Roman" w:hAnsi="Times New Roman"/>
          <w:bCs/>
          <w:sz w:val="22"/>
          <w:szCs w:val="22"/>
        </w:rPr>
        <w:t>In Pakistan,</w:t>
      </w:r>
      <w:r w:rsidR="00BF66F7" w:rsidRPr="00FF075E">
        <w:rPr>
          <w:rFonts w:ascii="Times New Roman" w:hAnsi="Times New Roman"/>
          <w:bCs/>
          <w:sz w:val="22"/>
          <w:szCs w:val="22"/>
        </w:rPr>
        <w:t xml:space="preserve"> Methyl Bromide is being used at a dosage of 80 g/m³ for 72 hours, primarily for the devitalization of oil</w:t>
      </w:r>
      <w:r w:rsidRPr="00FF075E">
        <w:rPr>
          <w:rFonts w:ascii="Times New Roman" w:hAnsi="Times New Roman"/>
          <w:bCs/>
          <w:sz w:val="22"/>
          <w:szCs w:val="22"/>
        </w:rPr>
        <w:t xml:space="preserve"> </w:t>
      </w:r>
      <w:r w:rsidR="00BF66F7" w:rsidRPr="00FF075E">
        <w:rPr>
          <w:rFonts w:ascii="Times New Roman" w:hAnsi="Times New Roman"/>
          <w:bCs/>
          <w:sz w:val="22"/>
          <w:szCs w:val="22"/>
        </w:rPr>
        <w:t>seeds</w:t>
      </w:r>
      <w:r w:rsidRPr="00FF075E">
        <w:rPr>
          <w:rFonts w:ascii="Times New Roman" w:hAnsi="Times New Roman"/>
          <w:bCs/>
          <w:sz w:val="22"/>
          <w:szCs w:val="22"/>
        </w:rPr>
        <w:t>/grains.</w:t>
      </w:r>
      <w:r w:rsidR="00BF66F7" w:rsidRPr="00FF075E">
        <w:rPr>
          <w:rFonts w:ascii="Times New Roman" w:hAnsi="Times New Roman"/>
          <w:bCs/>
          <w:sz w:val="22"/>
          <w:szCs w:val="22"/>
        </w:rPr>
        <w:t xml:space="preserve"> However, consultations with other National Plant Protection Organizations (NPPOs), such as those of Australia and Canada, have revealed that effective devitalization requires significantly higher dosages ranging from a CTP (Concentration-Time Product) of 6,000 to 15,000 g-h/m³. These higher doses often exceed the maximum allowable chemical residue limits, while the current 80 g/m³ dosage is insufficient for effective devitalization. Notably, Australian regulations prohibit the fumigation of canola with Methyl Bromide due to food safety and public health concerns, as it renders the commodity unfit for human consumption. </w:t>
      </w:r>
      <w:r w:rsidR="00BF66F7" w:rsidRPr="00FF075E">
        <w:rPr>
          <w:rFonts w:ascii="Times New Roman" w:hAnsi="Times New Roman"/>
          <w:sz w:val="22"/>
          <w:szCs w:val="22"/>
        </w:rPr>
        <w:t>The World Health Organization (WHO 1995) recommended zero tolerance for methyl bromide residue in rapeseed (canola) in 1995.</w:t>
      </w:r>
    </w:p>
    <w:p w14:paraId="25B91117" w14:textId="77777777" w:rsidR="00607CD7" w:rsidRPr="00FF075E" w:rsidRDefault="00BF66F7" w:rsidP="00FF075E">
      <w:pPr>
        <w:pStyle w:val="ListParagraph"/>
        <w:numPr>
          <w:ilvl w:val="0"/>
          <w:numId w:val="9"/>
        </w:numPr>
        <w:spacing w:after="180" w:line="276" w:lineRule="auto"/>
        <w:ind w:left="1240"/>
        <w:rPr>
          <w:rFonts w:ascii="Times New Roman" w:hAnsi="Times New Roman"/>
          <w:bCs/>
          <w:sz w:val="22"/>
          <w:szCs w:val="22"/>
        </w:rPr>
      </w:pPr>
      <w:r w:rsidRPr="00FF075E">
        <w:rPr>
          <w:rFonts w:ascii="Times New Roman" w:hAnsi="Times New Roman"/>
          <w:bCs/>
          <w:sz w:val="22"/>
          <w:szCs w:val="22"/>
        </w:rPr>
        <w:t>It is well established that high-oil-content products readily absorb chemicals from direct application or contact with treated surfaces.</w:t>
      </w:r>
    </w:p>
    <w:p w14:paraId="47D16484" w14:textId="77777777" w:rsidR="001E2177" w:rsidRPr="001658BA" w:rsidRDefault="001E2177" w:rsidP="00FF075E">
      <w:pPr>
        <w:pStyle w:val="IPPHeading1"/>
      </w:pPr>
      <w:r w:rsidRPr="001658BA">
        <w:t>Pakistan’s NPPO legal acceptance of Alternatives</w:t>
      </w:r>
      <w:r w:rsidR="0073599B" w:rsidRPr="001658BA">
        <w:t xml:space="preserve"> of MB</w:t>
      </w:r>
    </w:p>
    <w:p w14:paraId="4709E888" w14:textId="1823B0FD" w:rsidR="001E2177" w:rsidRPr="001658BA" w:rsidRDefault="001E2177" w:rsidP="00FF075E">
      <w:pPr>
        <w:pStyle w:val="IPPParagraphnumbering"/>
      </w:pPr>
      <w:r w:rsidRPr="001658BA">
        <w:t>G</w:t>
      </w:r>
      <w:r w:rsidR="00BF66F7" w:rsidRPr="001658BA">
        <w:t xml:space="preserve">lobally, </w:t>
      </w:r>
      <w:proofErr w:type="spellStart"/>
      <w:r w:rsidR="00BF66F7" w:rsidRPr="001658BA">
        <w:t>agro</w:t>
      </w:r>
      <w:proofErr w:type="spellEnd"/>
      <w:r w:rsidR="00BF66F7" w:rsidRPr="001658BA">
        <w:t xml:space="preserve">-commodities are treated with phosphine or other suitable alternatives to Methyl Bromide, both onshore and in transit, for effective pest control. These treatments leave minimal to no chemical residues in grains, oilseeds, and pulses. </w:t>
      </w:r>
    </w:p>
    <w:p w14:paraId="622A754F" w14:textId="77777777" w:rsidR="00BF66F7" w:rsidRPr="001658BA" w:rsidRDefault="00BF66F7" w:rsidP="00FF075E">
      <w:pPr>
        <w:pStyle w:val="IPPParagraphnumbering"/>
      </w:pPr>
      <w:r w:rsidRPr="00607CD7">
        <w:rPr>
          <w:b/>
          <w:u w:val="single"/>
        </w:rPr>
        <w:t>For devitalization</w:t>
      </w:r>
      <w:r w:rsidR="00607CD7" w:rsidRPr="00607CD7">
        <w:rPr>
          <w:b/>
          <w:u w:val="single"/>
        </w:rPr>
        <w:t xml:space="preserve"> of grains</w:t>
      </w:r>
      <w:r w:rsidRPr="00607CD7">
        <w:rPr>
          <w:b/>
          <w:u w:val="single"/>
        </w:rPr>
        <w:t>,</w:t>
      </w:r>
      <w:r w:rsidRPr="001658BA">
        <w:t xml:space="preserve"> a systems-based approach covering the entire supply chain is adopted in many countries</w:t>
      </w:r>
      <w:r w:rsidR="001E2177" w:rsidRPr="001658BA">
        <w:t xml:space="preserve"> and acceptable to Pakistan.</w:t>
      </w:r>
      <w:r w:rsidRPr="001658BA">
        <w:t xml:space="preserve"> It is essential that consignments be pest-free, packed in new polypropylene (PP) bags, and transported under conditions that prevent spillage or contamination route to a registered processing facility. The oil extraction process at such facilities involves temperatures exceeding 100°C, which further supports the devitalization process.</w:t>
      </w:r>
    </w:p>
    <w:p w14:paraId="11E3319E" w14:textId="77777777" w:rsidR="00BF66F7" w:rsidRPr="001658BA" w:rsidRDefault="003905D6" w:rsidP="00FF075E">
      <w:pPr>
        <w:pStyle w:val="IPPParagraphnumbering"/>
      </w:pPr>
      <w:r w:rsidRPr="001658BA">
        <w:t>U</w:t>
      </w:r>
      <w:r w:rsidR="00BF66F7" w:rsidRPr="001658BA">
        <w:t xml:space="preserve">nder the </w:t>
      </w:r>
      <w:r w:rsidR="00BF66F7" w:rsidRPr="00607CD7">
        <w:rPr>
          <w:b/>
          <w:u w:val="single"/>
        </w:rPr>
        <w:t>Pakistan Plant Quarantine Rules, 2019 (PPQR-2019),</w:t>
      </w:r>
      <w:r w:rsidR="00BF66F7" w:rsidRPr="001658BA">
        <w:t xml:space="preserve"> any consignment found to contain </w:t>
      </w:r>
      <w:proofErr w:type="spellStart"/>
      <w:proofErr w:type="gramStart"/>
      <w:r w:rsidR="00BF66F7" w:rsidRPr="001658BA">
        <w:t>a</w:t>
      </w:r>
      <w:proofErr w:type="spellEnd"/>
      <w:proofErr w:type="gramEnd"/>
      <w:r w:rsidR="00BF66F7" w:rsidRPr="001658BA">
        <w:t xml:space="preserve"> </w:t>
      </w:r>
      <w:r w:rsidRPr="001658BA">
        <w:t xml:space="preserve">invasive </w:t>
      </w:r>
      <w:r w:rsidR="00BF66F7" w:rsidRPr="001658BA">
        <w:t xml:space="preserve">quarantine pest should be re-exported to the country of origin. </w:t>
      </w:r>
      <w:r w:rsidRPr="001658BA">
        <w:t>While</w:t>
      </w:r>
      <w:r w:rsidR="00BF66F7" w:rsidRPr="001658BA">
        <w:t>, current import conditions require that every consignment be fumigated with Methyl Bromide at the port on arrival (at dosages ranging from 32 to 80 g/m³), regardless of whether any pests are detected, which lacks technical justification. This practice does not align with the International Plant Protection Convention (IPPC) guidelines, which advocate for equivalency of treatment based on scientific evidence. In recognition of this issue, D</w:t>
      </w:r>
      <w:r w:rsidRPr="001658BA">
        <w:t>epartment of Plant Protection, NPPO Pakistan</w:t>
      </w:r>
      <w:r w:rsidR="00BF66F7" w:rsidRPr="001658BA">
        <w:t xml:space="preserve"> has issued two circulars aimed at preventing redundant or double fumigation</w:t>
      </w:r>
      <w:r w:rsidRPr="001658BA">
        <w:t xml:space="preserve"> of MB</w:t>
      </w:r>
      <w:r w:rsidR="00BF66F7" w:rsidRPr="001658BA">
        <w:t xml:space="preserve"> for 90 commodities, provided no live insect pests are detected during inspection.</w:t>
      </w:r>
    </w:p>
    <w:p w14:paraId="53F32CAD" w14:textId="77777777" w:rsidR="00A41234" w:rsidRPr="001658BA" w:rsidRDefault="00A41234" w:rsidP="00FF075E">
      <w:pPr>
        <w:pStyle w:val="IPPHeading1"/>
      </w:pPr>
      <w:r w:rsidRPr="001658BA">
        <w:lastRenderedPageBreak/>
        <w:t xml:space="preserve">NPPO </w:t>
      </w:r>
      <w:r w:rsidR="00607CD7">
        <w:t xml:space="preserve">of </w:t>
      </w:r>
      <w:r w:rsidRPr="001658BA">
        <w:t xml:space="preserve">Pakistan </w:t>
      </w:r>
      <w:r w:rsidR="0097506F" w:rsidRPr="001658BA">
        <w:t>Circulars</w:t>
      </w:r>
      <w:r w:rsidRPr="001658BA">
        <w:t xml:space="preserve"> regarding MB treatment: </w:t>
      </w:r>
    </w:p>
    <w:p w14:paraId="3305BE1E" w14:textId="77777777" w:rsidR="00BF66F7" w:rsidRPr="001658BA" w:rsidRDefault="00BF66F7" w:rsidP="00FF075E">
      <w:pPr>
        <w:pStyle w:val="IPPParagraphnumbering"/>
      </w:pPr>
      <w:proofErr w:type="gramStart"/>
      <w:r w:rsidRPr="001658BA">
        <w:t>The Plant Protection Advisor and Director General,</w:t>
      </w:r>
      <w:proofErr w:type="gramEnd"/>
      <w:r w:rsidRPr="001658BA">
        <w:t xml:space="preserve"> </w:t>
      </w:r>
      <w:r w:rsidR="00A41234" w:rsidRPr="001658BA">
        <w:t>issued circular that</w:t>
      </w:r>
      <w:r w:rsidRPr="001658BA">
        <w:t xml:space="preserve"> commodities that will not be fumigated on arrival if standardized treatment done prior to the shipment and found free from insect pest, noxious weeds, sign &amp; symptoms of pathogens</w:t>
      </w:r>
      <w:r w:rsidR="00446C49">
        <w:t xml:space="preserve"> while previously subjected to mandatory treatment of methyl bromide.</w:t>
      </w:r>
    </w:p>
    <w:p w14:paraId="7E5B537F" w14:textId="77777777" w:rsidR="0097506F" w:rsidRPr="001658BA" w:rsidRDefault="0097506F" w:rsidP="00FF075E">
      <w:pPr>
        <w:pStyle w:val="IPPHeading1"/>
      </w:pPr>
      <w:r w:rsidRPr="001658BA">
        <w:t>NPPO of Pakistan Way forward and Recommendations</w:t>
      </w:r>
      <w:r w:rsidR="005675AB" w:rsidRPr="001658BA">
        <w:t>:</w:t>
      </w:r>
    </w:p>
    <w:p w14:paraId="4A896F9C" w14:textId="77777777" w:rsidR="00FF075E" w:rsidRDefault="00AD4E1F" w:rsidP="00FF075E">
      <w:pPr>
        <w:pStyle w:val="IPPParagraphnumbering"/>
      </w:pPr>
      <w:r w:rsidRPr="001658BA">
        <w:t>A systems approach is a viable option, as outlined in ISPM 14 (The Use of Integrated Measures in a Systems Approach for Pest Risk Management)</w:t>
      </w:r>
      <w:r w:rsidR="0073599B" w:rsidRPr="001658BA">
        <w:t xml:space="preserve"> </w:t>
      </w:r>
      <w:r w:rsidRPr="001658BA">
        <w:t xml:space="preserve">that is being effectively utilized by several WTO </w:t>
      </w:r>
      <w:r w:rsidR="00446C49">
        <w:t>M</w:t>
      </w:r>
      <w:r w:rsidRPr="001658BA">
        <w:t>ember countries to achieve the objective of pest risk management.</w:t>
      </w:r>
    </w:p>
    <w:p w14:paraId="3309BEE1" w14:textId="49DB158E" w:rsidR="003838D6" w:rsidRPr="00FF075E" w:rsidRDefault="00AD4E1F" w:rsidP="00FF075E">
      <w:pPr>
        <w:pStyle w:val="IPPParagraphnumbering"/>
      </w:pPr>
      <w:r w:rsidRPr="00FF075E">
        <w:rPr>
          <w:sz w:val="24"/>
        </w:rPr>
        <w:t>As per Article 9 of the WTO SPS Agreement, the Department of Plant Protection (DPP)</w:t>
      </w:r>
      <w:r w:rsidR="0097506F" w:rsidRPr="00FF075E">
        <w:rPr>
          <w:sz w:val="24"/>
        </w:rPr>
        <w:t xml:space="preserve"> Pakistan</w:t>
      </w:r>
      <w:r w:rsidRPr="00FF075E">
        <w:rPr>
          <w:sz w:val="24"/>
        </w:rPr>
        <w:t xml:space="preserve">, on 19 March 2025, formally sought technical assistance from countries such as Indonesia, Japan, China, the European Union, Canada, Brazil, and the United States </w:t>
      </w:r>
      <w:proofErr w:type="gramStart"/>
      <w:r w:rsidRPr="00FF075E">
        <w:rPr>
          <w:sz w:val="24"/>
        </w:rPr>
        <w:t>in the area of</w:t>
      </w:r>
      <w:proofErr w:type="gramEnd"/>
      <w:r w:rsidRPr="00FF075E">
        <w:rPr>
          <w:sz w:val="24"/>
        </w:rPr>
        <w:t xml:space="preserve"> pest risk management, through effective phytosanitary measures, including the adoption of a systems approach</w:t>
      </w:r>
      <w:r w:rsidR="00446C49" w:rsidRPr="00FF075E">
        <w:rPr>
          <w:sz w:val="24"/>
        </w:rPr>
        <w:t>.</w:t>
      </w:r>
    </w:p>
    <w:p w14:paraId="17EC80A7" w14:textId="77777777" w:rsidR="00A775B8" w:rsidRPr="00FF075E" w:rsidRDefault="0097506F" w:rsidP="00FF075E">
      <w:pPr>
        <w:pStyle w:val="IPPParagraphnumbering"/>
        <w:rPr>
          <w:b/>
          <w:bCs/>
        </w:rPr>
      </w:pPr>
      <w:r w:rsidRPr="00FF075E">
        <w:rPr>
          <w:b/>
          <w:bCs/>
        </w:rPr>
        <w:t>In the light of information provided by International agro-trade partners it is decided:</w:t>
      </w:r>
    </w:p>
    <w:p w14:paraId="67104202" w14:textId="77777777" w:rsidR="00A775B8" w:rsidRPr="00FF075E" w:rsidRDefault="00A775B8" w:rsidP="00FF075E">
      <w:pPr>
        <w:pStyle w:val="IPPNumberedList"/>
      </w:pPr>
      <w:r w:rsidRPr="00FF075E">
        <w:t xml:space="preserve"> As per Article 2(d) of the International Plant Protection Convention (IPPC), disinfestation or disinfection of consignments shall be carried out in the country of origin instead of country of destination using mutually agreed treatments that meet the appropriate level of protection.</w:t>
      </w:r>
    </w:p>
    <w:p w14:paraId="75C14188" w14:textId="77777777" w:rsidR="00A775B8" w:rsidRPr="00FF075E" w:rsidRDefault="00A775B8" w:rsidP="00FF075E">
      <w:pPr>
        <w:pStyle w:val="IPPNumberedList"/>
      </w:pPr>
      <w:r w:rsidRPr="00FF075E">
        <w:t>As stated above, treatment with methyl bromide at 80 g/m³ for the prescribed duration is not effective in devitalizing seeds, and therefore, its use for this purpose should be discontinued.</w:t>
      </w:r>
    </w:p>
    <w:p w14:paraId="11FBF373" w14:textId="77777777" w:rsidR="00446C49" w:rsidRPr="00FF075E" w:rsidRDefault="00A775B8" w:rsidP="00FF075E">
      <w:pPr>
        <w:pStyle w:val="IPPNumberedList"/>
      </w:pPr>
      <w:r w:rsidRPr="00FF075E">
        <w:t xml:space="preserve">The Department of Plant Protection (DPP) will complete the risk assessment and finalize appropriate risk management measures, including the systems approach, through bilateral protocols where necessary, at the earliest possible time (within 3 </w:t>
      </w:r>
      <w:proofErr w:type="gramStart"/>
      <w:r w:rsidRPr="00FF075E">
        <w:t>month</w:t>
      </w:r>
      <w:proofErr w:type="gramEnd"/>
      <w:r w:rsidRPr="00FF075E">
        <w:t xml:space="preserve">). </w:t>
      </w:r>
    </w:p>
    <w:p w14:paraId="09B72BC4" w14:textId="77777777" w:rsidR="008416B9" w:rsidRPr="00FF075E" w:rsidRDefault="00A775B8" w:rsidP="00FF075E">
      <w:pPr>
        <w:pStyle w:val="IPPNumberedList"/>
      </w:pPr>
      <w:r w:rsidRPr="00FF075E">
        <w:t xml:space="preserve">It is relevant to point out that system approach essentially includes verification/ </w:t>
      </w:r>
      <w:r w:rsidR="0097506F" w:rsidRPr="00FF075E">
        <w:t>accreditation of</w:t>
      </w:r>
      <w:r w:rsidRPr="00FF075E">
        <w:t xml:space="preserve"> each step of the processing in country of origin and likewise similar action in country of destination. </w:t>
      </w:r>
    </w:p>
    <w:p w14:paraId="5316BF64" w14:textId="77777777" w:rsidR="00A775B8" w:rsidRPr="00FF075E" w:rsidRDefault="00A775B8" w:rsidP="00FF075E">
      <w:pPr>
        <w:pStyle w:val="IPPNumberedList"/>
      </w:pPr>
      <w:r w:rsidRPr="00FF075E">
        <w:t>In the event of a first violation of phytosanitary regulations, a notice of non-compliance will be issued to the exporting country. Further violations may result in appropriate actions in accordance with Article VII (1)(b) of the IPPC.</w:t>
      </w:r>
    </w:p>
    <w:p w14:paraId="31125448" w14:textId="530B310D" w:rsidR="0062098E" w:rsidRPr="00FF075E" w:rsidRDefault="00A775B8" w:rsidP="00FF075E">
      <w:pPr>
        <w:pStyle w:val="IPPNumberedList"/>
      </w:pPr>
      <w:r w:rsidRPr="00FF075E">
        <w:t>The Ministry of Climate Change may be sensitized to strengthen regulatory controls, as laid down in the license, to ensure that GM soybeans are used strictly for their intended purposes i.e., food, feed, and processing (FFP)</w:t>
      </w:r>
      <w:r w:rsidR="008416B9" w:rsidRPr="00FF075E">
        <w:t xml:space="preserve"> instead of </w:t>
      </w:r>
      <w:proofErr w:type="gramStart"/>
      <w:r w:rsidR="008416B9" w:rsidRPr="00FF075E">
        <w:t>use</w:t>
      </w:r>
      <w:proofErr w:type="gramEnd"/>
      <w:r w:rsidR="008416B9" w:rsidRPr="00FF075E">
        <w:t xml:space="preserve"> </w:t>
      </w:r>
      <w:proofErr w:type="gramStart"/>
      <w:r w:rsidR="008416B9" w:rsidRPr="00FF075E">
        <w:t>of</w:t>
      </w:r>
      <w:proofErr w:type="gramEnd"/>
      <w:r w:rsidR="008416B9" w:rsidRPr="00FF075E">
        <w:t xml:space="preserve"> heavy dose of MB for devitalization of grains.</w:t>
      </w:r>
    </w:p>
    <w:sectPr w:rsidR="0062098E" w:rsidRPr="00FF075E" w:rsidSect="00EB20AA">
      <w:headerReference w:type="default" r:id="rId10"/>
      <w:footerReference w:type="default" r:id="rId11"/>
      <w:headerReference w:type="first" r:id="rId12"/>
      <w:footerReference w:type="first" r:id="rId13"/>
      <w:pgSz w:w="11906" w:h="16838" w:code="9"/>
      <w:pgMar w:top="1440" w:right="1440" w:bottom="1440"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05F1B" w14:textId="77777777" w:rsidR="008C1F14" w:rsidRDefault="008C1F14" w:rsidP="000B2EF6">
      <w:r>
        <w:separator/>
      </w:r>
    </w:p>
  </w:endnote>
  <w:endnote w:type="continuationSeparator" w:id="0">
    <w:p w14:paraId="7AB955C3" w14:textId="77777777" w:rsidR="008C1F14" w:rsidRDefault="008C1F14" w:rsidP="000B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2E9C5" w14:textId="4F072FF6" w:rsidR="000B2EF6" w:rsidRPr="00EB20AA" w:rsidRDefault="00EB20AA" w:rsidP="00EB20AA">
    <w:pPr>
      <w:pStyle w:val="IPPFooter"/>
      <w:rPr>
        <w:b w:val="0"/>
        <w:bCs/>
      </w:rPr>
    </w:pPr>
    <w:r w:rsidRPr="00A62A0E">
      <w:t>International Plant Protection Convention</w:t>
    </w:r>
    <w:r w:rsidRPr="00A62A0E">
      <w:tab/>
    </w:r>
    <w:r w:rsidRPr="00EB20AA">
      <w:rPr>
        <w:rStyle w:val="PageNumber"/>
        <w:b/>
        <w:bCs/>
      </w:rPr>
      <w:t xml:space="preserve">Page </w:t>
    </w:r>
    <w:r w:rsidRPr="00EB20AA">
      <w:rPr>
        <w:rStyle w:val="PageNumber"/>
        <w:b/>
        <w:bCs/>
      </w:rPr>
      <w:fldChar w:fldCharType="begin"/>
    </w:r>
    <w:r w:rsidRPr="00EB20AA">
      <w:rPr>
        <w:rStyle w:val="PageNumber"/>
        <w:b/>
        <w:bCs/>
      </w:rPr>
      <w:instrText xml:space="preserve"> PAGE </w:instrText>
    </w:r>
    <w:r w:rsidRPr="00EB20AA">
      <w:rPr>
        <w:rStyle w:val="PageNumber"/>
        <w:b/>
        <w:bCs/>
      </w:rPr>
      <w:fldChar w:fldCharType="separate"/>
    </w:r>
    <w:r w:rsidRPr="00EB20AA">
      <w:rPr>
        <w:rStyle w:val="PageNumber"/>
        <w:b/>
        <w:bCs/>
      </w:rPr>
      <w:t>1</w:t>
    </w:r>
    <w:r w:rsidRPr="00EB20AA">
      <w:rPr>
        <w:rStyle w:val="PageNumber"/>
        <w:b/>
        <w:bCs/>
      </w:rPr>
      <w:fldChar w:fldCharType="end"/>
    </w:r>
    <w:r w:rsidRPr="00EB20AA">
      <w:rPr>
        <w:rStyle w:val="PageNumber"/>
        <w:b/>
        <w:bCs/>
      </w:rPr>
      <w:t xml:space="preserve"> of </w:t>
    </w:r>
    <w:r w:rsidRPr="00EB20AA">
      <w:rPr>
        <w:rStyle w:val="PageNumber"/>
        <w:b/>
        <w:bCs/>
      </w:rPr>
      <w:fldChar w:fldCharType="begin"/>
    </w:r>
    <w:r w:rsidRPr="00EB20AA">
      <w:rPr>
        <w:rStyle w:val="PageNumber"/>
        <w:b/>
        <w:bCs/>
      </w:rPr>
      <w:instrText xml:space="preserve"> NUMPAGES </w:instrText>
    </w:r>
    <w:r w:rsidRPr="00EB20AA">
      <w:rPr>
        <w:rStyle w:val="PageNumber"/>
        <w:b/>
        <w:bCs/>
      </w:rPr>
      <w:fldChar w:fldCharType="separate"/>
    </w:r>
    <w:r w:rsidRPr="00EB20AA">
      <w:rPr>
        <w:rStyle w:val="PageNumber"/>
        <w:b/>
        <w:bCs/>
      </w:rPr>
      <w:t>2</w:t>
    </w:r>
    <w:r w:rsidRPr="00EB20AA">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1705C" w14:textId="210DAA54" w:rsidR="000B2EF6" w:rsidRDefault="00EB20AA" w:rsidP="00EB20AA">
    <w:pPr>
      <w:pStyle w:val="IPPFooter"/>
    </w:pPr>
    <w:r w:rsidRPr="00A62A0E">
      <w:t>International Plant Protection Convention</w:t>
    </w:r>
    <w:r w:rsidRPr="00A62A0E">
      <w:tab/>
    </w:r>
    <w:r w:rsidRPr="00EB20AA">
      <w:rPr>
        <w:rStyle w:val="PageNumber"/>
        <w:b/>
        <w:bCs/>
      </w:rPr>
      <w:t xml:space="preserve">Page </w:t>
    </w:r>
    <w:r w:rsidRPr="00EB20AA">
      <w:rPr>
        <w:rStyle w:val="PageNumber"/>
        <w:b/>
        <w:bCs/>
      </w:rPr>
      <w:fldChar w:fldCharType="begin"/>
    </w:r>
    <w:r w:rsidRPr="00EB20AA">
      <w:rPr>
        <w:rStyle w:val="PageNumber"/>
        <w:b/>
        <w:bCs/>
      </w:rPr>
      <w:instrText xml:space="preserve"> PAGE </w:instrText>
    </w:r>
    <w:r w:rsidRPr="00EB20AA">
      <w:rPr>
        <w:rStyle w:val="PageNumber"/>
        <w:b/>
        <w:bCs/>
      </w:rPr>
      <w:fldChar w:fldCharType="separate"/>
    </w:r>
    <w:r w:rsidRPr="00EB20AA">
      <w:rPr>
        <w:rStyle w:val="PageNumber"/>
        <w:b/>
        <w:bCs/>
      </w:rPr>
      <w:t>1</w:t>
    </w:r>
    <w:r w:rsidRPr="00EB20AA">
      <w:rPr>
        <w:rStyle w:val="PageNumber"/>
        <w:b/>
        <w:bCs/>
      </w:rPr>
      <w:fldChar w:fldCharType="end"/>
    </w:r>
    <w:r w:rsidRPr="00EB20AA">
      <w:rPr>
        <w:rStyle w:val="PageNumber"/>
        <w:b/>
        <w:bCs/>
      </w:rPr>
      <w:t xml:space="preserve"> of </w:t>
    </w:r>
    <w:r w:rsidRPr="00EB20AA">
      <w:rPr>
        <w:rStyle w:val="PageNumber"/>
        <w:b/>
        <w:bCs/>
      </w:rPr>
      <w:fldChar w:fldCharType="begin"/>
    </w:r>
    <w:r w:rsidRPr="00EB20AA">
      <w:rPr>
        <w:rStyle w:val="PageNumber"/>
        <w:b/>
        <w:bCs/>
      </w:rPr>
      <w:instrText xml:space="preserve"> NUMPAGES </w:instrText>
    </w:r>
    <w:r w:rsidRPr="00EB20AA">
      <w:rPr>
        <w:rStyle w:val="PageNumber"/>
        <w:b/>
        <w:bCs/>
      </w:rPr>
      <w:fldChar w:fldCharType="separate"/>
    </w:r>
    <w:r w:rsidRPr="00EB20AA">
      <w:rPr>
        <w:rStyle w:val="PageNumber"/>
        <w:b/>
        <w:bCs/>
      </w:rPr>
      <w:t>2</w:t>
    </w:r>
    <w:r w:rsidRPr="00EB20AA">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1D33F" w14:textId="77777777" w:rsidR="008C1F14" w:rsidRDefault="008C1F14" w:rsidP="000B2EF6">
      <w:r>
        <w:separator/>
      </w:r>
    </w:p>
  </w:footnote>
  <w:footnote w:type="continuationSeparator" w:id="0">
    <w:p w14:paraId="75D4B277" w14:textId="77777777" w:rsidR="008C1F14" w:rsidRDefault="008C1F14" w:rsidP="000B2E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32BD" w14:textId="45D197DF" w:rsidR="00547DFC" w:rsidRDefault="00547DFC" w:rsidP="00547DFC">
    <w:pPr>
      <w:pBdr>
        <w:bottom w:val="single" w:sz="4" w:space="1" w:color="auto"/>
      </w:pBdr>
      <w:tabs>
        <w:tab w:val="right" w:pos="9072"/>
      </w:tabs>
      <w:spacing w:before="120"/>
    </w:pPr>
    <w:bookmarkStart w:id="1" w:name="_Hlk210637792"/>
    <w:bookmarkStart w:id="2" w:name="_Hlk210637793"/>
    <w:bookmarkStart w:id="3" w:name="_Hlk210637815"/>
    <w:bookmarkStart w:id="4" w:name="_Hlk210637816"/>
    <w:bookmarkStart w:id="5" w:name="_Hlk210637818"/>
    <w:bookmarkStart w:id="6" w:name="_Hlk210637819"/>
    <w:bookmarkStart w:id="7" w:name="_Hlk210637820"/>
    <w:bookmarkStart w:id="8" w:name="_Hlk210637821"/>
    <w:r>
      <w:rPr>
        <w:rFonts w:ascii="Arial" w:hAnsi="Arial" w:cs="Arial"/>
        <w:sz w:val="18"/>
        <w:szCs w:val="18"/>
      </w:rPr>
      <w:t>21</w:t>
    </w:r>
    <w:r w:rsidRPr="1B6BA12E">
      <w:rPr>
        <w:rFonts w:ascii="Arial" w:hAnsi="Arial" w:cs="Arial"/>
        <w:sz w:val="18"/>
        <w:szCs w:val="18"/>
      </w:rPr>
      <w:t>_SPG_202</w:t>
    </w:r>
    <w:r>
      <w:rPr>
        <w:rFonts w:ascii="Arial" w:hAnsi="Arial" w:cs="Arial"/>
        <w:sz w:val="18"/>
        <w:szCs w:val="18"/>
      </w:rPr>
      <w:t>5</w:t>
    </w:r>
    <w:r w:rsidRPr="1B6BA12E">
      <w:rPr>
        <w:rFonts w:ascii="Arial" w:hAnsi="Arial" w:cs="Arial"/>
        <w:sz w:val="18"/>
        <w:szCs w:val="18"/>
      </w:rPr>
      <w:t>_Oct</w:t>
    </w:r>
    <w:r>
      <w:rPr>
        <w:rFonts w:ascii="Arial" w:hAnsi="Arial" w:cs="Arial"/>
        <w:sz w:val="18"/>
        <w:szCs w:val="18"/>
      </w:rPr>
      <w:t xml:space="preserve"> (11.4)</w:t>
    </w:r>
    <w:bookmarkEnd w:id="1"/>
    <w:bookmarkEnd w:id="2"/>
    <w:bookmarkEnd w:id="3"/>
    <w:bookmarkEnd w:id="4"/>
    <w:bookmarkEnd w:id="5"/>
    <w:bookmarkEnd w:id="6"/>
    <w:bookmarkEnd w:id="7"/>
    <w:bookmarkEnd w:id="8"/>
    <w:r>
      <w:ptab w:relativeTo="margin" w:alignment="right" w:leader="none"/>
    </w:r>
    <w:r w:rsidRPr="00547DFC">
      <w:rPr>
        <w:rFonts w:ascii="Arial" w:hAnsi="Arial" w:cs="Arial"/>
        <w:sz w:val="18"/>
        <w:szCs w:val="18"/>
      </w:rPr>
      <w:t>Reduction and replacement of Methyl Bromide as phytosanitary treatment in Pakistan</w:t>
    </w:r>
  </w:p>
  <w:p w14:paraId="134B003E" w14:textId="77777777" w:rsidR="000B2EF6" w:rsidRDefault="000B2E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9815" w14:textId="77777777" w:rsidR="00A5481E" w:rsidRDefault="00A5481E" w:rsidP="00A5481E">
    <w:pPr>
      <w:pStyle w:val="Header"/>
    </w:pPr>
    <w:bookmarkStart w:id="9" w:name="_Hlk210637755"/>
  </w:p>
  <w:p w14:paraId="60A7343F" w14:textId="5BC4B8A1" w:rsidR="00A5481E" w:rsidRDefault="00A5481E" w:rsidP="00A5481E">
    <w:pPr>
      <w:pStyle w:val="IPPHeader"/>
      <w:tabs>
        <w:tab w:val="clear" w:pos="1134"/>
      </w:tabs>
      <w:spacing w:before="240" w:after="0"/>
      <w:ind w:left="880"/>
    </w:pPr>
    <w:bookmarkStart w:id="10" w:name="_Hlk38796923"/>
    <w:bookmarkStart w:id="11" w:name="_Hlk38796924"/>
    <w:r>
      <w:rPr>
        <w:i/>
        <w:iCs/>
        <w:noProof/>
        <w14:ligatures w14:val="standardContextual"/>
      </w:rPr>
      <w:drawing>
        <wp:anchor distT="0" distB="0" distL="114300" distR="114300" simplePos="0" relativeHeight="251661312" behindDoc="0" locked="0" layoutInCell="1" allowOverlap="1" wp14:anchorId="1E25B2CD" wp14:editId="27493220">
          <wp:simplePos x="0" y="0"/>
          <wp:positionH relativeFrom="page">
            <wp:posOffset>2520315</wp:posOffset>
          </wp:positionH>
          <wp:positionV relativeFrom="page">
            <wp:posOffset>558165</wp:posOffset>
          </wp:positionV>
          <wp:extent cx="1756800" cy="698400"/>
          <wp:effectExtent l="0" t="0" r="0" b="6985"/>
          <wp:wrapSquare wrapText="bothSides"/>
          <wp:docPr id="71870388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0" locked="0" layoutInCell="1" allowOverlap="1" wp14:anchorId="3E14AC53" wp14:editId="3A23B68F">
              <wp:simplePos x="0" y="0"/>
              <wp:positionH relativeFrom="margin">
                <wp:posOffset>1574800</wp:posOffset>
              </wp:positionH>
              <wp:positionV relativeFrom="page">
                <wp:posOffset>720090</wp:posOffset>
              </wp:positionV>
              <wp:extent cx="0" cy="360000"/>
              <wp:effectExtent l="0" t="0" r="38100" b="21590"/>
              <wp:wrapNone/>
              <wp:docPr id="320414918"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20650A9"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4pt,56.7pt" to="124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9264" behindDoc="0" locked="0" layoutInCell="1" allowOverlap="1" wp14:anchorId="071F4D97" wp14:editId="56F051D3">
          <wp:simplePos x="0" y="0"/>
          <wp:positionH relativeFrom="page">
            <wp:posOffset>0</wp:posOffset>
          </wp:positionH>
          <wp:positionV relativeFrom="page">
            <wp:posOffset>0</wp:posOffset>
          </wp:positionV>
          <wp:extent cx="7617600" cy="558000"/>
          <wp:effectExtent l="0" t="0" r="2540" b="0"/>
          <wp:wrapTopAndBottom/>
          <wp:docPr id="1316512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0288" behindDoc="0" locked="0" layoutInCell="1" allowOverlap="1" wp14:anchorId="5C7FFFCA" wp14:editId="3584D70E">
          <wp:simplePos x="0" y="0"/>
          <wp:positionH relativeFrom="page">
            <wp:posOffset>742950</wp:posOffset>
          </wp:positionH>
          <wp:positionV relativeFrom="page">
            <wp:posOffset>558165</wp:posOffset>
          </wp:positionV>
          <wp:extent cx="1728000" cy="698400"/>
          <wp:effectExtent l="0" t="0" r="5715" b="6985"/>
          <wp:wrapSquare wrapText="bothSides"/>
          <wp:docPr id="25438747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tab/>
    </w:r>
    <w:r>
      <w:t>21</w:t>
    </w:r>
    <w:r>
      <w:t>_SPG_2025</w:t>
    </w:r>
    <w:r w:rsidRPr="00606019">
      <w:t>_</w:t>
    </w:r>
    <w:r>
      <w:t>Oct</w:t>
    </w:r>
  </w:p>
  <w:p w14:paraId="098C2DD5" w14:textId="5DA6047E" w:rsidR="00A5481E" w:rsidRDefault="00A5481E" w:rsidP="00A5481E">
    <w:pPr>
      <w:pStyle w:val="IPPHeader"/>
      <w:tabs>
        <w:tab w:val="clear" w:pos="1134"/>
      </w:tabs>
      <w:spacing w:after="0"/>
      <w:ind w:left="880"/>
    </w:pPr>
    <w:r w:rsidRPr="0076596B">
      <w:tab/>
      <w:t xml:space="preserve">Agenda item: </w:t>
    </w:r>
    <w:r>
      <w:t>11.4</w:t>
    </w:r>
  </w:p>
  <w:p w14:paraId="61C6E8CB" w14:textId="77777777" w:rsidR="00A5481E" w:rsidRDefault="00A5481E" w:rsidP="00A5481E">
    <w:pPr>
      <w:pStyle w:val="IPPHeader"/>
      <w:tabs>
        <w:tab w:val="clear" w:pos="1134"/>
      </w:tabs>
      <w:spacing w:after="260"/>
      <w:ind w:left="880"/>
    </w:pPr>
  </w:p>
  <w:bookmarkEnd w:id="10"/>
  <w:bookmarkEnd w:id="11"/>
  <w:p w14:paraId="26DD983A" w14:textId="3F23EC28" w:rsidR="00A5481E" w:rsidRPr="0044520D" w:rsidRDefault="00E60B3C" w:rsidP="00E60B3C">
    <w:pPr>
      <w:pStyle w:val="IPPHeader"/>
      <w:ind w:left="880"/>
    </w:pPr>
    <w:r>
      <w:t>Reduction and replacement of Methyl Bromide as phytosanitary treatment in Pakistan</w:t>
    </w:r>
    <w:r>
      <w:t xml:space="preserve"> </w:t>
    </w:r>
  </w:p>
  <w:bookmarkEnd w:id="9"/>
  <w:p w14:paraId="4BEE5AE1" w14:textId="77777777" w:rsidR="000B2EF6" w:rsidRDefault="000B2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4C0A6C"/>
    <w:multiLevelType w:val="multilevel"/>
    <w:tmpl w:val="06E871E4"/>
    <w:numStyleLink w:val="IPPParagraphnumberedlist"/>
  </w:abstractNum>
  <w:abstractNum w:abstractNumId="12"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A061C1B"/>
    <w:multiLevelType w:val="hybridMultilevel"/>
    <w:tmpl w:val="CD70E130"/>
    <w:lvl w:ilvl="0" w:tplc="E59C3E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1EAB3168"/>
    <w:multiLevelType w:val="multilevel"/>
    <w:tmpl w:val="75D623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CE5772"/>
    <w:multiLevelType w:val="hybridMultilevel"/>
    <w:tmpl w:val="67A8237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694EB4"/>
    <w:multiLevelType w:val="hybridMultilevel"/>
    <w:tmpl w:val="7BC018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9" w15:restartNumberingAfterBreak="0">
    <w:nsid w:val="3A447085"/>
    <w:multiLevelType w:val="hybridMultilevel"/>
    <w:tmpl w:val="FD683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726EF7"/>
    <w:multiLevelType w:val="hybridMultilevel"/>
    <w:tmpl w:val="B8B2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566394"/>
    <w:multiLevelType w:val="hybridMultilevel"/>
    <w:tmpl w:val="D5468B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5"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47180B"/>
    <w:multiLevelType w:val="hybridMultilevel"/>
    <w:tmpl w:val="090A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031685"/>
    <w:multiLevelType w:val="hybridMultilevel"/>
    <w:tmpl w:val="CA14003E"/>
    <w:lvl w:ilvl="0" w:tplc="62A4AE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CE3D8D"/>
    <w:multiLevelType w:val="hybridMultilevel"/>
    <w:tmpl w:val="07189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90933100">
    <w:abstractNumId w:val="15"/>
  </w:num>
  <w:num w:numId="2" w16cid:durableId="440345427">
    <w:abstractNumId w:val="27"/>
  </w:num>
  <w:num w:numId="3" w16cid:durableId="785319286">
    <w:abstractNumId w:val="16"/>
  </w:num>
  <w:num w:numId="4" w16cid:durableId="88047336">
    <w:abstractNumId w:val="21"/>
  </w:num>
  <w:num w:numId="5" w16cid:durableId="886141550">
    <w:abstractNumId w:val="22"/>
  </w:num>
  <w:num w:numId="6" w16cid:durableId="2090493066">
    <w:abstractNumId w:val="17"/>
  </w:num>
  <w:num w:numId="7" w16cid:durableId="1530214920">
    <w:abstractNumId w:val="13"/>
  </w:num>
  <w:num w:numId="8" w16cid:durableId="810751541">
    <w:abstractNumId w:val="28"/>
  </w:num>
  <w:num w:numId="9" w16cid:durableId="104203615">
    <w:abstractNumId w:val="19"/>
  </w:num>
  <w:num w:numId="10" w16cid:durableId="1328484815">
    <w:abstractNumId w:val="29"/>
  </w:num>
  <w:num w:numId="11" w16cid:durableId="1226531976">
    <w:abstractNumId w:val="25"/>
  </w:num>
  <w:num w:numId="12" w16cid:durableId="1749381087">
    <w:abstractNumId w:val="12"/>
  </w:num>
  <w:num w:numId="13" w16cid:durableId="1634940127">
    <w:abstractNumId w:val="11"/>
  </w:num>
  <w:num w:numId="14" w16cid:durableId="1189366223">
    <w:abstractNumId w:val="18"/>
  </w:num>
  <w:num w:numId="15" w16cid:durableId="1358458346">
    <w:abstractNumId w:val="30"/>
  </w:num>
  <w:num w:numId="16" w16cid:durableId="636107580">
    <w:abstractNumId w:val="24"/>
  </w:num>
  <w:num w:numId="17" w16cid:durableId="735201531">
    <w:abstractNumId w:val="20"/>
  </w:num>
  <w:num w:numId="18" w16cid:durableId="625426921">
    <w:abstractNumId w:val="31"/>
  </w:num>
  <w:num w:numId="19" w16cid:durableId="751855798">
    <w:abstractNumId w:val="14"/>
  </w:num>
  <w:num w:numId="20" w16cid:durableId="678849787">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875580671">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866791825">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976033951">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4" w16cid:durableId="1230070415">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5" w16cid:durableId="1977955482">
    <w:abstractNumId w:val="11"/>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16cid:durableId="1752699161">
    <w:abstractNumId w:val="10"/>
  </w:num>
  <w:num w:numId="27" w16cid:durableId="1096559190">
    <w:abstractNumId w:val="23"/>
  </w:num>
  <w:num w:numId="28" w16cid:durableId="259989354">
    <w:abstractNumId w:val="26"/>
  </w:num>
  <w:num w:numId="29" w16cid:durableId="1712146357">
    <w:abstractNumId w:val="9"/>
  </w:num>
  <w:num w:numId="30" w16cid:durableId="1722557205">
    <w:abstractNumId w:val="7"/>
  </w:num>
  <w:num w:numId="31" w16cid:durableId="1201271">
    <w:abstractNumId w:val="6"/>
  </w:num>
  <w:num w:numId="32" w16cid:durableId="185826108">
    <w:abstractNumId w:val="5"/>
  </w:num>
  <w:num w:numId="33" w16cid:durableId="257298398">
    <w:abstractNumId w:val="4"/>
  </w:num>
  <w:num w:numId="34" w16cid:durableId="1676423577">
    <w:abstractNumId w:val="8"/>
  </w:num>
  <w:num w:numId="35" w16cid:durableId="125778737">
    <w:abstractNumId w:val="3"/>
  </w:num>
  <w:num w:numId="36" w16cid:durableId="776291828">
    <w:abstractNumId w:val="2"/>
  </w:num>
  <w:num w:numId="37" w16cid:durableId="410125225">
    <w:abstractNumId w:val="1"/>
  </w:num>
  <w:num w:numId="38" w16cid:durableId="128011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F0"/>
    <w:rsid w:val="000A012A"/>
    <w:rsid w:val="000B2EF6"/>
    <w:rsid w:val="001658BA"/>
    <w:rsid w:val="001E002B"/>
    <w:rsid w:val="001E2177"/>
    <w:rsid w:val="001E2860"/>
    <w:rsid w:val="001F7221"/>
    <w:rsid w:val="00215DCF"/>
    <w:rsid w:val="0025444D"/>
    <w:rsid w:val="002671D8"/>
    <w:rsid w:val="003838D6"/>
    <w:rsid w:val="003905D6"/>
    <w:rsid w:val="003F63F4"/>
    <w:rsid w:val="00446C49"/>
    <w:rsid w:val="00453789"/>
    <w:rsid w:val="0047063B"/>
    <w:rsid w:val="00547DFC"/>
    <w:rsid w:val="005675AB"/>
    <w:rsid w:val="00607CD7"/>
    <w:rsid w:val="0062098E"/>
    <w:rsid w:val="00675851"/>
    <w:rsid w:val="00686FAF"/>
    <w:rsid w:val="007161B5"/>
    <w:rsid w:val="007304BA"/>
    <w:rsid w:val="0073599B"/>
    <w:rsid w:val="0074785F"/>
    <w:rsid w:val="007560DD"/>
    <w:rsid w:val="007D1C91"/>
    <w:rsid w:val="00815AA2"/>
    <w:rsid w:val="008416B9"/>
    <w:rsid w:val="00845CDA"/>
    <w:rsid w:val="00856291"/>
    <w:rsid w:val="0088362A"/>
    <w:rsid w:val="008C1F14"/>
    <w:rsid w:val="008F4F42"/>
    <w:rsid w:val="008F4F96"/>
    <w:rsid w:val="0097506F"/>
    <w:rsid w:val="00A355A2"/>
    <w:rsid w:val="00A41234"/>
    <w:rsid w:val="00A52779"/>
    <w:rsid w:val="00A5481E"/>
    <w:rsid w:val="00A775B8"/>
    <w:rsid w:val="00AD4E1F"/>
    <w:rsid w:val="00AF7BAC"/>
    <w:rsid w:val="00B45967"/>
    <w:rsid w:val="00B61E80"/>
    <w:rsid w:val="00BF66F7"/>
    <w:rsid w:val="00C57DDD"/>
    <w:rsid w:val="00CD3AF0"/>
    <w:rsid w:val="00D17770"/>
    <w:rsid w:val="00DB21BF"/>
    <w:rsid w:val="00E140B5"/>
    <w:rsid w:val="00E60B3C"/>
    <w:rsid w:val="00E71E20"/>
    <w:rsid w:val="00EB20AA"/>
    <w:rsid w:val="00F5265C"/>
    <w:rsid w:val="00FA1A90"/>
    <w:rsid w:val="00FC2326"/>
    <w:rsid w:val="00FD4601"/>
    <w:rsid w:val="00FF0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67DC5"/>
  <w15:chartTrackingRefBased/>
  <w15:docId w15:val="{A29A9784-9B42-4AF5-A202-956266EE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B5"/>
    <w:pPr>
      <w:spacing w:after="0" w:line="240" w:lineRule="auto"/>
      <w:jc w:val="both"/>
    </w:pPr>
    <w:rPr>
      <w:rFonts w:ascii="Times New Roman" w:eastAsia="MS Mincho" w:hAnsi="Times New Roman" w:cs="Times New Roman"/>
      <w:kern w:val="0"/>
      <w:sz w:val="22"/>
      <w:lang w:val="en-GB"/>
      <w14:ligatures w14:val="none"/>
    </w:rPr>
  </w:style>
  <w:style w:type="paragraph" w:styleId="Heading1">
    <w:name w:val="heading 1"/>
    <w:basedOn w:val="Normal"/>
    <w:next w:val="Normal"/>
    <w:link w:val="Heading1Char"/>
    <w:qFormat/>
    <w:rsid w:val="007161B5"/>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7161B5"/>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7161B5"/>
    <w:pPr>
      <w:keepNext/>
      <w:spacing w:before="240" w:after="60"/>
      <w:outlineLvl w:val="2"/>
    </w:pPr>
    <w:rPr>
      <w:rFonts w:ascii="Calibri" w:hAnsi="Calibri"/>
      <w:b/>
      <w:bCs/>
      <w:sz w:val="26"/>
      <w:szCs w:val="26"/>
    </w:rPr>
  </w:style>
  <w:style w:type="paragraph" w:styleId="Heading4">
    <w:name w:val="heading 4"/>
    <w:basedOn w:val="Normal"/>
    <w:next w:val="Normal"/>
    <w:link w:val="Heading4Char"/>
    <w:uiPriority w:val="9"/>
    <w:semiHidden/>
    <w:unhideWhenUsed/>
    <w:qFormat/>
    <w:rsid w:val="00CD3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3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3A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A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A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A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7161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161B5"/>
  </w:style>
  <w:style w:type="character" w:customStyle="1" w:styleId="Heading1Char">
    <w:name w:val="Heading 1 Char"/>
    <w:basedOn w:val="DefaultParagraphFont"/>
    <w:link w:val="Heading1"/>
    <w:rsid w:val="007161B5"/>
    <w:rPr>
      <w:rFonts w:ascii="Times New Roman" w:eastAsia="MS Mincho" w:hAnsi="Times New Roman" w:cs="Times New Roman"/>
      <w:b/>
      <w:bCs/>
      <w:kern w:val="0"/>
      <w:sz w:val="22"/>
      <w:lang w:val="en-GB"/>
      <w14:ligatures w14:val="none"/>
    </w:rPr>
  </w:style>
  <w:style w:type="character" w:customStyle="1" w:styleId="Heading2Char">
    <w:name w:val="Heading 2 Char"/>
    <w:basedOn w:val="DefaultParagraphFont"/>
    <w:link w:val="Heading2"/>
    <w:rsid w:val="007161B5"/>
    <w:rPr>
      <w:rFonts w:ascii="Calibri" w:eastAsia="MS Mincho" w:hAnsi="Calibri" w:cs="Times New Roman"/>
      <w:b/>
      <w:bCs/>
      <w:i/>
      <w:iCs/>
      <w:kern w:val="0"/>
      <w:sz w:val="28"/>
      <w:szCs w:val="28"/>
      <w:lang w:val="en-GB"/>
      <w14:ligatures w14:val="none"/>
    </w:rPr>
  </w:style>
  <w:style w:type="character" w:customStyle="1" w:styleId="Heading3Char">
    <w:name w:val="Heading 3 Char"/>
    <w:basedOn w:val="DefaultParagraphFont"/>
    <w:link w:val="Heading3"/>
    <w:rsid w:val="007161B5"/>
    <w:rPr>
      <w:rFonts w:ascii="Calibri" w:eastAsia="MS Mincho" w:hAnsi="Calibri" w:cs="Times New Roman"/>
      <w:b/>
      <w:bCs/>
      <w:kern w:val="0"/>
      <w:sz w:val="26"/>
      <w:szCs w:val="26"/>
      <w:lang w:val="en-GB"/>
      <w14:ligatures w14:val="none"/>
    </w:rPr>
  </w:style>
  <w:style w:type="character" w:customStyle="1" w:styleId="Heading4Char">
    <w:name w:val="Heading 4 Char"/>
    <w:basedOn w:val="DefaultParagraphFont"/>
    <w:link w:val="Heading4"/>
    <w:uiPriority w:val="9"/>
    <w:semiHidden/>
    <w:rsid w:val="00CD3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3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3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AF0"/>
    <w:rPr>
      <w:rFonts w:eastAsiaTheme="majorEastAsia" w:cstheme="majorBidi"/>
      <w:color w:val="272727" w:themeColor="text1" w:themeTint="D8"/>
    </w:rPr>
  </w:style>
  <w:style w:type="paragraph" w:styleId="Title">
    <w:name w:val="Title"/>
    <w:basedOn w:val="Normal"/>
    <w:next w:val="Normal"/>
    <w:link w:val="TitleChar"/>
    <w:uiPriority w:val="10"/>
    <w:qFormat/>
    <w:rsid w:val="00CD3A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AF0"/>
    <w:pPr>
      <w:spacing w:before="160"/>
      <w:jc w:val="center"/>
    </w:pPr>
    <w:rPr>
      <w:i/>
      <w:iCs/>
      <w:color w:val="404040" w:themeColor="text1" w:themeTint="BF"/>
    </w:rPr>
  </w:style>
  <w:style w:type="character" w:customStyle="1" w:styleId="QuoteChar">
    <w:name w:val="Quote Char"/>
    <w:basedOn w:val="DefaultParagraphFont"/>
    <w:link w:val="Quote"/>
    <w:uiPriority w:val="29"/>
    <w:rsid w:val="00CD3AF0"/>
    <w:rPr>
      <w:i/>
      <w:iCs/>
      <w:color w:val="404040" w:themeColor="text1" w:themeTint="BF"/>
    </w:rPr>
  </w:style>
  <w:style w:type="paragraph" w:styleId="ListParagraph">
    <w:name w:val="List Paragraph"/>
    <w:basedOn w:val="Normal"/>
    <w:uiPriority w:val="34"/>
    <w:qFormat/>
    <w:rsid w:val="007161B5"/>
    <w:pPr>
      <w:spacing w:line="240" w:lineRule="atLeast"/>
      <w:ind w:leftChars="400" w:left="800"/>
    </w:pPr>
    <w:rPr>
      <w:rFonts w:ascii="Verdana" w:eastAsia="Times New Roman" w:hAnsi="Verdana"/>
      <w:sz w:val="20"/>
      <w:lang w:val="nl-NL" w:eastAsia="nl-NL"/>
    </w:rPr>
  </w:style>
  <w:style w:type="character" w:styleId="IntenseEmphasis">
    <w:name w:val="Intense Emphasis"/>
    <w:basedOn w:val="DefaultParagraphFont"/>
    <w:uiPriority w:val="21"/>
    <w:qFormat/>
    <w:rsid w:val="00CD3AF0"/>
    <w:rPr>
      <w:i/>
      <w:iCs/>
      <w:color w:val="2F5496" w:themeColor="accent1" w:themeShade="BF"/>
    </w:rPr>
  </w:style>
  <w:style w:type="paragraph" w:styleId="IntenseQuote">
    <w:name w:val="Intense Quote"/>
    <w:basedOn w:val="Normal"/>
    <w:next w:val="Normal"/>
    <w:link w:val="IntenseQuoteChar"/>
    <w:uiPriority w:val="30"/>
    <w:qFormat/>
    <w:rsid w:val="00CD3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3AF0"/>
    <w:rPr>
      <w:i/>
      <w:iCs/>
      <w:color w:val="2F5496" w:themeColor="accent1" w:themeShade="BF"/>
    </w:rPr>
  </w:style>
  <w:style w:type="character" w:styleId="IntenseReference">
    <w:name w:val="Intense Reference"/>
    <w:basedOn w:val="DefaultParagraphFont"/>
    <w:uiPriority w:val="32"/>
    <w:qFormat/>
    <w:rsid w:val="00CD3AF0"/>
    <w:rPr>
      <w:b/>
      <w:bCs/>
      <w:smallCaps/>
      <w:color w:val="2F5496" w:themeColor="accent1" w:themeShade="BF"/>
      <w:spacing w:val="5"/>
    </w:rPr>
  </w:style>
  <w:style w:type="paragraph" w:styleId="Header">
    <w:name w:val="header"/>
    <w:basedOn w:val="Normal"/>
    <w:link w:val="HeaderChar"/>
    <w:rsid w:val="007161B5"/>
    <w:pPr>
      <w:tabs>
        <w:tab w:val="center" w:pos="4680"/>
        <w:tab w:val="right" w:pos="9360"/>
      </w:tabs>
    </w:pPr>
  </w:style>
  <w:style w:type="character" w:customStyle="1" w:styleId="HeaderChar">
    <w:name w:val="Header Char"/>
    <w:basedOn w:val="DefaultParagraphFont"/>
    <w:link w:val="Header"/>
    <w:rsid w:val="007161B5"/>
    <w:rPr>
      <w:rFonts w:ascii="Times New Roman" w:eastAsia="MS Mincho" w:hAnsi="Times New Roman" w:cs="Times New Roman"/>
      <w:kern w:val="0"/>
      <w:sz w:val="22"/>
      <w:lang w:val="en-GB"/>
      <w14:ligatures w14:val="none"/>
    </w:rPr>
  </w:style>
  <w:style w:type="paragraph" w:styleId="Footer">
    <w:name w:val="footer"/>
    <w:basedOn w:val="Normal"/>
    <w:link w:val="FooterChar"/>
    <w:rsid w:val="007161B5"/>
    <w:pPr>
      <w:tabs>
        <w:tab w:val="center" w:pos="4680"/>
        <w:tab w:val="right" w:pos="9360"/>
      </w:tabs>
    </w:pPr>
  </w:style>
  <w:style w:type="character" w:customStyle="1" w:styleId="FooterChar">
    <w:name w:val="Footer Char"/>
    <w:basedOn w:val="DefaultParagraphFont"/>
    <w:link w:val="Footer"/>
    <w:rsid w:val="007161B5"/>
    <w:rPr>
      <w:rFonts w:ascii="Times New Roman" w:eastAsia="MS Mincho" w:hAnsi="Times New Roman" w:cs="Times New Roman"/>
      <w:kern w:val="0"/>
      <w:sz w:val="22"/>
      <w:lang w:val="en-GB"/>
      <w14:ligatures w14:val="none"/>
    </w:rPr>
  </w:style>
  <w:style w:type="paragraph" w:styleId="FootnoteText">
    <w:name w:val="footnote text"/>
    <w:basedOn w:val="Normal"/>
    <w:link w:val="FootnoteTextChar"/>
    <w:semiHidden/>
    <w:rsid w:val="007161B5"/>
    <w:pPr>
      <w:spacing w:before="60"/>
    </w:pPr>
    <w:rPr>
      <w:sz w:val="20"/>
    </w:rPr>
  </w:style>
  <w:style w:type="character" w:customStyle="1" w:styleId="FootnoteTextChar">
    <w:name w:val="Footnote Text Char"/>
    <w:basedOn w:val="DefaultParagraphFont"/>
    <w:link w:val="FootnoteText"/>
    <w:semiHidden/>
    <w:rsid w:val="007161B5"/>
    <w:rPr>
      <w:rFonts w:ascii="Times New Roman" w:eastAsia="MS Mincho" w:hAnsi="Times New Roman" w:cs="Times New Roman"/>
      <w:kern w:val="0"/>
      <w:sz w:val="20"/>
      <w:lang w:val="en-GB"/>
      <w14:ligatures w14:val="none"/>
    </w:rPr>
  </w:style>
  <w:style w:type="character" w:styleId="FootnoteReference">
    <w:name w:val="footnote reference"/>
    <w:basedOn w:val="DefaultParagraphFont"/>
    <w:semiHidden/>
    <w:rsid w:val="007161B5"/>
    <w:rPr>
      <w:vertAlign w:val="superscript"/>
    </w:rPr>
  </w:style>
  <w:style w:type="paragraph" w:customStyle="1" w:styleId="Style">
    <w:name w:val="Style"/>
    <w:basedOn w:val="Footer"/>
    <w:autoRedefine/>
    <w:qFormat/>
    <w:rsid w:val="007161B5"/>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7161B5"/>
    <w:rPr>
      <w:rFonts w:ascii="Arial" w:hAnsi="Arial"/>
      <w:b/>
      <w:sz w:val="18"/>
    </w:rPr>
  </w:style>
  <w:style w:type="paragraph" w:customStyle="1" w:styleId="IPPArialFootnote">
    <w:name w:val="IPP Arial Footnote"/>
    <w:basedOn w:val="IPPArialTable"/>
    <w:qFormat/>
    <w:rsid w:val="007161B5"/>
    <w:pPr>
      <w:tabs>
        <w:tab w:val="left" w:pos="28"/>
      </w:tabs>
      <w:ind w:left="284" w:hanging="284"/>
    </w:pPr>
    <w:rPr>
      <w:sz w:val="16"/>
    </w:rPr>
  </w:style>
  <w:style w:type="paragraph" w:customStyle="1" w:styleId="IPPContentsHead">
    <w:name w:val="IPP ContentsHead"/>
    <w:basedOn w:val="IPPSubhead"/>
    <w:next w:val="IPPNormal"/>
    <w:qFormat/>
    <w:rsid w:val="007161B5"/>
    <w:pPr>
      <w:spacing w:after="240"/>
    </w:pPr>
    <w:rPr>
      <w:sz w:val="24"/>
    </w:rPr>
  </w:style>
  <w:style w:type="table" w:styleId="TableGrid">
    <w:name w:val="Table Grid"/>
    <w:basedOn w:val="TableNormal"/>
    <w:rsid w:val="007161B5"/>
    <w:pPr>
      <w:spacing w:after="0" w:line="240" w:lineRule="auto"/>
    </w:pPr>
    <w:rPr>
      <w:rFonts w:ascii="Cambria" w:eastAsia="MS Mincho" w:hAnsi="Cambria" w:cs="Times New Roman"/>
      <w:kern w:val="0"/>
      <w:sz w:val="20"/>
      <w:szCs w:val="20"/>
      <w:lang w:val="en-GB"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161B5"/>
    <w:rPr>
      <w:rFonts w:ascii="Tahoma" w:hAnsi="Tahoma" w:cs="Tahoma"/>
      <w:sz w:val="16"/>
      <w:szCs w:val="16"/>
    </w:rPr>
  </w:style>
  <w:style w:type="character" w:customStyle="1" w:styleId="BalloonTextChar">
    <w:name w:val="Balloon Text Char"/>
    <w:basedOn w:val="DefaultParagraphFont"/>
    <w:link w:val="BalloonText"/>
    <w:rsid w:val="007161B5"/>
    <w:rPr>
      <w:rFonts w:ascii="Tahoma" w:eastAsia="MS Mincho" w:hAnsi="Tahoma" w:cs="Tahoma"/>
      <w:kern w:val="0"/>
      <w:sz w:val="16"/>
      <w:szCs w:val="16"/>
      <w:lang w:val="en-GB"/>
      <w14:ligatures w14:val="none"/>
    </w:rPr>
  </w:style>
  <w:style w:type="paragraph" w:customStyle="1" w:styleId="IPPBullet2">
    <w:name w:val="IPP Bullet2"/>
    <w:basedOn w:val="IPPNormal"/>
    <w:next w:val="IPPBullet1"/>
    <w:qFormat/>
    <w:rsid w:val="007161B5"/>
    <w:pPr>
      <w:numPr>
        <w:numId w:val="15"/>
      </w:numPr>
      <w:tabs>
        <w:tab w:val="left" w:pos="1134"/>
      </w:tabs>
      <w:spacing w:after="60"/>
      <w:ind w:left="1134" w:hanging="567"/>
    </w:pPr>
  </w:style>
  <w:style w:type="paragraph" w:customStyle="1" w:styleId="IPPQuote">
    <w:name w:val="IPP Quote"/>
    <w:basedOn w:val="IPPNormal"/>
    <w:qFormat/>
    <w:rsid w:val="007161B5"/>
    <w:pPr>
      <w:ind w:left="851" w:right="851"/>
    </w:pPr>
    <w:rPr>
      <w:sz w:val="18"/>
    </w:rPr>
  </w:style>
  <w:style w:type="paragraph" w:customStyle="1" w:styleId="IPPNormal">
    <w:name w:val="IPP Normal"/>
    <w:basedOn w:val="Normal"/>
    <w:qFormat/>
    <w:rsid w:val="007161B5"/>
    <w:pPr>
      <w:spacing w:after="180"/>
    </w:pPr>
    <w:rPr>
      <w:rFonts w:eastAsia="Times"/>
    </w:rPr>
  </w:style>
  <w:style w:type="paragraph" w:customStyle="1" w:styleId="IPPIndentClose">
    <w:name w:val="IPP Indent Close"/>
    <w:basedOn w:val="IPPNormal"/>
    <w:qFormat/>
    <w:rsid w:val="007161B5"/>
    <w:pPr>
      <w:tabs>
        <w:tab w:val="left" w:pos="2835"/>
      </w:tabs>
      <w:spacing w:after="60"/>
      <w:ind w:left="567"/>
    </w:pPr>
  </w:style>
  <w:style w:type="paragraph" w:customStyle="1" w:styleId="IPPIndent">
    <w:name w:val="IPP Indent"/>
    <w:basedOn w:val="IPPIndentClose"/>
    <w:qFormat/>
    <w:rsid w:val="007161B5"/>
    <w:pPr>
      <w:spacing w:after="180"/>
    </w:pPr>
  </w:style>
  <w:style w:type="paragraph" w:customStyle="1" w:styleId="IPPFootnote">
    <w:name w:val="IPP Footnote"/>
    <w:basedOn w:val="IPPArialFootnote"/>
    <w:qFormat/>
    <w:rsid w:val="007161B5"/>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7161B5"/>
    <w:pPr>
      <w:keepNext/>
      <w:tabs>
        <w:tab w:val="left" w:pos="567"/>
      </w:tabs>
      <w:spacing w:before="120" w:after="120"/>
      <w:ind w:left="567" w:hanging="567"/>
    </w:pPr>
    <w:rPr>
      <w:b/>
      <w:i/>
    </w:rPr>
  </w:style>
  <w:style w:type="character" w:customStyle="1" w:styleId="IPPnormalitalics">
    <w:name w:val="IPP normal italics"/>
    <w:basedOn w:val="DefaultParagraphFont"/>
    <w:rsid w:val="007161B5"/>
    <w:rPr>
      <w:rFonts w:ascii="Times New Roman" w:hAnsi="Times New Roman"/>
      <w:i/>
      <w:sz w:val="22"/>
      <w:lang w:val="en-US"/>
    </w:rPr>
  </w:style>
  <w:style w:type="character" w:customStyle="1" w:styleId="IPPNormalbold">
    <w:name w:val="IPP Normal bold"/>
    <w:basedOn w:val="PlainTextChar"/>
    <w:rsid w:val="007161B5"/>
    <w:rPr>
      <w:rFonts w:ascii="Times New Roman" w:eastAsia="Times" w:hAnsi="Times New Roman" w:cs="Times New Roman"/>
      <w:b/>
      <w:kern w:val="0"/>
      <w:sz w:val="22"/>
      <w:szCs w:val="21"/>
      <w:lang w:val="en-AU"/>
      <w14:ligatures w14:val="none"/>
    </w:rPr>
  </w:style>
  <w:style w:type="paragraph" w:customStyle="1" w:styleId="IPPHeadSection">
    <w:name w:val="IPP HeadSection"/>
    <w:basedOn w:val="Normal"/>
    <w:next w:val="Normal"/>
    <w:qFormat/>
    <w:rsid w:val="007161B5"/>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7161B5"/>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7161B5"/>
    <w:pPr>
      <w:keepNext/>
      <w:ind w:left="567" w:hanging="567"/>
      <w:jc w:val="left"/>
    </w:pPr>
    <w:rPr>
      <w:b/>
      <w:bCs/>
      <w:iCs/>
      <w:szCs w:val="22"/>
    </w:rPr>
  </w:style>
  <w:style w:type="character" w:customStyle="1" w:styleId="IPPNormalunderlined">
    <w:name w:val="IPP Normal underlined"/>
    <w:basedOn w:val="DefaultParagraphFont"/>
    <w:rsid w:val="007161B5"/>
    <w:rPr>
      <w:rFonts w:ascii="Times New Roman" w:hAnsi="Times New Roman"/>
      <w:sz w:val="22"/>
      <w:u w:val="single"/>
      <w:lang w:val="en-US"/>
    </w:rPr>
  </w:style>
  <w:style w:type="paragraph" w:customStyle="1" w:styleId="IPPBullet1">
    <w:name w:val="IPP Bullet1"/>
    <w:basedOn w:val="IPPBullet1Last"/>
    <w:qFormat/>
    <w:rsid w:val="007161B5"/>
    <w:pPr>
      <w:numPr>
        <w:numId w:val="28"/>
      </w:numPr>
      <w:spacing w:after="60"/>
      <w:ind w:left="567" w:hanging="567"/>
    </w:pPr>
    <w:rPr>
      <w:lang w:val="en-US"/>
    </w:rPr>
  </w:style>
  <w:style w:type="paragraph" w:customStyle="1" w:styleId="IPPBullet1Last">
    <w:name w:val="IPP Bullet1Last"/>
    <w:basedOn w:val="IPPNormal"/>
    <w:next w:val="IPPNormal"/>
    <w:qFormat/>
    <w:rsid w:val="007161B5"/>
    <w:pPr>
      <w:numPr>
        <w:numId w:val="16"/>
      </w:numPr>
    </w:pPr>
  </w:style>
  <w:style w:type="character" w:customStyle="1" w:styleId="IPPNormalstrikethrough">
    <w:name w:val="IPP Normal strikethrough"/>
    <w:rsid w:val="007161B5"/>
    <w:rPr>
      <w:rFonts w:ascii="Times New Roman" w:hAnsi="Times New Roman"/>
      <w:strike/>
      <w:dstrike w:val="0"/>
      <w:sz w:val="22"/>
    </w:rPr>
  </w:style>
  <w:style w:type="paragraph" w:customStyle="1" w:styleId="IPPTitle16pt">
    <w:name w:val="IPP Title16pt"/>
    <w:basedOn w:val="Normal"/>
    <w:qFormat/>
    <w:rsid w:val="007161B5"/>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7161B5"/>
    <w:pPr>
      <w:spacing w:after="360"/>
      <w:jc w:val="center"/>
    </w:pPr>
    <w:rPr>
      <w:rFonts w:ascii="Arial" w:hAnsi="Arial" w:cs="Arial"/>
      <w:b/>
      <w:bCs/>
      <w:sz w:val="36"/>
      <w:szCs w:val="36"/>
    </w:rPr>
  </w:style>
  <w:style w:type="paragraph" w:customStyle="1" w:styleId="IPPHeader">
    <w:name w:val="IPP Header"/>
    <w:basedOn w:val="Normal"/>
    <w:qFormat/>
    <w:rsid w:val="007161B5"/>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7161B5"/>
    <w:pPr>
      <w:keepNext/>
      <w:tabs>
        <w:tab w:val="left" w:pos="567"/>
      </w:tabs>
      <w:spacing w:before="120"/>
      <w:jc w:val="left"/>
      <w:outlineLvl w:val="1"/>
    </w:pPr>
    <w:rPr>
      <w:b/>
      <w:sz w:val="24"/>
    </w:rPr>
  </w:style>
  <w:style w:type="numbering" w:customStyle="1" w:styleId="IPPParagraphnumberedlist">
    <w:name w:val="IPP Paragraph numbered list"/>
    <w:rsid w:val="007161B5"/>
    <w:pPr>
      <w:numPr>
        <w:numId w:val="14"/>
      </w:numPr>
    </w:pPr>
  </w:style>
  <w:style w:type="paragraph" w:customStyle="1" w:styleId="IPPNormalCloseSpace">
    <w:name w:val="IPP NormalCloseSpace"/>
    <w:basedOn w:val="Normal"/>
    <w:qFormat/>
    <w:rsid w:val="007161B5"/>
    <w:pPr>
      <w:keepNext/>
      <w:spacing w:after="60"/>
    </w:pPr>
  </w:style>
  <w:style w:type="paragraph" w:customStyle="1" w:styleId="IPPHeading2">
    <w:name w:val="IPP Heading2"/>
    <w:basedOn w:val="IPPNormal"/>
    <w:next w:val="IPPNormal"/>
    <w:qFormat/>
    <w:rsid w:val="007161B5"/>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7161B5"/>
    <w:pPr>
      <w:pBdr>
        <w:top w:val="single" w:sz="4" w:space="4" w:color="auto"/>
        <w:bottom w:val="none" w:sz="0" w:space="0" w:color="auto"/>
      </w:pBdr>
      <w:tabs>
        <w:tab w:val="clear" w:pos="1134"/>
      </w:tabs>
      <w:jc w:val="right"/>
    </w:pPr>
    <w:rPr>
      <w:b/>
    </w:rPr>
  </w:style>
  <w:style w:type="paragraph" w:styleId="TOC1">
    <w:name w:val="toc 1"/>
    <w:basedOn w:val="IPPNormalCloseSpace"/>
    <w:next w:val="Normal"/>
    <w:autoRedefine/>
    <w:uiPriority w:val="39"/>
    <w:rsid w:val="007161B5"/>
    <w:pPr>
      <w:tabs>
        <w:tab w:val="right" w:leader="dot" w:pos="9072"/>
      </w:tabs>
      <w:spacing w:before="240"/>
      <w:ind w:left="567" w:hanging="567"/>
    </w:pPr>
  </w:style>
  <w:style w:type="paragraph" w:styleId="TOC2">
    <w:name w:val="toc 2"/>
    <w:basedOn w:val="TOC1"/>
    <w:next w:val="Normal"/>
    <w:autoRedefine/>
    <w:uiPriority w:val="39"/>
    <w:rsid w:val="007161B5"/>
    <w:pPr>
      <w:keepNext w:val="0"/>
      <w:tabs>
        <w:tab w:val="left" w:pos="425"/>
      </w:tabs>
      <w:spacing w:before="120" w:after="0"/>
      <w:ind w:left="425" w:right="284" w:hanging="425"/>
    </w:pPr>
  </w:style>
  <w:style w:type="paragraph" w:styleId="TOC3">
    <w:name w:val="toc 3"/>
    <w:basedOn w:val="TOC2"/>
    <w:next w:val="Normal"/>
    <w:autoRedefine/>
    <w:uiPriority w:val="39"/>
    <w:rsid w:val="007161B5"/>
    <w:pPr>
      <w:tabs>
        <w:tab w:val="left" w:pos="1276"/>
      </w:tabs>
      <w:spacing w:before="60"/>
      <w:ind w:left="1276" w:hanging="851"/>
    </w:pPr>
    <w:rPr>
      <w:rFonts w:eastAsia="Times"/>
    </w:rPr>
  </w:style>
  <w:style w:type="paragraph" w:styleId="TOC4">
    <w:name w:val="toc 4"/>
    <w:basedOn w:val="Normal"/>
    <w:next w:val="Normal"/>
    <w:autoRedefine/>
    <w:uiPriority w:val="39"/>
    <w:rsid w:val="007161B5"/>
    <w:pPr>
      <w:spacing w:after="120"/>
      <w:ind w:left="660"/>
    </w:pPr>
    <w:rPr>
      <w:rFonts w:eastAsia="Times"/>
      <w:lang w:val="en-AU"/>
    </w:rPr>
  </w:style>
  <w:style w:type="paragraph" w:styleId="TOC5">
    <w:name w:val="toc 5"/>
    <w:basedOn w:val="Normal"/>
    <w:next w:val="Normal"/>
    <w:autoRedefine/>
    <w:uiPriority w:val="39"/>
    <w:rsid w:val="007161B5"/>
    <w:pPr>
      <w:spacing w:after="120"/>
      <w:ind w:left="880"/>
    </w:pPr>
    <w:rPr>
      <w:rFonts w:eastAsia="Times"/>
      <w:lang w:val="en-AU"/>
    </w:rPr>
  </w:style>
  <w:style w:type="paragraph" w:styleId="TOC6">
    <w:name w:val="toc 6"/>
    <w:basedOn w:val="Normal"/>
    <w:next w:val="Normal"/>
    <w:autoRedefine/>
    <w:uiPriority w:val="39"/>
    <w:rsid w:val="007161B5"/>
    <w:pPr>
      <w:spacing w:after="120"/>
      <w:ind w:left="1100"/>
    </w:pPr>
    <w:rPr>
      <w:rFonts w:eastAsia="Times"/>
      <w:lang w:val="en-AU"/>
    </w:rPr>
  </w:style>
  <w:style w:type="paragraph" w:styleId="TOC7">
    <w:name w:val="toc 7"/>
    <w:basedOn w:val="Normal"/>
    <w:next w:val="Normal"/>
    <w:autoRedefine/>
    <w:uiPriority w:val="39"/>
    <w:rsid w:val="007161B5"/>
    <w:pPr>
      <w:spacing w:after="120"/>
      <w:ind w:left="1320"/>
    </w:pPr>
    <w:rPr>
      <w:rFonts w:eastAsia="Times"/>
      <w:lang w:val="en-AU"/>
    </w:rPr>
  </w:style>
  <w:style w:type="paragraph" w:styleId="TOC8">
    <w:name w:val="toc 8"/>
    <w:basedOn w:val="Normal"/>
    <w:next w:val="Normal"/>
    <w:autoRedefine/>
    <w:uiPriority w:val="39"/>
    <w:rsid w:val="007161B5"/>
    <w:pPr>
      <w:spacing w:after="120"/>
      <w:ind w:left="1540"/>
    </w:pPr>
    <w:rPr>
      <w:rFonts w:eastAsia="Times"/>
      <w:lang w:val="en-AU"/>
    </w:rPr>
  </w:style>
  <w:style w:type="paragraph" w:styleId="TOC9">
    <w:name w:val="toc 9"/>
    <w:basedOn w:val="Normal"/>
    <w:next w:val="Normal"/>
    <w:autoRedefine/>
    <w:uiPriority w:val="39"/>
    <w:rsid w:val="007161B5"/>
    <w:pPr>
      <w:spacing w:after="120"/>
      <w:ind w:left="1760"/>
    </w:pPr>
    <w:rPr>
      <w:rFonts w:eastAsia="Times"/>
      <w:lang w:val="en-AU"/>
    </w:rPr>
  </w:style>
  <w:style w:type="paragraph" w:customStyle="1" w:styleId="IPPReferences">
    <w:name w:val="IPP References"/>
    <w:basedOn w:val="IPPNormal"/>
    <w:qFormat/>
    <w:rsid w:val="007161B5"/>
    <w:pPr>
      <w:spacing w:after="60"/>
      <w:ind w:left="567" w:hanging="567"/>
    </w:pPr>
  </w:style>
  <w:style w:type="paragraph" w:customStyle="1" w:styleId="IPPArial">
    <w:name w:val="IPP Arial"/>
    <w:basedOn w:val="IPPNormal"/>
    <w:qFormat/>
    <w:rsid w:val="007161B5"/>
    <w:pPr>
      <w:spacing w:after="0"/>
    </w:pPr>
    <w:rPr>
      <w:rFonts w:ascii="Arial" w:hAnsi="Arial"/>
      <w:sz w:val="18"/>
    </w:rPr>
  </w:style>
  <w:style w:type="paragraph" w:customStyle="1" w:styleId="IPPArialTable">
    <w:name w:val="IPP Arial Table"/>
    <w:basedOn w:val="IPPArial"/>
    <w:qFormat/>
    <w:rsid w:val="007161B5"/>
    <w:pPr>
      <w:spacing w:before="60" w:after="60"/>
      <w:jc w:val="left"/>
    </w:pPr>
  </w:style>
  <w:style w:type="paragraph" w:customStyle="1" w:styleId="IPPHeaderlandscape">
    <w:name w:val="IPP Header landscape"/>
    <w:basedOn w:val="IPPHeader"/>
    <w:qFormat/>
    <w:rsid w:val="007161B5"/>
    <w:pPr>
      <w:pBdr>
        <w:bottom w:val="single" w:sz="4" w:space="1" w:color="auto"/>
      </w:pBdr>
      <w:tabs>
        <w:tab w:val="clear" w:pos="9072"/>
        <w:tab w:val="right" w:pos="14034"/>
      </w:tabs>
      <w:spacing w:after="0"/>
      <w:ind w:right="-32"/>
    </w:pPr>
    <w:rPr>
      <w:noProof/>
    </w:rPr>
  </w:style>
  <w:style w:type="paragraph" w:styleId="PlainText">
    <w:name w:val="Plain Text"/>
    <w:basedOn w:val="Normal"/>
    <w:link w:val="PlainTextChar"/>
    <w:uiPriority w:val="99"/>
    <w:unhideWhenUsed/>
    <w:rsid w:val="007161B5"/>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7161B5"/>
    <w:rPr>
      <w:rFonts w:ascii="Courier" w:eastAsia="Times" w:hAnsi="Courier" w:cs="Times New Roman"/>
      <w:kern w:val="0"/>
      <w:sz w:val="21"/>
      <w:szCs w:val="21"/>
      <w:lang w:val="en-AU"/>
      <w14:ligatures w14:val="none"/>
    </w:rPr>
  </w:style>
  <w:style w:type="paragraph" w:customStyle="1" w:styleId="IPPLetterList">
    <w:name w:val="IPP LetterList"/>
    <w:basedOn w:val="IPPBullet2"/>
    <w:qFormat/>
    <w:rsid w:val="007161B5"/>
    <w:pPr>
      <w:numPr>
        <w:numId w:val="11"/>
      </w:numPr>
      <w:jc w:val="left"/>
    </w:pPr>
  </w:style>
  <w:style w:type="paragraph" w:customStyle="1" w:styleId="IPPLetterListIndent">
    <w:name w:val="IPP LetterList Indent"/>
    <w:basedOn w:val="IPPLetterList"/>
    <w:qFormat/>
    <w:rsid w:val="007161B5"/>
    <w:pPr>
      <w:numPr>
        <w:numId w:val="12"/>
      </w:numPr>
    </w:pPr>
  </w:style>
  <w:style w:type="paragraph" w:customStyle="1" w:styleId="IPPFooterLandscape">
    <w:name w:val="IPP Footer Landscape"/>
    <w:basedOn w:val="IPPHeaderlandscape"/>
    <w:qFormat/>
    <w:rsid w:val="007161B5"/>
    <w:pPr>
      <w:pBdr>
        <w:top w:val="single" w:sz="4" w:space="1" w:color="auto"/>
        <w:bottom w:val="none" w:sz="0" w:space="0" w:color="auto"/>
      </w:pBdr>
      <w:jc w:val="right"/>
    </w:pPr>
    <w:rPr>
      <w:b/>
    </w:rPr>
  </w:style>
  <w:style w:type="paragraph" w:customStyle="1" w:styleId="IPPSubheadSpace">
    <w:name w:val="IPP Subhead Space"/>
    <w:basedOn w:val="IPPSubhead"/>
    <w:qFormat/>
    <w:rsid w:val="007161B5"/>
    <w:pPr>
      <w:tabs>
        <w:tab w:val="left" w:pos="567"/>
      </w:tabs>
      <w:spacing w:before="60" w:after="60"/>
    </w:pPr>
  </w:style>
  <w:style w:type="paragraph" w:customStyle="1" w:styleId="IPPSubheadSpaceAfter">
    <w:name w:val="IPP Subhead SpaceAfter"/>
    <w:basedOn w:val="IPPSubhead"/>
    <w:qFormat/>
    <w:rsid w:val="007161B5"/>
    <w:pPr>
      <w:spacing w:after="60"/>
    </w:pPr>
  </w:style>
  <w:style w:type="paragraph" w:customStyle="1" w:styleId="IPPHdg1Num">
    <w:name w:val="IPP Hdg1Num"/>
    <w:basedOn w:val="IPPHeading1"/>
    <w:next w:val="IPPNormal"/>
    <w:qFormat/>
    <w:rsid w:val="007161B5"/>
    <w:pPr>
      <w:numPr>
        <w:numId w:val="17"/>
      </w:numPr>
    </w:pPr>
  </w:style>
  <w:style w:type="paragraph" w:customStyle="1" w:styleId="IPPHdg2Num">
    <w:name w:val="IPP Hdg2Num"/>
    <w:basedOn w:val="IPPHeading2"/>
    <w:next w:val="IPPNormal"/>
    <w:qFormat/>
    <w:rsid w:val="007161B5"/>
    <w:pPr>
      <w:numPr>
        <w:ilvl w:val="1"/>
        <w:numId w:val="18"/>
      </w:numPr>
    </w:pPr>
  </w:style>
  <w:style w:type="paragraph" w:customStyle="1" w:styleId="IPPNumberedList">
    <w:name w:val="IPP NumberedList"/>
    <w:basedOn w:val="IPPBullet1"/>
    <w:qFormat/>
    <w:rsid w:val="007161B5"/>
    <w:pPr>
      <w:tabs>
        <w:tab w:val="num" w:pos="567"/>
      </w:tabs>
    </w:pPr>
  </w:style>
  <w:style w:type="character" w:styleId="Strong">
    <w:name w:val="Strong"/>
    <w:basedOn w:val="DefaultParagraphFont"/>
    <w:qFormat/>
    <w:rsid w:val="007161B5"/>
    <w:rPr>
      <w:b/>
      <w:bCs/>
    </w:rPr>
  </w:style>
  <w:style w:type="paragraph" w:customStyle="1" w:styleId="IPPParagraphnumbering">
    <w:name w:val="IPP Paragraph numbering"/>
    <w:basedOn w:val="IPPNormal"/>
    <w:qFormat/>
    <w:rsid w:val="007161B5"/>
    <w:pPr>
      <w:numPr>
        <w:numId w:val="13"/>
      </w:numPr>
    </w:pPr>
    <w:rPr>
      <w:lang w:val="en-US"/>
    </w:rPr>
  </w:style>
  <w:style w:type="paragraph" w:customStyle="1" w:styleId="IPPParagraphnumberingclose">
    <w:name w:val="IPP Paragraph numbering close"/>
    <w:basedOn w:val="IPPParagraphnumbering"/>
    <w:qFormat/>
    <w:rsid w:val="007161B5"/>
    <w:pPr>
      <w:keepNext/>
      <w:spacing w:after="60"/>
    </w:pPr>
  </w:style>
  <w:style w:type="paragraph" w:customStyle="1" w:styleId="IPPNumberedListLast">
    <w:name w:val="IPP NumberedListLast"/>
    <w:basedOn w:val="IPPNumberedList"/>
    <w:qFormat/>
    <w:rsid w:val="007161B5"/>
    <w:pPr>
      <w:spacing w:after="180"/>
    </w:pPr>
  </w:style>
  <w:style w:type="character" w:styleId="Hyperlink">
    <w:name w:val="Hyperlink"/>
    <w:basedOn w:val="DefaultParagraphFont"/>
    <w:unhideWhenUsed/>
    <w:rsid w:val="007161B5"/>
    <w:rPr>
      <w:color w:val="0000FF"/>
      <w:u w:val="single"/>
    </w:rPr>
  </w:style>
  <w:style w:type="character" w:styleId="FollowedHyperlink">
    <w:name w:val="FollowedHyperlink"/>
    <w:basedOn w:val="DefaultParagraphFont"/>
    <w:semiHidden/>
    <w:unhideWhenUsed/>
    <w:rsid w:val="007161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SIN\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5d7f75-f42e-4288-8809-604fd4d9691f"/>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FA471D-0EF1-4BC9-8EF7-8CB1740CFA4F}">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2.xml><?xml version="1.0" encoding="utf-8"?>
<ds:datastoreItem xmlns:ds="http://schemas.openxmlformats.org/officeDocument/2006/customXml" ds:itemID="{F47F018A-9517-4383-80A1-41FA00840E08}">
  <ds:schemaRefs>
    <ds:schemaRef ds:uri="http://schemas.microsoft.com/sharepoint/v3/contenttype/forms"/>
  </ds:schemaRefs>
</ds:datastoreItem>
</file>

<file path=customXml/itemProps3.xml><?xml version="1.0" encoding="utf-8"?>
<ds:datastoreItem xmlns:ds="http://schemas.openxmlformats.org/officeDocument/2006/customXml" ds:itemID="{02710B08-88E9-46C4-855E-FEA5AB681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IPPC_2024-06-17</Template>
  <TotalTime>11</TotalTime>
  <Pages>4</Pages>
  <Words>1546</Words>
  <Characters>8817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Ishfaque</dc:creator>
  <cp:keywords/>
  <dc:description/>
  <cp:lastModifiedBy>Cassin, Aoife (NSPD)</cp:lastModifiedBy>
  <cp:revision>11</cp:revision>
  <dcterms:created xsi:type="dcterms:W3CDTF">2025-10-06T06:51:00Z</dcterms:created>
  <dcterms:modified xsi:type="dcterms:W3CDTF">2025-10-06T08:51:00Z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