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3C3E" w14:textId="6CCE75BE" w:rsidR="00C308A6" w:rsidRPr="00BE0BFD" w:rsidRDefault="005A08AD" w:rsidP="00BE0BFD">
      <w:pPr>
        <w:pStyle w:val="IPPHeading1"/>
        <w:jc w:val="center"/>
        <w:rPr>
          <w:bCs/>
          <w:caps/>
        </w:rPr>
      </w:pPr>
      <w:bookmarkStart w:id="0" w:name="_Hlk38797077"/>
      <w:r>
        <w:rPr>
          <w:bCs/>
          <w:caps/>
        </w:rPr>
        <w:t xml:space="preserve">update on the </w:t>
      </w:r>
      <w:r w:rsidR="00C308A6" w:rsidRPr="00BE0BFD">
        <w:rPr>
          <w:bCs/>
          <w:caps/>
        </w:rPr>
        <w:t>STRATEGIC FRAMEWORK DEVELOPMENT AGENDA ITEM</w:t>
      </w:r>
    </w:p>
    <w:p w14:paraId="6F88F8C0" w14:textId="77777777" w:rsidR="00C308A6" w:rsidRDefault="00C308A6" w:rsidP="00BE0BFD">
      <w:pPr>
        <w:pStyle w:val="IPPHeading1"/>
        <w:jc w:val="center"/>
        <w:rPr>
          <w:bCs/>
          <w:caps/>
        </w:rPr>
      </w:pPr>
      <w:r w:rsidRPr="00BE0BFD">
        <w:rPr>
          <w:bCs/>
          <w:caps/>
        </w:rPr>
        <w:t xml:space="preserve">COMMODITY-SPECIFIC ISPMs </w:t>
      </w:r>
    </w:p>
    <w:p w14:paraId="465817AA" w14:textId="1F33073E" w:rsidR="005A08AD" w:rsidRPr="005A08AD" w:rsidRDefault="005A08AD" w:rsidP="005A08AD">
      <w:pPr>
        <w:pStyle w:val="IPPNormal"/>
        <w:jc w:val="center"/>
        <w:rPr>
          <w:b/>
          <w:bCs/>
        </w:rPr>
      </w:pPr>
      <w:r w:rsidRPr="005A08AD">
        <w:rPr>
          <w:b/>
          <w:bCs/>
        </w:rPr>
        <w:t xml:space="preserve">To </w:t>
      </w:r>
      <w:r w:rsidR="00E439A5">
        <w:rPr>
          <w:b/>
          <w:bCs/>
        </w:rPr>
        <w:t>SPG 2025</w:t>
      </w:r>
    </w:p>
    <w:p w14:paraId="66FF42CC" w14:textId="1AFB90BA" w:rsidR="00C308A6" w:rsidRDefault="00C308A6" w:rsidP="00C308A6">
      <w:pPr>
        <w:jc w:val="center"/>
      </w:pPr>
      <w:r>
        <w:t>(</w:t>
      </w:r>
      <w:r w:rsidRPr="00CB36B4">
        <w:rPr>
          <w:i/>
          <w:iCs/>
        </w:rPr>
        <w:t>Prepared by the IPPC Secretariat</w:t>
      </w:r>
      <w:r w:rsidR="005A08AD">
        <w:rPr>
          <w:i/>
          <w:iCs/>
        </w:rPr>
        <w:t xml:space="preserve">. </w:t>
      </w:r>
      <w:r w:rsidR="00E439A5">
        <w:rPr>
          <w:i/>
          <w:iCs/>
        </w:rPr>
        <w:t>October</w:t>
      </w:r>
      <w:r w:rsidR="005A08AD">
        <w:rPr>
          <w:i/>
          <w:iCs/>
        </w:rPr>
        <w:t xml:space="preserve"> 20</w:t>
      </w:r>
      <w:r w:rsidR="00E439A5">
        <w:rPr>
          <w:i/>
          <w:iCs/>
        </w:rPr>
        <w:t>25</w:t>
      </w:r>
      <w:r w:rsidR="002B493D">
        <w:rPr>
          <w:rStyle w:val="FootnoteReference"/>
          <w:i/>
          <w:iCs/>
        </w:rPr>
        <w:footnoteReference w:id="2"/>
      </w:r>
      <w:r w:rsidR="00D22F5B">
        <w:rPr>
          <w:i/>
          <w:iCs/>
        </w:rPr>
        <w:t>)</w:t>
      </w:r>
    </w:p>
    <w:p w14:paraId="69B26BF1" w14:textId="77777777" w:rsidR="00C308A6" w:rsidRPr="00CB36B4" w:rsidRDefault="00C308A6" w:rsidP="00C308A6">
      <w:pPr>
        <w:jc w:val="center"/>
      </w:pPr>
    </w:p>
    <w:bookmarkEnd w:id="0"/>
    <w:p w14:paraId="7CE3E29A" w14:textId="50F8C280" w:rsidR="00C308A6" w:rsidRPr="00C31344" w:rsidRDefault="00C308A6" w:rsidP="00446E14">
      <w:pPr>
        <w:pStyle w:val="IPPHeading1"/>
        <w:numPr>
          <w:ilvl w:val="0"/>
          <w:numId w:val="33"/>
        </w:numPr>
        <w:rPr>
          <w:lang w:val="en-US"/>
        </w:rPr>
      </w:pPr>
      <w:r w:rsidRPr="0E4CBF4C">
        <w:t xml:space="preserve">Background </w:t>
      </w:r>
    </w:p>
    <w:p w14:paraId="4D7916EB" w14:textId="77777777" w:rsidR="00C308A6" w:rsidRPr="009B7F61" w:rsidRDefault="00C308A6" w:rsidP="005C1717">
      <w:pPr>
        <w:pStyle w:val="IPPParagraphnumberingclose"/>
      </w:pPr>
      <w:r w:rsidRPr="4FADB615">
        <w:t xml:space="preserve">The IPPC </w:t>
      </w:r>
      <w:r w:rsidRPr="00144DE3">
        <w:t>Strategic</w:t>
      </w:r>
      <w:r w:rsidRPr="4FADB615">
        <w:t xml:space="preserve"> Framework 2020</w:t>
      </w:r>
      <w:r>
        <w:t>–</w:t>
      </w:r>
      <w:r w:rsidRPr="4FADB615">
        <w:t>2030 includes eight development</w:t>
      </w:r>
      <w:r>
        <w:t>-</w:t>
      </w:r>
      <w:r w:rsidRPr="4FADB615">
        <w:t>agenda items (DAIs), including the development of c</w:t>
      </w:r>
      <w:proofErr w:type="spellStart"/>
      <w:r>
        <w:rPr>
          <w:rStyle w:val="normaltextrun"/>
          <w:color w:val="000000"/>
          <w:shd w:val="clear" w:color="auto" w:fill="FFFFFF"/>
          <w:lang w:val="en-GB"/>
        </w:rPr>
        <w:t>ommodity</w:t>
      </w:r>
      <w:proofErr w:type="spellEnd"/>
      <w:r>
        <w:rPr>
          <w:rStyle w:val="normaltextrun"/>
          <w:color w:val="000000"/>
          <w:shd w:val="clear" w:color="auto" w:fill="FFFFFF"/>
          <w:lang w:val="en-GB"/>
        </w:rPr>
        <w:t xml:space="preserve"> and pathway-specific International Standards for Phytosanitary Measures (ISPMs)</w:t>
      </w:r>
      <w:r w:rsidRPr="4FADB615">
        <w:t xml:space="preserve">. </w:t>
      </w:r>
    </w:p>
    <w:p w14:paraId="397121A5" w14:textId="77777777" w:rsidR="00C308A6" w:rsidRDefault="00C308A6" w:rsidP="005C1717">
      <w:pPr>
        <w:pStyle w:val="IPPParagraphnumberingclose"/>
      </w:pPr>
      <w:r w:rsidRPr="00144DE3">
        <w:t>The</w:t>
      </w:r>
      <w:r w:rsidRPr="4FADB615">
        <w:t xml:space="preserve"> </w:t>
      </w:r>
      <w:r>
        <w:t>CPM</w:t>
      </w:r>
      <w:r w:rsidRPr="4FADB615">
        <w:t xml:space="preserve">, the only </w:t>
      </w:r>
      <w:r>
        <w:t xml:space="preserve">global </w:t>
      </w:r>
      <w:r w:rsidRPr="4FADB615">
        <w:t>standard-setting entity for plant health, is developing new ISPMs to provide guidance to countries in protecting internationally traded commodities through better monitoring, prevention, detection and response to threats from plant pest</w:t>
      </w:r>
      <w:r>
        <w:t>s</w:t>
      </w:r>
      <w:r w:rsidRPr="4FADB615">
        <w:t xml:space="preserve">. New standards will also aid in addressing import regulation challenges and other phytosanitary issues. </w:t>
      </w:r>
    </w:p>
    <w:p w14:paraId="44247C7A" w14:textId="77777777" w:rsidR="00C308A6" w:rsidRDefault="00C308A6" w:rsidP="005C1717">
      <w:pPr>
        <w:pStyle w:val="IPPParagraphnumberingclose"/>
      </w:pPr>
      <w:r w:rsidRPr="00144DE3">
        <w:t>It</w:t>
      </w:r>
      <w:r w:rsidRPr="4FADB615">
        <w:t xml:space="preserve"> is expected that by 2030 many new ISPMs </w:t>
      </w:r>
      <w:r>
        <w:t xml:space="preserve">will </w:t>
      </w:r>
      <w:r w:rsidRPr="4FADB615">
        <w:t xml:space="preserve">have been adopted and implemented for specific commodities and pathways, with, as required, accompanying diagnostic protocols and phytosanitary treatments to support implementation. Moreover, it is expected that these commodity-specific ISPMs </w:t>
      </w:r>
      <w:r>
        <w:t xml:space="preserve">will </w:t>
      </w:r>
      <w:r w:rsidRPr="4FADB615">
        <w:t xml:space="preserve">provide </w:t>
      </w:r>
      <w:r>
        <w:t>national plant protection organizations (</w:t>
      </w:r>
      <w:r w:rsidRPr="4FADB615">
        <w:t>NPPOs</w:t>
      </w:r>
      <w:r>
        <w:t>)</w:t>
      </w:r>
      <w:r w:rsidRPr="4FADB615">
        <w:t xml:space="preserve"> with harmonized phytosanitary measures, which they may use to support their pest risk analysis activities and import regulatory systems, or to establish export-oriented production systems. </w:t>
      </w:r>
      <w:r>
        <w:t>Commodity-specific ISPMs are expected to</w:t>
      </w:r>
      <w:r w:rsidRPr="4FADB615">
        <w:t xml:space="preserve"> simplif</w:t>
      </w:r>
      <w:r>
        <w:t>y</w:t>
      </w:r>
      <w:r w:rsidRPr="4FADB615">
        <w:t xml:space="preserve"> trade and expedite market</w:t>
      </w:r>
      <w:r>
        <w:t>-</w:t>
      </w:r>
      <w:r w:rsidRPr="4FADB615">
        <w:t>access negotiations.</w:t>
      </w:r>
      <w:r>
        <w:t xml:space="preserve"> </w:t>
      </w:r>
    </w:p>
    <w:p w14:paraId="46C81D60" w14:textId="7A7BE8CC" w:rsidR="00C308A6" w:rsidRPr="00DE60BF" w:rsidRDefault="00C308A6" w:rsidP="00446E14">
      <w:pPr>
        <w:pStyle w:val="IPPHeading1"/>
        <w:numPr>
          <w:ilvl w:val="0"/>
          <w:numId w:val="33"/>
        </w:numPr>
      </w:pPr>
      <w:r w:rsidRPr="00DE60BF">
        <w:t xml:space="preserve">Benefits </w:t>
      </w:r>
    </w:p>
    <w:p w14:paraId="061BC98A" w14:textId="77777777" w:rsidR="00C308A6" w:rsidRPr="005C1717" w:rsidRDefault="00C308A6" w:rsidP="005C1717">
      <w:pPr>
        <w:pStyle w:val="IPPParagraphnumberingclose"/>
      </w:pPr>
      <w:r w:rsidRPr="005C1717">
        <w:t xml:space="preserve">Commodity-specific standards will facilitate market access, simplify and accelerate trade negotiations, create market opportunities and simplify safe trade in plants and plant products.  </w:t>
      </w:r>
    </w:p>
    <w:p w14:paraId="730F688E" w14:textId="77777777" w:rsidR="00C308A6" w:rsidRPr="005C1717" w:rsidRDefault="00C308A6" w:rsidP="005C1717">
      <w:pPr>
        <w:pStyle w:val="IPPParagraphnumberingclose"/>
      </w:pPr>
      <w:r w:rsidRPr="005C1717">
        <w:t xml:space="preserve">These standards will promote harmonized and technically justified phytosanitary measures and import requirements among IPPC contracting parties.  </w:t>
      </w:r>
    </w:p>
    <w:p w14:paraId="312AFCFC" w14:textId="77777777" w:rsidR="00C308A6" w:rsidRPr="005C1717" w:rsidRDefault="00C308A6" w:rsidP="005C1717">
      <w:pPr>
        <w:pStyle w:val="IPPParagraphnumberingclose"/>
      </w:pPr>
      <w:r w:rsidRPr="005C1717">
        <w:t xml:space="preserve">Developing countries will be able to trade more quickly since harmonized phytosanitary measures will limit restrictions on importation.  </w:t>
      </w:r>
    </w:p>
    <w:p w14:paraId="59380A84" w14:textId="61E2C43F" w:rsidR="00C308A6" w:rsidRDefault="00C308A6" w:rsidP="00446E14">
      <w:pPr>
        <w:pStyle w:val="IPPHeading1"/>
        <w:numPr>
          <w:ilvl w:val="0"/>
          <w:numId w:val="33"/>
        </w:numPr>
      </w:pPr>
      <w:r w:rsidRPr="5F4FE489">
        <w:t>Key points</w:t>
      </w:r>
      <w:r>
        <w:t xml:space="preserve"> and principles</w:t>
      </w:r>
    </w:p>
    <w:p w14:paraId="55F841EB" w14:textId="77777777" w:rsidR="00C308A6" w:rsidRDefault="00C308A6" w:rsidP="005C1717">
      <w:pPr>
        <w:pStyle w:val="IPPParagraphnumberingclose"/>
      </w:pPr>
      <w:r w:rsidRPr="4FADB615">
        <w:t xml:space="preserve">The development, adoption and implementation of commodity standards will </w:t>
      </w:r>
      <w:r w:rsidRPr="4FADB615">
        <w:rPr>
          <w:u w:val="single"/>
        </w:rPr>
        <w:t>not</w:t>
      </w:r>
      <w:r w:rsidRPr="4FADB615">
        <w:t xml:space="preserve"> alter the sovereign rights and fundamental obligations under the IPPC and </w:t>
      </w:r>
      <w:r>
        <w:t xml:space="preserve">the </w:t>
      </w:r>
      <w:r w:rsidRPr="4FADB615">
        <w:t>World Trade Organization</w:t>
      </w:r>
      <w:r>
        <w:t xml:space="preserve"> Agreement on </w:t>
      </w:r>
      <w:r w:rsidRPr="4FADB615">
        <w:t xml:space="preserve">Sanitary and Phytosanitary </w:t>
      </w:r>
      <w:r>
        <w:t xml:space="preserve">Measures </w:t>
      </w:r>
      <w:r w:rsidRPr="4FADB615">
        <w:t>(SPS Agreement</w:t>
      </w:r>
      <w:r>
        <w:t>)</w:t>
      </w:r>
      <w:r w:rsidRPr="4FADB615">
        <w:t>. Moreover, as agreed by the CPM:</w:t>
      </w:r>
    </w:p>
    <w:p w14:paraId="3005B7A7" w14:textId="77777777" w:rsidR="00C308A6" w:rsidRPr="00874E90" w:rsidRDefault="00C308A6" w:rsidP="00C308A6">
      <w:pPr>
        <w:pStyle w:val="IPPBullet1"/>
      </w:pPr>
      <w:r>
        <w:t>T</w:t>
      </w:r>
      <w:r w:rsidRPr="00874E90">
        <w:t xml:space="preserve">he regulation of pests will remain firmly based on pest risk analysis and subject to technical justification. </w:t>
      </w:r>
    </w:p>
    <w:p w14:paraId="66634EFE" w14:textId="77777777" w:rsidR="00C308A6" w:rsidRDefault="00C308A6" w:rsidP="00C308A6">
      <w:pPr>
        <w:pStyle w:val="IPPBullet1"/>
      </w:pPr>
      <w:r>
        <w:t>O</w:t>
      </w:r>
      <w:r w:rsidRPr="00874E90">
        <w:t>bligations will not be imposed on importing countries.</w:t>
      </w:r>
      <w:r w:rsidRPr="006C04A6">
        <w:t xml:space="preserve"> </w:t>
      </w:r>
    </w:p>
    <w:p w14:paraId="0ADA5180" w14:textId="77777777" w:rsidR="00C308A6" w:rsidRPr="006C04A6" w:rsidRDefault="00C308A6" w:rsidP="00C308A6">
      <w:pPr>
        <w:pStyle w:val="IPPBullet1Last"/>
      </w:pPr>
      <w:r>
        <w:t>T</w:t>
      </w:r>
      <w:r w:rsidRPr="00874E90">
        <w:t>he list of pests and phytosanita</w:t>
      </w:r>
      <w:r>
        <w:t>r</w:t>
      </w:r>
      <w:r w:rsidRPr="00874E90">
        <w:t xml:space="preserve">y measures in each specific commodity standard is not exhaustive. </w:t>
      </w:r>
    </w:p>
    <w:p w14:paraId="74754C33" w14:textId="5A386E28" w:rsidR="00C308A6" w:rsidRPr="006F2F9F" w:rsidRDefault="00C308A6" w:rsidP="00A35693">
      <w:pPr>
        <w:pStyle w:val="IPPHeading1"/>
        <w:numPr>
          <w:ilvl w:val="0"/>
          <w:numId w:val="33"/>
        </w:numPr>
      </w:pPr>
      <w:r w:rsidRPr="0E4CBF4C">
        <w:lastRenderedPageBreak/>
        <w:t>Update on status of implementation</w:t>
      </w:r>
    </w:p>
    <w:p w14:paraId="52F94347" w14:textId="5DC7AD38" w:rsidR="00C308A6" w:rsidRPr="00DE60BF" w:rsidRDefault="00C308A6" w:rsidP="00C308A6">
      <w:pPr>
        <w:pStyle w:val="IPPParagraphnumbering"/>
        <w:rPr>
          <w:lang w:val="en-GB"/>
        </w:rPr>
      </w:pPr>
      <w:r w:rsidRPr="4FADB615">
        <w:rPr>
          <w:lang w:val="en-GB"/>
        </w:rPr>
        <w:t xml:space="preserve">The </w:t>
      </w:r>
      <w:r>
        <w:rPr>
          <w:lang w:val="en-GB"/>
        </w:rPr>
        <w:t xml:space="preserve">DAI is being implemented for </w:t>
      </w:r>
      <w:r w:rsidRPr="4FADB615">
        <w:rPr>
          <w:lang w:val="en-GB"/>
        </w:rPr>
        <w:t xml:space="preserve">commodity-specific ISPMs </w:t>
      </w:r>
      <w:r>
        <w:rPr>
          <w:lang w:val="en-GB"/>
        </w:rPr>
        <w:t>and</w:t>
      </w:r>
      <w:r w:rsidRPr="4FADB615">
        <w:rPr>
          <w:lang w:val="en-GB"/>
        </w:rPr>
        <w:t xml:space="preserve"> is led by the Standard Setting Unit within the IPPC Secretariat</w:t>
      </w:r>
      <w:r>
        <w:rPr>
          <w:lang w:val="en-GB"/>
        </w:rPr>
        <w:t xml:space="preserve">. It </w:t>
      </w:r>
      <w:r w:rsidRPr="4FADB615">
        <w:rPr>
          <w:lang w:val="en-GB"/>
        </w:rPr>
        <w:t xml:space="preserve">is </w:t>
      </w:r>
      <w:r>
        <w:rPr>
          <w:lang w:val="en-GB"/>
        </w:rPr>
        <w:t xml:space="preserve">under the guidance and oversight of </w:t>
      </w:r>
      <w:r w:rsidRPr="4FADB615">
        <w:rPr>
          <w:lang w:val="en-GB"/>
        </w:rPr>
        <w:t xml:space="preserve">the </w:t>
      </w:r>
      <w:hyperlink r:id="rId11" w:history="1">
        <w:r w:rsidRPr="006B794F">
          <w:rPr>
            <w:rStyle w:val="Hyperlink"/>
            <w:lang w:val="en-GB"/>
          </w:rPr>
          <w:t>IPPC Standards Committee (SC)</w:t>
        </w:r>
      </w:hyperlink>
      <w:r>
        <w:rPr>
          <w:lang w:val="en-GB"/>
        </w:rPr>
        <w:t xml:space="preserve"> and</w:t>
      </w:r>
      <w:r w:rsidRPr="4FADB615">
        <w:rPr>
          <w:lang w:val="en-GB"/>
        </w:rPr>
        <w:t xml:space="preserve"> </w:t>
      </w:r>
      <w:r>
        <w:rPr>
          <w:lang w:val="en-GB"/>
        </w:rPr>
        <w:t xml:space="preserve">it is </w:t>
      </w:r>
      <w:r w:rsidRPr="4FADB615">
        <w:rPr>
          <w:lang w:val="en-GB"/>
        </w:rPr>
        <w:t xml:space="preserve">being delivered </w:t>
      </w:r>
      <w:r>
        <w:rPr>
          <w:lang w:val="en-GB"/>
        </w:rPr>
        <w:t xml:space="preserve">by </w:t>
      </w:r>
      <w:r>
        <w:t xml:space="preserve">the </w:t>
      </w:r>
      <w:hyperlink r:id="rId12" w:history="1">
        <w:r w:rsidRPr="003F4DB2">
          <w:rPr>
            <w:rStyle w:val="Hyperlink"/>
          </w:rPr>
          <w:t>IPPC Technical Panel on Commodity Standards (TPCS)</w:t>
        </w:r>
      </w:hyperlink>
      <w:r>
        <w:t>.</w:t>
      </w:r>
    </w:p>
    <w:p w14:paraId="3F96D349" w14:textId="77777777" w:rsidR="00C308A6" w:rsidRPr="00205B8C" w:rsidRDefault="00C308A6" w:rsidP="00C308A6">
      <w:pPr>
        <w:pStyle w:val="IPPParagraphnumbering"/>
        <w:rPr>
          <w:lang w:val="en-GB"/>
        </w:rPr>
      </w:pPr>
      <w:r w:rsidRPr="004D1D6A">
        <w:t>The TPCS</w:t>
      </w:r>
      <w:r>
        <w:rPr>
          <w:rStyle w:val="FootnoteReference"/>
        </w:rPr>
        <w:footnoteReference w:id="3"/>
      </w:r>
      <w:r w:rsidRPr="004D1D6A">
        <w:t xml:space="preserve"> was established by the </w:t>
      </w:r>
      <w:r>
        <w:t>Fourteenth</w:t>
      </w:r>
      <w:r w:rsidRPr="004D1D6A">
        <w:t xml:space="preserve"> </w:t>
      </w:r>
      <w:r>
        <w:t xml:space="preserve">Session of the </w:t>
      </w:r>
      <w:r w:rsidRPr="004D1D6A">
        <w:t>Commission on Phytosanitary Measures (CPM-14) in 2019</w:t>
      </w:r>
      <w:r>
        <w:rPr>
          <w:rStyle w:val="FootnoteReference"/>
        </w:rPr>
        <w:footnoteReference w:id="4"/>
      </w:r>
      <w:r w:rsidRPr="00DE60BF">
        <w:rPr>
          <w:lang w:val="en-GB" w:eastAsia="en-GB"/>
        </w:rPr>
        <w:t xml:space="preserve"> to support the development of specific commodity standards </w:t>
      </w:r>
      <w:r>
        <w:t xml:space="preserve">within the </w:t>
      </w:r>
      <w:r w:rsidRPr="00224431">
        <w:t xml:space="preserve">framework of </w:t>
      </w:r>
      <w:hyperlink r:id="rId13" w:history="1">
        <w:r w:rsidRPr="004D1D6A">
          <w:rPr>
            <w:rStyle w:val="Hyperlink"/>
          </w:rPr>
          <w:t>ISPM</w:t>
        </w:r>
        <w:r>
          <w:rPr>
            <w:rStyle w:val="Hyperlink"/>
          </w:rPr>
          <w:t> </w:t>
        </w:r>
        <w:r w:rsidRPr="004D1D6A">
          <w:rPr>
            <w:rStyle w:val="Hyperlink"/>
          </w:rPr>
          <w:t>46 (</w:t>
        </w:r>
        <w:r w:rsidRPr="00A219DE">
          <w:rPr>
            <w:rStyle w:val="Hyperlink"/>
            <w:i/>
            <w:iCs/>
          </w:rPr>
          <w:t>Commodity-specific standards for phytosanitary measures</w:t>
        </w:r>
      </w:hyperlink>
      <w:r>
        <w:t xml:space="preserve">), to ensure that sufficient </w:t>
      </w:r>
      <w:proofErr w:type="spellStart"/>
      <w:r>
        <w:t>rigour</w:t>
      </w:r>
      <w:proofErr w:type="spellEnd"/>
      <w:r>
        <w:t>, resources and focus can be provided, and to develop</w:t>
      </w:r>
      <w:r w:rsidRPr="00224431">
        <w:t xml:space="preserve"> guidance on related issues. </w:t>
      </w:r>
      <w:r>
        <w:t>The TPCS works under the guidance of the SC, following the technical-panel working procedures</w:t>
      </w:r>
      <w:r>
        <w:rPr>
          <w:rStyle w:val="FootnoteReference"/>
        </w:rPr>
        <w:footnoteReference w:id="5"/>
      </w:r>
      <w:r>
        <w:t xml:space="preserve"> and the approved Specification TP 6 (</w:t>
      </w:r>
      <w:r>
        <w:rPr>
          <w:i/>
          <w:iCs/>
        </w:rPr>
        <w:t>Technical Panel on Commodity Standards</w:t>
      </w:r>
      <w:r>
        <w:t>).</w:t>
      </w:r>
      <w:r>
        <w:rPr>
          <w:rStyle w:val="FootnoteReference"/>
        </w:rPr>
        <w:footnoteReference w:id="6"/>
      </w:r>
      <w:r>
        <w:t xml:space="preserve"> </w:t>
      </w:r>
      <w:r w:rsidRPr="000544B5">
        <w:rPr>
          <w:lang w:val="en-GB"/>
        </w:rPr>
        <w:t xml:space="preserve">The </w:t>
      </w:r>
      <w:hyperlink r:id="rId14" w:history="1">
        <w:r w:rsidRPr="004B5534">
          <w:rPr>
            <w:rStyle w:val="Hyperlink"/>
            <w:lang w:val="en-GB"/>
          </w:rPr>
          <w:t>TPCS membership and contact information</w:t>
        </w:r>
      </w:hyperlink>
      <w:r w:rsidRPr="00FA5089">
        <w:rPr>
          <w:lang w:val="en-GB"/>
        </w:rPr>
        <w:t xml:space="preserve"> </w:t>
      </w:r>
      <w:r w:rsidRPr="000544B5">
        <w:rPr>
          <w:lang w:val="en-GB"/>
        </w:rPr>
        <w:t xml:space="preserve">can be found on </w:t>
      </w:r>
      <w:r>
        <w:rPr>
          <w:lang w:val="en-GB"/>
        </w:rPr>
        <w:t>the International Phytosanitary Portal.</w:t>
      </w:r>
      <w:r w:rsidRPr="000544B5">
        <w:rPr>
          <w:rStyle w:val="FootnoteReference"/>
          <w:lang w:val="en-GB"/>
        </w:rPr>
        <w:footnoteReference w:id="7"/>
      </w:r>
      <w:r w:rsidRPr="000544B5">
        <w:rPr>
          <w:lang w:val="en-GB"/>
        </w:rPr>
        <w:t xml:space="preserve"> </w:t>
      </w:r>
      <w:r w:rsidRPr="00224431">
        <w:t xml:space="preserve"> </w:t>
      </w:r>
    </w:p>
    <w:p w14:paraId="18345EDB" w14:textId="1A60C4AA" w:rsidR="00C308A6" w:rsidRDefault="00C308A6" w:rsidP="00C308A6">
      <w:pPr>
        <w:pStyle w:val="IPPParagraphnumbering"/>
        <w:rPr>
          <w:lang w:val="en-GB"/>
        </w:rPr>
      </w:pPr>
      <w:r>
        <w:t xml:space="preserve">With the current volume of work and subjects in the IPPC work </w:t>
      </w:r>
      <w:proofErr w:type="spellStart"/>
      <w:r>
        <w:t>programme</w:t>
      </w:r>
      <w:proofErr w:type="spellEnd"/>
      <w:r>
        <w:t xml:space="preserve"> (as of </w:t>
      </w:r>
      <w:r w:rsidR="00A11078">
        <w:t>May 2025</w:t>
      </w:r>
      <w:r>
        <w:t xml:space="preserve">) the </w:t>
      </w:r>
      <w:r w:rsidRPr="73009123">
        <w:rPr>
          <w:b/>
          <w:bCs/>
        </w:rPr>
        <w:t>new projection</w:t>
      </w:r>
      <w:r>
        <w:t xml:space="preserve"> is that </w:t>
      </w:r>
      <w:r w:rsidRPr="73009123">
        <w:rPr>
          <w:b/>
          <w:bCs/>
        </w:rPr>
        <w:t>by 2028</w:t>
      </w:r>
      <w:r>
        <w:t xml:space="preserve"> there will be </w:t>
      </w:r>
      <w:r w:rsidRPr="73009123">
        <w:rPr>
          <w:b/>
          <w:bCs/>
          <w:lang w:val="en-GB"/>
        </w:rPr>
        <w:t>seven adopted annexes to ISPM</w:t>
      </w:r>
      <w:r>
        <w:rPr>
          <w:b/>
          <w:bCs/>
          <w:lang w:val="en-GB"/>
        </w:rPr>
        <w:t> </w:t>
      </w:r>
      <w:r w:rsidRPr="73009123">
        <w:rPr>
          <w:b/>
          <w:bCs/>
          <w:lang w:val="en-GB"/>
        </w:rPr>
        <w:t>46</w:t>
      </w:r>
      <w:r w:rsidRPr="73009123">
        <w:rPr>
          <w:lang w:val="en-GB"/>
        </w:rPr>
        <w:t>, as outlined below (see</w:t>
      </w:r>
      <w:r w:rsidR="004F60D2">
        <w:rPr>
          <w:lang w:val="en-GB"/>
        </w:rPr>
        <w:t xml:space="preserve"> Table 2 and</w:t>
      </w:r>
      <w:r w:rsidRPr="73009123">
        <w:rPr>
          <w:lang w:val="en-GB"/>
        </w:rPr>
        <w:t xml:space="preserve"> </w:t>
      </w:r>
      <w:r>
        <w:rPr>
          <w:lang w:val="en-GB"/>
        </w:rPr>
        <w:t>F</w:t>
      </w:r>
      <w:r w:rsidRPr="73009123">
        <w:rPr>
          <w:lang w:val="en-GB"/>
        </w:rPr>
        <w:t>igure</w:t>
      </w:r>
      <w:r>
        <w:rPr>
          <w:lang w:val="en-GB"/>
        </w:rPr>
        <w:t> </w:t>
      </w:r>
      <w:r w:rsidRPr="73009123">
        <w:rPr>
          <w:lang w:val="en-GB"/>
        </w:rPr>
        <w:t>1).</w:t>
      </w:r>
    </w:p>
    <w:p w14:paraId="78A01BBA" w14:textId="00C721F8" w:rsidR="005A08AD" w:rsidRDefault="005A08AD" w:rsidP="00C308A6">
      <w:pPr>
        <w:pStyle w:val="IPPParagraphnumbering"/>
        <w:rPr>
          <w:lang w:val="en-GB"/>
        </w:rPr>
      </w:pPr>
      <w:r>
        <w:rPr>
          <w:lang w:val="en-GB"/>
        </w:rPr>
        <w:t xml:space="preserve">It is to recall that the </w:t>
      </w:r>
      <w:r w:rsidRPr="006C4D4F">
        <w:rPr>
          <w:b/>
          <w:bCs/>
          <w:lang w:val="en-GB"/>
        </w:rPr>
        <w:t>IPPC Call for Topics: Standards and Implementation</w:t>
      </w:r>
      <w:r>
        <w:rPr>
          <w:rStyle w:val="FootnoteReference"/>
          <w:lang w:val="en-GB"/>
        </w:rPr>
        <w:footnoteReference w:id="8"/>
      </w:r>
      <w:r>
        <w:rPr>
          <w:lang w:val="en-GB"/>
        </w:rPr>
        <w:t xml:space="preserve"> is now an ongoing call (pilot phase). </w:t>
      </w:r>
      <w:r w:rsidR="00E439A5">
        <w:rPr>
          <w:lang w:val="en-GB"/>
        </w:rPr>
        <w:t xml:space="preserve">As of October 2025, the IPPC secretariat </w:t>
      </w:r>
      <w:r w:rsidR="00E439A5" w:rsidRPr="006C4D4F">
        <w:rPr>
          <w:u w:val="single"/>
          <w:lang w:val="en-GB"/>
        </w:rPr>
        <w:t>did not receive any new proposal</w:t>
      </w:r>
      <w:r w:rsidR="00E439A5">
        <w:rPr>
          <w:lang w:val="en-GB"/>
        </w:rPr>
        <w:t xml:space="preserve"> for the development of specific commodity standard under ISPM 46. </w:t>
      </w:r>
    </w:p>
    <w:p w14:paraId="38A00438" w14:textId="77777777" w:rsidR="007C5AE1" w:rsidRDefault="007C5AE1" w:rsidP="00F33363">
      <w:pPr>
        <w:pStyle w:val="IPPHeading1"/>
        <w:numPr>
          <w:ilvl w:val="0"/>
          <w:numId w:val="33"/>
        </w:numPr>
      </w:pPr>
      <w:r>
        <w:t>Highlights of the work</w:t>
      </w:r>
    </w:p>
    <w:p w14:paraId="6DCE9ABA" w14:textId="59805B59" w:rsidR="007C5AE1" w:rsidRPr="00A608EE" w:rsidRDefault="007C5AE1" w:rsidP="28C9EF92">
      <w:pPr>
        <w:pStyle w:val="IPPParagraphnumbering"/>
        <w:rPr>
          <w:b/>
          <w:bCs/>
          <w:lang w:val="en-GB"/>
        </w:rPr>
      </w:pPr>
      <w:r w:rsidRPr="28C9EF92">
        <w:rPr>
          <w:b/>
          <w:bCs/>
          <w:lang w:val="en-GB"/>
        </w:rPr>
        <w:t xml:space="preserve">First annex to ISPM 46 adopted. </w:t>
      </w:r>
      <w:r w:rsidRPr="28C9EF92">
        <w:rPr>
          <w:lang w:val="en-GB"/>
        </w:rPr>
        <w:t xml:space="preserve">The first annex to ISMP 46, the </w:t>
      </w:r>
      <w:proofErr w:type="gramStart"/>
      <w:r w:rsidRPr="28C9EF92">
        <w:rPr>
          <w:i/>
          <w:iCs/>
          <w:lang w:val="en-GB"/>
        </w:rPr>
        <w:t>International</w:t>
      </w:r>
      <w:proofErr w:type="gramEnd"/>
      <w:r w:rsidRPr="28C9EF92">
        <w:rPr>
          <w:i/>
          <w:iCs/>
          <w:lang w:val="en-GB"/>
        </w:rPr>
        <w:t xml:space="preserve"> movement of fresh </w:t>
      </w:r>
      <w:r w:rsidRPr="28C9EF92">
        <w:rPr>
          <w:lang w:val="en-GB"/>
        </w:rPr>
        <w:t>Mangifera indica</w:t>
      </w:r>
      <w:r w:rsidRPr="28C9EF92">
        <w:rPr>
          <w:i/>
          <w:iCs/>
          <w:lang w:val="en-GB"/>
        </w:rPr>
        <w:t xml:space="preserve"> fruit </w:t>
      </w:r>
      <w:r w:rsidRPr="28C9EF92">
        <w:rPr>
          <w:lang w:val="en-GB"/>
        </w:rPr>
        <w:t xml:space="preserve">(2021-011), was adopted by CPM-19, marking a milestone in the history of ISPMs. The annex, which establishes standardized phytosanitary measures to ensure the safe international trade of mangoes while preventing the introduction and spread of pests, is publicly available on the </w:t>
      </w:r>
      <w:hyperlink r:id="rId15" w:history="1">
        <w:r w:rsidRPr="28C9EF92">
          <w:rPr>
            <w:rStyle w:val="Hyperlink"/>
            <w:lang w:val="en-GB"/>
          </w:rPr>
          <w:t>IPP</w:t>
        </w:r>
      </w:hyperlink>
      <w:r w:rsidRPr="28C9EF92">
        <w:rPr>
          <w:rStyle w:val="FootnoteReference"/>
          <w:lang w:val="en-GB"/>
        </w:rPr>
        <w:footnoteReference w:id="9"/>
      </w:r>
      <w:r w:rsidR="49EFC168" w:rsidRPr="00A16411">
        <w:rPr>
          <w:rStyle w:val="Hyperlink"/>
          <w:color w:val="000000" w:themeColor="text1"/>
          <w:u w:val="none"/>
          <w:lang w:val="en-GB"/>
        </w:rPr>
        <w:t xml:space="preserve"> </w:t>
      </w:r>
      <w:r w:rsidRPr="00A16411">
        <w:rPr>
          <w:rStyle w:val="Hyperlink"/>
          <w:color w:val="000000" w:themeColor="text1"/>
          <w:u w:val="none"/>
          <w:lang w:val="en-GB"/>
        </w:rPr>
        <w:t>and soon will be in its final layout on the</w:t>
      </w:r>
      <w:r w:rsidRPr="00A16411">
        <w:rPr>
          <w:rStyle w:val="Hyperlink"/>
          <w:color w:val="000000" w:themeColor="text1"/>
          <w:lang w:val="en-GB"/>
        </w:rPr>
        <w:t xml:space="preserve"> </w:t>
      </w:r>
      <w:hyperlink r:id="rId16" w:history="1">
        <w:r w:rsidRPr="28C9EF92">
          <w:rPr>
            <w:rStyle w:val="Hyperlink"/>
            <w:lang w:val="en-GB"/>
          </w:rPr>
          <w:t>adopted standards page</w:t>
        </w:r>
      </w:hyperlink>
      <w:r w:rsidRPr="28C9EF92">
        <w:rPr>
          <w:lang w:val="en-GB"/>
        </w:rPr>
        <w:t>.</w:t>
      </w:r>
    </w:p>
    <w:p w14:paraId="783B3581" w14:textId="27991351" w:rsidR="00A608EE" w:rsidRPr="007C5AE1" w:rsidRDefault="00A608EE" w:rsidP="28C9EF92">
      <w:pPr>
        <w:pStyle w:val="IPPParagraphnumbering"/>
        <w:rPr>
          <w:b/>
          <w:bCs/>
          <w:lang w:val="en-GB"/>
        </w:rPr>
      </w:pPr>
      <w:r>
        <w:rPr>
          <w:b/>
          <w:bCs/>
          <w:lang w:val="en-GB"/>
        </w:rPr>
        <w:t>A total of 5 draft commodity standards already drafted by the TPCS</w:t>
      </w:r>
      <w:r w:rsidR="00E75510" w:rsidRPr="00E75510">
        <w:rPr>
          <w:lang w:val="en-GB"/>
        </w:rPr>
        <w:t>, including the “mango fresh fruits”.</w:t>
      </w:r>
    </w:p>
    <w:p w14:paraId="387D1200" w14:textId="0D14868F" w:rsidR="00BC4498" w:rsidRPr="00EE4792" w:rsidRDefault="00BC4498" w:rsidP="00F33363">
      <w:pPr>
        <w:pStyle w:val="IPPHeading1"/>
        <w:numPr>
          <w:ilvl w:val="0"/>
          <w:numId w:val="33"/>
        </w:numPr>
      </w:pPr>
      <w:r>
        <w:t>Membership update</w:t>
      </w:r>
    </w:p>
    <w:p w14:paraId="07337D73" w14:textId="77777777" w:rsidR="007F0EE1" w:rsidRPr="007F0EE1" w:rsidRDefault="00BC4498" w:rsidP="00F71CF7">
      <w:pPr>
        <w:pStyle w:val="IPPPargraphnumbering"/>
        <w:numPr>
          <w:ilvl w:val="0"/>
          <w:numId w:val="4"/>
        </w:numPr>
        <w:spacing w:before="120" w:after="160" w:line="278" w:lineRule="auto"/>
        <w:jc w:val="left"/>
      </w:pPr>
      <w:r w:rsidRPr="000544B5">
        <w:rPr>
          <w:lang w:val="en-GB"/>
        </w:rPr>
        <w:t xml:space="preserve">The </w:t>
      </w:r>
      <w:hyperlink r:id="rId17" w:history="1">
        <w:r w:rsidRPr="004B5534">
          <w:rPr>
            <w:rStyle w:val="Hyperlink"/>
            <w:lang w:val="en-GB"/>
          </w:rPr>
          <w:t>TPCS membership and contact information</w:t>
        </w:r>
      </w:hyperlink>
      <w:r w:rsidRPr="00FA5089">
        <w:rPr>
          <w:lang w:val="en-GB"/>
        </w:rPr>
        <w:t xml:space="preserve"> </w:t>
      </w:r>
      <w:r w:rsidRPr="000544B5">
        <w:rPr>
          <w:lang w:val="en-GB"/>
        </w:rPr>
        <w:t xml:space="preserve">can be found on </w:t>
      </w:r>
      <w:r>
        <w:rPr>
          <w:lang w:val="en-GB"/>
        </w:rPr>
        <w:t>the International Phytosanitary Portal (</w:t>
      </w:r>
      <w:r w:rsidRPr="000544B5">
        <w:rPr>
          <w:lang w:val="en-GB"/>
        </w:rPr>
        <w:t>IPP</w:t>
      </w:r>
      <w:r>
        <w:rPr>
          <w:lang w:val="en-GB"/>
        </w:rPr>
        <w:t>).</w:t>
      </w:r>
      <w:r w:rsidRPr="000544B5">
        <w:rPr>
          <w:rStyle w:val="FootnoteReference"/>
          <w:lang w:val="en-GB"/>
        </w:rPr>
        <w:footnoteReference w:id="10"/>
      </w:r>
      <w:r w:rsidRPr="000544B5">
        <w:rPr>
          <w:lang w:val="en-GB"/>
        </w:rPr>
        <w:t xml:space="preserve"> </w:t>
      </w:r>
    </w:p>
    <w:p w14:paraId="70A8B78D" w14:textId="69E4BCFF" w:rsidR="00F71CF7" w:rsidRPr="00EE4792" w:rsidRDefault="00F71CF7" w:rsidP="00F33363">
      <w:pPr>
        <w:pStyle w:val="IPPHeading1"/>
        <w:numPr>
          <w:ilvl w:val="0"/>
          <w:numId w:val="33"/>
        </w:numPr>
      </w:pPr>
      <w:r w:rsidRPr="005461D0">
        <w:lastRenderedPageBreak/>
        <w:t>TP</w:t>
      </w:r>
      <w:r>
        <w:t>CS</w:t>
      </w:r>
      <w:r w:rsidRPr="005461D0">
        <w:t xml:space="preserve"> work </w:t>
      </w:r>
      <w:r>
        <w:t>programme</w:t>
      </w:r>
    </w:p>
    <w:p w14:paraId="13968367" w14:textId="176F1673" w:rsidR="00F71CF7" w:rsidRDefault="00F71CF7" w:rsidP="00F71CF7">
      <w:pPr>
        <w:pStyle w:val="IPPParagraphnumbering"/>
      </w:pPr>
      <w:r>
        <w:t xml:space="preserve">As of </w:t>
      </w:r>
      <w:r w:rsidR="00634F89">
        <w:t>September</w:t>
      </w:r>
      <w:r>
        <w:t xml:space="preserve"> 2025, t</w:t>
      </w:r>
      <w:r w:rsidRPr="007F335B">
        <w:t>he TPCS</w:t>
      </w:r>
      <w:r w:rsidR="004B1169">
        <w:t xml:space="preserve"> and </w:t>
      </w:r>
      <w:r w:rsidR="001B3342">
        <w:t>the IPPC</w:t>
      </w:r>
      <w:r w:rsidRPr="007F335B">
        <w:t xml:space="preserve"> work </w:t>
      </w:r>
      <w:proofErr w:type="spellStart"/>
      <w:r w:rsidRPr="007F335B">
        <w:t>programme</w:t>
      </w:r>
      <w:proofErr w:type="spellEnd"/>
      <w:r w:rsidRPr="007F335B">
        <w:t xml:space="preserve"> includes seven s</w:t>
      </w:r>
      <w:r>
        <w:t>ubjects</w:t>
      </w:r>
      <w:r w:rsidR="001B3342">
        <w:t xml:space="preserve"> on commodity standards</w:t>
      </w:r>
      <w:r w:rsidRPr="007F335B">
        <w:t>, approved by CPM-18 (2024)</w:t>
      </w:r>
      <w:r w:rsidR="001B3342">
        <w:t xml:space="preserve">, as outlined in Table 2 below. </w:t>
      </w:r>
      <w:r w:rsidR="004B343D">
        <w:t xml:space="preserve">The table also provides a summary </w:t>
      </w:r>
      <w:r w:rsidR="00634F89">
        <w:t>of</w:t>
      </w:r>
      <w:r w:rsidR="004B343D">
        <w:t xml:space="preserve"> the status of development and forecast for consultation period stage.</w:t>
      </w:r>
      <w:r w:rsidRPr="007F335B">
        <w:t xml:space="preserve"> </w:t>
      </w:r>
    </w:p>
    <w:p w14:paraId="702AFC3A" w14:textId="77777777" w:rsidR="00AA7395" w:rsidRPr="00FC4C9F" w:rsidRDefault="00AA7395" w:rsidP="00AA7395">
      <w:pPr>
        <w:pStyle w:val="IPPParagraphnumbering"/>
      </w:pPr>
      <w:r>
        <w:t xml:space="preserve">Figure 1 provides a summary of the </w:t>
      </w:r>
      <w:r w:rsidRPr="008D44C4">
        <w:rPr>
          <w:u w:val="single"/>
        </w:rPr>
        <w:t>tentative timeline</w:t>
      </w:r>
      <w:r>
        <w:t xml:space="preserve"> </w:t>
      </w:r>
      <w:r w:rsidRPr="008D44C4">
        <w:t>on the progress</w:t>
      </w:r>
      <w:r>
        <w:t xml:space="preserve"> of this DAI and the commodity standards, as of May 2025, following the stages in the IPPC standard setting process.</w:t>
      </w:r>
    </w:p>
    <w:p w14:paraId="39E4D46C" w14:textId="326561EF" w:rsidR="004B343D" w:rsidRPr="00671C5C" w:rsidRDefault="004B343D" w:rsidP="00671C5C">
      <w:pPr>
        <w:pStyle w:val="IPPParagraphnumbering"/>
        <w:numPr>
          <w:ilvl w:val="0"/>
          <w:numId w:val="0"/>
        </w:numPr>
        <w:rPr>
          <w:rFonts w:ascii="Arial" w:hAnsi="Arial" w:cs="Arial"/>
          <w:sz w:val="18"/>
          <w:szCs w:val="20"/>
        </w:rPr>
      </w:pPr>
      <w:r w:rsidRPr="00671C5C">
        <w:rPr>
          <w:rFonts w:ascii="Arial" w:hAnsi="Arial" w:cs="Arial"/>
          <w:b/>
          <w:bCs/>
          <w:sz w:val="18"/>
          <w:szCs w:val="20"/>
        </w:rPr>
        <w:t>Table 2.</w:t>
      </w:r>
      <w:r w:rsidRPr="00671C5C">
        <w:rPr>
          <w:rFonts w:ascii="Arial" w:hAnsi="Arial" w:cs="Arial"/>
          <w:sz w:val="18"/>
          <w:szCs w:val="20"/>
        </w:rPr>
        <w:t xml:space="preserve"> TPCS and the IPPC work </w:t>
      </w:r>
      <w:proofErr w:type="spellStart"/>
      <w:r w:rsidRPr="00671C5C">
        <w:rPr>
          <w:rFonts w:ascii="Arial" w:hAnsi="Arial" w:cs="Arial"/>
          <w:sz w:val="18"/>
          <w:szCs w:val="20"/>
        </w:rPr>
        <w:t>programme</w:t>
      </w:r>
      <w:proofErr w:type="spellEnd"/>
      <w:r w:rsidRPr="00671C5C">
        <w:rPr>
          <w:rFonts w:ascii="Arial" w:hAnsi="Arial" w:cs="Arial"/>
          <w:sz w:val="18"/>
          <w:szCs w:val="20"/>
        </w:rPr>
        <w:t xml:space="preserve"> on specific commodity standards annexes to ISPM 46 and </w:t>
      </w:r>
      <w:r w:rsidR="00304CDA" w:rsidRPr="00671C5C">
        <w:rPr>
          <w:rFonts w:ascii="Arial" w:hAnsi="Arial" w:cs="Arial"/>
          <w:sz w:val="18"/>
          <w:szCs w:val="20"/>
        </w:rPr>
        <w:t>status of development.</w:t>
      </w:r>
    </w:p>
    <w:tbl>
      <w:tblPr>
        <w:tblStyle w:val="TableGrid"/>
        <w:tblW w:w="5000" w:type="pct"/>
        <w:tblLook w:val="04A0" w:firstRow="1" w:lastRow="0" w:firstColumn="1" w:lastColumn="0" w:noHBand="0" w:noVBand="1"/>
      </w:tblPr>
      <w:tblGrid>
        <w:gridCol w:w="1130"/>
        <w:gridCol w:w="3455"/>
        <w:gridCol w:w="900"/>
        <w:gridCol w:w="3531"/>
      </w:tblGrid>
      <w:tr w:rsidR="00F71CF7" w:rsidRPr="00AC5931" w14:paraId="2AF65E89" w14:textId="77777777" w:rsidTr="007050F6">
        <w:tc>
          <w:tcPr>
            <w:tcW w:w="627" w:type="pct"/>
            <w:shd w:val="clear" w:color="auto" w:fill="D9D9D9" w:themeFill="background1" w:themeFillShade="D9"/>
          </w:tcPr>
          <w:p w14:paraId="103BBE8B" w14:textId="77777777" w:rsidR="00F71CF7" w:rsidRPr="00E70BE7" w:rsidRDefault="00F71CF7" w:rsidP="003C3030">
            <w:pPr>
              <w:pStyle w:val="IPPBullet1"/>
              <w:numPr>
                <w:ilvl w:val="0"/>
                <w:numId w:val="0"/>
              </w:numPr>
              <w:spacing w:before="60"/>
              <w:rPr>
                <w:rFonts w:ascii="Arial" w:hAnsi="Arial" w:cs="Arial"/>
                <w:b/>
                <w:bCs/>
                <w:sz w:val="18"/>
                <w:szCs w:val="18"/>
              </w:rPr>
            </w:pPr>
            <w:r w:rsidRPr="00E70BE7">
              <w:rPr>
                <w:rFonts w:ascii="Arial" w:hAnsi="Arial" w:cs="Arial"/>
                <w:b/>
                <w:bCs/>
                <w:sz w:val="18"/>
                <w:szCs w:val="18"/>
              </w:rPr>
              <w:t>Topic No.</w:t>
            </w:r>
          </w:p>
        </w:tc>
        <w:tc>
          <w:tcPr>
            <w:tcW w:w="1916" w:type="pct"/>
            <w:shd w:val="clear" w:color="auto" w:fill="D9D9D9" w:themeFill="background1" w:themeFillShade="D9"/>
          </w:tcPr>
          <w:p w14:paraId="5F098FD8" w14:textId="77777777" w:rsidR="00F71CF7" w:rsidRPr="00E70BE7" w:rsidRDefault="00F71CF7" w:rsidP="003C3030">
            <w:pPr>
              <w:pStyle w:val="IPPBullet1"/>
              <w:numPr>
                <w:ilvl w:val="0"/>
                <w:numId w:val="0"/>
              </w:numPr>
              <w:spacing w:before="60"/>
              <w:rPr>
                <w:rFonts w:ascii="Arial" w:hAnsi="Arial" w:cs="Arial"/>
                <w:b/>
                <w:bCs/>
                <w:sz w:val="18"/>
                <w:szCs w:val="18"/>
              </w:rPr>
            </w:pPr>
            <w:r w:rsidRPr="00E70BE7">
              <w:rPr>
                <w:rFonts w:ascii="Arial" w:hAnsi="Arial" w:cs="Arial"/>
                <w:b/>
                <w:bCs/>
                <w:sz w:val="18"/>
                <w:szCs w:val="18"/>
              </w:rPr>
              <w:t>Current Title</w:t>
            </w:r>
          </w:p>
        </w:tc>
        <w:tc>
          <w:tcPr>
            <w:tcW w:w="499" w:type="pct"/>
            <w:shd w:val="clear" w:color="auto" w:fill="D9D9D9" w:themeFill="background1" w:themeFillShade="D9"/>
          </w:tcPr>
          <w:p w14:paraId="0CE037E6" w14:textId="77777777" w:rsidR="00F71CF7" w:rsidRPr="00E70BE7" w:rsidRDefault="00F71CF7" w:rsidP="003C3030">
            <w:pPr>
              <w:pStyle w:val="IPPBullet1"/>
              <w:numPr>
                <w:ilvl w:val="0"/>
                <w:numId w:val="0"/>
              </w:numPr>
              <w:spacing w:before="60"/>
              <w:jc w:val="center"/>
              <w:rPr>
                <w:rFonts w:ascii="Arial" w:hAnsi="Arial" w:cs="Arial"/>
                <w:b/>
                <w:bCs/>
                <w:sz w:val="18"/>
                <w:szCs w:val="18"/>
              </w:rPr>
            </w:pPr>
            <w:r w:rsidRPr="00E70BE7">
              <w:rPr>
                <w:rFonts w:ascii="Arial" w:hAnsi="Arial" w:cs="Arial"/>
                <w:b/>
                <w:bCs/>
                <w:sz w:val="18"/>
                <w:szCs w:val="18"/>
              </w:rPr>
              <w:t>Priority</w:t>
            </w:r>
          </w:p>
        </w:tc>
        <w:tc>
          <w:tcPr>
            <w:tcW w:w="1958" w:type="pct"/>
            <w:shd w:val="clear" w:color="auto" w:fill="D9D9D9" w:themeFill="background1" w:themeFillShade="D9"/>
          </w:tcPr>
          <w:p w14:paraId="10CD31A6" w14:textId="77777777" w:rsidR="00F71CF7" w:rsidRPr="00E70BE7" w:rsidRDefault="00F71CF7" w:rsidP="003C3030">
            <w:pPr>
              <w:pStyle w:val="IPPBullet1"/>
              <w:numPr>
                <w:ilvl w:val="0"/>
                <w:numId w:val="0"/>
              </w:numPr>
              <w:spacing w:before="60"/>
              <w:rPr>
                <w:rFonts w:ascii="Arial" w:hAnsi="Arial" w:cs="Arial"/>
                <w:b/>
                <w:bCs/>
                <w:sz w:val="18"/>
                <w:szCs w:val="18"/>
              </w:rPr>
            </w:pPr>
            <w:r w:rsidRPr="00E70BE7">
              <w:rPr>
                <w:rFonts w:ascii="Arial" w:hAnsi="Arial" w:cs="Arial"/>
                <w:b/>
                <w:bCs/>
                <w:sz w:val="18"/>
                <w:szCs w:val="18"/>
              </w:rPr>
              <w:t>Status</w:t>
            </w:r>
          </w:p>
        </w:tc>
      </w:tr>
      <w:tr w:rsidR="00F71CF7" w14:paraId="267A96F8" w14:textId="77777777" w:rsidTr="007050F6">
        <w:tc>
          <w:tcPr>
            <w:tcW w:w="627" w:type="pct"/>
          </w:tcPr>
          <w:p w14:paraId="48956E35" w14:textId="77777777" w:rsidR="00F71CF7" w:rsidRPr="00E70BE7" w:rsidRDefault="00F71CF7" w:rsidP="003C3030">
            <w:pPr>
              <w:pStyle w:val="IPPBullet1"/>
              <w:numPr>
                <w:ilvl w:val="0"/>
                <w:numId w:val="0"/>
              </w:numPr>
              <w:spacing w:before="60"/>
              <w:rPr>
                <w:rFonts w:ascii="Arial" w:hAnsi="Arial" w:cs="Arial"/>
                <w:sz w:val="18"/>
                <w:szCs w:val="18"/>
              </w:rPr>
            </w:pPr>
            <w:r w:rsidRPr="00E70BE7">
              <w:rPr>
                <w:rFonts w:ascii="Arial" w:hAnsi="Arial" w:cs="Arial"/>
                <w:sz w:val="18"/>
                <w:szCs w:val="18"/>
              </w:rPr>
              <w:t>2023-028</w:t>
            </w:r>
          </w:p>
        </w:tc>
        <w:tc>
          <w:tcPr>
            <w:tcW w:w="1916" w:type="pct"/>
          </w:tcPr>
          <w:p w14:paraId="27B1C930" w14:textId="77777777" w:rsidR="00F71CF7" w:rsidRPr="00E70BE7" w:rsidRDefault="00F71CF7" w:rsidP="003C3030">
            <w:pPr>
              <w:pStyle w:val="IPPBullet1"/>
              <w:numPr>
                <w:ilvl w:val="0"/>
                <w:numId w:val="0"/>
              </w:numPr>
              <w:spacing w:before="60"/>
              <w:rPr>
                <w:rFonts w:ascii="Arial" w:hAnsi="Arial" w:cs="Arial"/>
                <w:sz w:val="18"/>
                <w:szCs w:val="18"/>
              </w:rPr>
            </w:pPr>
            <w:r w:rsidRPr="00E70BE7">
              <w:rPr>
                <w:rFonts w:ascii="Arial" w:hAnsi="Arial" w:cs="Arial"/>
                <w:sz w:val="18"/>
                <w:szCs w:val="18"/>
              </w:rPr>
              <w:t xml:space="preserve">International movement of fresh </w:t>
            </w:r>
            <w:r w:rsidRPr="00E70BE7">
              <w:rPr>
                <w:rFonts w:ascii="Arial" w:hAnsi="Arial" w:cs="Arial"/>
                <w:i/>
                <w:iCs/>
                <w:sz w:val="18"/>
                <w:szCs w:val="18"/>
              </w:rPr>
              <w:t xml:space="preserve">Musa </w:t>
            </w:r>
            <w:r w:rsidRPr="00E70BE7">
              <w:rPr>
                <w:rFonts w:ascii="Arial" w:hAnsi="Arial" w:cs="Arial"/>
                <w:sz w:val="18"/>
                <w:szCs w:val="18"/>
              </w:rPr>
              <w:t>spp.</w:t>
            </w:r>
            <w:r w:rsidRPr="00E70BE7">
              <w:rPr>
                <w:rFonts w:ascii="Arial" w:hAnsi="Arial" w:cs="Arial"/>
                <w:i/>
                <w:iCs/>
                <w:sz w:val="18"/>
                <w:szCs w:val="18"/>
              </w:rPr>
              <w:t xml:space="preserve"> </w:t>
            </w:r>
            <w:r w:rsidRPr="00E70BE7">
              <w:rPr>
                <w:rFonts w:ascii="Arial" w:hAnsi="Arial" w:cs="Arial"/>
                <w:sz w:val="18"/>
                <w:szCs w:val="18"/>
              </w:rPr>
              <w:t>fruit</w:t>
            </w:r>
          </w:p>
        </w:tc>
        <w:tc>
          <w:tcPr>
            <w:tcW w:w="499" w:type="pct"/>
          </w:tcPr>
          <w:p w14:paraId="6A7FF96C" w14:textId="77777777" w:rsidR="00F71CF7" w:rsidRPr="00E70BE7" w:rsidRDefault="00F71CF7" w:rsidP="003C3030">
            <w:pPr>
              <w:pStyle w:val="IPPBullet1"/>
              <w:numPr>
                <w:ilvl w:val="0"/>
                <w:numId w:val="0"/>
              </w:numPr>
              <w:spacing w:before="60"/>
              <w:jc w:val="center"/>
              <w:rPr>
                <w:rFonts w:ascii="Arial" w:hAnsi="Arial" w:cs="Arial"/>
                <w:sz w:val="18"/>
                <w:szCs w:val="18"/>
              </w:rPr>
            </w:pPr>
            <w:r w:rsidRPr="00E70BE7">
              <w:rPr>
                <w:rFonts w:ascii="Arial" w:hAnsi="Arial" w:cs="Arial"/>
                <w:sz w:val="18"/>
                <w:szCs w:val="18"/>
              </w:rPr>
              <w:t>1</w:t>
            </w:r>
          </w:p>
        </w:tc>
        <w:tc>
          <w:tcPr>
            <w:tcW w:w="1958" w:type="pct"/>
          </w:tcPr>
          <w:p w14:paraId="4A908CE9" w14:textId="7F122BE8" w:rsidR="00F71CF7" w:rsidRPr="00E70BE7" w:rsidRDefault="00F71CF7" w:rsidP="003C3030">
            <w:pPr>
              <w:pStyle w:val="IPPBullet1"/>
              <w:numPr>
                <w:ilvl w:val="0"/>
                <w:numId w:val="0"/>
              </w:numPr>
              <w:spacing w:before="60"/>
              <w:jc w:val="left"/>
              <w:rPr>
                <w:rFonts w:ascii="Arial" w:hAnsi="Arial" w:cs="Arial"/>
                <w:sz w:val="18"/>
                <w:szCs w:val="18"/>
              </w:rPr>
            </w:pPr>
            <w:r w:rsidRPr="00E70BE7">
              <w:rPr>
                <w:rFonts w:ascii="Arial" w:hAnsi="Arial" w:cs="Arial"/>
                <w:sz w:val="18"/>
                <w:szCs w:val="18"/>
              </w:rPr>
              <w:t xml:space="preserve">Draft ISPM </w:t>
            </w:r>
            <w:r w:rsidR="00A90BA1">
              <w:rPr>
                <w:rFonts w:ascii="Arial" w:hAnsi="Arial" w:cs="Arial"/>
                <w:sz w:val="18"/>
                <w:szCs w:val="18"/>
              </w:rPr>
              <w:t xml:space="preserve">approved for </w:t>
            </w:r>
            <w:r w:rsidR="00A90BA1" w:rsidRPr="00A90BA1">
              <w:rPr>
                <w:rFonts w:ascii="Arial" w:hAnsi="Arial" w:cs="Arial"/>
                <w:b/>
                <w:bCs/>
                <w:sz w:val="18"/>
                <w:szCs w:val="18"/>
              </w:rPr>
              <w:t xml:space="preserve">first consultation period </w:t>
            </w:r>
            <w:r w:rsidR="004C09A4">
              <w:rPr>
                <w:rFonts w:ascii="Arial" w:hAnsi="Arial" w:cs="Arial"/>
                <w:b/>
                <w:bCs/>
                <w:sz w:val="18"/>
                <w:szCs w:val="18"/>
              </w:rPr>
              <w:t xml:space="preserve">in July </w:t>
            </w:r>
            <w:r w:rsidR="00A90BA1" w:rsidRPr="00A90BA1">
              <w:rPr>
                <w:rFonts w:ascii="Arial" w:hAnsi="Arial" w:cs="Arial"/>
                <w:b/>
                <w:bCs/>
                <w:sz w:val="18"/>
                <w:szCs w:val="18"/>
              </w:rPr>
              <w:t>2025</w:t>
            </w:r>
          </w:p>
        </w:tc>
      </w:tr>
      <w:tr w:rsidR="00F71CF7" w14:paraId="304A66AF" w14:textId="77777777" w:rsidTr="007050F6">
        <w:tc>
          <w:tcPr>
            <w:tcW w:w="627" w:type="pct"/>
          </w:tcPr>
          <w:p w14:paraId="47FE7725" w14:textId="77777777" w:rsidR="00F71CF7" w:rsidRPr="00E70BE7" w:rsidRDefault="00F71CF7" w:rsidP="003C3030">
            <w:pPr>
              <w:pStyle w:val="IPPBullet1"/>
              <w:numPr>
                <w:ilvl w:val="0"/>
                <w:numId w:val="0"/>
              </w:numPr>
              <w:spacing w:before="60"/>
              <w:rPr>
                <w:rFonts w:ascii="Arial" w:hAnsi="Arial" w:cs="Arial"/>
                <w:sz w:val="18"/>
                <w:szCs w:val="18"/>
              </w:rPr>
            </w:pPr>
            <w:r w:rsidRPr="00E70BE7">
              <w:rPr>
                <w:rFonts w:ascii="Arial" w:hAnsi="Arial" w:cs="Arial"/>
                <w:sz w:val="18"/>
                <w:szCs w:val="18"/>
              </w:rPr>
              <w:t>2023-023</w:t>
            </w:r>
          </w:p>
        </w:tc>
        <w:tc>
          <w:tcPr>
            <w:tcW w:w="1916" w:type="pct"/>
          </w:tcPr>
          <w:p w14:paraId="082D921F" w14:textId="77777777" w:rsidR="00F71CF7" w:rsidRPr="00E70BE7" w:rsidRDefault="00F71CF7" w:rsidP="003C3030">
            <w:pPr>
              <w:pStyle w:val="IPPBullet1"/>
              <w:numPr>
                <w:ilvl w:val="0"/>
                <w:numId w:val="0"/>
              </w:numPr>
              <w:spacing w:before="60"/>
              <w:jc w:val="left"/>
              <w:rPr>
                <w:rFonts w:ascii="Arial" w:hAnsi="Arial" w:cs="Arial"/>
                <w:sz w:val="18"/>
                <w:szCs w:val="18"/>
              </w:rPr>
            </w:pPr>
            <w:r w:rsidRPr="00E70BE7">
              <w:rPr>
                <w:rFonts w:ascii="Arial" w:hAnsi="Arial" w:cs="Arial"/>
                <w:sz w:val="18"/>
                <w:szCs w:val="18"/>
              </w:rPr>
              <w:t xml:space="preserve">International movement of fresh </w:t>
            </w:r>
            <w:r w:rsidRPr="00E70BE7">
              <w:rPr>
                <w:rFonts w:ascii="Arial" w:hAnsi="Arial" w:cs="Arial"/>
                <w:i/>
                <w:iCs/>
                <w:sz w:val="18"/>
                <w:szCs w:val="18"/>
              </w:rPr>
              <w:t>Colocasia esculenta</w:t>
            </w:r>
            <w:r w:rsidRPr="00E70BE7">
              <w:rPr>
                <w:rFonts w:ascii="Arial" w:hAnsi="Arial" w:cs="Arial"/>
                <w:sz w:val="18"/>
                <w:szCs w:val="18"/>
              </w:rPr>
              <w:t xml:space="preserve"> for consumption</w:t>
            </w:r>
          </w:p>
        </w:tc>
        <w:tc>
          <w:tcPr>
            <w:tcW w:w="499" w:type="pct"/>
          </w:tcPr>
          <w:p w14:paraId="574B7445" w14:textId="77777777" w:rsidR="00F71CF7" w:rsidRPr="00E70BE7" w:rsidRDefault="00F71CF7" w:rsidP="003C3030">
            <w:pPr>
              <w:pStyle w:val="IPPBullet1"/>
              <w:numPr>
                <w:ilvl w:val="0"/>
                <w:numId w:val="0"/>
              </w:numPr>
              <w:spacing w:before="60"/>
              <w:jc w:val="center"/>
              <w:rPr>
                <w:rFonts w:ascii="Arial" w:hAnsi="Arial" w:cs="Arial"/>
                <w:sz w:val="18"/>
                <w:szCs w:val="18"/>
              </w:rPr>
            </w:pPr>
            <w:r w:rsidRPr="00E70BE7">
              <w:rPr>
                <w:rFonts w:ascii="Arial" w:hAnsi="Arial" w:cs="Arial"/>
                <w:sz w:val="18"/>
                <w:szCs w:val="18"/>
              </w:rPr>
              <w:t>1</w:t>
            </w:r>
          </w:p>
        </w:tc>
        <w:tc>
          <w:tcPr>
            <w:tcW w:w="1958" w:type="pct"/>
          </w:tcPr>
          <w:p w14:paraId="04B86013" w14:textId="77AAE7C3" w:rsidR="00F71CF7" w:rsidRPr="00E70BE7" w:rsidRDefault="00A90BA1" w:rsidP="003C3030">
            <w:pPr>
              <w:pStyle w:val="IPPBullet1"/>
              <w:numPr>
                <w:ilvl w:val="0"/>
                <w:numId w:val="0"/>
              </w:numPr>
              <w:spacing w:before="60"/>
              <w:jc w:val="left"/>
              <w:rPr>
                <w:rFonts w:ascii="Arial" w:hAnsi="Arial" w:cs="Arial"/>
                <w:sz w:val="18"/>
                <w:szCs w:val="18"/>
              </w:rPr>
            </w:pPr>
            <w:r w:rsidRPr="00E70BE7">
              <w:rPr>
                <w:rFonts w:ascii="Arial" w:hAnsi="Arial" w:cs="Arial"/>
                <w:sz w:val="18"/>
                <w:szCs w:val="18"/>
              </w:rPr>
              <w:t xml:space="preserve">Draft ISPM </w:t>
            </w:r>
            <w:r>
              <w:rPr>
                <w:rFonts w:ascii="Arial" w:hAnsi="Arial" w:cs="Arial"/>
                <w:sz w:val="18"/>
                <w:szCs w:val="18"/>
              </w:rPr>
              <w:t xml:space="preserve">approved for </w:t>
            </w:r>
            <w:r w:rsidRPr="00A90BA1">
              <w:rPr>
                <w:rFonts w:ascii="Arial" w:hAnsi="Arial" w:cs="Arial"/>
                <w:b/>
                <w:bCs/>
                <w:sz w:val="18"/>
                <w:szCs w:val="18"/>
              </w:rPr>
              <w:t>first consultation period</w:t>
            </w:r>
            <w:r w:rsidR="004C09A4">
              <w:rPr>
                <w:rFonts w:ascii="Arial" w:hAnsi="Arial" w:cs="Arial"/>
                <w:b/>
                <w:bCs/>
                <w:sz w:val="18"/>
                <w:szCs w:val="18"/>
              </w:rPr>
              <w:t xml:space="preserve"> in July</w:t>
            </w:r>
            <w:r w:rsidRPr="00A90BA1">
              <w:rPr>
                <w:rFonts w:ascii="Arial" w:hAnsi="Arial" w:cs="Arial"/>
                <w:b/>
                <w:bCs/>
                <w:sz w:val="18"/>
                <w:szCs w:val="18"/>
              </w:rPr>
              <w:t xml:space="preserve"> 2025</w:t>
            </w:r>
          </w:p>
        </w:tc>
      </w:tr>
      <w:tr w:rsidR="00F71CF7" w14:paraId="066BA9EB" w14:textId="77777777" w:rsidTr="007050F6">
        <w:tc>
          <w:tcPr>
            <w:tcW w:w="627" w:type="pct"/>
          </w:tcPr>
          <w:p w14:paraId="315220BD" w14:textId="77777777" w:rsidR="00F71CF7" w:rsidRPr="00E70BE7" w:rsidRDefault="00F71CF7" w:rsidP="003C3030">
            <w:pPr>
              <w:pStyle w:val="IPPBullet1"/>
              <w:numPr>
                <w:ilvl w:val="0"/>
                <w:numId w:val="0"/>
              </w:numPr>
              <w:spacing w:before="60"/>
              <w:rPr>
                <w:rFonts w:ascii="Arial" w:hAnsi="Arial" w:cs="Arial"/>
                <w:sz w:val="18"/>
                <w:szCs w:val="18"/>
              </w:rPr>
            </w:pPr>
            <w:r w:rsidRPr="00E70BE7">
              <w:rPr>
                <w:rFonts w:ascii="Arial" w:hAnsi="Arial" w:cs="Arial"/>
                <w:sz w:val="18"/>
                <w:szCs w:val="18"/>
              </w:rPr>
              <w:t>2023-008</w:t>
            </w:r>
          </w:p>
        </w:tc>
        <w:tc>
          <w:tcPr>
            <w:tcW w:w="1916" w:type="pct"/>
          </w:tcPr>
          <w:p w14:paraId="36BED258" w14:textId="77777777" w:rsidR="00F71CF7" w:rsidRPr="00E70BE7" w:rsidRDefault="00F71CF7" w:rsidP="003C3030">
            <w:pPr>
              <w:pStyle w:val="IPPBullet1"/>
              <w:numPr>
                <w:ilvl w:val="0"/>
                <w:numId w:val="0"/>
              </w:numPr>
              <w:spacing w:before="60"/>
              <w:rPr>
                <w:rFonts w:ascii="Arial" w:hAnsi="Arial" w:cs="Arial"/>
                <w:sz w:val="18"/>
                <w:szCs w:val="18"/>
              </w:rPr>
            </w:pPr>
            <w:r w:rsidRPr="00E70BE7">
              <w:rPr>
                <w:rFonts w:ascii="Arial" w:hAnsi="Arial" w:cs="Arial"/>
                <w:sz w:val="18"/>
                <w:szCs w:val="18"/>
              </w:rPr>
              <w:t xml:space="preserve">International movement of seeds of </w:t>
            </w:r>
            <w:r w:rsidRPr="00E70BE7">
              <w:rPr>
                <w:rFonts w:ascii="Arial" w:hAnsi="Arial" w:cs="Arial"/>
                <w:i/>
                <w:iCs/>
                <w:sz w:val="18"/>
                <w:szCs w:val="18"/>
              </w:rPr>
              <w:t>Phaseolus vulgaris</w:t>
            </w:r>
          </w:p>
        </w:tc>
        <w:tc>
          <w:tcPr>
            <w:tcW w:w="499" w:type="pct"/>
          </w:tcPr>
          <w:p w14:paraId="51985215" w14:textId="77777777" w:rsidR="00F71CF7" w:rsidRPr="00E70BE7" w:rsidRDefault="00F71CF7" w:rsidP="003C3030">
            <w:pPr>
              <w:pStyle w:val="IPPBullet1"/>
              <w:numPr>
                <w:ilvl w:val="0"/>
                <w:numId w:val="0"/>
              </w:numPr>
              <w:spacing w:before="60"/>
              <w:jc w:val="center"/>
              <w:rPr>
                <w:rFonts w:ascii="Arial" w:hAnsi="Arial" w:cs="Arial"/>
                <w:sz w:val="18"/>
                <w:szCs w:val="18"/>
              </w:rPr>
            </w:pPr>
            <w:r w:rsidRPr="00E70BE7">
              <w:rPr>
                <w:rFonts w:ascii="Arial" w:hAnsi="Arial" w:cs="Arial"/>
                <w:sz w:val="18"/>
                <w:szCs w:val="18"/>
              </w:rPr>
              <w:t>1</w:t>
            </w:r>
          </w:p>
        </w:tc>
        <w:tc>
          <w:tcPr>
            <w:tcW w:w="1958" w:type="pct"/>
          </w:tcPr>
          <w:p w14:paraId="5B91E0D8" w14:textId="77777777" w:rsidR="00F71CF7" w:rsidRPr="00E70BE7" w:rsidRDefault="00F71CF7" w:rsidP="003C3030">
            <w:pPr>
              <w:pStyle w:val="IPPBullet1"/>
              <w:numPr>
                <w:ilvl w:val="0"/>
                <w:numId w:val="0"/>
              </w:numPr>
              <w:spacing w:before="60"/>
              <w:jc w:val="left"/>
              <w:rPr>
                <w:rFonts w:ascii="Arial" w:hAnsi="Arial" w:cs="Arial"/>
                <w:sz w:val="18"/>
                <w:szCs w:val="18"/>
              </w:rPr>
            </w:pPr>
            <w:r w:rsidRPr="00E70BE7">
              <w:rPr>
                <w:rFonts w:ascii="Arial" w:hAnsi="Arial" w:cs="Arial"/>
                <w:sz w:val="18"/>
                <w:szCs w:val="18"/>
              </w:rPr>
              <w:t xml:space="preserve">ISPM for development in </w:t>
            </w:r>
            <w:r w:rsidRPr="00E70BE7">
              <w:rPr>
                <w:rFonts w:ascii="Arial" w:hAnsi="Arial" w:cs="Arial"/>
                <w:b/>
                <w:bCs/>
                <w:sz w:val="18"/>
                <w:szCs w:val="18"/>
              </w:rPr>
              <w:t>June 2025</w:t>
            </w:r>
            <w:r w:rsidRPr="00E70BE7">
              <w:rPr>
                <w:rFonts w:ascii="Arial" w:hAnsi="Arial" w:cs="Arial"/>
                <w:sz w:val="18"/>
                <w:szCs w:val="18"/>
              </w:rPr>
              <w:t xml:space="preserve"> and planned for first </w:t>
            </w:r>
            <w:r w:rsidRPr="00E439A5">
              <w:rPr>
                <w:rFonts w:ascii="Arial" w:hAnsi="Arial" w:cs="Arial"/>
                <w:b/>
                <w:bCs/>
                <w:sz w:val="18"/>
                <w:szCs w:val="18"/>
              </w:rPr>
              <w:t>consultation in July 2026</w:t>
            </w:r>
            <w:r w:rsidRPr="00E70BE7">
              <w:rPr>
                <w:rFonts w:ascii="Arial" w:hAnsi="Arial" w:cs="Arial"/>
                <w:sz w:val="18"/>
                <w:szCs w:val="18"/>
              </w:rPr>
              <w:t>.</w:t>
            </w:r>
          </w:p>
        </w:tc>
      </w:tr>
      <w:tr w:rsidR="00F71CF7" w14:paraId="5D636527" w14:textId="77777777" w:rsidTr="007050F6">
        <w:tc>
          <w:tcPr>
            <w:tcW w:w="627" w:type="pct"/>
          </w:tcPr>
          <w:p w14:paraId="6B6261FA" w14:textId="77777777" w:rsidR="00F71CF7" w:rsidRPr="00E70BE7" w:rsidRDefault="00F71CF7" w:rsidP="003C3030">
            <w:pPr>
              <w:pStyle w:val="IPPBullet1"/>
              <w:numPr>
                <w:ilvl w:val="0"/>
                <w:numId w:val="0"/>
              </w:numPr>
              <w:spacing w:before="60"/>
              <w:rPr>
                <w:rFonts w:ascii="Arial" w:hAnsi="Arial" w:cs="Arial"/>
                <w:sz w:val="18"/>
                <w:szCs w:val="18"/>
              </w:rPr>
            </w:pPr>
            <w:r w:rsidRPr="00E70BE7">
              <w:rPr>
                <w:rFonts w:ascii="Arial" w:hAnsi="Arial" w:cs="Arial"/>
                <w:sz w:val="18"/>
                <w:szCs w:val="18"/>
              </w:rPr>
              <w:t>2023-019</w:t>
            </w:r>
          </w:p>
        </w:tc>
        <w:tc>
          <w:tcPr>
            <w:tcW w:w="1916" w:type="pct"/>
          </w:tcPr>
          <w:p w14:paraId="3855AA35" w14:textId="77777777" w:rsidR="00F71CF7" w:rsidRPr="00E70BE7" w:rsidRDefault="00F71CF7" w:rsidP="003C3030">
            <w:pPr>
              <w:pStyle w:val="IPPBullet1"/>
              <w:numPr>
                <w:ilvl w:val="0"/>
                <w:numId w:val="0"/>
              </w:numPr>
              <w:spacing w:before="60"/>
              <w:rPr>
                <w:rFonts w:ascii="Arial" w:hAnsi="Arial" w:cs="Arial"/>
                <w:sz w:val="18"/>
                <w:szCs w:val="18"/>
              </w:rPr>
            </w:pPr>
            <w:r w:rsidRPr="00E70BE7">
              <w:rPr>
                <w:rFonts w:ascii="Arial" w:hAnsi="Arial" w:cs="Arial"/>
                <w:sz w:val="18"/>
                <w:szCs w:val="18"/>
              </w:rPr>
              <w:t xml:space="preserve">International movement of </w:t>
            </w:r>
            <w:r w:rsidRPr="00E70BE7">
              <w:rPr>
                <w:rFonts w:ascii="Arial" w:hAnsi="Arial" w:cs="Arial"/>
                <w:i/>
                <w:iCs/>
                <w:sz w:val="18"/>
                <w:szCs w:val="18"/>
              </w:rPr>
              <w:t>Citrus</w:t>
            </w:r>
            <w:r w:rsidRPr="00E70BE7">
              <w:rPr>
                <w:rFonts w:ascii="Arial" w:hAnsi="Arial" w:cs="Arial"/>
                <w:sz w:val="18"/>
                <w:szCs w:val="18"/>
              </w:rPr>
              <w:t xml:space="preserve"> fruit</w:t>
            </w:r>
          </w:p>
        </w:tc>
        <w:tc>
          <w:tcPr>
            <w:tcW w:w="499" w:type="pct"/>
          </w:tcPr>
          <w:p w14:paraId="496F8CCB" w14:textId="77777777" w:rsidR="00F71CF7" w:rsidRPr="00E70BE7" w:rsidRDefault="00F71CF7" w:rsidP="003C3030">
            <w:pPr>
              <w:pStyle w:val="IPPBullet1"/>
              <w:numPr>
                <w:ilvl w:val="0"/>
                <w:numId w:val="0"/>
              </w:numPr>
              <w:spacing w:before="60"/>
              <w:jc w:val="center"/>
              <w:rPr>
                <w:rFonts w:ascii="Arial" w:hAnsi="Arial" w:cs="Arial"/>
                <w:sz w:val="18"/>
                <w:szCs w:val="18"/>
              </w:rPr>
            </w:pPr>
            <w:r w:rsidRPr="00E70BE7">
              <w:rPr>
                <w:rFonts w:ascii="Arial" w:hAnsi="Arial" w:cs="Arial"/>
                <w:sz w:val="18"/>
                <w:szCs w:val="18"/>
              </w:rPr>
              <w:t>1</w:t>
            </w:r>
          </w:p>
        </w:tc>
        <w:tc>
          <w:tcPr>
            <w:tcW w:w="1958" w:type="pct"/>
          </w:tcPr>
          <w:p w14:paraId="577923E8" w14:textId="77777777" w:rsidR="00F71CF7" w:rsidRPr="00E70BE7" w:rsidRDefault="00F71CF7" w:rsidP="003C3030">
            <w:pPr>
              <w:pStyle w:val="IPPBullet1"/>
              <w:numPr>
                <w:ilvl w:val="0"/>
                <w:numId w:val="0"/>
              </w:numPr>
              <w:spacing w:before="60"/>
              <w:jc w:val="left"/>
              <w:rPr>
                <w:rFonts w:ascii="Arial" w:hAnsi="Arial" w:cs="Arial"/>
                <w:sz w:val="18"/>
                <w:szCs w:val="18"/>
              </w:rPr>
            </w:pPr>
            <w:r w:rsidRPr="00E70BE7">
              <w:rPr>
                <w:rFonts w:ascii="Arial" w:hAnsi="Arial" w:cs="Arial"/>
                <w:sz w:val="18"/>
                <w:szCs w:val="18"/>
              </w:rPr>
              <w:t xml:space="preserve">Draft ISPM under development, for completion in </w:t>
            </w:r>
            <w:r w:rsidRPr="00E70BE7">
              <w:rPr>
                <w:rFonts w:ascii="Arial" w:hAnsi="Arial" w:cs="Arial"/>
                <w:b/>
                <w:bCs/>
                <w:sz w:val="18"/>
                <w:szCs w:val="18"/>
              </w:rPr>
              <w:t>June 2025</w:t>
            </w:r>
            <w:r w:rsidRPr="00E70BE7">
              <w:rPr>
                <w:rFonts w:ascii="Arial" w:hAnsi="Arial" w:cs="Arial"/>
                <w:sz w:val="18"/>
                <w:szCs w:val="18"/>
              </w:rPr>
              <w:t xml:space="preserve"> and planned for first </w:t>
            </w:r>
            <w:r w:rsidRPr="00E439A5">
              <w:rPr>
                <w:rFonts w:ascii="Arial" w:hAnsi="Arial" w:cs="Arial"/>
                <w:b/>
                <w:bCs/>
                <w:sz w:val="18"/>
                <w:szCs w:val="18"/>
              </w:rPr>
              <w:t>consultation in</w:t>
            </w:r>
            <w:r w:rsidRPr="00E70BE7">
              <w:rPr>
                <w:rFonts w:ascii="Arial" w:hAnsi="Arial" w:cs="Arial"/>
                <w:sz w:val="18"/>
                <w:szCs w:val="18"/>
              </w:rPr>
              <w:t xml:space="preserve"> </w:t>
            </w:r>
            <w:r w:rsidRPr="005A08AD">
              <w:rPr>
                <w:rFonts w:ascii="Arial" w:hAnsi="Arial" w:cs="Arial"/>
                <w:b/>
                <w:bCs/>
                <w:sz w:val="18"/>
                <w:szCs w:val="18"/>
              </w:rPr>
              <w:t>July 2026</w:t>
            </w:r>
            <w:r w:rsidRPr="00E70BE7">
              <w:rPr>
                <w:rFonts w:ascii="Arial" w:hAnsi="Arial" w:cs="Arial"/>
                <w:sz w:val="18"/>
                <w:szCs w:val="18"/>
              </w:rPr>
              <w:t>.</w:t>
            </w:r>
          </w:p>
        </w:tc>
      </w:tr>
      <w:tr w:rsidR="008B7447" w14:paraId="046274B0" w14:textId="77777777" w:rsidTr="007050F6">
        <w:tc>
          <w:tcPr>
            <w:tcW w:w="627" w:type="pct"/>
          </w:tcPr>
          <w:p w14:paraId="492C7C42" w14:textId="1A0E16D1" w:rsidR="008B7447" w:rsidRPr="00E70BE7" w:rsidRDefault="008B7447" w:rsidP="008B7447">
            <w:pPr>
              <w:pStyle w:val="IPPBullet1"/>
              <w:numPr>
                <w:ilvl w:val="0"/>
                <w:numId w:val="0"/>
              </w:numPr>
              <w:spacing w:before="60"/>
              <w:rPr>
                <w:rFonts w:ascii="Arial" w:hAnsi="Arial" w:cs="Arial"/>
                <w:sz w:val="18"/>
                <w:szCs w:val="18"/>
              </w:rPr>
            </w:pPr>
            <w:r w:rsidRPr="00E70BE7">
              <w:rPr>
                <w:rFonts w:ascii="Arial" w:hAnsi="Arial" w:cs="Arial"/>
                <w:sz w:val="18"/>
                <w:szCs w:val="18"/>
              </w:rPr>
              <w:t>2023-024</w:t>
            </w:r>
          </w:p>
        </w:tc>
        <w:tc>
          <w:tcPr>
            <w:tcW w:w="1916" w:type="pct"/>
          </w:tcPr>
          <w:p w14:paraId="4AA7C9D1" w14:textId="298E1443" w:rsidR="008B7447" w:rsidRPr="00E70BE7" w:rsidRDefault="008B7447" w:rsidP="008B7447">
            <w:pPr>
              <w:pStyle w:val="IPPBullet1"/>
              <w:numPr>
                <w:ilvl w:val="0"/>
                <w:numId w:val="0"/>
              </w:numPr>
              <w:spacing w:before="60"/>
              <w:rPr>
                <w:rFonts w:ascii="Arial" w:hAnsi="Arial" w:cs="Arial"/>
                <w:sz w:val="18"/>
                <w:szCs w:val="18"/>
              </w:rPr>
            </w:pPr>
            <w:r w:rsidRPr="00E70BE7">
              <w:rPr>
                <w:rFonts w:ascii="Arial" w:hAnsi="Arial" w:cs="Arial"/>
                <w:sz w:val="18"/>
                <w:szCs w:val="18"/>
              </w:rPr>
              <w:t xml:space="preserve">International movement of </w:t>
            </w:r>
            <w:r w:rsidRPr="00E70BE7">
              <w:rPr>
                <w:rFonts w:ascii="Arial" w:hAnsi="Arial" w:cs="Arial"/>
                <w:i/>
                <w:iCs/>
                <w:sz w:val="18"/>
                <w:szCs w:val="18"/>
              </w:rPr>
              <w:t>Malus domestica</w:t>
            </w:r>
            <w:r w:rsidRPr="00E70BE7">
              <w:rPr>
                <w:rFonts w:ascii="Arial" w:hAnsi="Arial" w:cs="Arial"/>
                <w:sz w:val="18"/>
                <w:szCs w:val="18"/>
              </w:rPr>
              <w:t xml:space="preserve"> fruit for consumption</w:t>
            </w:r>
          </w:p>
        </w:tc>
        <w:tc>
          <w:tcPr>
            <w:tcW w:w="499" w:type="pct"/>
          </w:tcPr>
          <w:p w14:paraId="21F6289A" w14:textId="4AAC1AFE" w:rsidR="008B7447" w:rsidRPr="00E70BE7" w:rsidRDefault="008B7447" w:rsidP="008B7447">
            <w:pPr>
              <w:pStyle w:val="IPPBullet1"/>
              <w:numPr>
                <w:ilvl w:val="0"/>
                <w:numId w:val="0"/>
              </w:numPr>
              <w:spacing w:before="60"/>
              <w:jc w:val="center"/>
              <w:rPr>
                <w:rFonts w:ascii="Arial" w:hAnsi="Arial" w:cs="Arial"/>
                <w:sz w:val="18"/>
                <w:szCs w:val="18"/>
              </w:rPr>
            </w:pPr>
            <w:r w:rsidRPr="00E70BE7">
              <w:rPr>
                <w:rFonts w:ascii="Arial" w:hAnsi="Arial" w:cs="Arial"/>
                <w:sz w:val="18"/>
                <w:szCs w:val="18"/>
              </w:rPr>
              <w:t>2</w:t>
            </w:r>
          </w:p>
        </w:tc>
        <w:tc>
          <w:tcPr>
            <w:tcW w:w="1958" w:type="pct"/>
          </w:tcPr>
          <w:p w14:paraId="7B804EF8" w14:textId="47945525" w:rsidR="008B7447" w:rsidRPr="00E70BE7" w:rsidRDefault="008B7447" w:rsidP="008B7447">
            <w:pPr>
              <w:pStyle w:val="IPPBullet1"/>
              <w:numPr>
                <w:ilvl w:val="0"/>
                <w:numId w:val="0"/>
              </w:numPr>
              <w:spacing w:before="60"/>
              <w:jc w:val="left"/>
              <w:rPr>
                <w:rFonts w:ascii="Arial" w:hAnsi="Arial" w:cs="Arial"/>
                <w:sz w:val="18"/>
                <w:szCs w:val="18"/>
              </w:rPr>
            </w:pPr>
            <w:r w:rsidRPr="00E70BE7">
              <w:rPr>
                <w:rFonts w:ascii="Arial" w:hAnsi="Arial" w:cs="Arial"/>
                <w:sz w:val="18"/>
                <w:szCs w:val="18"/>
              </w:rPr>
              <w:t xml:space="preserve">Tentatively for drafting at the </w:t>
            </w:r>
            <w:r w:rsidRPr="00E70BE7">
              <w:rPr>
                <w:rFonts w:ascii="Arial" w:hAnsi="Arial" w:cs="Arial"/>
                <w:b/>
                <w:bCs/>
                <w:sz w:val="18"/>
                <w:szCs w:val="18"/>
              </w:rPr>
              <w:t>Dec 2025</w:t>
            </w:r>
            <w:r w:rsidRPr="00E70BE7">
              <w:rPr>
                <w:rFonts w:ascii="Arial" w:hAnsi="Arial" w:cs="Arial"/>
                <w:sz w:val="18"/>
                <w:szCs w:val="18"/>
              </w:rPr>
              <w:t xml:space="preserve"> face to face meeting; planned for first </w:t>
            </w:r>
            <w:r w:rsidRPr="008B7447">
              <w:rPr>
                <w:rFonts w:ascii="Arial" w:hAnsi="Arial" w:cs="Arial"/>
                <w:b/>
                <w:bCs/>
                <w:sz w:val="18"/>
                <w:szCs w:val="18"/>
              </w:rPr>
              <w:t xml:space="preserve">consultation in </w:t>
            </w:r>
            <w:r w:rsidRPr="005A08AD">
              <w:rPr>
                <w:rFonts w:ascii="Arial" w:hAnsi="Arial" w:cs="Arial"/>
                <w:b/>
                <w:bCs/>
                <w:sz w:val="18"/>
                <w:szCs w:val="18"/>
              </w:rPr>
              <w:t>July 2026</w:t>
            </w:r>
            <w:r w:rsidRPr="00E70BE7">
              <w:rPr>
                <w:rFonts w:ascii="Arial" w:hAnsi="Arial" w:cs="Arial"/>
                <w:sz w:val="18"/>
                <w:szCs w:val="18"/>
              </w:rPr>
              <w:t>.</w:t>
            </w:r>
          </w:p>
        </w:tc>
      </w:tr>
      <w:tr w:rsidR="008B7447" w14:paraId="5D2261B4" w14:textId="77777777" w:rsidTr="007050F6">
        <w:tc>
          <w:tcPr>
            <w:tcW w:w="627" w:type="pct"/>
          </w:tcPr>
          <w:p w14:paraId="089474B2" w14:textId="2CB712BB" w:rsidR="008B7447" w:rsidRPr="00E70BE7" w:rsidRDefault="008B7447" w:rsidP="008B7447">
            <w:pPr>
              <w:pStyle w:val="IPPBullet1"/>
              <w:numPr>
                <w:ilvl w:val="0"/>
                <w:numId w:val="0"/>
              </w:numPr>
              <w:spacing w:before="60"/>
              <w:rPr>
                <w:rFonts w:ascii="Arial" w:hAnsi="Arial" w:cs="Arial"/>
                <w:sz w:val="18"/>
                <w:szCs w:val="18"/>
              </w:rPr>
            </w:pPr>
            <w:r w:rsidRPr="00E70BE7">
              <w:rPr>
                <w:rFonts w:ascii="Arial" w:hAnsi="Arial" w:cs="Arial"/>
                <w:sz w:val="18"/>
                <w:szCs w:val="18"/>
              </w:rPr>
              <w:t>2023-018</w:t>
            </w:r>
          </w:p>
        </w:tc>
        <w:tc>
          <w:tcPr>
            <w:tcW w:w="1916" w:type="pct"/>
          </w:tcPr>
          <w:p w14:paraId="424D7EBF" w14:textId="06564D9A" w:rsidR="008B7447" w:rsidRPr="00E70BE7" w:rsidRDefault="008B7447" w:rsidP="008B7447">
            <w:pPr>
              <w:pStyle w:val="IPPBullet1"/>
              <w:numPr>
                <w:ilvl w:val="0"/>
                <w:numId w:val="0"/>
              </w:numPr>
              <w:spacing w:before="60"/>
              <w:rPr>
                <w:rFonts w:ascii="Arial" w:hAnsi="Arial" w:cs="Arial"/>
                <w:sz w:val="18"/>
                <w:szCs w:val="18"/>
              </w:rPr>
            </w:pPr>
            <w:r w:rsidRPr="00E70BE7">
              <w:rPr>
                <w:rFonts w:ascii="Arial" w:hAnsi="Arial" w:cs="Arial"/>
                <w:sz w:val="18"/>
                <w:szCs w:val="18"/>
              </w:rPr>
              <w:t xml:space="preserve">International movement of </w:t>
            </w:r>
            <w:r w:rsidRPr="00E70BE7">
              <w:rPr>
                <w:rFonts w:ascii="Arial" w:hAnsi="Arial" w:cs="Arial"/>
                <w:i/>
                <w:iCs/>
                <w:sz w:val="18"/>
                <w:szCs w:val="18"/>
              </w:rPr>
              <w:t>Vit</w:t>
            </w:r>
            <w:r>
              <w:rPr>
                <w:rFonts w:ascii="Arial" w:hAnsi="Arial" w:cs="Arial"/>
                <w:i/>
                <w:iCs/>
                <w:sz w:val="18"/>
                <w:szCs w:val="18"/>
              </w:rPr>
              <w:t>i</w:t>
            </w:r>
            <w:r w:rsidRPr="00E70BE7">
              <w:rPr>
                <w:rFonts w:ascii="Arial" w:hAnsi="Arial" w:cs="Arial"/>
                <w:i/>
                <w:iCs/>
                <w:sz w:val="18"/>
                <w:szCs w:val="18"/>
              </w:rPr>
              <w:t>s vinifera</w:t>
            </w:r>
            <w:r w:rsidRPr="00E70BE7">
              <w:rPr>
                <w:rFonts w:ascii="Arial" w:hAnsi="Arial" w:cs="Arial"/>
                <w:sz w:val="18"/>
                <w:szCs w:val="18"/>
              </w:rPr>
              <w:t xml:space="preserve"> fruit</w:t>
            </w:r>
          </w:p>
        </w:tc>
        <w:tc>
          <w:tcPr>
            <w:tcW w:w="499" w:type="pct"/>
          </w:tcPr>
          <w:p w14:paraId="32043410" w14:textId="37EBD33B" w:rsidR="008B7447" w:rsidRPr="00E70BE7" w:rsidRDefault="008B7447" w:rsidP="008B7447">
            <w:pPr>
              <w:pStyle w:val="IPPBullet1"/>
              <w:numPr>
                <w:ilvl w:val="0"/>
                <w:numId w:val="0"/>
              </w:numPr>
              <w:spacing w:before="60"/>
              <w:jc w:val="center"/>
              <w:rPr>
                <w:rFonts w:ascii="Arial" w:hAnsi="Arial" w:cs="Arial"/>
                <w:sz w:val="18"/>
                <w:szCs w:val="18"/>
              </w:rPr>
            </w:pPr>
            <w:r w:rsidRPr="00E70BE7">
              <w:rPr>
                <w:rFonts w:ascii="Arial" w:hAnsi="Arial" w:cs="Arial"/>
                <w:sz w:val="18"/>
                <w:szCs w:val="18"/>
              </w:rPr>
              <w:t>2</w:t>
            </w:r>
          </w:p>
        </w:tc>
        <w:tc>
          <w:tcPr>
            <w:tcW w:w="1958" w:type="pct"/>
          </w:tcPr>
          <w:p w14:paraId="664E1902" w14:textId="6D134071" w:rsidR="008B7447" w:rsidRPr="00E70BE7" w:rsidRDefault="008B7447" w:rsidP="008B7447">
            <w:pPr>
              <w:pStyle w:val="IPPBullet1"/>
              <w:numPr>
                <w:ilvl w:val="0"/>
                <w:numId w:val="0"/>
              </w:numPr>
              <w:spacing w:before="60"/>
              <w:jc w:val="left"/>
              <w:rPr>
                <w:rFonts w:ascii="Arial" w:hAnsi="Arial" w:cs="Arial"/>
                <w:sz w:val="18"/>
                <w:szCs w:val="18"/>
              </w:rPr>
            </w:pPr>
            <w:r w:rsidRPr="00E70BE7">
              <w:rPr>
                <w:rFonts w:ascii="Arial" w:hAnsi="Arial" w:cs="Arial"/>
                <w:sz w:val="18"/>
                <w:szCs w:val="18"/>
              </w:rPr>
              <w:t xml:space="preserve">Tentatively for drafting </w:t>
            </w:r>
            <w:r>
              <w:rPr>
                <w:rFonts w:ascii="Arial" w:hAnsi="Arial" w:cs="Arial"/>
                <w:sz w:val="18"/>
                <w:szCs w:val="18"/>
              </w:rPr>
              <w:t xml:space="preserve">in </w:t>
            </w:r>
            <w:r w:rsidRPr="005A08AD">
              <w:rPr>
                <w:rFonts w:ascii="Arial" w:hAnsi="Arial" w:cs="Arial"/>
                <w:b/>
                <w:bCs/>
                <w:sz w:val="18"/>
                <w:szCs w:val="18"/>
              </w:rPr>
              <w:t xml:space="preserve">2026 </w:t>
            </w:r>
            <w:r w:rsidRPr="00E70BE7">
              <w:rPr>
                <w:rFonts w:ascii="Arial" w:hAnsi="Arial" w:cs="Arial"/>
                <w:sz w:val="18"/>
                <w:szCs w:val="18"/>
              </w:rPr>
              <w:t>face to face meeting; planned for first consultation in July 2026</w:t>
            </w:r>
            <w:r>
              <w:rPr>
                <w:rFonts w:ascii="Arial" w:hAnsi="Arial" w:cs="Arial"/>
                <w:sz w:val="18"/>
                <w:szCs w:val="18"/>
              </w:rPr>
              <w:t xml:space="preserve"> or </w:t>
            </w:r>
            <w:r w:rsidRPr="005A08AD">
              <w:rPr>
                <w:rFonts w:ascii="Arial" w:hAnsi="Arial" w:cs="Arial"/>
                <w:b/>
                <w:bCs/>
                <w:sz w:val="18"/>
                <w:szCs w:val="18"/>
              </w:rPr>
              <w:t>July 2027</w:t>
            </w:r>
            <w:r w:rsidRPr="00E70BE7">
              <w:rPr>
                <w:rFonts w:ascii="Arial" w:hAnsi="Arial" w:cs="Arial"/>
                <w:sz w:val="18"/>
                <w:szCs w:val="18"/>
              </w:rPr>
              <w:t>.</w:t>
            </w:r>
          </w:p>
        </w:tc>
      </w:tr>
      <w:tr w:rsidR="008B7447" w14:paraId="6C41FA27" w14:textId="77777777" w:rsidTr="007050F6">
        <w:tc>
          <w:tcPr>
            <w:tcW w:w="627" w:type="pct"/>
          </w:tcPr>
          <w:p w14:paraId="41E1619E" w14:textId="77777777" w:rsidR="008B7447" w:rsidRPr="00E70BE7" w:rsidRDefault="008B7447" w:rsidP="008B7447">
            <w:pPr>
              <w:pStyle w:val="IPPBullet1"/>
              <w:numPr>
                <w:ilvl w:val="0"/>
                <w:numId w:val="0"/>
              </w:numPr>
              <w:spacing w:before="60"/>
              <w:rPr>
                <w:rFonts w:ascii="Arial" w:hAnsi="Arial" w:cs="Arial"/>
                <w:sz w:val="18"/>
                <w:szCs w:val="18"/>
              </w:rPr>
            </w:pPr>
            <w:r w:rsidRPr="00E70BE7">
              <w:rPr>
                <w:rFonts w:ascii="Arial" w:hAnsi="Arial" w:cs="Arial"/>
                <w:sz w:val="18"/>
                <w:szCs w:val="18"/>
              </w:rPr>
              <w:t>2023-027</w:t>
            </w:r>
          </w:p>
        </w:tc>
        <w:tc>
          <w:tcPr>
            <w:tcW w:w="1916" w:type="pct"/>
          </w:tcPr>
          <w:p w14:paraId="7E6AC4D5" w14:textId="77777777" w:rsidR="008B7447" w:rsidRPr="00E70BE7" w:rsidRDefault="008B7447" w:rsidP="008B7447">
            <w:pPr>
              <w:pStyle w:val="IPPBullet1"/>
              <w:numPr>
                <w:ilvl w:val="0"/>
                <w:numId w:val="0"/>
              </w:numPr>
              <w:spacing w:before="60"/>
              <w:rPr>
                <w:rFonts w:ascii="Arial" w:hAnsi="Arial" w:cs="Arial"/>
                <w:sz w:val="18"/>
                <w:szCs w:val="18"/>
              </w:rPr>
            </w:pPr>
            <w:r w:rsidRPr="00E70BE7">
              <w:rPr>
                <w:rFonts w:ascii="Arial" w:hAnsi="Arial" w:cs="Arial"/>
                <w:sz w:val="18"/>
                <w:szCs w:val="18"/>
              </w:rPr>
              <w:t xml:space="preserve">International movement of fresh </w:t>
            </w:r>
            <w:r w:rsidRPr="00E70BE7">
              <w:rPr>
                <w:rFonts w:ascii="Arial" w:hAnsi="Arial" w:cs="Arial"/>
                <w:i/>
                <w:iCs/>
                <w:sz w:val="18"/>
                <w:szCs w:val="18"/>
              </w:rPr>
              <w:t>Citrus sinensis</w:t>
            </w:r>
            <w:r w:rsidRPr="00E70BE7">
              <w:rPr>
                <w:rFonts w:ascii="Arial" w:hAnsi="Arial" w:cs="Arial"/>
                <w:sz w:val="18"/>
                <w:szCs w:val="18"/>
              </w:rPr>
              <w:t xml:space="preserve"> fruit</w:t>
            </w:r>
          </w:p>
        </w:tc>
        <w:tc>
          <w:tcPr>
            <w:tcW w:w="499" w:type="pct"/>
          </w:tcPr>
          <w:p w14:paraId="610E28CC" w14:textId="77777777" w:rsidR="008B7447" w:rsidRPr="00E70BE7" w:rsidRDefault="008B7447" w:rsidP="008B7447">
            <w:pPr>
              <w:pStyle w:val="IPPBullet1"/>
              <w:numPr>
                <w:ilvl w:val="0"/>
                <w:numId w:val="0"/>
              </w:numPr>
              <w:spacing w:before="60"/>
              <w:jc w:val="center"/>
              <w:rPr>
                <w:rFonts w:ascii="Arial" w:hAnsi="Arial" w:cs="Arial"/>
                <w:sz w:val="18"/>
                <w:szCs w:val="18"/>
              </w:rPr>
            </w:pPr>
            <w:r w:rsidRPr="00E70BE7">
              <w:rPr>
                <w:rFonts w:ascii="Arial" w:hAnsi="Arial" w:cs="Arial"/>
                <w:sz w:val="18"/>
                <w:szCs w:val="18"/>
              </w:rPr>
              <w:t>2</w:t>
            </w:r>
          </w:p>
        </w:tc>
        <w:tc>
          <w:tcPr>
            <w:tcW w:w="1958" w:type="pct"/>
          </w:tcPr>
          <w:p w14:paraId="773FF90A" w14:textId="77777777" w:rsidR="008B7447" w:rsidRPr="00E70BE7" w:rsidRDefault="008B7447" w:rsidP="008B7447">
            <w:pPr>
              <w:pStyle w:val="IPPBullet1"/>
              <w:numPr>
                <w:ilvl w:val="0"/>
                <w:numId w:val="0"/>
              </w:numPr>
              <w:spacing w:before="60"/>
              <w:jc w:val="left"/>
              <w:rPr>
                <w:rFonts w:ascii="Arial" w:hAnsi="Arial" w:cs="Arial"/>
                <w:sz w:val="18"/>
                <w:szCs w:val="18"/>
              </w:rPr>
            </w:pPr>
            <w:r w:rsidRPr="00E70BE7">
              <w:rPr>
                <w:rFonts w:ascii="Arial" w:hAnsi="Arial" w:cs="Arial"/>
                <w:sz w:val="18"/>
                <w:szCs w:val="18"/>
              </w:rPr>
              <w:t>The need for drafting depend</w:t>
            </w:r>
            <w:r>
              <w:rPr>
                <w:rFonts w:ascii="Arial" w:hAnsi="Arial" w:cs="Arial"/>
                <w:sz w:val="18"/>
                <w:szCs w:val="18"/>
              </w:rPr>
              <w:t>s</w:t>
            </w:r>
            <w:r w:rsidRPr="00E70BE7">
              <w:rPr>
                <w:rFonts w:ascii="Arial" w:hAnsi="Arial" w:cs="Arial"/>
                <w:sz w:val="18"/>
                <w:szCs w:val="18"/>
              </w:rPr>
              <w:t xml:space="preserve"> on 2023-019.</w:t>
            </w:r>
          </w:p>
        </w:tc>
      </w:tr>
    </w:tbl>
    <w:p w14:paraId="15DA25D5" w14:textId="53A91836" w:rsidR="00F71CF7" w:rsidRPr="00F71CF7" w:rsidRDefault="00F71CF7" w:rsidP="00F71CF7">
      <w:pPr>
        <w:pStyle w:val="IPPParagraphnumbering"/>
        <w:spacing w:before="120" w:after="120"/>
        <w:rPr>
          <w:szCs w:val="22"/>
          <w:lang w:val="en-GB"/>
        </w:rPr>
      </w:pPr>
      <w:r w:rsidRPr="00F71CF7">
        <w:rPr>
          <w:b/>
          <w:bCs/>
          <w:lang w:val="en-GB"/>
        </w:rPr>
        <w:t xml:space="preserve">Two </w:t>
      </w:r>
      <w:proofErr w:type="gramStart"/>
      <w:r w:rsidRPr="00F71CF7">
        <w:rPr>
          <w:b/>
          <w:bCs/>
          <w:lang w:val="en-GB"/>
        </w:rPr>
        <w:t>face</w:t>
      </w:r>
      <w:proofErr w:type="gramEnd"/>
      <w:r w:rsidRPr="00F71CF7">
        <w:rPr>
          <w:b/>
          <w:bCs/>
          <w:lang w:val="en-GB"/>
        </w:rPr>
        <w:t xml:space="preserve"> to face TPCS meetings are planned for 2025</w:t>
      </w:r>
      <w:r w:rsidR="007C11AB">
        <w:rPr>
          <w:b/>
          <w:bCs/>
          <w:lang w:val="en-GB"/>
        </w:rPr>
        <w:t xml:space="preserve"> to expedite </w:t>
      </w:r>
      <w:r w:rsidR="00360646">
        <w:rPr>
          <w:b/>
          <w:bCs/>
          <w:lang w:val="en-GB"/>
        </w:rPr>
        <w:t>the development process and get lessons learned</w:t>
      </w:r>
      <w:r w:rsidRPr="00F71CF7">
        <w:rPr>
          <w:b/>
          <w:bCs/>
          <w:lang w:val="en-GB"/>
        </w:rPr>
        <w:t xml:space="preserve">. </w:t>
      </w:r>
      <w:r w:rsidR="001874D1">
        <w:rPr>
          <w:lang w:val="en-GB"/>
        </w:rPr>
        <w:t xml:space="preserve">The TPCS had their first in </w:t>
      </w:r>
      <w:r w:rsidRPr="00F71CF7">
        <w:rPr>
          <w:lang w:val="en-GB"/>
        </w:rPr>
        <w:t xml:space="preserve">person meeting </w:t>
      </w:r>
      <w:r w:rsidR="001874D1">
        <w:rPr>
          <w:lang w:val="en-GB"/>
        </w:rPr>
        <w:t xml:space="preserve">of the year from </w:t>
      </w:r>
      <w:r w:rsidRPr="00F71CF7">
        <w:rPr>
          <w:lang w:val="en-GB"/>
        </w:rPr>
        <w:t>9</w:t>
      </w:r>
      <w:r w:rsidR="001874D1">
        <w:rPr>
          <w:lang w:val="en-GB"/>
        </w:rPr>
        <w:t xml:space="preserve"> to 1</w:t>
      </w:r>
      <w:r w:rsidRPr="00F71CF7">
        <w:rPr>
          <w:lang w:val="en-GB"/>
        </w:rPr>
        <w:t>3 June 2025</w:t>
      </w:r>
      <w:r w:rsidR="001874D1">
        <w:rPr>
          <w:lang w:val="en-GB"/>
        </w:rPr>
        <w:t xml:space="preserve"> in New Zealand. T</w:t>
      </w:r>
      <w:r w:rsidRPr="00F71CF7">
        <w:rPr>
          <w:lang w:val="en-GB"/>
        </w:rPr>
        <w:t xml:space="preserve">he second in </w:t>
      </w:r>
      <w:r w:rsidR="00D4350F">
        <w:rPr>
          <w:lang w:val="en-GB"/>
        </w:rPr>
        <w:t>p</w:t>
      </w:r>
      <w:r w:rsidRPr="00F71CF7">
        <w:rPr>
          <w:lang w:val="en-GB"/>
        </w:rPr>
        <w:t xml:space="preserve">erson meeting is </w:t>
      </w:r>
      <w:r w:rsidR="001874D1">
        <w:rPr>
          <w:lang w:val="en-GB"/>
        </w:rPr>
        <w:t>planned</w:t>
      </w:r>
      <w:r w:rsidRPr="00F71CF7">
        <w:rPr>
          <w:lang w:val="en-GB"/>
        </w:rPr>
        <w:t xml:space="preserve"> for 8-12 December 2025 </w:t>
      </w:r>
      <w:r w:rsidR="001874D1">
        <w:rPr>
          <w:lang w:val="en-GB"/>
        </w:rPr>
        <w:t xml:space="preserve">in FAO HQ (Rome, Italy) </w:t>
      </w:r>
      <w:r w:rsidRPr="00F71CF7">
        <w:rPr>
          <w:lang w:val="en-GB"/>
        </w:rPr>
        <w:t>to develop new commodity standards. The June 2025 meeting</w:t>
      </w:r>
      <w:r w:rsidR="001874D1">
        <w:rPr>
          <w:lang w:val="en-GB"/>
        </w:rPr>
        <w:t xml:space="preserve"> the TPCS</w:t>
      </w:r>
      <w:r w:rsidRPr="00F71CF7">
        <w:rPr>
          <w:lang w:val="en-GB"/>
        </w:rPr>
        <w:t xml:space="preserve"> further develop</w:t>
      </w:r>
      <w:r w:rsidR="001874D1">
        <w:rPr>
          <w:lang w:val="en-GB"/>
        </w:rPr>
        <w:t>ed</w:t>
      </w:r>
      <w:r w:rsidRPr="00F71CF7">
        <w:rPr>
          <w:lang w:val="en-GB"/>
        </w:rPr>
        <w:t xml:space="preserve"> the </w:t>
      </w:r>
      <w:proofErr w:type="gramStart"/>
      <w:r w:rsidRPr="00F71CF7">
        <w:rPr>
          <w:i/>
          <w:iCs/>
          <w:lang w:val="en-GB"/>
        </w:rPr>
        <w:t>International</w:t>
      </w:r>
      <w:proofErr w:type="gramEnd"/>
      <w:r w:rsidRPr="00F71CF7">
        <w:rPr>
          <w:i/>
          <w:iCs/>
          <w:lang w:val="en-GB"/>
        </w:rPr>
        <w:t xml:space="preserve"> movement of citrus fruit</w:t>
      </w:r>
      <w:r w:rsidRPr="00F71CF7">
        <w:rPr>
          <w:lang w:val="en-GB"/>
        </w:rPr>
        <w:t xml:space="preserve"> (2023-019), and the </w:t>
      </w:r>
      <w:proofErr w:type="gramStart"/>
      <w:r w:rsidRPr="00F71CF7">
        <w:rPr>
          <w:i/>
          <w:iCs/>
          <w:lang w:val="en-GB"/>
        </w:rPr>
        <w:t>International</w:t>
      </w:r>
      <w:proofErr w:type="gramEnd"/>
      <w:r w:rsidRPr="00F71CF7">
        <w:rPr>
          <w:i/>
          <w:iCs/>
          <w:lang w:val="en-GB"/>
        </w:rPr>
        <w:t xml:space="preserve"> movement of seeds of </w:t>
      </w:r>
      <w:r w:rsidRPr="00F71CF7">
        <w:rPr>
          <w:lang w:val="en-GB"/>
        </w:rPr>
        <w:t>Phaseolus vulgaris</w:t>
      </w:r>
      <w:r w:rsidRPr="00F71CF7">
        <w:rPr>
          <w:i/>
          <w:iCs/>
          <w:lang w:val="en-GB"/>
        </w:rPr>
        <w:t xml:space="preserve"> </w:t>
      </w:r>
      <w:r w:rsidRPr="00AF301A">
        <w:rPr>
          <w:lang w:val="en-GB"/>
        </w:rPr>
        <w:t>(2023-008),</w:t>
      </w:r>
      <w:r w:rsidRPr="00F71CF7">
        <w:rPr>
          <w:lang w:val="en-GB"/>
        </w:rPr>
        <w:t xml:space="preserve"> priority 1</w:t>
      </w:r>
      <w:r w:rsidRPr="00F71CF7">
        <w:rPr>
          <w:i/>
          <w:iCs/>
          <w:lang w:val="en-GB"/>
        </w:rPr>
        <w:t xml:space="preserve">. </w:t>
      </w:r>
    </w:p>
    <w:p w14:paraId="6CEA110D" w14:textId="03EF81EF" w:rsidR="00F71CF7" w:rsidRPr="00F71CF7" w:rsidRDefault="00F71CF7" w:rsidP="00F71CF7">
      <w:pPr>
        <w:pStyle w:val="IPPParagraphnumbering"/>
        <w:spacing w:before="120" w:after="120"/>
        <w:rPr>
          <w:szCs w:val="22"/>
          <w:lang w:val="en-GB"/>
        </w:rPr>
      </w:pPr>
      <w:r w:rsidRPr="00F71CF7">
        <w:rPr>
          <w:lang w:val="en-GB"/>
        </w:rPr>
        <w:t xml:space="preserve">The December 2025 meeting is intended to </w:t>
      </w:r>
      <w:r w:rsidRPr="00F71CF7">
        <w:rPr>
          <w:szCs w:val="22"/>
          <w:lang w:val="en-GB"/>
        </w:rPr>
        <w:t xml:space="preserve">develop the </w:t>
      </w:r>
      <w:proofErr w:type="gramStart"/>
      <w:r w:rsidRPr="00F71CF7">
        <w:rPr>
          <w:i/>
          <w:iCs/>
          <w:szCs w:val="22"/>
        </w:rPr>
        <w:t>International</w:t>
      </w:r>
      <w:proofErr w:type="gramEnd"/>
      <w:r w:rsidRPr="00F71CF7">
        <w:rPr>
          <w:i/>
          <w:iCs/>
          <w:szCs w:val="22"/>
        </w:rPr>
        <w:t xml:space="preserve"> movement of </w:t>
      </w:r>
      <w:r w:rsidRPr="00F71CF7">
        <w:rPr>
          <w:szCs w:val="22"/>
        </w:rPr>
        <w:t>Malus domestica</w:t>
      </w:r>
      <w:r w:rsidRPr="00F71CF7">
        <w:rPr>
          <w:i/>
          <w:iCs/>
          <w:szCs w:val="22"/>
        </w:rPr>
        <w:t xml:space="preserve"> fruit for consumption </w:t>
      </w:r>
      <w:r w:rsidRPr="00FC7580">
        <w:rPr>
          <w:szCs w:val="22"/>
        </w:rPr>
        <w:t>(2023-024)</w:t>
      </w:r>
      <w:r w:rsidRPr="00F71CF7">
        <w:rPr>
          <w:i/>
          <w:iCs/>
          <w:szCs w:val="22"/>
        </w:rPr>
        <w:t xml:space="preserve">, </w:t>
      </w:r>
      <w:r w:rsidRPr="00F71CF7">
        <w:rPr>
          <w:szCs w:val="22"/>
        </w:rPr>
        <w:t xml:space="preserve">priority 2. If drafting is successful, </w:t>
      </w:r>
      <w:r w:rsidR="00E34616">
        <w:rPr>
          <w:szCs w:val="22"/>
        </w:rPr>
        <w:t>three</w:t>
      </w:r>
      <w:r w:rsidRPr="00F71CF7">
        <w:rPr>
          <w:szCs w:val="22"/>
        </w:rPr>
        <w:t xml:space="preserve"> annexes will be submitted for approval by SC May 2026</w:t>
      </w:r>
      <w:r w:rsidR="00AF301A">
        <w:rPr>
          <w:szCs w:val="22"/>
        </w:rPr>
        <w:t xml:space="preserve">. </w:t>
      </w:r>
      <w:r w:rsidR="00E34616">
        <w:rPr>
          <w:szCs w:val="22"/>
        </w:rPr>
        <w:t xml:space="preserve">The </w:t>
      </w:r>
      <w:r w:rsidR="00E34616" w:rsidRPr="00F71CF7">
        <w:rPr>
          <w:i/>
          <w:iCs/>
          <w:szCs w:val="22"/>
        </w:rPr>
        <w:t xml:space="preserve">International movement of </w:t>
      </w:r>
      <w:r w:rsidR="00E34616" w:rsidRPr="00F71CF7">
        <w:rPr>
          <w:szCs w:val="22"/>
        </w:rPr>
        <w:t>Vitis vinifera</w:t>
      </w:r>
      <w:r w:rsidR="00E34616" w:rsidRPr="00F71CF7">
        <w:rPr>
          <w:i/>
          <w:iCs/>
          <w:szCs w:val="22"/>
        </w:rPr>
        <w:t xml:space="preserve"> fruit </w:t>
      </w:r>
      <w:r w:rsidR="00E34616" w:rsidRPr="00FC7580">
        <w:rPr>
          <w:szCs w:val="22"/>
        </w:rPr>
        <w:t>(2023-018)</w:t>
      </w:r>
      <w:r w:rsidR="00E34616">
        <w:rPr>
          <w:szCs w:val="22"/>
        </w:rPr>
        <w:t xml:space="preserve"> is </w:t>
      </w:r>
      <w:r w:rsidR="00422C20">
        <w:rPr>
          <w:szCs w:val="22"/>
        </w:rPr>
        <w:t xml:space="preserve">now </w:t>
      </w:r>
      <w:r w:rsidR="00E34616">
        <w:rPr>
          <w:szCs w:val="22"/>
        </w:rPr>
        <w:t>planned to be drafted in 2026</w:t>
      </w:r>
      <w:r w:rsidR="00422C20">
        <w:rPr>
          <w:szCs w:val="22"/>
        </w:rPr>
        <w:t>.</w:t>
      </w:r>
    </w:p>
    <w:p w14:paraId="35B4412A" w14:textId="77777777" w:rsidR="00683BB3" w:rsidRPr="001F45E2" w:rsidRDefault="00683BB3" w:rsidP="00683BB3">
      <w:pPr>
        <w:pStyle w:val="IPPParagraphnumbering"/>
      </w:pPr>
      <w:r w:rsidRPr="28C9EF92">
        <w:rPr>
          <w:b/>
          <w:bCs/>
          <w:lang w:val="en-GB"/>
        </w:rPr>
        <w:t>Invited expert.</w:t>
      </w:r>
      <w:r w:rsidRPr="28C9EF92">
        <w:rPr>
          <w:lang w:val="en-GB"/>
        </w:rPr>
        <w:t xml:space="preserve"> Regarding the development of the commodity standard on ISPM 46 Annex: Seeds of </w:t>
      </w:r>
      <w:r w:rsidRPr="28C9EF92">
        <w:rPr>
          <w:i/>
          <w:iCs/>
          <w:lang w:val="en-GB"/>
        </w:rPr>
        <w:t>Phaseolus vulgaris</w:t>
      </w:r>
      <w:r w:rsidRPr="28C9EF92">
        <w:rPr>
          <w:lang w:val="en-GB"/>
        </w:rPr>
        <w:t xml:space="preserve"> (2023-008), at the request from some TPCS members and followed by the NPPO of the Kingdom of the Netherlands (topic submitter), an invited expert on “seeds” was requested by the entire TPCS and approved by the SC.  It is important to underscore that, a</w:t>
      </w:r>
      <w:proofErr w:type="spellStart"/>
      <w:r>
        <w:t>ccording</w:t>
      </w:r>
      <w:proofErr w:type="spellEnd"/>
      <w:r>
        <w:t xml:space="preserve"> to the TPCS </w:t>
      </w:r>
      <w:hyperlink r:id="rId18">
        <w:r w:rsidRPr="28C9EF92">
          <w:rPr>
            <w:rStyle w:val="Hyperlink"/>
          </w:rPr>
          <w:t>Specification TP 6 – TPCS</w:t>
        </w:r>
      </w:hyperlink>
      <w:r>
        <w:t xml:space="preserve">, the TPCS may invite experts with previous agreement by the SC, as invited experts. </w:t>
      </w:r>
    </w:p>
    <w:p w14:paraId="1419A343" w14:textId="371DE1EC" w:rsidR="00A84359" w:rsidRPr="00B952B6" w:rsidRDefault="00A84359" w:rsidP="00F71CF7">
      <w:pPr>
        <w:pStyle w:val="IPPParagraphnumbering"/>
        <w:rPr>
          <w:lang w:val="en-GB"/>
        </w:rPr>
      </w:pPr>
      <w:r w:rsidRPr="00B952B6">
        <w:rPr>
          <w:b/>
          <w:bCs/>
          <w:lang w:val="en-GB"/>
        </w:rPr>
        <w:t xml:space="preserve">Call for information material. </w:t>
      </w:r>
      <w:r w:rsidRPr="00B952B6">
        <w:rPr>
          <w:lang w:val="en-GB"/>
        </w:rPr>
        <w:t xml:space="preserve">As the TPCS work </w:t>
      </w:r>
      <w:r w:rsidR="00A176FA" w:rsidRPr="00B952B6">
        <w:rPr>
          <w:lang w:val="en-GB"/>
        </w:rPr>
        <w:t>progresses</w:t>
      </w:r>
      <w:r w:rsidRPr="00B952B6">
        <w:rPr>
          <w:lang w:val="en-GB"/>
        </w:rPr>
        <w:t xml:space="preserve">, </w:t>
      </w:r>
      <w:r w:rsidR="00A176FA" w:rsidRPr="00B952B6">
        <w:rPr>
          <w:lang w:val="en-GB"/>
        </w:rPr>
        <w:t xml:space="preserve">the IPPC secretariat launches </w:t>
      </w:r>
      <w:r w:rsidRPr="00B952B6">
        <w:rPr>
          <w:lang w:val="en-GB"/>
        </w:rPr>
        <w:t xml:space="preserve">call for information material </w:t>
      </w:r>
      <w:r w:rsidR="00A176FA" w:rsidRPr="00B952B6">
        <w:rPr>
          <w:lang w:val="en-GB"/>
        </w:rPr>
        <w:t xml:space="preserve">on the specific commodity standard being developed. </w:t>
      </w:r>
      <w:r w:rsidR="00BD486A" w:rsidRPr="00B952B6">
        <w:rPr>
          <w:lang w:val="en-GB"/>
        </w:rPr>
        <w:t xml:space="preserve">Hence the next one to be developed is </w:t>
      </w:r>
      <w:proofErr w:type="gramStart"/>
      <w:r w:rsidR="00BD486A" w:rsidRPr="00B952B6">
        <w:rPr>
          <w:i/>
          <w:iCs/>
          <w:szCs w:val="22"/>
        </w:rPr>
        <w:t>International</w:t>
      </w:r>
      <w:proofErr w:type="gramEnd"/>
      <w:r w:rsidR="00BD486A" w:rsidRPr="00B952B6">
        <w:rPr>
          <w:i/>
          <w:iCs/>
          <w:szCs w:val="22"/>
        </w:rPr>
        <w:t xml:space="preserve"> movement of </w:t>
      </w:r>
      <w:r w:rsidR="00BD486A" w:rsidRPr="00B952B6">
        <w:rPr>
          <w:szCs w:val="22"/>
        </w:rPr>
        <w:t>Malus domestica</w:t>
      </w:r>
      <w:r w:rsidR="00BD486A" w:rsidRPr="00B952B6">
        <w:rPr>
          <w:i/>
          <w:iCs/>
          <w:szCs w:val="22"/>
        </w:rPr>
        <w:t xml:space="preserve"> fruit for consumption </w:t>
      </w:r>
      <w:r w:rsidR="00BD486A" w:rsidRPr="00B952B6">
        <w:rPr>
          <w:szCs w:val="22"/>
        </w:rPr>
        <w:t xml:space="preserve">(2023-024), the call has been launched </w:t>
      </w:r>
      <w:r w:rsidR="00FD2B1B" w:rsidRPr="00B952B6">
        <w:rPr>
          <w:szCs w:val="22"/>
        </w:rPr>
        <w:t xml:space="preserve">and the deadline to submit information is </w:t>
      </w:r>
      <w:r w:rsidR="00E439A5" w:rsidRPr="00B952B6">
        <w:rPr>
          <w:b/>
          <w:bCs/>
          <w:szCs w:val="22"/>
        </w:rPr>
        <w:t>31</w:t>
      </w:r>
      <w:r w:rsidR="00F65671" w:rsidRPr="00B952B6">
        <w:rPr>
          <w:b/>
          <w:bCs/>
          <w:szCs w:val="22"/>
        </w:rPr>
        <w:t xml:space="preserve"> October 2025</w:t>
      </w:r>
      <w:r w:rsidR="00F65671" w:rsidRPr="00B952B6">
        <w:rPr>
          <w:szCs w:val="22"/>
        </w:rPr>
        <w:t>.</w:t>
      </w:r>
      <w:r w:rsidR="00B952B6" w:rsidRPr="00B952B6">
        <w:rPr>
          <w:szCs w:val="22"/>
        </w:rPr>
        <w:t xml:space="preserve"> </w:t>
      </w:r>
      <w:r w:rsidR="00F65671" w:rsidRPr="00B952B6">
        <w:rPr>
          <w:b/>
          <w:bCs/>
          <w:szCs w:val="22"/>
          <w:lang w:val="en-GB"/>
        </w:rPr>
        <w:t xml:space="preserve">Your contribution is vital for developing </w:t>
      </w:r>
      <w:r w:rsidR="00935146" w:rsidRPr="00B952B6">
        <w:rPr>
          <w:b/>
          <w:bCs/>
          <w:szCs w:val="22"/>
          <w:lang w:val="en-GB"/>
        </w:rPr>
        <w:t>robust IPPC standards!</w:t>
      </w:r>
      <w:r w:rsidR="00935146" w:rsidRPr="00B952B6">
        <w:rPr>
          <w:szCs w:val="22"/>
          <w:lang w:val="en-GB"/>
        </w:rPr>
        <w:t xml:space="preserve"> </w:t>
      </w:r>
      <w:r w:rsidR="00F65671" w:rsidRPr="00B952B6">
        <w:rPr>
          <w:szCs w:val="22"/>
          <w:lang w:val="en-GB"/>
        </w:rPr>
        <w:t xml:space="preserve">Submissions may include data on pests affecting apples, pest risk analyses (PRAs), and technical and phytosanitary measures defined by national or regional </w:t>
      </w:r>
      <w:r w:rsidR="00F65671" w:rsidRPr="00B952B6">
        <w:rPr>
          <w:szCs w:val="22"/>
          <w:lang w:val="en-GB"/>
        </w:rPr>
        <w:lastRenderedPageBreak/>
        <w:t xml:space="preserve">legislation. More information at: </w:t>
      </w:r>
      <w:hyperlink r:id="rId19" w:history="1">
        <w:r w:rsidR="003E432C" w:rsidRPr="00B952B6">
          <w:rPr>
            <w:rStyle w:val="Hyperlink"/>
            <w:szCs w:val="22"/>
            <w:lang w:val="en-GB"/>
          </w:rPr>
          <w:t>https://www.ippc.int/en/calls/calls-and-consultations/calls-for-papers-and-studies/</w:t>
        </w:r>
      </w:hyperlink>
      <w:r w:rsidR="003E432C" w:rsidRPr="00B952B6">
        <w:rPr>
          <w:szCs w:val="22"/>
          <w:lang w:val="en-GB"/>
        </w:rPr>
        <w:t xml:space="preserve"> </w:t>
      </w:r>
      <w:r w:rsidR="00F65671" w:rsidRPr="00B952B6">
        <w:rPr>
          <w:szCs w:val="22"/>
        </w:rPr>
        <w:t xml:space="preserve"> </w:t>
      </w:r>
    </w:p>
    <w:p w14:paraId="2F73845C" w14:textId="3B14FEBD" w:rsidR="00E439A5" w:rsidRPr="00E439A5" w:rsidRDefault="00E439A5" w:rsidP="00A35693">
      <w:pPr>
        <w:pStyle w:val="IPPParagraphnumbering"/>
        <w:rPr>
          <w:lang w:eastAsia="zh-CN"/>
        </w:rPr>
      </w:pPr>
      <w:r>
        <w:rPr>
          <w:lang w:eastAsia="zh-CN"/>
        </w:rPr>
        <w:t>IPPC Governing bodies discussions</w:t>
      </w:r>
    </w:p>
    <w:p w14:paraId="352C821A" w14:textId="3659D600" w:rsidR="00A05A25" w:rsidRDefault="00A05A25" w:rsidP="00A05A25">
      <w:pPr>
        <w:pStyle w:val="IPPParagraphnumbering"/>
        <w:rPr>
          <w:szCs w:val="22"/>
          <w:lang w:eastAsia="zh-CN"/>
        </w:rPr>
      </w:pPr>
      <w:r w:rsidRPr="00C37351">
        <w:rPr>
          <w:b/>
          <w:bCs/>
          <w:szCs w:val="22"/>
          <w:lang w:eastAsia="zh-CN"/>
        </w:rPr>
        <w:t>CPM-19 (2025).</w:t>
      </w:r>
      <w:r>
        <w:rPr>
          <w:szCs w:val="22"/>
          <w:lang w:eastAsia="zh-CN"/>
        </w:rPr>
        <w:t xml:space="preserve"> The CPM-19 discussions around commodity standards can be found in the report </w:t>
      </w:r>
      <w:hyperlink r:id="rId20" w:history="1">
        <w:r w:rsidRPr="00337AE2">
          <w:rPr>
            <w:rStyle w:val="Hyperlink"/>
            <w:szCs w:val="22"/>
            <w:lang w:eastAsia="zh-CN"/>
          </w:rPr>
          <w:t>here</w:t>
        </w:r>
      </w:hyperlink>
      <w:r>
        <w:rPr>
          <w:szCs w:val="22"/>
          <w:lang w:eastAsia="zh-CN"/>
        </w:rPr>
        <w:t xml:space="preserve">. </w:t>
      </w:r>
    </w:p>
    <w:p w14:paraId="0787FBD6" w14:textId="77777777" w:rsidR="00A05A25" w:rsidRDefault="00A05A25" w:rsidP="00A05A25">
      <w:pPr>
        <w:pStyle w:val="IPPParagraphnumbering"/>
        <w:rPr>
          <w:lang w:eastAsia="en-GB"/>
        </w:rPr>
      </w:pPr>
      <w:r w:rsidRPr="003D30B0">
        <w:rPr>
          <w:lang w:eastAsia="en-GB"/>
        </w:rPr>
        <w:t xml:space="preserve">The CPM </w:t>
      </w:r>
      <w:r>
        <w:rPr>
          <w:lang w:eastAsia="en-GB"/>
        </w:rPr>
        <w:t>welcomed</w:t>
      </w:r>
      <w:r w:rsidRPr="003D30B0">
        <w:rPr>
          <w:lang w:eastAsia="en-GB"/>
        </w:rPr>
        <w:t xml:space="preserve"> the adoption of the first commodity standard on mangoes</w:t>
      </w:r>
      <w:r>
        <w:rPr>
          <w:lang w:eastAsia="en-GB"/>
        </w:rPr>
        <w:t xml:space="preserve"> (International movement of fresh </w:t>
      </w:r>
      <w:r w:rsidRPr="00554D1D">
        <w:rPr>
          <w:i/>
          <w:iCs/>
          <w:lang w:eastAsia="en-GB"/>
        </w:rPr>
        <w:t>Mangifera indica</w:t>
      </w:r>
      <w:r>
        <w:rPr>
          <w:lang w:eastAsia="en-GB"/>
        </w:rPr>
        <w:t xml:space="preserve"> fruit)</w:t>
      </w:r>
      <w:r w:rsidRPr="003D30B0">
        <w:rPr>
          <w:lang w:eastAsia="en-GB"/>
        </w:rPr>
        <w:t xml:space="preserve"> and expressed support for the development of further commodity standards</w:t>
      </w:r>
      <w:r>
        <w:rPr>
          <w:lang w:eastAsia="en-GB"/>
        </w:rPr>
        <w:t xml:space="preserve">, emphasizing the IPPC’s role as a standard-setting organization. </w:t>
      </w:r>
      <w:r w:rsidRPr="003D30B0">
        <w:rPr>
          <w:lang w:eastAsia="en-GB"/>
        </w:rPr>
        <w:t xml:space="preserve">The CPM recognized the need from some contracting parties to implement the new </w:t>
      </w:r>
      <w:r>
        <w:rPr>
          <w:lang w:eastAsia="en-GB"/>
        </w:rPr>
        <w:t xml:space="preserve">commodity </w:t>
      </w:r>
      <w:r w:rsidRPr="003D30B0">
        <w:rPr>
          <w:lang w:eastAsia="en-GB"/>
        </w:rPr>
        <w:t>standard effectively</w:t>
      </w:r>
      <w:r>
        <w:rPr>
          <w:lang w:eastAsia="en-GB"/>
        </w:rPr>
        <w:t>,</w:t>
      </w:r>
      <w:r w:rsidRPr="003D30B0">
        <w:rPr>
          <w:lang w:eastAsia="en-GB"/>
        </w:rPr>
        <w:t xml:space="preserve"> noting the importance of capacity building, technical assistance and potential partnerships with the private sector.</w:t>
      </w:r>
      <w:r w:rsidRPr="0005154B">
        <w:t xml:space="preserve"> </w:t>
      </w:r>
      <w:r>
        <w:rPr>
          <w:lang w:eastAsia="en-GB"/>
        </w:rPr>
        <w:t xml:space="preserve">acknowledged the contributions of the Technical Panel on Commodity Standards members who left in 2024 or the first quarter of 2025: </w:t>
      </w:r>
    </w:p>
    <w:p w14:paraId="06D4F2CC" w14:textId="77777777" w:rsidR="00A05A25" w:rsidRDefault="00A05A25" w:rsidP="00A05A25">
      <w:pPr>
        <w:pStyle w:val="IPPParagraphnumbering"/>
        <w:rPr>
          <w:lang w:eastAsia="en-GB"/>
        </w:rPr>
      </w:pPr>
      <w:r>
        <w:rPr>
          <w:lang w:eastAsia="en-GB"/>
        </w:rPr>
        <w:t xml:space="preserve">The CPM acknowledged the contributions of Martin DAMUS (Canada), and Hideki TANIGUCHI (Japan) to the work of the TPCS. </w:t>
      </w:r>
    </w:p>
    <w:p w14:paraId="09E3C8EC" w14:textId="25BABFA4" w:rsidR="00A05A25" w:rsidRDefault="00955EB9" w:rsidP="00A05A25">
      <w:pPr>
        <w:pStyle w:val="IPPParagraphnumbering"/>
        <w:rPr>
          <w:lang w:eastAsia="en-GB"/>
        </w:rPr>
      </w:pPr>
      <w:r>
        <w:rPr>
          <w:lang w:eastAsia="en-GB"/>
        </w:rPr>
        <w:t>T</w:t>
      </w:r>
      <w:r w:rsidR="00A05A25">
        <w:rPr>
          <w:lang w:eastAsia="en-GB"/>
        </w:rPr>
        <w:t xml:space="preserve">he CPM noted the written interventions with regard to ensuring that the TPCS follows the priority order of subjects to be developed, the need to provide the transparent procedures for updating approved </w:t>
      </w:r>
      <w:proofErr w:type="gramStart"/>
      <w:r w:rsidR="00A05A25">
        <w:rPr>
          <w:lang w:eastAsia="en-GB"/>
        </w:rPr>
        <w:t>annexes, and the need to provide clarity on assessing the technical justification for the inclusion of regulated pests in these standards, and document accessibility</w:t>
      </w:r>
      <w:proofErr w:type="gramEnd"/>
      <w:r w:rsidR="00A05A25">
        <w:rPr>
          <w:lang w:eastAsia="en-GB"/>
        </w:rPr>
        <w:t xml:space="preserve">, and to ensure that contracting parties are aware that technical justifications submitted are not verified by the TPCS. </w:t>
      </w:r>
    </w:p>
    <w:p w14:paraId="029FCCD8" w14:textId="77777777" w:rsidR="00A05A25" w:rsidRDefault="00A05A25" w:rsidP="00A05A25">
      <w:pPr>
        <w:pStyle w:val="IPPParagraphnumbering"/>
        <w:rPr>
          <w:lang w:eastAsia="en-GB"/>
        </w:rPr>
      </w:pPr>
      <w:r>
        <w:rPr>
          <w:lang w:eastAsia="en-GB"/>
        </w:rPr>
        <w:t xml:space="preserve">The CPM also noted the concern raised regarding the listing of all known pests, including pathogens on commodities like mangoes that could lead to unjustified restrictive trade measures by other countries based on human consumption risks, rather than plant health. </w:t>
      </w:r>
    </w:p>
    <w:p w14:paraId="47823C68" w14:textId="0F33D736" w:rsidR="00A05A25" w:rsidRDefault="00A05A25" w:rsidP="00A05A25">
      <w:pPr>
        <w:pStyle w:val="IPPParagraphnumbering"/>
        <w:rPr>
          <w:lang w:eastAsia="en-GB"/>
        </w:rPr>
      </w:pPr>
      <w:r w:rsidRPr="28C9EF92">
        <w:rPr>
          <w:lang w:eastAsia="en-GB"/>
        </w:rPr>
        <w:t>The SC Chairperson clarified that the priorities set by the CPM are being respected by the TCPS and the requirements for inclusion of pests in annexes is clearly defined in ISPM 46</w:t>
      </w:r>
      <w:r w:rsidR="1FE6FA1D" w:rsidRPr="28C9EF92">
        <w:rPr>
          <w:lang w:eastAsia="en-GB"/>
        </w:rPr>
        <w:t xml:space="preserve"> </w:t>
      </w:r>
      <w:r w:rsidRPr="28C9EF92">
        <w:rPr>
          <w:lang w:eastAsia="en-GB"/>
        </w:rPr>
        <w:t>and secretariat agreed to address these concerns in future meetings, welcoming suggestions from the SC and TCPS.</w:t>
      </w:r>
    </w:p>
    <w:p w14:paraId="35255F66" w14:textId="77777777" w:rsidR="00134FA0" w:rsidRDefault="002258B3" w:rsidP="00134FA0">
      <w:pPr>
        <w:pStyle w:val="IPPParagraphnumbering"/>
        <w:rPr>
          <w:szCs w:val="22"/>
          <w:lang w:eastAsia="zh-CN"/>
        </w:rPr>
      </w:pPr>
      <w:r w:rsidRPr="00BA57ED">
        <w:rPr>
          <w:b/>
          <w:bCs/>
          <w:szCs w:val="22"/>
        </w:rPr>
        <w:t>Implementation and Capacity Development (IC) May 2025 discussions</w:t>
      </w:r>
      <w:r w:rsidR="00B87A0B" w:rsidRPr="00BA57ED">
        <w:rPr>
          <w:b/>
          <w:bCs/>
          <w:szCs w:val="22"/>
        </w:rPr>
        <w:t>.</w:t>
      </w:r>
      <w:r w:rsidR="00B87A0B" w:rsidRPr="00BA57ED">
        <w:rPr>
          <w:szCs w:val="22"/>
        </w:rPr>
        <w:t xml:space="preserve"> During the May 2025 IC meeting</w:t>
      </w:r>
      <w:r w:rsidR="00D07FC3" w:rsidRPr="00BA57ED">
        <w:rPr>
          <w:szCs w:val="22"/>
        </w:rPr>
        <w:t xml:space="preserve"> while in the presentation of the SSU update</w:t>
      </w:r>
      <w:r w:rsidR="00B87A0B" w:rsidRPr="00BA57ED">
        <w:rPr>
          <w:szCs w:val="22"/>
        </w:rPr>
        <w:t xml:space="preserve">, some discussions were </w:t>
      </w:r>
      <w:proofErr w:type="gramStart"/>
      <w:r w:rsidR="00B87A0B" w:rsidRPr="00BA57ED">
        <w:rPr>
          <w:szCs w:val="22"/>
        </w:rPr>
        <w:t>made</w:t>
      </w:r>
      <w:proofErr w:type="gramEnd"/>
      <w:r w:rsidR="00B87A0B" w:rsidRPr="00BA57ED">
        <w:rPr>
          <w:szCs w:val="22"/>
        </w:rPr>
        <w:t xml:space="preserve"> regarding the development of the IPPC commodity standards</w:t>
      </w:r>
      <w:r w:rsidR="00D07FC3" w:rsidRPr="00BA57ED">
        <w:rPr>
          <w:szCs w:val="22"/>
        </w:rPr>
        <w:t xml:space="preserve">, </w:t>
      </w:r>
      <w:r w:rsidR="009E62DD" w:rsidRPr="00BA57ED">
        <w:rPr>
          <w:szCs w:val="22"/>
        </w:rPr>
        <w:t>especially</w:t>
      </w:r>
      <w:r w:rsidR="00D07FC3" w:rsidRPr="00BA57ED">
        <w:rPr>
          <w:szCs w:val="22"/>
        </w:rPr>
        <w:t xml:space="preserve"> o</w:t>
      </w:r>
      <w:r w:rsidR="009E62DD" w:rsidRPr="00BA57ED">
        <w:rPr>
          <w:szCs w:val="22"/>
        </w:rPr>
        <w:t xml:space="preserve">n the </w:t>
      </w:r>
      <w:r w:rsidR="00D07FC3" w:rsidRPr="00BA57ED">
        <w:rPr>
          <w:rFonts w:cstheme="minorBidi"/>
          <w:kern w:val="2"/>
          <w:szCs w:val="22"/>
          <w:lang w:eastAsia="zh-CN"/>
        </w:rPr>
        <w:t>list of pests from commodity standards</w:t>
      </w:r>
      <w:r w:rsidR="00327709" w:rsidRPr="00BA57ED">
        <w:rPr>
          <w:rFonts w:cstheme="minorBidi"/>
          <w:kern w:val="2"/>
          <w:szCs w:val="22"/>
          <w:lang w:eastAsia="zh-CN"/>
        </w:rPr>
        <w:t xml:space="preserve">. </w:t>
      </w:r>
      <w:r w:rsidR="00C0417B" w:rsidRPr="00BA57ED">
        <w:rPr>
          <w:rFonts w:cstheme="minorBidi"/>
          <w:kern w:val="2"/>
          <w:szCs w:val="22"/>
          <w:lang w:val="en-GB" w:eastAsia="zh-CN"/>
        </w:rPr>
        <w:t>Some IC members voiced concerns that the pest list could potentially be misused to mandate unjustified measures.</w:t>
      </w:r>
      <w:r w:rsidR="00D07FC3" w:rsidRPr="00BA57ED">
        <w:rPr>
          <w:szCs w:val="22"/>
          <w:lang w:eastAsia="zh-CN"/>
        </w:rPr>
        <w:t xml:space="preserve"> One IC member highlighted the importance of acknowledging and addressing such feedback to prevent any issue in the future. In response, the SSU </w:t>
      </w:r>
      <w:r w:rsidR="00B132DF" w:rsidRPr="00BA57ED">
        <w:rPr>
          <w:szCs w:val="22"/>
          <w:lang w:eastAsia="zh-CN"/>
        </w:rPr>
        <w:t xml:space="preserve">team </w:t>
      </w:r>
      <w:r w:rsidR="00D07FC3" w:rsidRPr="00BA57ED">
        <w:rPr>
          <w:szCs w:val="22"/>
          <w:lang w:eastAsia="zh-CN"/>
        </w:rPr>
        <w:t>lead underlined that the development of commodity standards follows a transparent process, including public consultation and engagement with regional SC representatives, through which such concerns can be formally raised and addressed.</w:t>
      </w:r>
      <w:r w:rsidR="00B132DF" w:rsidRPr="00BA57ED">
        <w:rPr>
          <w:szCs w:val="22"/>
          <w:lang w:eastAsia="zh-CN"/>
        </w:rPr>
        <w:t xml:space="preserve"> </w:t>
      </w:r>
    </w:p>
    <w:p w14:paraId="425F6BAC" w14:textId="77777777" w:rsidR="00AA0E7D" w:rsidRDefault="009822F0" w:rsidP="00AA0E7D">
      <w:pPr>
        <w:pStyle w:val="IPPParagraphnumbering"/>
        <w:rPr>
          <w:szCs w:val="22"/>
          <w:lang w:eastAsia="zh-CN"/>
        </w:rPr>
      </w:pPr>
      <w:r w:rsidRPr="00134FA0">
        <w:rPr>
          <w:szCs w:val="22"/>
          <w:lang w:eastAsia="zh-CN"/>
        </w:rPr>
        <w:t xml:space="preserve">While the IC noted the update provided, </w:t>
      </w:r>
      <w:r w:rsidR="00BA57ED" w:rsidRPr="00134FA0">
        <w:rPr>
          <w:szCs w:val="22"/>
          <w:lang w:eastAsia="zh-CN"/>
        </w:rPr>
        <w:t xml:space="preserve">it also </w:t>
      </w:r>
      <w:r w:rsidR="00D07FC3" w:rsidRPr="00134FA0">
        <w:rPr>
          <w:szCs w:val="22"/>
          <w:lang w:val="en-GB"/>
        </w:rPr>
        <w:t>invited</w:t>
      </w:r>
      <w:r w:rsidR="00D07FC3" w:rsidRPr="00134FA0">
        <w:rPr>
          <w:i/>
          <w:iCs/>
          <w:szCs w:val="22"/>
          <w:lang w:val="en-GB"/>
        </w:rPr>
        <w:t xml:space="preserve"> </w:t>
      </w:r>
      <w:r w:rsidR="00D07FC3" w:rsidRPr="00134FA0">
        <w:rPr>
          <w:szCs w:val="22"/>
          <w:lang w:val="en-GB"/>
        </w:rPr>
        <w:t>the SC to re-consider the criteria used to evaluate and establish list of pests included in commodity standards, to minimize an incorrect interpretation and implementation.</w:t>
      </w:r>
      <w:r w:rsidR="00134FA0" w:rsidRPr="00134FA0">
        <w:rPr>
          <w:szCs w:val="22"/>
          <w:lang w:val="en-GB"/>
        </w:rPr>
        <w:t xml:space="preserve"> </w:t>
      </w:r>
    </w:p>
    <w:p w14:paraId="5466CE6E" w14:textId="340B5DEA" w:rsidR="00134FA0" w:rsidRPr="00847D97" w:rsidRDefault="00134FA0" w:rsidP="00847D97">
      <w:pPr>
        <w:pStyle w:val="IPPParagraphnumbering"/>
      </w:pPr>
      <w:r w:rsidRPr="00AA0E7D">
        <w:rPr>
          <w:lang w:eastAsia="zh-CN"/>
        </w:rPr>
        <w:t>One IC member mentioned a potential workshop on commodity standards, that may be formally proposed in the future</w:t>
      </w:r>
      <w:r w:rsidR="00847D97">
        <w:rPr>
          <w:lang w:eastAsia="zh-CN"/>
        </w:rPr>
        <w:t xml:space="preserve">* (*Potentially for first quarter of 2027) </w:t>
      </w:r>
      <w:r w:rsidRPr="00AA0E7D">
        <w:rPr>
          <w:lang w:eastAsia="zh-CN"/>
        </w:rPr>
        <w:t>utilizing the IPPC Multi Donor Trust Fund contribution from the Republic of Korea, which would be an opportunity to discuss such issues.</w:t>
      </w:r>
    </w:p>
    <w:p w14:paraId="3CE59ED2" w14:textId="77777777" w:rsidR="00E439A5" w:rsidRDefault="0042320F" w:rsidP="0042320F">
      <w:pPr>
        <w:pStyle w:val="IPPParagraphnumbering"/>
        <w:numPr>
          <w:ilvl w:val="0"/>
          <w:numId w:val="10"/>
        </w:numPr>
        <w:rPr>
          <w:lang w:eastAsia="en-GB"/>
        </w:rPr>
      </w:pPr>
      <w:r w:rsidRPr="28C9EF92">
        <w:rPr>
          <w:b/>
          <w:bCs/>
          <w:lang w:eastAsia="en-GB"/>
        </w:rPr>
        <w:t>TPCS discussions</w:t>
      </w:r>
      <w:r w:rsidR="00F85FE3" w:rsidRPr="28C9EF92">
        <w:rPr>
          <w:b/>
          <w:bCs/>
          <w:lang w:eastAsia="en-GB"/>
        </w:rPr>
        <w:t xml:space="preserve"> on inclusion of a pest</w:t>
      </w:r>
      <w:r w:rsidR="00CF4163">
        <w:rPr>
          <w:b/>
          <w:bCs/>
          <w:lang w:eastAsia="en-GB"/>
        </w:rPr>
        <w:t xml:space="preserve"> (and therefore </w:t>
      </w:r>
      <w:r w:rsidR="00F01E20">
        <w:rPr>
          <w:b/>
          <w:bCs/>
          <w:lang w:eastAsia="en-GB"/>
        </w:rPr>
        <w:t>options of measures)</w:t>
      </w:r>
      <w:r w:rsidRPr="28C9EF92">
        <w:rPr>
          <w:b/>
          <w:bCs/>
          <w:lang w:eastAsia="en-GB"/>
        </w:rPr>
        <w:t>.</w:t>
      </w:r>
      <w:r w:rsidRPr="28C9EF92">
        <w:rPr>
          <w:lang w:eastAsia="en-GB"/>
        </w:rPr>
        <w:t xml:space="preserve"> During the TPCS May 2025 virtual meeting, once again it was highlighted that the criteria for inclusion of pests and measures are well specified in ISPM 46. It was emphasized once again that the role of the TPCS </w:t>
      </w:r>
      <w:r w:rsidR="00F01E20">
        <w:rPr>
          <w:lang w:eastAsia="en-GB"/>
        </w:rPr>
        <w:t>is</w:t>
      </w:r>
      <w:r w:rsidRPr="28C9EF92">
        <w:rPr>
          <w:lang w:eastAsia="en-GB"/>
        </w:rPr>
        <w:t xml:space="preserve"> not to assess the pest risk analyses conducted by contracting parties but to evaluate the pest and measures against the criteria for inclusion and exclusion, operating in accordance with Specification TP 6 (Technical Panel on Commodity Standards). </w:t>
      </w:r>
      <w:r w:rsidR="0039324B" w:rsidRPr="28C9EF92">
        <w:rPr>
          <w:lang w:eastAsia="en-GB"/>
        </w:rPr>
        <w:t>It was also</w:t>
      </w:r>
      <w:r w:rsidR="00EB0B9D" w:rsidRPr="28C9EF92">
        <w:rPr>
          <w:lang w:eastAsia="en-GB"/>
        </w:rPr>
        <w:t xml:space="preserve"> noted that it is </w:t>
      </w:r>
      <w:r w:rsidR="004B30BA" w:rsidRPr="28C9EF92">
        <w:rPr>
          <w:lang w:eastAsia="en-GB"/>
        </w:rPr>
        <w:t>still in lea</w:t>
      </w:r>
      <w:r w:rsidR="21034E28" w:rsidRPr="28C9EF92">
        <w:rPr>
          <w:lang w:eastAsia="en-GB"/>
        </w:rPr>
        <w:t>r</w:t>
      </w:r>
      <w:r w:rsidR="004B30BA" w:rsidRPr="28C9EF92">
        <w:rPr>
          <w:lang w:eastAsia="en-GB"/>
        </w:rPr>
        <w:t>ning stages, and that</w:t>
      </w:r>
      <w:r w:rsidRPr="28C9EF92">
        <w:rPr>
          <w:lang w:eastAsia="en-GB"/>
        </w:rPr>
        <w:t xml:space="preserve"> the practice of the panel</w:t>
      </w:r>
      <w:r w:rsidR="004B30BA" w:rsidRPr="28C9EF92">
        <w:rPr>
          <w:lang w:eastAsia="en-GB"/>
        </w:rPr>
        <w:t xml:space="preserve"> is</w:t>
      </w:r>
      <w:r w:rsidRPr="28C9EF92">
        <w:rPr>
          <w:lang w:eastAsia="en-GB"/>
        </w:rPr>
        <w:t xml:space="preserve"> to also seek further information or clarification from submitters when needed.</w:t>
      </w:r>
      <w:r w:rsidR="004B30BA" w:rsidRPr="28C9EF92">
        <w:rPr>
          <w:lang w:eastAsia="en-GB"/>
        </w:rPr>
        <w:t xml:space="preserve"> </w:t>
      </w:r>
    </w:p>
    <w:p w14:paraId="3F0E9E36" w14:textId="5B2F33DD" w:rsidR="0042320F" w:rsidRDefault="001F142A" w:rsidP="0042320F">
      <w:pPr>
        <w:pStyle w:val="IPPParagraphnumbering"/>
        <w:numPr>
          <w:ilvl w:val="0"/>
          <w:numId w:val="10"/>
        </w:numPr>
        <w:rPr>
          <w:lang w:eastAsia="en-GB"/>
        </w:rPr>
      </w:pPr>
      <w:r w:rsidRPr="28C9EF92">
        <w:rPr>
          <w:lang w:eastAsia="en-GB"/>
        </w:rPr>
        <w:lastRenderedPageBreak/>
        <w:t xml:space="preserve">With the “lessons learned” so far, the TPCS developed potential reasons for excluding pests from the material submitted, as for example </w:t>
      </w:r>
      <w:r w:rsidR="00F85FE3" w:rsidRPr="28C9EF92">
        <w:rPr>
          <w:lang w:eastAsia="en-GB"/>
        </w:rPr>
        <w:t xml:space="preserve">pest </w:t>
      </w:r>
      <w:r w:rsidRPr="28C9EF92">
        <w:rPr>
          <w:lang w:eastAsia="en-GB"/>
        </w:rPr>
        <w:t xml:space="preserve">interception data with no association with the </w:t>
      </w:r>
      <w:r w:rsidR="00F85FE3" w:rsidRPr="28C9EF92">
        <w:rPr>
          <w:lang w:eastAsia="en-GB"/>
        </w:rPr>
        <w:t>commodity</w:t>
      </w:r>
      <w:r w:rsidR="6C48F32F" w:rsidRPr="28C9EF92">
        <w:rPr>
          <w:lang w:eastAsia="en-GB"/>
        </w:rPr>
        <w:t>.</w:t>
      </w:r>
      <w:r w:rsidR="00DF1F55" w:rsidRPr="28C9EF92">
        <w:rPr>
          <w:lang w:eastAsia="en-GB"/>
        </w:rPr>
        <w:t xml:space="preserve"> </w:t>
      </w:r>
      <w:r w:rsidR="00F85FE3" w:rsidRPr="28C9EF92">
        <w:rPr>
          <w:lang w:eastAsia="en-GB"/>
        </w:rPr>
        <w:t>H</w:t>
      </w:r>
      <w:r w:rsidR="00DF1F55" w:rsidRPr="28C9EF92">
        <w:rPr>
          <w:lang w:eastAsia="en-GB"/>
        </w:rPr>
        <w:t>owever</w:t>
      </w:r>
      <w:r w:rsidR="00F85FE3" w:rsidRPr="28C9EF92">
        <w:rPr>
          <w:lang w:eastAsia="en-GB"/>
        </w:rPr>
        <w:t>,</w:t>
      </w:r>
      <w:r w:rsidR="00DF1F55" w:rsidRPr="28C9EF92">
        <w:rPr>
          <w:lang w:eastAsia="en-GB"/>
        </w:rPr>
        <w:t xml:space="preserve"> th</w:t>
      </w:r>
      <w:r w:rsidR="00F85FE3" w:rsidRPr="28C9EF92">
        <w:rPr>
          <w:lang w:eastAsia="en-GB"/>
        </w:rPr>
        <w:t>ese are</w:t>
      </w:r>
      <w:r w:rsidR="00DF1F55" w:rsidRPr="28C9EF92">
        <w:rPr>
          <w:lang w:eastAsia="en-GB"/>
        </w:rPr>
        <w:t xml:space="preserve"> still under discussion and </w:t>
      </w:r>
      <w:r w:rsidR="00592FA9" w:rsidRPr="28C9EF92">
        <w:rPr>
          <w:lang w:eastAsia="en-GB"/>
        </w:rPr>
        <w:t>consideration</w:t>
      </w:r>
      <w:r w:rsidR="00DF1F55" w:rsidRPr="28C9EF92">
        <w:rPr>
          <w:lang w:eastAsia="en-GB"/>
        </w:rPr>
        <w:t xml:space="preserve"> by the panel</w:t>
      </w:r>
      <w:r w:rsidR="00F85FE3" w:rsidRPr="28C9EF92">
        <w:rPr>
          <w:lang w:eastAsia="en-GB"/>
        </w:rPr>
        <w:t xml:space="preserve"> as the</w:t>
      </w:r>
      <w:r w:rsidR="00911186" w:rsidRPr="28C9EF92">
        <w:rPr>
          <w:lang w:eastAsia="en-GB"/>
        </w:rPr>
        <w:t>y develop more commodity standards</w:t>
      </w:r>
      <w:r w:rsidR="00DF1F55" w:rsidRPr="28C9EF92">
        <w:rPr>
          <w:lang w:eastAsia="en-GB"/>
        </w:rPr>
        <w:t xml:space="preserve">. </w:t>
      </w:r>
    </w:p>
    <w:p w14:paraId="0899AAA1" w14:textId="77777777" w:rsidR="00E81618" w:rsidRDefault="00E1786D" w:rsidP="0042320F">
      <w:pPr>
        <w:pStyle w:val="IPPParagraphnumbering"/>
        <w:numPr>
          <w:ilvl w:val="0"/>
          <w:numId w:val="10"/>
        </w:numPr>
        <w:rPr>
          <w:lang w:eastAsia="en-GB"/>
        </w:rPr>
      </w:pPr>
      <w:r w:rsidRPr="004C170E">
        <w:rPr>
          <w:lang w:eastAsia="en-GB"/>
        </w:rPr>
        <w:t xml:space="preserve">In their June 2025 meeting, the TPCS had further discussion on the </w:t>
      </w:r>
      <w:r w:rsidR="00772780" w:rsidRPr="004C170E">
        <w:rPr>
          <w:lang w:eastAsia="en-GB"/>
        </w:rPr>
        <w:t xml:space="preserve">potential reasons for excluding a pest that was submitted by a </w:t>
      </w:r>
      <w:r w:rsidR="00857A34" w:rsidRPr="004C170E">
        <w:t>contracting party (</w:t>
      </w:r>
      <w:r w:rsidR="00772780" w:rsidRPr="004C170E">
        <w:rPr>
          <w:lang w:eastAsia="en-GB"/>
        </w:rPr>
        <w:t>CP</w:t>
      </w:r>
      <w:r w:rsidR="00857A34" w:rsidRPr="004C170E">
        <w:rPr>
          <w:lang w:eastAsia="en-GB"/>
        </w:rPr>
        <w:t>)</w:t>
      </w:r>
      <w:r w:rsidR="00772780" w:rsidRPr="004C170E">
        <w:rPr>
          <w:lang w:eastAsia="en-GB"/>
        </w:rPr>
        <w:t xml:space="preserve"> or </w:t>
      </w:r>
      <w:r w:rsidR="00857A34" w:rsidRPr="004C170E">
        <w:t>regional plant protection organization (R</w:t>
      </w:r>
      <w:r w:rsidR="00772780" w:rsidRPr="004C170E">
        <w:rPr>
          <w:lang w:eastAsia="en-GB"/>
        </w:rPr>
        <w:t>PPO</w:t>
      </w:r>
      <w:r w:rsidR="00857A34" w:rsidRPr="004C170E">
        <w:rPr>
          <w:lang w:eastAsia="en-GB"/>
        </w:rPr>
        <w:t>)</w:t>
      </w:r>
      <w:r w:rsidR="00772780" w:rsidRPr="004C170E">
        <w:rPr>
          <w:lang w:eastAsia="en-GB"/>
        </w:rPr>
        <w:t xml:space="preserve"> from the call for information material</w:t>
      </w:r>
      <w:r w:rsidR="00772780">
        <w:rPr>
          <w:b/>
          <w:bCs/>
          <w:lang w:eastAsia="en-GB"/>
        </w:rPr>
        <w:t>.</w:t>
      </w:r>
      <w:r w:rsidR="00772780">
        <w:rPr>
          <w:lang w:eastAsia="en-GB"/>
        </w:rPr>
        <w:t xml:space="preserve"> The TPCS reiterated that</w:t>
      </w:r>
      <w:r w:rsidR="008D6264">
        <w:rPr>
          <w:lang w:eastAsia="en-GB"/>
        </w:rPr>
        <w:t xml:space="preserve">, after </w:t>
      </w:r>
      <w:r w:rsidR="008D6264" w:rsidRPr="4A2EAD7E">
        <w:rPr>
          <w:lang w:eastAsia="zh-CN"/>
        </w:rPr>
        <w:t>drafting five annexes</w:t>
      </w:r>
      <w:r w:rsidR="008D6264">
        <w:rPr>
          <w:lang w:eastAsia="zh-CN"/>
        </w:rPr>
        <w:t xml:space="preserve"> to ISPM 46</w:t>
      </w:r>
      <w:r w:rsidR="008D6264" w:rsidRPr="4A2EAD7E">
        <w:rPr>
          <w:lang w:eastAsia="zh-CN"/>
        </w:rPr>
        <w:t xml:space="preserve">, </w:t>
      </w:r>
      <w:r w:rsidR="009545CF">
        <w:rPr>
          <w:lang w:eastAsia="zh-CN"/>
        </w:rPr>
        <w:t>they had</w:t>
      </w:r>
      <w:r w:rsidR="008D6264" w:rsidRPr="4A2EAD7E">
        <w:rPr>
          <w:lang w:eastAsia="zh-CN"/>
        </w:rPr>
        <w:t xml:space="preserve"> identified </w:t>
      </w:r>
      <w:r w:rsidR="009545CF">
        <w:rPr>
          <w:lang w:eastAsia="zh-CN"/>
        </w:rPr>
        <w:t>this</w:t>
      </w:r>
      <w:r w:rsidR="008D6264">
        <w:t xml:space="preserve"> recurring concern: some pests submitted by CPs or RPPOs appear to lack sufficient or accurate reference e.g. the pest association with the commodity or pathway  for their regulation, as required under ISPM 2 (</w:t>
      </w:r>
      <w:r w:rsidR="008D6264" w:rsidRPr="4A2EAD7E">
        <w:rPr>
          <w:i/>
          <w:iCs/>
        </w:rPr>
        <w:t>Framework for pest risk analysis</w:t>
      </w:r>
      <w:r w:rsidR="008D6264">
        <w:t>) and ISPM 11 (</w:t>
      </w:r>
      <w:r w:rsidR="008D6264" w:rsidRPr="4A2EAD7E">
        <w:rPr>
          <w:i/>
          <w:iCs/>
        </w:rPr>
        <w:t>Pest risk analysis for quarantine pests</w:t>
      </w:r>
      <w:r w:rsidR="008D6264">
        <w:t xml:space="preserve">). Such submissions of pests may be a result of CPs submitting a specific pest they regulate for commodities of certain plant parts other than the plant part of the commodity itself, without submitting supporting information. </w:t>
      </w:r>
    </w:p>
    <w:p w14:paraId="686A6F3C" w14:textId="08037092" w:rsidR="006366F2" w:rsidRPr="006366F2" w:rsidRDefault="008D6264" w:rsidP="0042320F">
      <w:pPr>
        <w:pStyle w:val="IPPParagraphnumbering"/>
        <w:numPr>
          <w:ilvl w:val="0"/>
          <w:numId w:val="10"/>
        </w:numPr>
        <w:rPr>
          <w:lang w:eastAsia="en-GB"/>
        </w:rPr>
      </w:pPr>
      <w:r>
        <w:t>The inclusion of such pests may mean that the options for measures included in the commodity-specific annexes are not technically justified.</w:t>
      </w:r>
      <w:r w:rsidR="00E81618">
        <w:t xml:space="preserve"> </w:t>
      </w:r>
      <w:r w:rsidR="00E81618" w:rsidRPr="002D50A9">
        <w:rPr>
          <w:lang w:val="en-NZ"/>
        </w:rPr>
        <w:t xml:space="preserve">On several occasions, the TPCS have disagreed with the </w:t>
      </w:r>
      <w:r w:rsidR="00E81618">
        <w:rPr>
          <w:lang w:val="en-NZ"/>
        </w:rPr>
        <w:t xml:space="preserve">association of pests (and therefore its </w:t>
      </w:r>
      <w:r w:rsidR="00E81618" w:rsidRPr="002D50A9">
        <w:rPr>
          <w:lang w:val="en-NZ"/>
        </w:rPr>
        <w:t>regulation</w:t>
      </w:r>
      <w:r w:rsidR="00E81618">
        <w:rPr>
          <w:lang w:val="en-NZ"/>
        </w:rPr>
        <w:t>)</w:t>
      </w:r>
      <w:r w:rsidR="00E81618" w:rsidRPr="002D50A9">
        <w:rPr>
          <w:lang w:val="en-NZ"/>
        </w:rPr>
        <w:t xml:space="preserve"> of pests on certain commodities</w:t>
      </w:r>
      <w:r w:rsidR="00E81618">
        <w:rPr>
          <w:lang w:val="en-NZ"/>
        </w:rPr>
        <w:t xml:space="preserve"> and the compelling intention to include the pest in a draft. The TPCS has </w:t>
      </w:r>
      <w:r w:rsidR="00E81618" w:rsidRPr="002D50A9">
        <w:rPr>
          <w:lang w:val="en-NZ"/>
        </w:rPr>
        <w:t>not challeng</w:t>
      </w:r>
      <w:r w:rsidR="00E81618">
        <w:rPr>
          <w:lang w:val="en-NZ"/>
        </w:rPr>
        <w:t>ed</w:t>
      </w:r>
      <w:r w:rsidR="00E81618" w:rsidRPr="002D50A9">
        <w:rPr>
          <w:lang w:val="en-NZ"/>
        </w:rPr>
        <w:t xml:space="preserve"> the </w:t>
      </w:r>
      <w:r w:rsidR="00E81618">
        <w:rPr>
          <w:lang w:val="en-NZ"/>
        </w:rPr>
        <w:t xml:space="preserve">sovereign </w:t>
      </w:r>
      <w:r w:rsidR="00E81618" w:rsidRPr="002D50A9">
        <w:rPr>
          <w:lang w:val="en-NZ"/>
        </w:rPr>
        <w:t xml:space="preserve">right of a CP to regulate </w:t>
      </w:r>
      <w:r w:rsidR="00E81618">
        <w:rPr>
          <w:lang w:val="en-NZ"/>
        </w:rPr>
        <w:t xml:space="preserve">a </w:t>
      </w:r>
      <w:r w:rsidR="00E81618" w:rsidRPr="002D50A9">
        <w:rPr>
          <w:lang w:val="en-NZ"/>
        </w:rPr>
        <w:t xml:space="preserve">pest but </w:t>
      </w:r>
      <w:r w:rsidR="00E81618">
        <w:rPr>
          <w:lang w:val="en-NZ"/>
        </w:rPr>
        <w:t>have</w:t>
      </w:r>
      <w:r w:rsidR="00E81618" w:rsidRPr="002D50A9">
        <w:rPr>
          <w:lang w:val="en-NZ"/>
        </w:rPr>
        <w:t xml:space="preserve"> question</w:t>
      </w:r>
      <w:r w:rsidR="00E81618">
        <w:rPr>
          <w:lang w:val="en-NZ"/>
        </w:rPr>
        <w:t>ed</w:t>
      </w:r>
      <w:r w:rsidR="00E81618" w:rsidRPr="002D50A9">
        <w:rPr>
          <w:lang w:val="en-NZ"/>
        </w:rPr>
        <w:t xml:space="preserve"> the scientific evidence supporting the association </w:t>
      </w:r>
      <w:r w:rsidR="00E81618">
        <w:rPr>
          <w:lang w:val="en-NZ"/>
        </w:rPr>
        <w:t>of</w:t>
      </w:r>
      <w:r w:rsidR="00E81618" w:rsidRPr="002D50A9">
        <w:rPr>
          <w:lang w:val="en-NZ"/>
        </w:rPr>
        <w:t xml:space="preserve"> specific pests </w:t>
      </w:r>
      <w:r w:rsidR="00E81618">
        <w:rPr>
          <w:lang w:val="en-NZ"/>
        </w:rPr>
        <w:t>with</w:t>
      </w:r>
      <w:r w:rsidR="00E81618" w:rsidRPr="002D50A9">
        <w:rPr>
          <w:lang w:val="en-NZ"/>
        </w:rPr>
        <w:t xml:space="preserve"> specific commodities.</w:t>
      </w:r>
      <w:r w:rsidR="00E81618">
        <w:rPr>
          <w:lang w:val="en-NZ"/>
        </w:rPr>
        <w:t xml:space="preserve"> </w:t>
      </w:r>
      <w:r w:rsidR="0097383F">
        <w:rPr>
          <w:lang w:val="en-NZ"/>
        </w:rPr>
        <w:t xml:space="preserve">To note </w:t>
      </w:r>
      <w:r w:rsidR="006366F2">
        <w:rPr>
          <w:lang w:val="en-NZ"/>
        </w:rPr>
        <w:t>that:</w:t>
      </w:r>
    </w:p>
    <w:p w14:paraId="563A399F" w14:textId="0C09D301" w:rsidR="006366F2" w:rsidRDefault="006366F2" w:rsidP="006366F2">
      <w:pPr>
        <w:pStyle w:val="IPPParagraphnumbering"/>
        <w:numPr>
          <w:ilvl w:val="0"/>
          <w:numId w:val="10"/>
        </w:numPr>
      </w:pPr>
      <w:r>
        <w:t>ISPM 46 states:</w:t>
      </w:r>
    </w:p>
    <w:p w14:paraId="12C16706" w14:textId="77777777" w:rsidR="006366F2" w:rsidRPr="00BB53ED" w:rsidRDefault="006366F2" w:rsidP="006366F2">
      <w:pPr>
        <w:pStyle w:val="IPPParagraphnumbering"/>
        <w:numPr>
          <w:ilvl w:val="0"/>
          <w:numId w:val="0"/>
        </w:numPr>
        <w:rPr>
          <w:i/>
          <w:iCs/>
          <w:sz w:val="20"/>
          <w:szCs w:val="22"/>
        </w:rPr>
      </w:pPr>
      <w:r w:rsidRPr="00BB53ED">
        <w:rPr>
          <w:i/>
          <w:iCs/>
          <w:sz w:val="20"/>
          <w:szCs w:val="22"/>
          <w:lang w:val="en-NZ"/>
        </w:rPr>
        <w:t>“Inclusion of a pest in a commodity standard does not constitute technical justification for its regulation. When determining whether to regulate a pest listed in a commodity standard, an importing country should base its decision on technical justification using either a PRA or, where applicable, another comparable examination and evaluation of available scientific information. The list of pests is not intended to be exhaustive.”</w:t>
      </w:r>
    </w:p>
    <w:p w14:paraId="5FCCF5A8" w14:textId="0A5420F9" w:rsidR="00E1786D" w:rsidRPr="00E439A5" w:rsidRDefault="006366F2" w:rsidP="00FA1B92">
      <w:pPr>
        <w:pStyle w:val="IPPParagraphnumbering"/>
        <w:numPr>
          <w:ilvl w:val="0"/>
          <w:numId w:val="10"/>
        </w:numPr>
        <w:rPr>
          <w:i/>
          <w:iCs/>
        </w:rPr>
      </w:pPr>
      <w:r w:rsidRPr="00B42AFE">
        <w:rPr>
          <w:lang w:val="en-NZ"/>
        </w:rPr>
        <w:t xml:space="preserve">The TPCS believes </w:t>
      </w:r>
      <w:r>
        <w:rPr>
          <w:lang w:val="en-NZ"/>
        </w:rPr>
        <w:t xml:space="preserve">that </w:t>
      </w:r>
      <w:r w:rsidRPr="00B42AFE">
        <w:rPr>
          <w:lang w:val="en-NZ"/>
        </w:rPr>
        <w:t xml:space="preserve">the statement in ISPM 46, which says the pest list is not exhaustive, implies that not all pests submitted by contracting parties </w:t>
      </w:r>
      <w:r w:rsidRPr="00254CF2">
        <w:rPr>
          <w:lang w:val="en-NZ"/>
        </w:rPr>
        <w:t>need to be</w:t>
      </w:r>
      <w:r>
        <w:rPr>
          <w:lang w:val="en-NZ"/>
        </w:rPr>
        <w:t xml:space="preserve"> or</w:t>
      </w:r>
      <w:r w:rsidRPr="00254CF2">
        <w:rPr>
          <w:lang w:val="en-NZ"/>
        </w:rPr>
        <w:t xml:space="preserve"> should be</w:t>
      </w:r>
      <w:r w:rsidRPr="00C9776C">
        <w:rPr>
          <w:lang w:val="en-NZ"/>
        </w:rPr>
        <w:t xml:space="preserve"> included</w:t>
      </w:r>
      <w:r w:rsidRPr="00B42AFE">
        <w:rPr>
          <w:lang w:val="en-NZ"/>
        </w:rPr>
        <w:t xml:space="preserve"> in the draft annexes</w:t>
      </w:r>
      <w:r>
        <w:rPr>
          <w:lang w:val="en-NZ"/>
        </w:rPr>
        <w:t xml:space="preserve">. </w:t>
      </w:r>
      <w:r w:rsidR="0097383F">
        <w:rPr>
          <w:lang w:val="en-NZ"/>
        </w:rPr>
        <w:t xml:space="preserve">Thus, the TPCS is developing a discussion paper to the SC to be presented to the SC November 2025 meeting. </w:t>
      </w:r>
    </w:p>
    <w:p w14:paraId="4418F4C0" w14:textId="6AB784AC" w:rsidR="00E439A5" w:rsidRPr="00FA1B92" w:rsidRDefault="00E439A5" w:rsidP="00FA1B92">
      <w:pPr>
        <w:pStyle w:val="IPPParagraphnumbering"/>
        <w:numPr>
          <w:ilvl w:val="0"/>
          <w:numId w:val="10"/>
        </w:numPr>
        <w:rPr>
          <w:i/>
          <w:iCs/>
        </w:rPr>
      </w:pPr>
      <w:r w:rsidRPr="00E439A5">
        <w:rPr>
          <w:b/>
          <w:bCs/>
          <w:lang w:val="en-NZ"/>
        </w:rPr>
        <w:t>SC November 2025.</w:t>
      </w:r>
      <w:r>
        <w:rPr>
          <w:lang w:val="en-NZ"/>
        </w:rPr>
        <w:t xml:space="preserve"> Discussions on the inclusion and exclusion of pests in the specific commodity standards is in the SC upcoming meeting agenda. Besides the TPCS paper, the IPPC secretariat received two other papers on this topic. A report of these discussions will be presented to the CPM-20 (2026).</w:t>
      </w:r>
    </w:p>
    <w:p w14:paraId="6FAC8B2C" w14:textId="66B5F4E4" w:rsidR="00E439A5" w:rsidRPr="00F33363" w:rsidRDefault="00487571" w:rsidP="00F33363">
      <w:pPr>
        <w:pStyle w:val="IPPHeading1"/>
        <w:numPr>
          <w:ilvl w:val="0"/>
          <w:numId w:val="33"/>
        </w:numPr>
      </w:pPr>
      <w:r w:rsidRPr="00F33363">
        <w:t xml:space="preserve">Other initiatives </w:t>
      </w:r>
    </w:p>
    <w:p w14:paraId="60E59F8D" w14:textId="4ABEF2E0" w:rsidR="00487571" w:rsidRDefault="008B7447" w:rsidP="00487571">
      <w:pPr>
        <w:pStyle w:val="IPPParagraphnumbering"/>
        <w:rPr>
          <w:szCs w:val="22"/>
          <w:lang w:eastAsia="zh-CN"/>
        </w:rPr>
      </w:pPr>
      <w:r w:rsidRPr="008B7447">
        <w:rPr>
          <w:b/>
          <w:bCs/>
          <w:szCs w:val="22"/>
          <w:lang w:eastAsia="zh-CN"/>
        </w:rPr>
        <w:t>Plant Production and Protection Division of FAO seminar</w:t>
      </w:r>
      <w:r>
        <w:rPr>
          <w:rStyle w:val="FootnoteReference"/>
          <w:b/>
          <w:bCs/>
          <w:szCs w:val="22"/>
          <w:lang w:eastAsia="zh-CN"/>
        </w:rPr>
        <w:footnoteReference w:id="11"/>
      </w:r>
      <w:r w:rsidRPr="008B7447">
        <w:rPr>
          <w:b/>
          <w:bCs/>
          <w:szCs w:val="22"/>
          <w:lang w:eastAsia="zh-CN"/>
        </w:rPr>
        <w:t>.</w:t>
      </w:r>
      <w:r>
        <w:rPr>
          <w:szCs w:val="22"/>
          <w:lang w:eastAsia="zh-CN"/>
        </w:rPr>
        <w:t xml:space="preserve"> </w:t>
      </w:r>
      <w:r w:rsidR="00487571">
        <w:rPr>
          <w:szCs w:val="22"/>
          <w:lang w:eastAsia="zh-CN"/>
        </w:rPr>
        <w:t>The IPPC secretariat engaged with FAO Plant Production and Protection Division (NSP) on the topic of “commodity standards” in the NSP seminar series in May 2025. The seminar was well attended with over 6</w:t>
      </w:r>
      <w:r w:rsidR="00EA060D">
        <w:rPr>
          <w:szCs w:val="22"/>
          <w:lang w:eastAsia="zh-CN"/>
        </w:rPr>
        <w:t>0</w:t>
      </w:r>
      <w:r w:rsidR="00487571">
        <w:rPr>
          <w:szCs w:val="22"/>
          <w:lang w:eastAsia="zh-CN"/>
        </w:rPr>
        <w:t xml:space="preserve"> participants, and it sparked high interest in the topic by FAO colleagues. </w:t>
      </w:r>
    </w:p>
    <w:p w14:paraId="0E4A9C6D" w14:textId="0385D9C2" w:rsidR="00C64E23" w:rsidRPr="000B188D" w:rsidRDefault="00C64E23" w:rsidP="00487571">
      <w:pPr>
        <w:pStyle w:val="IPPParagraphnumbering"/>
        <w:rPr>
          <w:szCs w:val="22"/>
          <w:lang w:eastAsia="zh-CN"/>
        </w:rPr>
      </w:pPr>
      <w:r w:rsidRPr="000B188D">
        <w:rPr>
          <w:szCs w:val="22"/>
          <w:lang w:eastAsia="zh-CN"/>
        </w:rPr>
        <w:t xml:space="preserve">It is to recall that </w:t>
      </w:r>
      <w:r w:rsidR="000B188D" w:rsidRPr="000B188D">
        <w:rPr>
          <w:szCs w:val="22"/>
          <w:lang w:eastAsia="zh-CN"/>
        </w:rPr>
        <w:t xml:space="preserve">during the 2025 IPPC regional workshops, two draft annexes to ISPM 46 will be discussed. </w:t>
      </w:r>
    </w:p>
    <w:p w14:paraId="6215E101" w14:textId="6C503F87" w:rsidR="00B8796F" w:rsidRPr="004C170E" w:rsidRDefault="008A4E5F" w:rsidP="004C170E">
      <w:pPr>
        <w:pStyle w:val="IPPParagraphnumbering"/>
        <w:rPr>
          <w:szCs w:val="22"/>
        </w:rPr>
      </w:pPr>
      <w:r w:rsidRPr="004C170E">
        <w:rPr>
          <w:b/>
          <w:bCs/>
          <w:lang w:eastAsia="zh-CN"/>
        </w:rPr>
        <w:t>CPM-20 (2026) side session.</w:t>
      </w:r>
      <w:r w:rsidRPr="28C9EF92">
        <w:rPr>
          <w:lang w:eastAsia="zh-CN"/>
        </w:rPr>
        <w:t xml:space="preserve"> As </w:t>
      </w:r>
      <w:r w:rsidR="7E29936C" w:rsidRPr="28C9EF92">
        <w:rPr>
          <w:lang w:eastAsia="zh-CN"/>
        </w:rPr>
        <w:t xml:space="preserve">per the </w:t>
      </w:r>
      <w:r w:rsidR="008508C0" w:rsidRPr="28C9EF92">
        <w:rPr>
          <w:lang w:eastAsia="zh-CN"/>
        </w:rPr>
        <w:t xml:space="preserve">original plan for a side session during the CPM-19 (2025), the </w:t>
      </w:r>
      <w:r w:rsidR="004C170E">
        <w:rPr>
          <w:lang w:eastAsia="zh-CN"/>
        </w:rPr>
        <w:t>CPM Bureau</w:t>
      </w:r>
      <w:r w:rsidR="008B7447">
        <w:rPr>
          <w:lang w:eastAsia="zh-CN"/>
        </w:rPr>
        <w:t xml:space="preserve"> in its June 2025 meeting confirmed that a side session on “IPPC commodity standards” will take place </w:t>
      </w:r>
      <w:r w:rsidR="00A753EE" w:rsidRPr="28C9EF92">
        <w:rPr>
          <w:lang w:eastAsia="zh-CN"/>
        </w:rPr>
        <w:t xml:space="preserve">during the CPM-20 in 2026. </w:t>
      </w:r>
      <w:r w:rsidR="008B7447">
        <w:rPr>
          <w:lang w:eastAsia="zh-CN"/>
        </w:rPr>
        <w:t xml:space="preserve">The IPPC secretariat is working with the CPM Bureau and the TPCS to advance the preparations. </w:t>
      </w:r>
    </w:p>
    <w:p w14:paraId="61DB8CB9" w14:textId="77777777" w:rsidR="00C308A6" w:rsidRDefault="00C308A6" w:rsidP="00A801D6">
      <w:pPr>
        <w:pStyle w:val="IPPParagraphnumbering"/>
        <w:numPr>
          <w:ilvl w:val="0"/>
          <w:numId w:val="0"/>
        </w:numPr>
        <w:spacing w:before="120" w:after="120"/>
        <w:jc w:val="center"/>
      </w:pPr>
      <w:r>
        <w:rPr>
          <w:noProof/>
        </w:rPr>
        <w:lastRenderedPageBreak/>
        <w:drawing>
          <wp:inline distT="0" distB="0" distL="0" distR="0" wp14:anchorId="756A8FC4" wp14:editId="277D8357">
            <wp:extent cx="5188272" cy="2535382"/>
            <wp:effectExtent l="0" t="0" r="0" b="0"/>
            <wp:docPr id="263966316" name="Picture 6" descr="A timeline of a health care work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66316" name="Picture 6" descr="A timeline of a health care worker&#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30574" cy="2556054"/>
                    </a:xfrm>
                    <a:prstGeom prst="rect">
                      <a:avLst/>
                    </a:prstGeom>
                  </pic:spPr>
                </pic:pic>
              </a:graphicData>
            </a:graphic>
          </wp:inline>
        </w:drawing>
      </w:r>
    </w:p>
    <w:p w14:paraId="3EB2744B" w14:textId="6AAC375C" w:rsidR="00C308A6" w:rsidRDefault="00C308A6" w:rsidP="00C308A6">
      <w:pPr>
        <w:pStyle w:val="IPPArial"/>
      </w:pPr>
      <w:r w:rsidRPr="00D84BDD">
        <w:rPr>
          <w:b/>
          <w:bCs/>
        </w:rPr>
        <w:t>Figure 1.</w:t>
      </w:r>
      <w:r>
        <w:t xml:space="preserve"> Tentative timeline for the development of IPPC specific commodity standards (as of </w:t>
      </w:r>
      <w:r w:rsidR="005C1717">
        <w:t>May 2025</w:t>
      </w:r>
      <w:r>
        <w:t>). It is expected that, by 2028, seven specific commodity standards will be adopted as annexes to ISPM 46.</w:t>
      </w:r>
    </w:p>
    <w:p w14:paraId="5F2427FA" w14:textId="77777777" w:rsidR="00C308A6" w:rsidRDefault="00C308A6" w:rsidP="00C308A6">
      <w:pPr>
        <w:pStyle w:val="IPPArialFootnote"/>
      </w:pPr>
      <w:r>
        <w:rPr>
          <w:i/>
          <w:iCs/>
        </w:rPr>
        <w:t xml:space="preserve">Note: </w:t>
      </w:r>
      <w:r>
        <w:t xml:space="preserve">CPM, Commission on Phytosanitary Measures; ISPM, International Standard for Phytosanitary Measures. </w:t>
      </w:r>
    </w:p>
    <w:p w14:paraId="091E8DA5" w14:textId="6107D991" w:rsidR="00C308A6" w:rsidRDefault="00C308A6" w:rsidP="00A35693">
      <w:pPr>
        <w:pStyle w:val="IPPParagraphnumbering"/>
      </w:pPr>
      <w:r>
        <w:t>Financial contributions and in-kind staff contributions</w:t>
      </w:r>
    </w:p>
    <w:p w14:paraId="742CB506" w14:textId="38721260" w:rsidR="00C308A6" w:rsidRPr="009A6C87" w:rsidRDefault="00C308A6" w:rsidP="00C308A6">
      <w:pPr>
        <w:pStyle w:val="IPPParagraphnumbering"/>
        <w:rPr>
          <w:lang w:val="en-GB"/>
        </w:rPr>
      </w:pPr>
      <w:r w:rsidRPr="009A6C87">
        <w:rPr>
          <w:lang w:val="en-GB"/>
        </w:rPr>
        <w:t xml:space="preserve">As of </w:t>
      </w:r>
      <w:r w:rsidR="008B7447">
        <w:rPr>
          <w:lang w:val="en-GB"/>
        </w:rPr>
        <w:t>October</w:t>
      </w:r>
      <w:r w:rsidR="008A5F97">
        <w:rPr>
          <w:lang w:val="en-GB"/>
        </w:rPr>
        <w:t xml:space="preserve"> 2025</w:t>
      </w:r>
      <w:r w:rsidRPr="009A6C87">
        <w:rPr>
          <w:lang w:val="en-GB"/>
        </w:rPr>
        <w:t>, Australia, Canada, the European Union, France,</w:t>
      </w:r>
      <w:r>
        <w:rPr>
          <w:lang w:val="en-GB"/>
        </w:rPr>
        <w:t xml:space="preserve"> Japan</w:t>
      </w:r>
      <w:r w:rsidRPr="009A6C87">
        <w:rPr>
          <w:lang w:val="en-GB"/>
        </w:rPr>
        <w:t xml:space="preserve"> and</w:t>
      </w:r>
      <w:r>
        <w:rPr>
          <w:lang w:val="en-GB"/>
        </w:rPr>
        <w:t xml:space="preserve"> New Zealand</w:t>
      </w:r>
      <w:r w:rsidRPr="009A6C87">
        <w:rPr>
          <w:lang w:val="en-GB"/>
        </w:rPr>
        <w:t xml:space="preserve"> </w:t>
      </w:r>
      <w:r>
        <w:rPr>
          <w:lang w:val="en-GB"/>
        </w:rPr>
        <w:t xml:space="preserve">have </w:t>
      </w:r>
      <w:r w:rsidRPr="009A6C87">
        <w:rPr>
          <w:lang w:val="en-GB"/>
        </w:rPr>
        <w:t>provided financial resources to support this DAI on commodity</w:t>
      </w:r>
      <w:r>
        <w:rPr>
          <w:lang w:val="en-GB"/>
        </w:rPr>
        <w:t>-</w:t>
      </w:r>
      <w:r w:rsidRPr="009A6C87">
        <w:rPr>
          <w:lang w:val="en-GB"/>
        </w:rPr>
        <w:t xml:space="preserve">specific standards. </w:t>
      </w:r>
    </w:p>
    <w:p w14:paraId="7229AF52" w14:textId="25C633AF" w:rsidR="00C308A6" w:rsidRPr="00B67BE2" w:rsidRDefault="00C308A6" w:rsidP="00F33363">
      <w:pPr>
        <w:pStyle w:val="IPPHeading1"/>
        <w:numPr>
          <w:ilvl w:val="0"/>
          <w:numId w:val="33"/>
        </w:numPr>
      </w:pPr>
      <w:r w:rsidRPr="00B67BE2">
        <w:t>Recommendation</w:t>
      </w:r>
      <w:r w:rsidR="00B2328C">
        <w:t xml:space="preserve">s to the </w:t>
      </w:r>
      <w:r w:rsidR="008B7447">
        <w:t>SPG</w:t>
      </w:r>
      <w:r w:rsidR="004C170E">
        <w:t xml:space="preserve"> 2025:</w:t>
      </w:r>
    </w:p>
    <w:p w14:paraId="4437DEA4" w14:textId="0E56EBFD" w:rsidR="00C308A6" w:rsidRDefault="00C308A6" w:rsidP="0042320F">
      <w:pPr>
        <w:pStyle w:val="IPPParagraphnumberingclose"/>
        <w:numPr>
          <w:ilvl w:val="0"/>
          <w:numId w:val="10"/>
        </w:numPr>
      </w:pPr>
      <w:r>
        <w:t xml:space="preserve">The </w:t>
      </w:r>
      <w:r w:rsidR="008B7447">
        <w:t>SPG</w:t>
      </w:r>
      <w:r w:rsidR="00B2328C">
        <w:t xml:space="preserve"> </w:t>
      </w:r>
      <w:r>
        <w:t>is invited to:</w:t>
      </w:r>
    </w:p>
    <w:p w14:paraId="2E650B2D" w14:textId="78444144" w:rsidR="00C308A6" w:rsidRDefault="008B7447" w:rsidP="00C308A6">
      <w:pPr>
        <w:pStyle w:val="IPPNumberedList"/>
      </w:pPr>
      <w:r>
        <w:rPr>
          <w:i/>
          <w:iCs/>
        </w:rPr>
        <w:t xml:space="preserve">provide </w:t>
      </w:r>
      <w:r>
        <w:t>strategic comments on</w:t>
      </w:r>
      <w:r w:rsidR="00C308A6" w:rsidRPr="00037B77">
        <w:rPr>
          <w:i/>
          <w:iCs/>
        </w:rPr>
        <w:t xml:space="preserve"> </w:t>
      </w:r>
      <w:r w:rsidR="00C308A6">
        <w:t>the update on the development-agenda item on commodity standards.</w:t>
      </w:r>
    </w:p>
    <w:p w14:paraId="6D5AC4F9" w14:textId="21338A46" w:rsidR="007C2F16" w:rsidRDefault="008B7447" w:rsidP="007C2F16">
      <w:pPr>
        <w:pStyle w:val="IPPNumberedList"/>
      </w:pPr>
      <w:r>
        <w:rPr>
          <w:i/>
          <w:iCs/>
        </w:rPr>
        <w:t xml:space="preserve">encourage </w:t>
      </w:r>
      <w:r w:rsidRPr="008B7447">
        <w:t>NPPOs and RPPOs to submit</w:t>
      </w:r>
      <w:r>
        <w:rPr>
          <w:i/>
          <w:iCs/>
        </w:rPr>
        <w:t xml:space="preserve"> </w:t>
      </w:r>
      <w:r w:rsidR="007C2F16">
        <w:t>information material</w:t>
      </w:r>
      <w:r>
        <w:t xml:space="preserve"> through the call</w:t>
      </w:r>
      <w:r w:rsidR="007C2F16">
        <w:t xml:space="preserve"> for the development of the commodity standard for </w:t>
      </w:r>
      <w:proofErr w:type="gramStart"/>
      <w:r w:rsidR="007C2F16" w:rsidRPr="007C2F16">
        <w:rPr>
          <w:i/>
          <w:iCs/>
        </w:rPr>
        <w:t>International</w:t>
      </w:r>
      <w:proofErr w:type="gramEnd"/>
      <w:r w:rsidR="007C2F16" w:rsidRPr="007C2F16">
        <w:rPr>
          <w:i/>
          <w:iCs/>
        </w:rPr>
        <w:t xml:space="preserve"> movement of</w:t>
      </w:r>
      <w:r w:rsidR="007C2F16">
        <w:t xml:space="preserve"> Malus domestica </w:t>
      </w:r>
      <w:r w:rsidR="007C2F16" w:rsidRPr="007C2F16">
        <w:rPr>
          <w:i/>
          <w:iCs/>
        </w:rPr>
        <w:t>fruit for consumption</w:t>
      </w:r>
      <w:r w:rsidR="007C2F16">
        <w:t xml:space="preserve"> (2023-024), with </w:t>
      </w:r>
      <w:r>
        <w:t>31</w:t>
      </w:r>
      <w:r w:rsidR="007C2F16">
        <w:t xml:space="preserve"> October 2025 deadline. More information at: </w:t>
      </w:r>
      <w:hyperlink r:id="rId22" w:history="1">
        <w:r w:rsidR="007C2F16" w:rsidRPr="00F84B77">
          <w:rPr>
            <w:rStyle w:val="Hyperlink"/>
          </w:rPr>
          <w:t>https://www.ippc.int/en/calls/calls-and-consultations/calls-for-papers-and-studies/</w:t>
        </w:r>
      </w:hyperlink>
      <w:r w:rsidR="007C2F16">
        <w:t xml:space="preserve">   </w:t>
      </w:r>
    </w:p>
    <w:sectPr w:rsidR="007C2F16" w:rsidSect="00C308A6">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BDE3" w14:textId="77777777" w:rsidR="00FA428D" w:rsidRDefault="00FA428D" w:rsidP="00C308A6">
      <w:r>
        <w:separator/>
      </w:r>
    </w:p>
  </w:endnote>
  <w:endnote w:type="continuationSeparator" w:id="0">
    <w:p w14:paraId="55435813" w14:textId="77777777" w:rsidR="00FA428D" w:rsidRDefault="00FA428D" w:rsidP="00C308A6">
      <w:r>
        <w:continuationSeparator/>
      </w:r>
    </w:p>
  </w:endnote>
  <w:endnote w:type="continuationNotice" w:id="1">
    <w:p w14:paraId="14BF7C9B" w14:textId="77777777" w:rsidR="00FA428D" w:rsidRDefault="00FA4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B908" w14:textId="7D901472" w:rsidR="00C308A6" w:rsidRDefault="00C308A6" w:rsidP="00C308A6">
    <w:pPr>
      <w:pStyle w:val="IPPFooter"/>
    </w:pPr>
    <w:r w:rsidRPr="00DF7AA8">
      <w:t>International Plant Protection Convention</w:t>
    </w:r>
    <w:r>
      <w:tab/>
    </w:r>
    <w:r w:rsidRPr="00DF7AA8">
      <w:rPr>
        <w:rFonts w:cs="Arial"/>
        <w:szCs w:val="18"/>
      </w:rPr>
      <w:t xml:space="preserve">Page </w:t>
    </w:r>
    <w:r w:rsidRPr="00DF7AA8">
      <w:rPr>
        <w:rFonts w:cs="Arial"/>
        <w:b w:val="0"/>
        <w:szCs w:val="18"/>
      </w:rPr>
      <w:fldChar w:fldCharType="begin"/>
    </w:r>
    <w:r w:rsidRPr="00DF7AA8">
      <w:rPr>
        <w:rFonts w:cs="Arial"/>
        <w:szCs w:val="18"/>
      </w:rPr>
      <w:instrText xml:space="preserve"> PAGE </w:instrText>
    </w:r>
    <w:r w:rsidRPr="00DF7AA8">
      <w:rPr>
        <w:rFonts w:cs="Arial"/>
        <w:b w:val="0"/>
        <w:szCs w:val="18"/>
      </w:rPr>
      <w:fldChar w:fldCharType="separate"/>
    </w:r>
    <w:r>
      <w:rPr>
        <w:rFonts w:cs="Arial"/>
        <w:b w:val="0"/>
        <w:szCs w:val="18"/>
      </w:rPr>
      <w:t>3</w:t>
    </w:r>
    <w:r w:rsidRPr="00DF7AA8">
      <w:rPr>
        <w:rFonts w:cs="Arial"/>
        <w:b w:val="0"/>
        <w:szCs w:val="18"/>
      </w:rPr>
      <w:fldChar w:fldCharType="end"/>
    </w:r>
    <w:r w:rsidRPr="00DF7AA8">
      <w:rPr>
        <w:rFonts w:cs="Arial"/>
        <w:szCs w:val="18"/>
      </w:rPr>
      <w:t xml:space="preserve"> of </w:t>
    </w:r>
    <w:r w:rsidRPr="00DF7AA8">
      <w:rPr>
        <w:rFonts w:cs="Arial"/>
        <w:b w:val="0"/>
        <w:szCs w:val="18"/>
      </w:rPr>
      <w:fldChar w:fldCharType="begin"/>
    </w:r>
    <w:r w:rsidRPr="00DF7AA8">
      <w:rPr>
        <w:rFonts w:cs="Arial"/>
        <w:szCs w:val="18"/>
      </w:rPr>
      <w:instrText>NUMPAGES</w:instrText>
    </w:r>
    <w:r w:rsidRPr="00DF7AA8">
      <w:rPr>
        <w:rFonts w:cs="Arial"/>
        <w:b w:val="0"/>
        <w:szCs w:val="18"/>
      </w:rPr>
      <w:fldChar w:fldCharType="separate"/>
    </w:r>
    <w:r>
      <w:rPr>
        <w:rFonts w:cs="Arial"/>
        <w:b w:val="0"/>
        <w:szCs w:val="18"/>
      </w:rPr>
      <w:t>3</w:t>
    </w:r>
    <w:r w:rsidRPr="00DF7AA8">
      <w:rPr>
        <w:rFonts w:cs="Arial"/>
        <w:b w:val="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C883" w14:textId="5478A035" w:rsidR="00C308A6" w:rsidRDefault="00C308A6" w:rsidP="00C308A6">
    <w:pPr>
      <w:pStyle w:val="IPPFooter"/>
    </w:pPr>
    <w:r w:rsidRPr="00DF7AA8">
      <w:t>International Plant Protection Convention</w:t>
    </w:r>
    <w:r>
      <w:tab/>
    </w:r>
    <w:r w:rsidRPr="00DF7AA8">
      <w:rPr>
        <w:rFonts w:cs="Arial"/>
        <w:szCs w:val="18"/>
      </w:rPr>
      <w:t xml:space="preserve">Page </w:t>
    </w:r>
    <w:r w:rsidRPr="00DF7AA8">
      <w:rPr>
        <w:rFonts w:cs="Arial"/>
        <w:b w:val="0"/>
        <w:szCs w:val="18"/>
      </w:rPr>
      <w:fldChar w:fldCharType="begin"/>
    </w:r>
    <w:r w:rsidRPr="00DF7AA8">
      <w:rPr>
        <w:rFonts w:cs="Arial"/>
        <w:szCs w:val="18"/>
      </w:rPr>
      <w:instrText xml:space="preserve"> PAGE </w:instrText>
    </w:r>
    <w:r w:rsidRPr="00DF7AA8">
      <w:rPr>
        <w:rFonts w:cs="Arial"/>
        <w:b w:val="0"/>
        <w:szCs w:val="18"/>
      </w:rPr>
      <w:fldChar w:fldCharType="separate"/>
    </w:r>
    <w:r>
      <w:rPr>
        <w:rFonts w:cs="Arial"/>
        <w:b w:val="0"/>
        <w:szCs w:val="18"/>
      </w:rPr>
      <w:t>3</w:t>
    </w:r>
    <w:r w:rsidRPr="00DF7AA8">
      <w:rPr>
        <w:rFonts w:cs="Arial"/>
        <w:b w:val="0"/>
        <w:szCs w:val="18"/>
      </w:rPr>
      <w:fldChar w:fldCharType="end"/>
    </w:r>
    <w:r w:rsidRPr="00DF7AA8">
      <w:rPr>
        <w:rFonts w:cs="Arial"/>
        <w:szCs w:val="18"/>
      </w:rPr>
      <w:t xml:space="preserve"> of </w:t>
    </w:r>
    <w:r w:rsidRPr="00DF7AA8">
      <w:rPr>
        <w:rFonts w:cs="Arial"/>
        <w:b w:val="0"/>
        <w:szCs w:val="18"/>
      </w:rPr>
      <w:fldChar w:fldCharType="begin"/>
    </w:r>
    <w:r w:rsidRPr="00DF7AA8">
      <w:rPr>
        <w:rFonts w:cs="Arial"/>
        <w:szCs w:val="18"/>
      </w:rPr>
      <w:instrText>NUMPAGES</w:instrText>
    </w:r>
    <w:r w:rsidRPr="00DF7AA8">
      <w:rPr>
        <w:rFonts w:cs="Arial"/>
        <w:b w:val="0"/>
        <w:szCs w:val="18"/>
      </w:rPr>
      <w:fldChar w:fldCharType="separate"/>
    </w:r>
    <w:r>
      <w:rPr>
        <w:rFonts w:cs="Arial"/>
        <w:b w:val="0"/>
        <w:szCs w:val="18"/>
      </w:rPr>
      <w:t>3</w:t>
    </w:r>
    <w:r w:rsidRPr="00DF7AA8">
      <w:rPr>
        <w:rFonts w:cs="Arial"/>
        <w:b w:val="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E06D" w14:textId="10C53EE5" w:rsidR="00C308A6" w:rsidRDefault="00C308A6" w:rsidP="00C308A6">
    <w:pPr>
      <w:pStyle w:val="IPPFooter"/>
    </w:pPr>
    <w:r w:rsidRPr="00DF7AA8">
      <w:t>International Plant Protection Convention</w:t>
    </w:r>
    <w:r>
      <w:tab/>
    </w:r>
    <w:r w:rsidRPr="00DF7AA8">
      <w:rPr>
        <w:rFonts w:cs="Arial"/>
        <w:szCs w:val="18"/>
      </w:rPr>
      <w:t xml:space="preserve">Page </w:t>
    </w:r>
    <w:r w:rsidRPr="00DF7AA8">
      <w:rPr>
        <w:rFonts w:cs="Arial"/>
        <w:b w:val="0"/>
        <w:szCs w:val="18"/>
      </w:rPr>
      <w:fldChar w:fldCharType="begin"/>
    </w:r>
    <w:r w:rsidRPr="00DF7AA8">
      <w:rPr>
        <w:rFonts w:cs="Arial"/>
        <w:szCs w:val="18"/>
      </w:rPr>
      <w:instrText xml:space="preserve"> PAGE </w:instrText>
    </w:r>
    <w:r w:rsidRPr="00DF7AA8">
      <w:rPr>
        <w:rFonts w:cs="Arial"/>
        <w:b w:val="0"/>
        <w:szCs w:val="18"/>
      </w:rPr>
      <w:fldChar w:fldCharType="separate"/>
    </w:r>
    <w:r>
      <w:rPr>
        <w:rFonts w:cs="Arial"/>
        <w:b w:val="0"/>
        <w:szCs w:val="18"/>
      </w:rPr>
      <w:t>3</w:t>
    </w:r>
    <w:r w:rsidRPr="00DF7AA8">
      <w:rPr>
        <w:rFonts w:cs="Arial"/>
        <w:b w:val="0"/>
        <w:szCs w:val="18"/>
      </w:rPr>
      <w:fldChar w:fldCharType="end"/>
    </w:r>
    <w:r w:rsidRPr="00DF7AA8">
      <w:rPr>
        <w:rFonts w:cs="Arial"/>
        <w:szCs w:val="18"/>
      </w:rPr>
      <w:t xml:space="preserve"> of </w:t>
    </w:r>
    <w:r w:rsidRPr="00DF7AA8">
      <w:rPr>
        <w:rFonts w:cs="Arial"/>
        <w:b w:val="0"/>
        <w:szCs w:val="18"/>
      </w:rPr>
      <w:fldChar w:fldCharType="begin"/>
    </w:r>
    <w:r w:rsidRPr="00DF7AA8">
      <w:rPr>
        <w:rFonts w:cs="Arial"/>
        <w:szCs w:val="18"/>
      </w:rPr>
      <w:instrText>NUMPAGES</w:instrText>
    </w:r>
    <w:r w:rsidRPr="00DF7AA8">
      <w:rPr>
        <w:rFonts w:cs="Arial"/>
        <w:b w:val="0"/>
        <w:szCs w:val="18"/>
      </w:rPr>
      <w:fldChar w:fldCharType="separate"/>
    </w:r>
    <w:r>
      <w:rPr>
        <w:rFonts w:cs="Arial"/>
        <w:b w:val="0"/>
        <w:szCs w:val="18"/>
      </w:rPr>
      <w:t>3</w:t>
    </w:r>
    <w:r w:rsidRPr="00DF7AA8">
      <w:rPr>
        <w:rFonts w:cs="Arial"/>
        <w:b w:val="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538A" w14:textId="77777777" w:rsidR="00FA428D" w:rsidRDefault="00FA428D" w:rsidP="00C308A6">
      <w:r>
        <w:separator/>
      </w:r>
    </w:p>
  </w:footnote>
  <w:footnote w:type="continuationSeparator" w:id="0">
    <w:p w14:paraId="44C482B8" w14:textId="77777777" w:rsidR="00FA428D" w:rsidRDefault="00FA428D" w:rsidP="00C308A6">
      <w:r>
        <w:continuationSeparator/>
      </w:r>
    </w:p>
  </w:footnote>
  <w:footnote w:type="continuationNotice" w:id="1">
    <w:p w14:paraId="06F79236" w14:textId="77777777" w:rsidR="00FA428D" w:rsidRDefault="00FA428D"/>
  </w:footnote>
  <w:footnote w:id="2">
    <w:p w14:paraId="0A6B53DD" w14:textId="4C1B3C05" w:rsidR="002B493D" w:rsidRPr="002B493D" w:rsidRDefault="002B493D">
      <w:pPr>
        <w:pStyle w:val="FootnoteText"/>
        <w:rPr>
          <w:lang w:val="en-US"/>
        </w:rPr>
      </w:pPr>
      <w:r>
        <w:rPr>
          <w:rStyle w:val="FootnoteReference"/>
        </w:rPr>
        <w:footnoteRef/>
      </w:r>
      <w:r>
        <w:t xml:space="preserve"> </w:t>
      </w:r>
      <w:r w:rsidR="00BD59C9">
        <w:rPr>
          <w:lang w:val="en-US"/>
        </w:rPr>
        <w:t>Document</w:t>
      </w:r>
      <w:r>
        <w:rPr>
          <w:lang w:val="en-US"/>
        </w:rPr>
        <w:t xml:space="preserve"> modified from </w:t>
      </w:r>
      <w:r w:rsidR="00BD59C9">
        <w:rPr>
          <w:lang w:val="en-US"/>
        </w:rPr>
        <w:t>“</w:t>
      </w:r>
      <w:r w:rsidR="00BD59C9">
        <w:rPr>
          <w:lang w:val="pt-PT"/>
        </w:rPr>
        <w:t>08_Bureau_2025_Jun”</w:t>
      </w:r>
      <w:r>
        <w:rPr>
          <w:lang w:val="en-US"/>
        </w:rPr>
        <w:t xml:space="preserve"> </w:t>
      </w:r>
      <w:r w:rsidR="00E439A5">
        <w:rPr>
          <w:lang w:val="en-US"/>
        </w:rPr>
        <w:t>and TC-RPPO 2025 paper</w:t>
      </w:r>
      <w:r>
        <w:rPr>
          <w:lang w:val="en-US"/>
        </w:rPr>
        <w:t xml:space="preserve">. </w:t>
      </w:r>
    </w:p>
  </w:footnote>
  <w:footnote w:id="3">
    <w:p w14:paraId="4FB8BE76" w14:textId="77777777" w:rsidR="00C308A6" w:rsidRPr="00DE60BF" w:rsidRDefault="00C308A6" w:rsidP="00C308A6">
      <w:pPr>
        <w:pStyle w:val="IPPFootnote"/>
        <w:rPr>
          <w:szCs w:val="20"/>
        </w:rPr>
      </w:pPr>
      <w:r w:rsidRPr="00DE60BF">
        <w:rPr>
          <w:rStyle w:val="FootnoteReference"/>
          <w:szCs w:val="20"/>
        </w:rPr>
        <w:footnoteRef/>
      </w:r>
      <w:r w:rsidRPr="00DE60BF">
        <w:rPr>
          <w:szCs w:val="20"/>
        </w:rPr>
        <w:t xml:space="preserve"> More information about the </w:t>
      </w:r>
      <w:r w:rsidRPr="00DE60BF">
        <w:rPr>
          <w:szCs w:val="20"/>
          <w:lang w:eastAsia="en-GB"/>
        </w:rPr>
        <w:t xml:space="preserve">TPCS </w:t>
      </w:r>
      <w:r w:rsidRPr="00DE60BF">
        <w:rPr>
          <w:szCs w:val="20"/>
        </w:rPr>
        <w:t xml:space="preserve">can be found at </w:t>
      </w:r>
      <w:hyperlink r:id="rId1" w:history="1">
        <w:r w:rsidRPr="00DE60BF">
          <w:rPr>
            <w:rStyle w:val="Hyperlink"/>
            <w:szCs w:val="20"/>
          </w:rPr>
          <w:t>https://www.ippc.int/en/core-activities/standards-setting/expert-drafting-groups/technical-panels/technical-panel-on-commodity-standards/</w:t>
        </w:r>
      </w:hyperlink>
      <w:r w:rsidRPr="00DE60BF">
        <w:rPr>
          <w:szCs w:val="20"/>
        </w:rPr>
        <w:t xml:space="preserve">. </w:t>
      </w:r>
    </w:p>
  </w:footnote>
  <w:footnote w:id="4">
    <w:p w14:paraId="7D6F8B55" w14:textId="77777777" w:rsidR="00C308A6" w:rsidRDefault="00C308A6" w:rsidP="00C308A6">
      <w:pPr>
        <w:pStyle w:val="IPPFootnote"/>
      </w:pPr>
      <w:r w:rsidRPr="00DE60BF">
        <w:rPr>
          <w:rStyle w:val="FootnoteReference"/>
        </w:rPr>
        <w:footnoteRef/>
      </w:r>
      <w:r w:rsidRPr="00DE60BF">
        <w:t xml:space="preserve"> CPM-14</w:t>
      </w:r>
      <w:r>
        <w:t xml:space="preserve"> (2019), agenda item 8.1</w:t>
      </w:r>
      <w:r w:rsidRPr="00DE60BF">
        <w:t xml:space="preserve">: </w:t>
      </w:r>
      <w:hyperlink r:id="rId2" w:history="1">
        <w:r w:rsidRPr="00DE60BF">
          <w:rPr>
            <w:rStyle w:val="Hyperlink"/>
          </w:rPr>
          <w:t>https://assets.ippc.int/static/media/files/publication/en/2019/07/CPM-14_Report_withISPMs-2019-07-31.pdf</w:t>
        </w:r>
      </w:hyperlink>
    </w:p>
  </w:footnote>
  <w:footnote w:id="5">
    <w:p w14:paraId="3B412D3F" w14:textId="77777777" w:rsidR="00C308A6" w:rsidRPr="003E5987" w:rsidRDefault="00C308A6" w:rsidP="00C308A6">
      <w:pPr>
        <w:pStyle w:val="IPPFootnote"/>
      </w:pPr>
      <w:r>
        <w:rPr>
          <w:rStyle w:val="FootnoteReference"/>
        </w:rPr>
        <w:footnoteRef/>
      </w:r>
      <w:r>
        <w:t xml:space="preserve"> </w:t>
      </w:r>
      <w:r w:rsidRPr="00A219DE">
        <w:rPr>
          <w:i/>
          <w:iCs/>
        </w:rPr>
        <w:t>IPPC procedure manual for standard setting</w:t>
      </w:r>
      <w:r>
        <w:t xml:space="preserve">: </w:t>
      </w:r>
      <w:hyperlink r:id="rId3" w:history="1">
        <w:r w:rsidRPr="00B27361">
          <w:rPr>
            <w:rStyle w:val="Hyperlink"/>
          </w:rPr>
          <w:t>https://www.ippc.int/en/publications/85024/</w:t>
        </w:r>
      </w:hyperlink>
      <w:r>
        <w:t xml:space="preserve"> </w:t>
      </w:r>
    </w:p>
  </w:footnote>
  <w:footnote w:id="6">
    <w:p w14:paraId="4E719CFB" w14:textId="77777777" w:rsidR="00C308A6" w:rsidRPr="001347C2" w:rsidRDefault="00C308A6" w:rsidP="00C308A6">
      <w:pPr>
        <w:pStyle w:val="FootnoteText"/>
      </w:pPr>
      <w:r>
        <w:rPr>
          <w:rStyle w:val="FootnoteReference"/>
        </w:rPr>
        <w:footnoteRef/>
      </w:r>
      <w:r>
        <w:t xml:space="preserve"> Specification TP 6 (</w:t>
      </w:r>
      <w:r w:rsidRPr="00A219DE">
        <w:rPr>
          <w:i/>
          <w:iCs/>
        </w:rPr>
        <w:t>Technical Panel on Commodity Standards</w:t>
      </w:r>
      <w:r>
        <w:t xml:space="preserve">): </w:t>
      </w:r>
      <w:hyperlink r:id="rId4" w:history="1">
        <w:r w:rsidRPr="003F6573">
          <w:rPr>
            <w:rStyle w:val="Hyperlink"/>
          </w:rPr>
          <w:t>https://www.ippc.int/en/publications/89276/</w:t>
        </w:r>
      </w:hyperlink>
      <w:r>
        <w:t xml:space="preserve">  </w:t>
      </w:r>
    </w:p>
  </w:footnote>
  <w:footnote w:id="7">
    <w:p w14:paraId="77A033E1" w14:textId="77777777" w:rsidR="00C308A6" w:rsidRPr="00C71BF8" w:rsidRDefault="00C308A6" w:rsidP="00C308A6">
      <w:pPr>
        <w:pStyle w:val="IPPFootnote"/>
      </w:pPr>
      <w:r>
        <w:rPr>
          <w:rStyle w:val="FootnoteReference"/>
        </w:rPr>
        <w:footnoteRef/>
      </w:r>
      <w:r>
        <w:t xml:space="preserve"> TPCS main page on International Phytosanitary Portal: </w:t>
      </w:r>
      <w:hyperlink r:id="rId5" w:history="1">
        <w:r w:rsidRPr="00E37560">
          <w:rPr>
            <w:rStyle w:val="Hyperlink"/>
          </w:rPr>
          <w:t>https://www.ippc.int/en/core-activities/standards-setting/expert-drafting-groups/technical-panels/technical-panel-on-commodity-standards/</w:t>
        </w:r>
      </w:hyperlink>
      <w:r>
        <w:t xml:space="preserve"> </w:t>
      </w:r>
    </w:p>
  </w:footnote>
  <w:footnote w:id="8">
    <w:p w14:paraId="4797BF7E" w14:textId="74283616" w:rsidR="005A08AD" w:rsidRPr="005A08AD" w:rsidRDefault="005A08AD">
      <w:pPr>
        <w:pStyle w:val="FootnoteText"/>
        <w:rPr>
          <w:lang w:val="en-US"/>
        </w:rPr>
      </w:pPr>
      <w:r>
        <w:rPr>
          <w:rStyle w:val="FootnoteReference"/>
        </w:rPr>
        <w:footnoteRef/>
      </w:r>
      <w:r>
        <w:t xml:space="preserve"> </w:t>
      </w:r>
      <w:r>
        <w:rPr>
          <w:lang w:val="en-US"/>
        </w:rPr>
        <w:t xml:space="preserve">IPPC Call for Topics: Standards and Implementation: </w:t>
      </w:r>
      <w:hyperlink r:id="rId6" w:history="1">
        <w:r w:rsidRPr="005F7544">
          <w:rPr>
            <w:rStyle w:val="Hyperlink"/>
            <w:lang w:val="en-US"/>
          </w:rPr>
          <w:t>https://www.ippc.int/en/calls/call-for-topics-standards-and-implementation/</w:t>
        </w:r>
      </w:hyperlink>
      <w:r>
        <w:rPr>
          <w:lang w:val="en-US"/>
        </w:rPr>
        <w:t xml:space="preserve"> </w:t>
      </w:r>
    </w:p>
  </w:footnote>
  <w:footnote w:id="9">
    <w:p w14:paraId="2A12CF3A" w14:textId="77777777" w:rsidR="007C5AE1" w:rsidRDefault="007C5AE1" w:rsidP="007C5AE1">
      <w:pPr>
        <w:pStyle w:val="IPPFootnote"/>
      </w:pPr>
      <w:r>
        <w:rPr>
          <w:rStyle w:val="FootnoteReference"/>
        </w:rPr>
        <w:footnoteRef/>
      </w:r>
      <w:r>
        <w:t xml:space="preserve"> Adopted CS 01 on </w:t>
      </w:r>
      <w:proofErr w:type="gramStart"/>
      <w:r w:rsidRPr="005B056D">
        <w:rPr>
          <w:bCs/>
          <w:i/>
          <w:iCs/>
        </w:rPr>
        <w:t>International</w:t>
      </w:r>
      <w:proofErr w:type="gramEnd"/>
      <w:r w:rsidRPr="005B056D">
        <w:rPr>
          <w:bCs/>
          <w:i/>
          <w:iCs/>
        </w:rPr>
        <w:t xml:space="preserve"> movement of fresh </w:t>
      </w:r>
      <w:r w:rsidRPr="005B056D">
        <w:rPr>
          <w:bCs/>
        </w:rPr>
        <w:t>Mangifera indica</w:t>
      </w:r>
      <w:r w:rsidRPr="005B056D">
        <w:rPr>
          <w:bCs/>
          <w:i/>
          <w:iCs/>
        </w:rPr>
        <w:t xml:space="preserve"> fruit</w:t>
      </w:r>
      <w:r>
        <w:rPr>
          <w:bCs/>
          <w:i/>
          <w:iCs/>
        </w:rPr>
        <w:t xml:space="preserve"> </w:t>
      </w:r>
      <w:r>
        <w:rPr>
          <w:bCs/>
        </w:rPr>
        <w:t>(</w:t>
      </w:r>
      <w:r w:rsidRPr="006D7F89">
        <w:rPr>
          <w:bCs/>
        </w:rPr>
        <w:t>2021-011</w:t>
      </w:r>
      <w:r>
        <w:rPr>
          <w:bCs/>
        </w:rPr>
        <w:t>)</w:t>
      </w:r>
      <w:r>
        <w:t xml:space="preserve">: </w:t>
      </w:r>
      <w:hyperlink r:id="rId7" w:history="1">
        <w:r w:rsidRPr="00F01F16">
          <w:rPr>
            <w:rStyle w:val="Hyperlink"/>
          </w:rPr>
          <w:t>https://www.ippc.int/en/publications/94234/</w:t>
        </w:r>
      </w:hyperlink>
      <w:r>
        <w:t xml:space="preserve"> </w:t>
      </w:r>
    </w:p>
  </w:footnote>
  <w:footnote w:id="10">
    <w:p w14:paraId="36F57EA5" w14:textId="77777777" w:rsidR="00BC4498" w:rsidRPr="00C71BF8" w:rsidRDefault="00BC4498" w:rsidP="00BC4498">
      <w:pPr>
        <w:pStyle w:val="IPPFootnote"/>
      </w:pPr>
      <w:r>
        <w:rPr>
          <w:rStyle w:val="FootnoteReference"/>
        </w:rPr>
        <w:footnoteRef/>
      </w:r>
      <w:r>
        <w:t xml:space="preserve"> </w:t>
      </w:r>
      <w:r w:rsidRPr="003C58BA">
        <w:t>TPCS</w:t>
      </w:r>
      <w:r>
        <w:t xml:space="preserve"> main page on IPP: </w:t>
      </w:r>
      <w:hyperlink r:id="rId8" w:history="1">
        <w:r w:rsidRPr="00E37560">
          <w:rPr>
            <w:rStyle w:val="Hyperlink"/>
          </w:rPr>
          <w:t>https://www.ippc.int/en/core-activities/standards-setting/expert-drafting-groups/technical-panels/technical-panel-on-commodity-standards/</w:t>
        </w:r>
      </w:hyperlink>
      <w:r>
        <w:t xml:space="preserve"> </w:t>
      </w:r>
    </w:p>
  </w:footnote>
  <w:footnote w:id="11">
    <w:p w14:paraId="1A784DCC" w14:textId="3D1EB9F6" w:rsidR="008B7447" w:rsidRPr="008B7447" w:rsidRDefault="008B7447">
      <w:pPr>
        <w:pStyle w:val="FootnoteText"/>
        <w:rPr>
          <w:lang w:val="en-US"/>
        </w:rPr>
      </w:pPr>
      <w:r>
        <w:rPr>
          <w:rStyle w:val="FootnoteReference"/>
        </w:rPr>
        <w:footnoteRef/>
      </w:r>
      <w:r>
        <w:t xml:space="preserve"> </w:t>
      </w:r>
      <w:r>
        <w:rPr>
          <w:lang w:val="en-US"/>
        </w:rPr>
        <w:t xml:space="preserve">NSP 2025 seminar series: </w:t>
      </w:r>
      <w:hyperlink r:id="rId9" w:history="1">
        <w:r w:rsidRPr="00843D3E">
          <w:rPr>
            <w:rStyle w:val="Hyperlink"/>
            <w:lang w:val="en-US"/>
          </w:rPr>
          <w:t>https://www.ippc.int/en/news/ippc-paves-the-way-for-next-generation-plant-health-standards/</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A0BB" w14:textId="1CE74C08" w:rsidR="00C308A6" w:rsidRDefault="00F33363" w:rsidP="00C308A6">
    <w:pPr>
      <w:pStyle w:val="IPPHeader"/>
    </w:pPr>
    <w:r>
      <w:rPr>
        <w:lang w:val="pt-PT"/>
      </w:rPr>
      <w:t>37</w:t>
    </w:r>
    <w:r w:rsidR="00E439A5" w:rsidRPr="00F33363">
      <w:rPr>
        <w:lang w:val="pt-PT"/>
      </w:rPr>
      <w:t>_ SPG_2025_Oct</w:t>
    </w:r>
    <w:r w:rsidR="005A08AD">
      <w:tab/>
    </w:r>
    <w:r w:rsidR="78279610">
      <w:t>Update on commodity-specific ISPMs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7ABC" w14:textId="5D77668F" w:rsidR="00C308A6" w:rsidRDefault="00F33363" w:rsidP="00F33363">
    <w:pPr>
      <w:pStyle w:val="IPPHeader"/>
    </w:pPr>
    <w:r>
      <w:t>Update on commodity-specific ISPMs</w:t>
    </w:r>
    <w:r>
      <w:rPr>
        <w:lang w:val="pt-PT"/>
      </w:rPr>
      <w:t xml:space="preserve"> </w:t>
    </w:r>
    <w:r>
      <w:rPr>
        <w:lang w:val="pt-PT"/>
      </w:rPr>
      <w:tab/>
    </w:r>
    <w:r>
      <w:rPr>
        <w:lang w:val="pt-PT"/>
      </w:rPr>
      <w:t>37</w:t>
    </w:r>
    <w:r w:rsidR="00E439A5" w:rsidRPr="00F33363">
      <w:rPr>
        <w:lang w:val="pt-PT"/>
      </w:rPr>
      <w:t>_ SPG_2025_Oct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D2DA" w14:textId="59FE3BC3" w:rsidR="00C308A6" w:rsidRPr="003603A0" w:rsidRDefault="00C308A6" w:rsidP="00C308A6">
    <w:pPr>
      <w:pStyle w:val="IPPHeader"/>
      <w:tabs>
        <w:tab w:val="clear" w:pos="1134"/>
      </w:tabs>
      <w:spacing w:before="240" w:after="0"/>
      <w:rPr>
        <w:lang w:val="pt-PT"/>
      </w:rPr>
    </w:pPr>
    <w:bookmarkStart w:id="1" w:name="_Hlk38796923"/>
    <w:bookmarkStart w:id="2" w:name="_Hlk38796924"/>
    <w:bookmarkStart w:id="3" w:name="_Hlk38797139"/>
    <w:r>
      <w:rPr>
        <w:noProof/>
      </w:rPr>
      <w:drawing>
        <wp:anchor distT="0" distB="0" distL="114300" distR="114300" simplePos="0" relativeHeight="251658243" behindDoc="0" locked="0" layoutInCell="1" allowOverlap="1" wp14:anchorId="74CFD0E0" wp14:editId="6B5E0F9C">
          <wp:simplePos x="0" y="0"/>
          <wp:positionH relativeFrom="page">
            <wp:posOffset>746443</wp:posOffset>
          </wp:positionH>
          <wp:positionV relativeFrom="page">
            <wp:posOffset>556895</wp:posOffset>
          </wp:positionV>
          <wp:extent cx="1685925" cy="697865"/>
          <wp:effectExtent l="0" t="0" r="9525" b="6985"/>
          <wp:wrapSquare wrapText="bothSides"/>
          <wp:docPr id="33237001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rotWithShape="1">
                  <a:blip r:embed="rId1">
                    <a:extLst>
                      <a:ext uri="{28A0092B-C50C-407E-A947-70E740481C1C}">
                        <a14:useLocalDpi xmlns:a14="http://schemas.microsoft.com/office/drawing/2010/main" val="0"/>
                      </a:ext>
                    </a:extLst>
                  </a:blip>
                  <a:srcRect r="2339"/>
                  <a:stretch/>
                </pic:blipFill>
                <pic:spPr bwMode="auto">
                  <a:xfrm>
                    <a:off x="0" y="0"/>
                    <a:ext cx="1685925" cy="697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iCs/>
        <w:noProof/>
      </w:rPr>
      <w:drawing>
        <wp:anchor distT="0" distB="0" distL="114300" distR="114300" simplePos="0" relativeHeight="251658240" behindDoc="0" locked="0" layoutInCell="1" allowOverlap="1" wp14:anchorId="346B6943" wp14:editId="4F4BFCCD">
          <wp:simplePos x="0" y="0"/>
          <wp:positionH relativeFrom="page">
            <wp:posOffset>2501265</wp:posOffset>
          </wp:positionH>
          <wp:positionV relativeFrom="page">
            <wp:posOffset>513715</wp:posOffset>
          </wp:positionV>
          <wp:extent cx="1756410" cy="697865"/>
          <wp:effectExtent l="0" t="0" r="0" b="6985"/>
          <wp:wrapSquare wrapText="bothSides"/>
          <wp:docPr id="267763401"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6410" cy="6978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299" distR="114299" simplePos="0" relativeHeight="251658242" behindDoc="0" locked="0" layoutInCell="1" allowOverlap="1" wp14:anchorId="2295A759" wp14:editId="75DA0CAA">
              <wp:simplePos x="0" y="0"/>
              <wp:positionH relativeFrom="margin">
                <wp:posOffset>1574799</wp:posOffset>
              </wp:positionH>
              <wp:positionV relativeFrom="page">
                <wp:posOffset>737870</wp:posOffset>
              </wp:positionV>
              <wp:extent cx="0" cy="360045"/>
              <wp:effectExtent l="0" t="0" r="19050" b="1905"/>
              <wp:wrapNone/>
              <wp:docPr id="14794582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0B9C1DC">
            <v:line id="Straight Connector 1" style="position:absolute;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margin" o:spid="_x0000_s1026" strokecolor="black [3213]" strokeweight=".5pt" from="124pt,58.1pt" to="124pt,86.45pt" w14:anchorId="66930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">
              <v:stroke joinstyle="miter"/>
              <o:lock v:ext="edit" shapetype="f"/>
              <w10:wrap anchorx="margin" anchory="page"/>
            </v:line>
          </w:pict>
        </mc:Fallback>
      </mc:AlternateContent>
    </w:r>
    <w:r w:rsidRPr="000321A6">
      <w:rPr>
        <w:noProof/>
      </w:rPr>
      <w:drawing>
        <wp:anchor distT="0" distB="0" distL="114300" distR="114300" simplePos="0" relativeHeight="251658241" behindDoc="0" locked="0" layoutInCell="1" allowOverlap="1" wp14:anchorId="3EAF24C3" wp14:editId="60221D29">
          <wp:simplePos x="0" y="0"/>
          <wp:positionH relativeFrom="page">
            <wp:posOffset>0</wp:posOffset>
          </wp:positionH>
          <wp:positionV relativeFrom="page">
            <wp:posOffset>0</wp:posOffset>
          </wp:positionV>
          <wp:extent cx="7617600" cy="558000"/>
          <wp:effectExtent l="0" t="0" r="2540" b="0"/>
          <wp:wrapTopAndBottom/>
          <wp:docPr id="1405993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sidRPr="003603A0">
      <w:rPr>
        <w:lang w:val="pt-PT"/>
      </w:rPr>
      <w:tab/>
    </w:r>
    <w:r w:rsidR="00446E14" w:rsidRPr="00446E14">
      <w:rPr>
        <w:lang w:val="en-GB"/>
      </w:rPr>
      <w:t>37</w:t>
    </w:r>
    <w:r w:rsidR="00E439A5" w:rsidRPr="00446E14">
      <w:rPr>
        <w:lang w:val="en-GB"/>
      </w:rPr>
      <w:t>_ SPG_2025_Oct</w:t>
    </w:r>
  </w:p>
  <w:p w14:paraId="6E36B841" w14:textId="7391463A" w:rsidR="00C308A6" w:rsidRPr="003603A0" w:rsidRDefault="00C308A6" w:rsidP="00C308A6">
    <w:pPr>
      <w:pStyle w:val="IPPHeader"/>
      <w:tabs>
        <w:tab w:val="clear" w:pos="1134"/>
      </w:tabs>
      <w:spacing w:after="0"/>
      <w:rPr>
        <w:lang w:val="pt-PT"/>
      </w:rPr>
    </w:pPr>
    <w:r w:rsidRPr="003603A0">
      <w:rPr>
        <w:lang w:val="pt-PT"/>
      </w:rPr>
      <w:tab/>
    </w:r>
    <w:r w:rsidR="78279610" w:rsidRPr="78279610">
      <w:rPr>
        <w:lang w:val="pt-PT"/>
      </w:rPr>
      <w:t>Agenda item: 6.</w:t>
    </w:r>
    <w:r w:rsidR="00E439A5">
      <w:rPr>
        <w:lang w:val="pt-PT"/>
      </w:rPr>
      <w:t>2</w:t>
    </w:r>
  </w:p>
  <w:p w14:paraId="44478542" w14:textId="77777777" w:rsidR="00C308A6" w:rsidRPr="003603A0" w:rsidRDefault="00C308A6" w:rsidP="00C308A6">
    <w:pPr>
      <w:pStyle w:val="IPPHeader"/>
      <w:tabs>
        <w:tab w:val="clear" w:pos="1134"/>
      </w:tabs>
      <w:spacing w:after="280"/>
      <w:rPr>
        <w:lang w:val="pt-PT"/>
      </w:rPr>
    </w:pPr>
  </w:p>
  <w:p w14:paraId="1521CC89" w14:textId="77777777" w:rsidR="00C308A6" w:rsidRDefault="00C308A6" w:rsidP="00C308A6">
    <w:pPr>
      <w:pStyle w:val="IPPHeader"/>
      <w:tabs>
        <w:tab w:val="clear" w:pos="1134"/>
      </w:tabs>
      <w:spacing w:after="0"/>
    </w:pPr>
  </w:p>
  <w:p w14:paraId="79CA4530" w14:textId="63094AA9" w:rsidR="00C308A6" w:rsidRDefault="00C308A6" w:rsidP="00446E14">
    <w:pPr>
      <w:pStyle w:val="IPPHeader"/>
      <w:tabs>
        <w:tab w:val="clear" w:pos="1134"/>
      </w:tabs>
      <w:spacing w:after="0"/>
    </w:pPr>
    <w:r>
      <w:t>Update on IPPC Strategic Framework DAI on commodity-specific ISPMs</w:t>
    </w:r>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85DBD"/>
    <w:multiLevelType w:val="multilevel"/>
    <w:tmpl w:val="06E871E4"/>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1"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4C0A6C"/>
    <w:multiLevelType w:val="multilevel"/>
    <w:tmpl w:val="06E871E4"/>
    <w:numStyleLink w:val="IPPParagraphnumberedlist"/>
  </w:abstractNum>
  <w:abstractNum w:abstractNumId="13" w15:restartNumberingAfterBreak="0">
    <w:nsid w:val="08EF6747"/>
    <w:multiLevelType w:val="hybridMultilevel"/>
    <w:tmpl w:val="6768592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7" w15:restartNumberingAfterBreak="0">
    <w:nsid w:val="3A0F0087"/>
    <w:multiLevelType w:val="hybridMultilevel"/>
    <w:tmpl w:val="462A1168"/>
    <w:lvl w:ilvl="0" w:tplc="1D1C1A5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2133519">
    <w:abstractNumId w:val="16"/>
  </w:num>
  <w:num w:numId="2" w16cid:durableId="1750735059">
    <w:abstractNumId w:val="20"/>
  </w:num>
  <w:num w:numId="3" w16cid:durableId="1407730738">
    <w:abstractNumId w:val="22"/>
  </w:num>
  <w:num w:numId="4" w16cid:durableId="1466317145">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 w16cid:durableId="1977955482">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6" w16cid:durableId="1752699161">
    <w:abstractNumId w:val="11"/>
  </w:num>
  <w:num w:numId="7" w16cid:durableId="292568007">
    <w:abstractNumId w:val="24"/>
  </w:num>
  <w:num w:numId="8" w16cid:durableId="1056397748">
    <w:abstractNumId w:val="12"/>
  </w:num>
  <w:num w:numId="9" w16cid:durableId="1359424880">
    <w:abstractNumId w:val="12"/>
    <w:lvlOverride w:ilvl="0">
      <w:lvl w:ilvl="0">
        <w:numFmt w:val="decimal"/>
        <w:pStyle w:val="IPPParagraphnumbering"/>
        <w:lvlText w:val="[%1]"/>
        <w:lvlJc w:val="left"/>
        <w:pPr>
          <w:tabs>
            <w:tab w:val="num" w:pos="-360"/>
          </w:tabs>
          <w:ind w:left="-360" w:hanging="482"/>
        </w:pPr>
        <w:rPr>
          <w:rFonts w:ascii="Arial" w:hAnsi="Arial" w:hint="default"/>
          <w:b w:val="0"/>
          <w:i/>
          <w:color w:val="0000FF"/>
          <w:sz w:val="16"/>
        </w:rPr>
      </w:lvl>
    </w:lvlOverride>
  </w:num>
  <w:num w:numId="10" w16cid:durableId="1549490788">
    <w:abstractNumId w:val="10"/>
  </w:num>
  <w:num w:numId="11" w16cid:durableId="1226531976">
    <w:abstractNumId w:val="21"/>
  </w:num>
  <w:num w:numId="12" w16cid:durableId="1749381087">
    <w:abstractNumId w:val="14"/>
  </w:num>
  <w:num w:numId="13" w16cid:durableId="1358458346">
    <w:abstractNumId w:val="23"/>
  </w:num>
  <w:num w:numId="14" w16cid:durableId="735201531">
    <w:abstractNumId w:val="18"/>
  </w:num>
  <w:num w:numId="15" w16cid:durableId="751855798">
    <w:abstractNumId w:val="15"/>
  </w:num>
  <w:num w:numId="16" w16cid:durableId="1096559190">
    <w:abstractNumId w:val="19"/>
  </w:num>
  <w:num w:numId="17" w16cid:durableId="1712146357">
    <w:abstractNumId w:val="9"/>
  </w:num>
  <w:num w:numId="18" w16cid:durableId="1722557205">
    <w:abstractNumId w:val="7"/>
  </w:num>
  <w:num w:numId="19" w16cid:durableId="1201271">
    <w:abstractNumId w:val="6"/>
  </w:num>
  <w:num w:numId="20" w16cid:durableId="185826108">
    <w:abstractNumId w:val="5"/>
  </w:num>
  <w:num w:numId="21" w16cid:durableId="257298398">
    <w:abstractNumId w:val="4"/>
  </w:num>
  <w:num w:numId="22" w16cid:durableId="1676423577">
    <w:abstractNumId w:val="8"/>
  </w:num>
  <w:num w:numId="23" w16cid:durableId="125778737">
    <w:abstractNumId w:val="3"/>
  </w:num>
  <w:num w:numId="24" w16cid:durableId="776291828">
    <w:abstractNumId w:val="2"/>
  </w:num>
  <w:num w:numId="25" w16cid:durableId="410125225">
    <w:abstractNumId w:val="1"/>
  </w:num>
  <w:num w:numId="26" w16cid:durableId="128011168">
    <w:abstractNumId w:val="0"/>
  </w:num>
  <w:num w:numId="27" w16cid:durableId="678849787">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8" w16cid:durableId="875580671">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9" w16cid:durableId="866791825">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0" w16cid:durableId="976033951">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1" w16cid:durableId="1230070415">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2" w16cid:durableId="1987007073">
    <w:abstractNumId w:val="17"/>
  </w:num>
  <w:num w:numId="33" w16cid:durableId="573205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A6"/>
    <w:rsid w:val="00016384"/>
    <w:rsid w:val="00022627"/>
    <w:rsid w:val="00083A0F"/>
    <w:rsid w:val="00087F72"/>
    <w:rsid w:val="000A4797"/>
    <w:rsid w:val="000B188D"/>
    <w:rsid w:val="00103E2C"/>
    <w:rsid w:val="00126BCE"/>
    <w:rsid w:val="00134FA0"/>
    <w:rsid w:val="00153BC0"/>
    <w:rsid w:val="001850AA"/>
    <w:rsid w:val="001874D1"/>
    <w:rsid w:val="001B3342"/>
    <w:rsid w:val="001F142A"/>
    <w:rsid w:val="001F1B42"/>
    <w:rsid w:val="002258B3"/>
    <w:rsid w:val="0023125B"/>
    <w:rsid w:val="00233ABD"/>
    <w:rsid w:val="0023417C"/>
    <w:rsid w:val="0027255F"/>
    <w:rsid w:val="00296788"/>
    <w:rsid w:val="002B493D"/>
    <w:rsid w:val="002D0319"/>
    <w:rsid w:val="002D7D4B"/>
    <w:rsid w:val="002E4E49"/>
    <w:rsid w:val="00304CDA"/>
    <w:rsid w:val="00327281"/>
    <w:rsid w:val="00327709"/>
    <w:rsid w:val="003475DC"/>
    <w:rsid w:val="00360646"/>
    <w:rsid w:val="0039324B"/>
    <w:rsid w:val="003A0613"/>
    <w:rsid w:val="003B2FEE"/>
    <w:rsid w:val="003C3030"/>
    <w:rsid w:val="003E05CF"/>
    <w:rsid w:val="003E2262"/>
    <w:rsid w:val="003E432C"/>
    <w:rsid w:val="003F4DB2"/>
    <w:rsid w:val="00422C20"/>
    <w:rsid w:val="0042320F"/>
    <w:rsid w:val="00431DDB"/>
    <w:rsid w:val="00433643"/>
    <w:rsid w:val="00446E14"/>
    <w:rsid w:val="00487571"/>
    <w:rsid w:val="004B1169"/>
    <w:rsid w:val="004B30BA"/>
    <w:rsid w:val="004B343D"/>
    <w:rsid w:val="004C09A4"/>
    <w:rsid w:val="004C170E"/>
    <w:rsid w:val="004D15F4"/>
    <w:rsid w:val="004E38B1"/>
    <w:rsid w:val="004E42C1"/>
    <w:rsid w:val="004F227A"/>
    <w:rsid w:val="004F5182"/>
    <w:rsid w:val="004F60D2"/>
    <w:rsid w:val="00522499"/>
    <w:rsid w:val="0056120C"/>
    <w:rsid w:val="00564F4D"/>
    <w:rsid w:val="005757C7"/>
    <w:rsid w:val="0058199F"/>
    <w:rsid w:val="00592FA9"/>
    <w:rsid w:val="005A08AD"/>
    <w:rsid w:val="005C1717"/>
    <w:rsid w:val="00602B73"/>
    <w:rsid w:val="006110CD"/>
    <w:rsid w:val="00633054"/>
    <w:rsid w:val="00634F89"/>
    <w:rsid w:val="006366F2"/>
    <w:rsid w:val="00654240"/>
    <w:rsid w:val="00663131"/>
    <w:rsid w:val="00671C5C"/>
    <w:rsid w:val="00683BB3"/>
    <w:rsid w:val="006B794F"/>
    <w:rsid w:val="006C4D4F"/>
    <w:rsid w:val="006F4EED"/>
    <w:rsid w:val="007050F6"/>
    <w:rsid w:val="00706321"/>
    <w:rsid w:val="007277C2"/>
    <w:rsid w:val="00730476"/>
    <w:rsid w:val="00732396"/>
    <w:rsid w:val="00764F12"/>
    <w:rsid w:val="00772780"/>
    <w:rsid w:val="007728D9"/>
    <w:rsid w:val="0077483D"/>
    <w:rsid w:val="007C11AB"/>
    <w:rsid w:val="007C2F16"/>
    <w:rsid w:val="007C5AE1"/>
    <w:rsid w:val="007F0EE1"/>
    <w:rsid w:val="007F53E0"/>
    <w:rsid w:val="00847D97"/>
    <w:rsid w:val="008508C0"/>
    <w:rsid w:val="00857A34"/>
    <w:rsid w:val="0087266C"/>
    <w:rsid w:val="0088675C"/>
    <w:rsid w:val="0088691C"/>
    <w:rsid w:val="00896BE6"/>
    <w:rsid w:val="008A4E5F"/>
    <w:rsid w:val="008A5B4A"/>
    <w:rsid w:val="008A5F97"/>
    <w:rsid w:val="008B7447"/>
    <w:rsid w:val="008D6264"/>
    <w:rsid w:val="008E2FCB"/>
    <w:rsid w:val="00910D90"/>
    <w:rsid w:val="00911186"/>
    <w:rsid w:val="00935146"/>
    <w:rsid w:val="0094139F"/>
    <w:rsid w:val="00946DBA"/>
    <w:rsid w:val="009545CF"/>
    <w:rsid w:val="00955EB9"/>
    <w:rsid w:val="0097383F"/>
    <w:rsid w:val="009822F0"/>
    <w:rsid w:val="009D122A"/>
    <w:rsid w:val="009E3B98"/>
    <w:rsid w:val="009E4C61"/>
    <w:rsid w:val="009E62DD"/>
    <w:rsid w:val="00A05A25"/>
    <w:rsid w:val="00A11078"/>
    <w:rsid w:val="00A16411"/>
    <w:rsid w:val="00A176FA"/>
    <w:rsid w:val="00A17AC6"/>
    <w:rsid w:val="00A316FC"/>
    <w:rsid w:val="00A35693"/>
    <w:rsid w:val="00A37670"/>
    <w:rsid w:val="00A52EF2"/>
    <w:rsid w:val="00A608EE"/>
    <w:rsid w:val="00A753EE"/>
    <w:rsid w:val="00A801D6"/>
    <w:rsid w:val="00A84359"/>
    <w:rsid w:val="00A90BA1"/>
    <w:rsid w:val="00AA0E7D"/>
    <w:rsid w:val="00AA7395"/>
    <w:rsid w:val="00AB1BAD"/>
    <w:rsid w:val="00AB6EA7"/>
    <w:rsid w:val="00AC0CD4"/>
    <w:rsid w:val="00AC392B"/>
    <w:rsid w:val="00AF301A"/>
    <w:rsid w:val="00AF3C60"/>
    <w:rsid w:val="00B132DF"/>
    <w:rsid w:val="00B2328C"/>
    <w:rsid w:val="00B46F4A"/>
    <w:rsid w:val="00B70F4C"/>
    <w:rsid w:val="00B83CB0"/>
    <w:rsid w:val="00B862CE"/>
    <w:rsid w:val="00B8796F"/>
    <w:rsid w:val="00B87A0B"/>
    <w:rsid w:val="00B952B6"/>
    <w:rsid w:val="00BA57ED"/>
    <w:rsid w:val="00BC4498"/>
    <w:rsid w:val="00BD02DC"/>
    <w:rsid w:val="00BD486A"/>
    <w:rsid w:val="00BD59C9"/>
    <w:rsid w:val="00BE0BFD"/>
    <w:rsid w:val="00C0417B"/>
    <w:rsid w:val="00C308A6"/>
    <w:rsid w:val="00C31344"/>
    <w:rsid w:val="00C5663D"/>
    <w:rsid w:val="00C60C7A"/>
    <w:rsid w:val="00C64E23"/>
    <w:rsid w:val="00C772DD"/>
    <w:rsid w:val="00C77AF4"/>
    <w:rsid w:val="00CB7A26"/>
    <w:rsid w:val="00CC312D"/>
    <w:rsid w:val="00CD3D91"/>
    <w:rsid w:val="00CF4163"/>
    <w:rsid w:val="00D05C15"/>
    <w:rsid w:val="00D07FC3"/>
    <w:rsid w:val="00D15C50"/>
    <w:rsid w:val="00D22F5B"/>
    <w:rsid w:val="00D24243"/>
    <w:rsid w:val="00D4350F"/>
    <w:rsid w:val="00D859C1"/>
    <w:rsid w:val="00DB39A0"/>
    <w:rsid w:val="00DE3B5C"/>
    <w:rsid w:val="00DE6FEB"/>
    <w:rsid w:val="00DF1F55"/>
    <w:rsid w:val="00DF6A40"/>
    <w:rsid w:val="00E1786D"/>
    <w:rsid w:val="00E22BB4"/>
    <w:rsid w:val="00E34616"/>
    <w:rsid w:val="00E439A5"/>
    <w:rsid w:val="00E65308"/>
    <w:rsid w:val="00E75510"/>
    <w:rsid w:val="00E7780F"/>
    <w:rsid w:val="00E81618"/>
    <w:rsid w:val="00E82165"/>
    <w:rsid w:val="00EA060D"/>
    <w:rsid w:val="00EB0B9D"/>
    <w:rsid w:val="00EC169C"/>
    <w:rsid w:val="00EE39EA"/>
    <w:rsid w:val="00F00B7C"/>
    <w:rsid w:val="00F01E20"/>
    <w:rsid w:val="00F075B7"/>
    <w:rsid w:val="00F33363"/>
    <w:rsid w:val="00F65671"/>
    <w:rsid w:val="00F71CF7"/>
    <w:rsid w:val="00F76A08"/>
    <w:rsid w:val="00F85FE3"/>
    <w:rsid w:val="00F9078D"/>
    <w:rsid w:val="00FA1B92"/>
    <w:rsid w:val="00FA428D"/>
    <w:rsid w:val="00FC4C9F"/>
    <w:rsid w:val="00FC7580"/>
    <w:rsid w:val="00FD2B1B"/>
    <w:rsid w:val="1A069DEA"/>
    <w:rsid w:val="1FE6FA1D"/>
    <w:rsid w:val="21034E28"/>
    <w:rsid w:val="28C9EF92"/>
    <w:rsid w:val="305610B4"/>
    <w:rsid w:val="34487DE0"/>
    <w:rsid w:val="49EFC168"/>
    <w:rsid w:val="501FC7CF"/>
    <w:rsid w:val="5ADF04C5"/>
    <w:rsid w:val="6C48F32F"/>
    <w:rsid w:val="6F97E982"/>
    <w:rsid w:val="78279610"/>
    <w:rsid w:val="7E2993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9740B"/>
  <w15:chartTrackingRefBased/>
  <w15:docId w15:val="{68585488-59E9-4BFB-9501-6A9BCC22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55F"/>
    <w:pPr>
      <w:spacing w:after="0" w:line="240" w:lineRule="auto"/>
      <w:jc w:val="both"/>
    </w:pPr>
    <w:rPr>
      <w:rFonts w:ascii="Times New Roman" w:eastAsia="MS Mincho" w:hAnsi="Times New Roman" w:cs="Times New Roman"/>
      <w:kern w:val="0"/>
      <w:sz w:val="22"/>
      <w:lang w:val="en-GB"/>
      <w14:ligatures w14:val="none"/>
    </w:rPr>
  </w:style>
  <w:style w:type="paragraph" w:styleId="Heading1">
    <w:name w:val="heading 1"/>
    <w:basedOn w:val="Normal"/>
    <w:next w:val="Normal"/>
    <w:link w:val="Heading1Char"/>
    <w:qFormat/>
    <w:rsid w:val="0027255F"/>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27255F"/>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27255F"/>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255F"/>
    <w:pPr>
      <w:tabs>
        <w:tab w:val="center" w:pos="4680"/>
        <w:tab w:val="right" w:pos="9360"/>
      </w:tabs>
    </w:pPr>
  </w:style>
  <w:style w:type="character" w:customStyle="1" w:styleId="HeaderChar">
    <w:name w:val="Header Char"/>
    <w:basedOn w:val="DefaultParagraphFont"/>
    <w:link w:val="Header"/>
    <w:rsid w:val="0027255F"/>
    <w:rPr>
      <w:rFonts w:ascii="Times New Roman" w:eastAsia="MS Mincho" w:hAnsi="Times New Roman" w:cs="Times New Roman"/>
      <w:kern w:val="0"/>
      <w:sz w:val="22"/>
      <w:lang w:val="en-GB"/>
      <w14:ligatures w14:val="none"/>
    </w:rPr>
  </w:style>
  <w:style w:type="paragraph" w:styleId="Footer">
    <w:name w:val="footer"/>
    <w:basedOn w:val="Normal"/>
    <w:link w:val="FooterChar"/>
    <w:rsid w:val="0027255F"/>
    <w:pPr>
      <w:tabs>
        <w:tab w:val="center" w:pos="4680"/>
        <w:tab w:val="right" w:pos="9360"/>
      </w:tabs>
    </w:pPr>
  </w:style>
  <w:style w:type="character" w:customStyle="1" w:styleId="FooterChar">
    <w:name w:val="Footer Char"/>
    <w:basedOn w:val="DefaultParagraphFont"/>
    <w:link w:val="Footer"/>
    <w:rsid w:val="0027255F"/>
    <w:rPr>
      <w:rFonts w:ascii="Times New Roman" w:eastAsia="MS Mincho" w:hAnsi="Times New Roman" w:cs="Times New Roman"/>
      <w:kern w:val="0"/>
      <w:sz w:val="22"/>
      <w:lang w:val="en-GB"/>
      <w14:ligatures w14:val="none"/>
    </w:rPr>
  </w:style>
  <w:style w:type="paragraph" w:customStyle="1" w:styleId="IPPHeader">
    <w:name w:val="IPP Header"/>
    <w:basedOn w:val="Normal"/>
    <w:qFormat/>
    <w:rsid w:val="0027255F"/>
    <w:pPr>
      <w:pBdr>
        <w:bottom w:val="single" w:sz="4" w:space="4" w:color="auto"/>
      </w:pBdr>
      <w:tabs>
        <w:tab w:val="left" w:pos="1134"/>
        <w:tab w:val="right" w:pos="9072"/>
      </w:tabs>
      <w:spacing w:after="120"/>
      <w:jc w:val="left"/>
    </w:pPr>
    <w:rPr>
      <w:rFonts w:ascii="Arial" w:hAnsi="Arial"/>
      <w:sz w:val="18"/>
      <w:lang w:val="en-US"/>
    </w:rPr>
  </w:style>
  <w:style w:type="paragraph" w:styleId="FootnoteText">
    <w:name w:val="footnote text"/>
    <w:aliases w:val="FOOTNOTES,fn,single space,Footnote text"/>
    <w:basedOn w:val="Normal"/>
    <w:link w:val="FootnoteTextChar"/>
    <w:rsid w:val="0027255F"/>
    <w:pPr>
      <w:spacing w:before="60"/>
    </w:pPr>
    <w:rPr>
      <w:sz w:val="20"/>
    </w:rPr>
  </w:style>
  <w:style w:type="character" w:customStyle="1" w:styleId="FootnoteTextChar">
    <w:name w:val="Footnote Text Char"/>
    <w:aliases w:val="FOOTNOTES Char,fn Char,single space Char,Footnote text Char"/>
    <w:basedOn w:val="DefaultParagraphFont"/>
    <w:link w:val="FootnoteText"/>
    <w:rsid w:val="0027255F"/>
    <w:rPr>
      <w:rFonts w:ascii="Times New Roman" w:eastAsia="MS Mincho" w:hAnsi="Times New Roman" w:cs="Times New Roman"/>
      <w:kern w:val="0"/>
      <w:sz w:val="20"/>
      <w:lang w:val="en-GB"/>
      <w14:ligatures w14:val="none"/>
    </w:rPr>
  </w:style>
  <w:style w:type="character" w:styleId="FootnoteReference">
    <w:name w:val="footnote reference"/>
    <w:aliases w:val="16 Point,Superscript 6 Point,Ref,de nota al pie,Footnote Reference1,Ref1,de nota al pie1,註腳內容,de nota al pie + (Asian) MS Mincho,11 pt"/>
    <w:basedOn w:val="DefaultParagraphFont"/>
    <w:link w:val="BVIfnrCarattereCharCharCharCarattereCharCharCharCharCharChar1CharCharCharCarattereChar"/>
    <w:rsid w:val="0027255F"/>
    <w:rPr>
      <w:vertAlign w:val="superscript"/>
    </w:rPr>
  </w:style>
  <w:style w:type="character" w:styleId="Hyperlink">
    <w:name w:val="Hyperlink"/>
    <w:basedOn w:val="DefaultParagraphFont"/>
    <w:unhideWhenUsed/>
    <w:rsid w:val="0027255F"/>
    <w:rPr>
      <w:color w:val="0000FF"/>
      <w:u w:val="single"/>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FootnoteReference"/>
    <w:rsid w:val="00C308A6"/>
    <w:rPr>
      <w:rFonts w:asciiTheme="minorHAnsi" w:eastAsiaTheme="minorHAnsi" w:hAnsiTheme="minorHAnsi" w:cstheme="minorBidi"/>
      <w:kern w:val="2"/>
      <w:sz w:val="24"/>
      <w:vertAlign w:val="superscript"/>
      <w:lang w:val="en-US"/>
      <w14:ligatures w14:val="standardContextual"/>
    </w:rPr>
  </w:style>
  <w:style w:type="paragraph" w:customStyle="1" w:styleId="IPPParagraphnumbering">
    <w:name w:val="IPP Paragraph numbering"/>
    <w:basedOn w:val="IPPNormal"/>
    <w:link w:val="IPPParagraphnumberingChar"/>
    <w:qFormat/>
    <w:rsid w:val="0027255F"/>
    <w:pPr>
      <w:numPr>
        <w:numId w:val="5"/>
      </w:numPr>
    </w:pPr>
    <w:rPr>
      <w:lang w:val="en-US"/>
    </w:rPr>
  </w:style>
  <w:style w:type="numbering" w:customStyle="1" w:styleId="IPPParagraphnumberedlist">
    <w:name w:val="IPP Paragraph numbered list"/>
    <w:rsid w:val="0027255F"/>
    <w:pPr>
      <w:numPr>
        <w:numId w:val="1"/>
      </w:numPr>
    </w:pPr>
  </w:style>
  <w:style w:type="character" w:customStyle="1" w:styleId="normaltextrun">
    <w:name w:val="normaltextrun"/>
    <w:basedOn w:val="DefaultParagraphFont"/>
    <w:rsid w:val="00C308A6"/>
  </w:style>
  <w:style w:type="paragraph" w:customStyle="1" w:styleId="IPPHeadSection">
    <w:name w:val="IPP HeadSection"/>
    <w:basedOn w:val="Normal"/>
    <w:next w:val="Normal"/>
    <w:qFormat/>
    <w:rsid w:val="0027255F"/>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link w:val="IPPHeading1Char"/>
    <w:qFormat/>
    <w:rsid w:val="0027255F"/>
    <w:pPr>
      <w:keepNext/>
      <w:tabs>
        <w:tab w:val="left" w:pos="567"/>
      </w:tabs>
      <w:spacing w:before="240" w:after="120"/>
      <w:ind w:left="567" w:hanging="567"/>
      <w:jc w:val="left"/>
      <w:outlineLvl w:val="1"/>
    </w:pPr>
    <w:rPr>
      <w:b/>
      <w:sz w:val="24"/>
      <w:szCs w:val="22"/>
    </w:rPr>
  </w:style>
  <w:style w:type="paragraph" w:customStyle="1" w:styleId="IPPBullet1">
    <w:name w:val="IPP Bullet1"/>
    <w:basedOn w:val="IPPBullet1Last"/>
    <w:link w:val="IPPBullet1Char"/>
    <w:qFormat/>
    <w:rsid w:val="0027255F"/>
    <w:pPr>
      <w:numPr>
        <w:numId w:val="3"/>
      </w:numPr>
      <w:spacing w:after="60"/>
      <w:ind w:left="567" w:hanging="567"/>
    </w:pPr>
    <w:rPr>
      <w:lang w:val="en-US"/>
    </w:rPr>
  </w:style>
  <w:style w:type="paragraph" w:customStyle="1" w:styleId="IPPBullet1Last">
    <w:name w:val="IPP Bullet1Last"/>
    <w:basedOn w:val="IPPNormal"/>
    <w:next w:val="IPPNormal"/>
    <w:qFormat/>
    <w:rsid w:val="0027255F"/>
    <w:pPr>
      <w:numPr>
        <w:numId w:val="2"/>
      </w:numPr>
    </w:pPr>
  </w:style>
  <w:style w:type="paragraph" w:customStyle="1" w:styleId="IPPParagraphnumberingclose">
    <w:name w:val="IPP Paragraph numbering close"/>
    <w:basedOn w:val="IPPParagraphnumbering"/>
    <w:qFormat/>
    <w:rsid w:val="0027255F"/>
    <w:pPr>
      <w:keepNext/>
      <w:spacing w:after="60"/>
    </w:pPr>
  </w:style>
  <w:style w:type="character" w:customStyle="1" w:styleId="IPPHeading1Char">
    <w:name w:val="IPP Heading1 Char"/>
    <w:link w:val="IPPHeading1"/>
    <w:rsid w:val="00C308A6"/>
    <w:rPr>
      <w:rFonts w:ascii="Times New Roman" w:eastAsia="Times" w:hAnsi="Times New Roman" w:cs="Times New Roman"/>
      <w:b/>
      <w:kern w:val="0"/>
      <w:szCs w:val="22"/>
      <w:lang w:val="en-GB"/>
      <w14:ligatures w14:val="none"/>
    </w:rPr>
  </w:style>
  <w:style w:type="character" w:customStyle="1" w:styleId="IPPParagraphnumberingChar">
    <w:name w:val="IPP Paragraph numbering Char"/>
    <w:basedOn w:val="DefaultParagraphFont"/>
    <w:link w:val="IPPParagraphnumbering"/>
    <w:qFormat/>
    <w:rsid w:val="00C308A6"/>
    <w:rPr>
      <w:rFonts w:ascii="Times New Roman" w:eastAsia="Times" w:hAnsi="Times New Roman" w:cs="Times New Roman"/>
      <w:kern w:val="0"/>
      <w:sz w:val="22"/>
      <w14:ligatures w14:val="none"/>
    </w:rPr>
  </w:style>
  <w:style w:type="character" w:customStyle="1" w:styleId="IPPBullet1Char">
    <w:name w:val="IPP Bullet1 Char"/>
    <w:link w:val="IPPBullet1"/>
    <w:rsid w:val="00C308A6"/>
    <w:rPr>
      <w:rFonts w:ascii="Times New Roman" w:eastAsia="Times" w:hAnsi="Times New Roman" w:cs="Times New Roman"/>
      <w:kern w:val="0"/>
      <w:sz w:val="22"/>
      <w14:ligatures w14:val="none"/>
    </w:rPr>
  </w:style>
  <w:style w:type="paragraph" w:customStyle="1" w:styleId="IPPFootnote">
    <w:name w:val="IPP Footnote"/>
    <w:basedOn w:val="IPPArialFootnote"/>
    <w:qFormat/>
    <w:rsid w:val="0027255F"/>
    <w:pPr>
      <w:tabs>
        <w:tab w:val="left" w:pos="0"/>
      </w:tabs>
      <w:spacing w:before="0"/>
      <w:ind w:left="0" w:firstLine="0"/>
      <w:jc w:val="both"/>
    </w:pPr>
    <w:rPr>
      <w:rFonts w:ascii="Times New Roman" w:eastAsia="Times New Roman" w:hAnsi="Times New Roman"/>
      <w:sz w:val="20"/>
    </w:rPr>
  </w:style>
  <w:style w:type="paragraph" w:customStyle="1" w:styleId="IPPArialFootnote">
    <w:name w:val="IPP Arial Footnote"/>
    <w:basedOn w:val="IPPArialTable"/>
    <w:qFormat/>
    <w:rsid w:val="0027255F"/>
    <w:pPr>
      <w:tabs>
        <w:tab w:val="left" w:pos="28"/>
      </w:tabs>
      <w:ind w:left="284" w:hanging="284"/>
    </w:pPr>
    <w:rPr>
      <w:sz w:val="16"/>
    </w:rPr>
  </w:style>
  <w:style w:type="paragraph" w:customStyle="1" w:styleId="IPPHeading3">
    <w:name w:val="IPP Heading3"/>
    <w:basedOn w:val="IPPNormal"/>
    <w:qFormat/>
    <w:rsid w:val="0027255F"/>
    <w:pPr>
      <w:keepNext/>
      <w:tabs>
        <w:tab w:val="left" w:pos="567"/>
      </w:tabs>
      <w:spacing w:before="120" w:after="120"/>
      <w:ind w:left="567" w:hanging="567"/>
    </w:pPr>
    <w:rPr>
      <w:b/>
      <w:i/>
    </w:rPr>
  </w:style>
  <w:style w:type="paragraph" w:customStyle="1" w:styleId="IPPArial">
    <w:name w:val="IPP Arial"/>
    <w:basedOn w:val="IPPNormal"/>
    <w:qFormat/>
    <w:rsid w:val="0027255F"/>
    <w:pPr>
      <w:spacing w:after="0"/>
    </w:pPr>
    <w:rPr>
      <w:rFonts w:ascii="Arial" w:hAnsi="Arial"/>
      <w:sz w:val="18"/>
    </w:rPr>
  </w:style>
  <w:style w:type="paragraph" w:customStyle="1" w:styleId="IPPNumberedList">
    <w:name w:val="IPP NumberedList"/>
    <w:basedOn w:val="IPPBullet1"/>
    <w:qFormat/>
    <w:rsid w:val="0027255F"/>
    <w:pPr>
      <w:numPr>
        <w:numId w:val="6"/>
      </w:numPr>
    </w:pPr>
  </w:style>
  <w:style w:type="paragraph" w:customStyle="1" w:styleId="IPPFooter">
    <w:name w:val="IPP Footer"/>
    <w:basedOn w:val="IPPHeader"/>
    <w:next w:val="PlainText"/>
    <w:qFormat/>
    <w:rsid w:val="0027255F"/>
    <w:pPr>
      <w:pBdr>
        <w:top w:val="single" w:sz="4" w:space="4" w:color="auto"/>
        <w:bottom w:val="none" w:sz="0" w:space="0" w:color="auto"/>
      </w:pBdr>
      <w:tabs>
        <w:tab w:val="clear" w:pos="1134"/>
      </w:tabs>
      <w:jc w:val="right"/>
    </w:pPr>
    <w:rPr>
      <w:b/>
    </w:rPr>
  </w:style>
  <w:style w:type="paragraph" w:styleId="PlainText">
    <w:name w:val="Plain Text"/>
    <w:basedOn w:val="Normal"/>
    <w:link w:val="PlainTextChar"/>
    <w:uiPriority w:val="99"/>
    <w:unhideWhenUsed/>
    <w:rsid w:val="0027255F"/>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27255F"/>
    <w:rPr>
      <w:rFonts w:ascii="Courier" w:eastAsia="Times" w:hAnsi="Courier" w:cs="Times New Roman"/>
      <w:kern w:val="0"/>
      <w:sz w:val="21"/>
      <w:szCs w:val="21"/>
      <w:lang w:val="en-AU"/>
      <w14:ligatures w14:val="none"/>
    </w:rPr>
  </w:style>
  <w:style w:type="character" w:styleId="UnresolvedMention">
    <w:name w:val="Unresolved Mention"/>
    <w:basedOn w:val="DefaultParagraphFont"/>
    <w:uiPriority w:val="99"/>
    <w:semiHidden/>
    <w:unhideWhenUsed/>
    <w:rsid w:val="003F4DB2"/>
    <w:rPr>
      <w:color w:val="605E5C"/>
      <w:shd w:val="clear" w:color="auto" w:fill="E1DFDD"/>
    </w:rPr>
  </w:style>
  <w:style w:type="paragraph" w:customStyle="1" w:styleId="IPPHdg2Num">
    <w:name w:val="IPP Hdg2Num"/>
    <w:basedOn w:val="IPPHeading2"/>
    <w:next w:val="IPPNormal"/>
    <w:qFormat/>
    <w:rsid w:val="0027255F"/>
    <w:pPr>
      <w:numPr>
        <w:ilvl w:val="1"/>
        <w:numId w:val="7"/>
      </w:numPr>
    </w:pPr>
  </w:style>
  <w:style w:type="paragraph" w:customStyle="1" w:styleId="IPPPargraphnumbering">
    <w:name w:val="IPP Pargraph numbering"/>
    <w:basedOn w:val="Normal"/>
    <w:qFormat/>
    <w:rsid w:val="00BC4498"/>
    <w:pPr>
      <w:tabs>
        <w:tab w:val="num" w:pos="0"/>
      </w:tabs>
      <w:spacing w:after="180"/>
      <w:ind w:hanging="482"/>
    </w:pPr>
    <w:rPr>
      <w:rFonts w:eastAsia="Times"/>
      <w:lang w:val="en-US"/>
    </w:rPr>
  </w:style>
  <w:style w:type="table" w:styleId="TableGrid">
    <w:name w:val="Table Grid"/>
    <w:basedOn w:val="TableNormal"/>
    <w:rsid w:val="0027255F"/>
    <w:pPr>
      <w:spacing w:after="0" w:line="240" w:lineRule="auto"/>
    </w:pPr>
    <w:rPr>
      <w:rFonts w:ascii="Cambria" w:eastAsia="MS Mincho" w:hAnsi="Cambria"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PPParagraphnumberedlist8">
    <w:name w:val="IPP Paragraph numbered list8"/>
    <w:rsid w:val="00D07FC3"/>
  </w:style>
  <w:style w:type="character" w:styleId="FollowedHyperlink">
    <w:name w:val="FollowedHyperlink"/>
    <w:basedOn w:val="DefaultParagraphFont"/>
    <w:semiHidden/>
    <w:unhideWhenUsed/>
    <w:rsid w:val="0027255F"/>
    <w:rPr>
      <w:color w:val="954F72" w:themeColor="followedHyperlink"/>
      <w:u w:val="single"/>
    </w:rPr>
  </w:style>
  <w:style w:type="paragraph" w:styleId="Revision">
    <w:name w:val="Revision"/>
    <w:hidden/>
    <w:uiPriority w:val="99"/>
    <w:semiHidden/>
    <w:rsid w:val="000A4797"/>
    <w:pPr>
      <w:spacing w:after="0" w:line="240" w:lineRule="auto"/>
    </w:pPr>
    <w:rPr>
      <w:rFonts w:ascii="Times New Roman" w:eastAsia="MS Mincho" w:hAnsi="Times New Roman" w:cs="Times New Roman"/>
      <w:kern w:val="0"/>
      <w:sz w:val="22"/>
      <w:lang w:val="en-GB"/>
    </w:rPr>
  </w:style>
  <w:style w:type="character" w:customStyle="1" w:styleId="Heading1Char">
    <w:name w:val="Heading 1 Char"/>
    <w:basedOn w:val="DefaultParagraphFont"/>
    <w:link w:val="Heading1"/>
    <w:rsid w:val="0027255F"/>
    <w:rPr>
      <w:rFonts w:ascii="Times New Roman" w:eastAsia="MS Mincho" w:hAnsi="Times New Roman" w:cs="Times New Roman"/>
      <w:b/>
      <w:bCs/>
      <w:kern w:val="0"/>
      <w:sz w:val="22"/>
      <w:lang w:val="en-GB"/>
      <w14:ligatures w14:val="none"/>
    </w:rPr>
  </w:style>
  <w:style w:type="character" w:customStyle="1" w:styleId="Heading2Char">
    <w:name w:val="Heading 2 Char"/>
    <w:basedOn w:val="DefaultParagraphFont"/>
    <w:link w:val="Heading2"/>
    <w:rsid w:val="0027255F"/>
    <w:rPr>
      <w:rFonts w:ascii="Calibri" w:eastAsia="MS Mincho" w:hAnsi="Calibri" w:cs="Times New Roman"/>
      <w:b/>
      <w:bCs/>
      <w:i/>
      <w:iCs/>
      <w:kern w:val="0"/>
      <w:sz w:val="28"/>
      <w:szCs w:val="28"/>
      <w:lang w:val="en-GB"/>
      <w14:ligatures w14:val="none"/>
    </w:rPr>
  </w:style>
  <w:style w:type="character" w:customStyle="1" w:styleId="Heading3Char">
    <w:name w:val="Heading 3 Char"/>
    <w:basedOn w:val="DefaultParagraphFont"/>
    <w:link w:val="Heading3"/>
    <w:rsid w:val="0027255F"/>
    <w:rPr>
      <w:rFonts w:ascii="Calibri" w:eastAsia="MS Mincho" w:hAnsi="Calibri" w:cs="Times New Roman"/>
      <w:b/>
      <w:bCs/>
      <w:kern w:val="0"/>
      <w:sz w:val="26"/>
      <w:szCs w:val="26"/>
      <w:lang w:val="en-GB"/>
      <w14:ligatures w14:val="none"/>
    </w:rPr>
  </w:style>
  <w:style w:type="paragraph" w:customStyle="1" w:styleId="Style">
    <w:name w:val="Style"/>
    <w:basedOn w:val="Footer"/>
    <w:autoRedefine/>
    <w:qFormat/>
    <w:rsid w:val="0027255F"/>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27255F"/>
    <w:rPr>
      <w:rFonts w:ascii="Arial" w:hAnsi="Arial"/>
      <w:b/>
      <w:sz w:val="18"/>
    </w:rPr>
  </w:style>
  <w:style w:type="paragraph" w:customStyle="1" w:styleId="IPPContentsHead">
    <w:name w:val="IPP ContentsHead"/>
    <w:basedOn w:val="IPPSubhead"/>
    <w:next w:val="IPPNormal"/>
    <w:qFormat/>
    <w:rsid w:val="0027255F"/>
    <w:pPr>
      <w:spacing w:after="240"/>
    </w:pPr>
    <w:rPr>
      <w:sz w:val="24"/>
    </w:rPr>
  </w:style>
  <w:style w:type="paragraph" w:styleId="BalloonText">
    <w:name w:val="Balloon Text"/>
    <w:basedOn w:val="Normal"/>
    <w:link w:val="BalloonTextChar"/>
    <w:rsid w:val="0027255F"/>
    <w:rPr>
      <w:rFonts w:ascii="Tahoma" w:hAnsi="Tahoma" w:cs="Tahoma"/>
      <w:sz w:val="16"/>
      <w:szCs w:val="16"/>
    </w:rPr>
  </w:style>
  <w:style w:type="character" w:customStyle="1" w:styleId="BalloonTextChar">
    <w:name w:val="Balloon Text Char"/>
    <w:basedOn w:val="DefaultParagraphFont"/>
    <w:link w:val="BalloonText"/>
    <w:rsid w:val="0027255F"/>
    <w:rPr>
      <w:rFonts w:ascii="Tahoma" w:eastAsia="MS Mincho" w:hAnsi="Tahoma" w:cs="Tahoma"/>
      <w:kern w:val="0"/>
      <w:sz w:val="16"/>
      <w:szCs w:val="16"/>
      <w:lang w:val="en-GB"/>
      <w14:ligatures w14:val="none"/>
    </w:rPr>
  </w:style>
  <w:style w:type="paragraph" w:customStyle="1" w:styleId="IPPBullet2">
    <w:name w:val="IPP Bullet2"/>
    <w:basedOn w:val="IPPNormal"/>
    <w:next w:val="IPPBullet1"/>
    <w:qFormat/>
    <w:rsid w:val="0027255F"/>
    <w:pPr>
      <w:numPr>
        <w:numId w:val="13"/>
      </w:numPr>
      <w:tabs>
        <w:tab w:val="left" w:pos="1134"/>
      </w:tabs>
      <w:spacing w:after="60"/>
      <w:ind w:left="1134" w:hanging="567"/>
    </w:pPr>
  </w:style>
  <w:style w:type="paragraph" w:customStyle="1" w:styleId="IPPQuote">
    <w:name w:val="IPP Quote"/>
    <w:basedOn w:val="IPPNormal"/>
    <w:qFormat/>
    <w:rsid w:val="0027255F"/>
    <w:pPr>
      <w:ind w:left="851" w:right="851"/>
    </w:pPr>
    <w:rPr>
      <w:sz w:val="18"/>
    </w:rPr>
  </w:style>
  <w:style w:type="paragraph" w:customStyle="1" w:styleId="IPPNormal">
    <w:name w:val="IPP Normal"/>
    <w:basedOn w:val="Normal"/>
    <w:qFormat/>
    <w:rsid w:val="0027255F"/>
    <w:pPr>
      <w:spacing w:after="180"/>
    </w:pPr>
    <w:rPr>
      <w:rFonts w:eastAsia="Times"/>
    </w:rPr>
  </w:style>
  <w:style w:type="paragraph" w:customStyle="1" w:styleId="IPPIndentClose">
    <w:name w:val="IPP Indent Close"/>
    <w:basedOn w:val="IPPNormal"/>
    <w:qFormat/>
    <w:rsid w:val="0027255F"/>
    <w:pPr>
      <w:tabs>
        <w:tab w:val="left" w:pos="2835"/>
      </w:tabs>
      <w:spacing w:after="60"/>
      <w:ind w:left="567"/>
    </w:pPr>
  </w:style>
  <w:style w:type="paragraph" w:customStyle="1" w:styleId="IPPIndent">
    <w:name w:val="IPP Indent"/>
    <w:basedOn w:val="IPPIndentClose"/>
    <w:qFormat/>
    <w:rsid w:val="0027255F"/>
    <w:pPr>
      <w:spacing w:after="180"/>
    </w:pPr>
  </w:style>
  <w:style w:type="character" w:customStyle="1" w:styleId="IPPnormalitalics">
    <w:name w:val="IPP normal italics"/>
    <w:basedOn w:val="DefaultParagraphFont"/>
    <w:rsid w:val="0027255F"/>
    <w:rPr>
      <w:rFonts w:ascii="Times New Roman" w:hAnsi="Times New Roman"/>
      <w:i/>
      <w:sz w:val="22"/>
      <w:lang w:val="en-US"/>
    </w:rPr>
  </w:style>
  <w:style w:type="character" w:customStyle="1" w:styleId="IPPNormalbold">
    <w:name w:val="IPP Normal bold"/>
    <w:basedOn w:val="PlainTextChar"/>
    <w:rsid w:val="0027255F"/>
    <w:rPr>
      <w:rFonts w:ascii="Times New Roman" w:eastAsia="Times" w:hAnsi="Times New Roman" w:cs="Times New Roman"/>
      <w:b/>
      <w:kern w:val="0"/>
      <w:sz w:val="22"/>
      <w:szCs w:val="21"/>
      <w:lang w:val="en-AU"/>
      <w14:ligatures w14:val="none"/>
    </w:rPr>
  </w:style>
  <w:style w:type="paragraph" w:customStyle="1" w:styleId="IPPSubhead">
    <w:name w:val="IPP Subhead"/>
    <w:basedOn w:val="Normal"/>
    <w:qFormat/>
    <w:rsid w:val="0027255F"/>
    <w:pPr>
      <w:keepNext/>
      <w:ind w:left="567" w:hanging="567"/>
      <w:jc w:val="left"/>
    </w:pPr>
    <w:rPr>
      <w:b/>
      <w:bCs/>
      <w:iCs/>
      <w:szCs w:val="22"/>
    </w:rPr>
  </w:style>
  <w:style w:type="character" w:customStyle="1" w:styleId="IPPNormalunderlined">
    <w:name w:val="IPP Normal underlined"/>
    <w:basedOn w:val="DefaultParagraphFont"/>
    <w:rsid w:val="0027255F"/>
    <w:rPr>
      <w:rFonts w:ascii="Times New Roman" w:hAnsi="Times New Roman"/>
      <w:sz w:val="22"/>
      <w:u w:val="single"/>
      <w:lang w:val="en-US"/>
    </w:rPr>
  </w:style>
  <w:style w:type="character" w:customStyle="1" w:styleId="IPPNormalstrikethrough">
    <w:name w:val="IPP Normal strikethrough"/>
    <w:rsid w:val="0027255F"/>
    <w:rPr>
      <w:rFonts w:ascii="Times New Roman" w:hAnsi="Times New Roman"/>
      <w:strike/>
      <w:dstrike w:val="0"/>
      <w:sz w:val="22"/>
    </w:rPr>
  </w:style>
  <w:style w:type="paragraph" w:customStyle="1" w:styleId="IPPTitle16pt">
    <w:name w:val="IPP Title16pt"/>
    <w:basedOn w:val="Normal"/>
    <w:qFormat/>
    <w:rsid w:val="0027255F"/>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27255F"/>
    <w:pPr>
      <w:spacing w:after="360"/>
      <w:jc w:val="center"/>
    </w:pPr>
    <w:rPr>
      <w:rFonts w:ascii="Arial" w:hAnsi="Arial" w:cs="Arial"/>
      <w:b/>
      <w:bCs/>
      <w:sz w:val="36"/>
      <w:szCs w:val="36"/>
    </w:rPr>
  </w:style>
  <w:style w:type="paragraph" w:customStyle="1" w:styleId="IPPAnnexHead">
    <w:name w:val="IPP AnnexHead"/>
    <w:basedOn w:val="IPPNormal"/>
    <w:next w:val="IPPNormal"/>
    <w:qFormat/>
    <w:rsid w:val="0027255F"/>
    <w:pPr>
      <w:keepNext/>
      <w:tabs>
        <w:tab w:val="left" w:pos="567"/>
      </w:tabs>
      <w:spacing w:before="120"/>
      <w:jc w:val="left"/>
      <w:outlineLvl w:val="1"/>
    </w:pPr>
    <w:rPr>
      <w:b/>
      <w:sz w:val="24"/>
    </w:rPr>
  </w:style>
  <w:style w:type="paragraph" w:customStyle="1" w:styleId="IPPNormalCloseSpace">
    <w:name w:val="IPP NormalCloseSpace"/>
    <w:basedOn w:val="Normal"/>
    <w:qFormat/>
    <w:rsid w:val="0027255F"/>
    <w:pPr>
      <w:keepNext/>
      <w:spacing w:after="60"/>
    </w:pPr>
  </w:style>
  <w:style w:type="paragraph" w:customStyle="1" w:styleId="IPPHeading2">
    <w:name w:val="IPP Heading2"/>
    <w:basedOn w:val="IPPNormal"/>
    <w:next w:val="IPPNormal"/>
    <w:qFormat/>
    <w:rsid w:val="0027255F"/>
    <w:pPr>
      <w:keepNext/>
      <w:tabs>
        <w:tab w:val="left" w:pos="567"/>
      </w:tabs>
      <w:spacing w:before="120" w:after="120"/>
      <w:ind w:left="567" w:hanging="567"/>
      <w:jc w:val="left"/>
      <w:outlineLvl w:val="2"/>
    </w:pPr>
    <w:rPr>
      <w:b/>
      <w:sz w:val="24"/>
    </w:rPr>
  </w:style>
  <w:style w:type="paragraph" w:styleId="TOC1">
    <w:name w:val="toc 1"/>
    <w:basedOn w:val="IPPNormalCloseSpace"/>
    <w:next w:val="Normal"/>
    <w:autoRedefine/>
    <w:uiPriority w:val="39"/>
    <w:rsid w:val="0027255F"/>
    <w:pPr>
      <w:tabs>
        <w:tab w:val="right" w:leader="dot" w:pos="9072"/>
      </w:tabs>
      <w:spacing w:before="240"/>
      <w:ind w:left="567" w:hanging="567"/>
    </w:pPr>
  </w:style>
  <w:style w:type="paragraph" w:styleId="TOC2">
    <w:name w:val="toc 2"/>
    <w:basedOn w:val="TOC1"/>
    <w:next w:val="Normal"/>
    <w:autoRedefine/>
    <w:uiPriority w:val="39"/>
    <w:rsid w:val="0027255F"/>
    <w:pPr>
      <w:keepNext w:val="0"/>
      <w:tabs>
        <w:tab w:val="left" w:pos="425"/>
      </w:tabs>
      <w:spacing w:before="120" w:after="0"/>
      <w:ind w:left="425" w:right="284" w:hanging="425"/>
    </w:pPr>
  </w:style>
  <w:style w:type="paragraph" w:styleId="TOC3">
    <w:name w:val="toc 3"/>
    <w:basedOn w:val="TOC2"/>
    <w:next w:val="Normal"/>
    <w:autoRedefine/>
    <w:uiPriority w:val="39"/>
    <w:rsid w:val="0027255F"/>
    <w:pPr>
      <w:tabs>
        <w:tab w:val="left" w:pos="1276"/>
      </w:tabs>
      <w:spacing w:before="60"/>
      <w:ind w:left="1276" w:hanging="851"/>
    </w:pPr>
    <w:rPr>
      <w:rFonts w:eastAsia="Times"/>
    </w:rPr>
  </w:style>
  <w:style w:type="paragraph" w:styleId="TOC4">
    <w:name w:val="toc 4"/>
    <w:basedOn w:val="Normal"/>
    <w:next w:val="Normal"/>
    <w:autoRedefine/>
    <w:uiPriority w:val="39"/>
    <w:rsid w:val="0027255F"/>
    <w:pPr>
      <w:spacing w:after="120"/>
      <w:ind w:left="660"/>
    </w:pPr>
    <w:rPr>
      <w:rFonts w:eastAsia="Times"/>
      <w:lang w:val="en-AU"/>
    </w:rPr>
  </w:style>
  <w:style w:type="paragraph" w:styleId="TOC5">
    <w:name w:val="toc 5"/>
    <w:basedOn w:val="Normal"/>
    <w:next w:val="Normal"/>
    <w:autoRedefine/>
    <w:uiPriority w:val="39"/>
    <w:rsid w:val="0027255F"/>
    <w:pPr>
      <w:spacing w:after="120"/>
      <w:ind w:left="880"/>
    </w:pPr>
    <w:rPr>
      <w:rFonts w:eastAsia="Times"/>
      <w:lang w:val="en-AU"/>
    </w:rPr>
  </w:style>
  <w:style w:type="paragraph" w:styleId="TOC6">
    <w:name w:val="toc 6"/>
    <w:basedOn w:val="Normal"/>
    <w:next w:val="Normal"/>
    <w:autoRedefine/>
    <w:uiPriority w:val="39"/>
    <w:rsid w:val="0027255F"/>
    <w:pPr>
      <w:spacing w:after="120"/>
      <w:ind w:left="1100"/>
    </w:pPr>
    <w:rPr>
      <w:rFonts w:eastAsia="Times"/>
      <w:lang w:val="en-AU"/>
    </w:rPr>
  </w:style>
  <w:style w:type="paragraph" w:styleId="TOC7">
    <w:name w:val="toc 7"/>
    <w:basedOn w:val="Normal"/>
    <w:next w:val="Normal"/>
    <w:autoRedefine/>
    <w:uiPriority w:val="39"/>
    <w:rsid w:val="0027255F"/>
    <w:pPr>
      <w:spacing w:after="120"/>
      <w:ind w:left="1320"/>
    </w:pPr>
    <w:rPr>
      <w:rFonts w:eastAsia="Times"/>
      <w:lang w:val="en-AU"/>
    </w:rPr>
  </w:style>
  <w:style w:type="paragraph" w:styleId="TOC8">
    <w:name w:val="toc 8"/>
    <w:basedOn w:val="Normal"/>
    <w:next w:val="Normal"/>
    <w:autoRedefine/>
    <w:uiPriority w:val="39"/>
    <w:rsid w:val="0027255F"/>
    <w:pPr>
      <w:spacing w:after="120"/>
      <w:ind w:left="1540"/>
    </w:pPr>
    <w:rPr>
      <w:rFonts w:eastAsia="Times"/>
      <w:lang w:val="en-AU"/>
    </w:rPr>
  </w:style>
  <w:style w:type="paragraph" w:styleId="TOC9">
    <w:name w:val="toc 9"/>
    <w:basedOn w:val="Normal"/>
    <w:next w:val="Normal"/>
    <w:autoRedefine/>
    <w:uiPriority w:val="39"/>
    <w:rsid w:val="0027255F"/>
    <w:pPr>
      <w:spacing w:after="120"/>
      <w:ind w:left="1760"/>
    </w:pPr>
    <w:rPr>
      <w:rFonts w:eastAsia="Times"/>
      <w:lang w:val="en-AU"/>
    </w:rPr>
  </w:style>
  <w:style w:type="paragraph" w:customStyle="1" w:styleId="IPPReferences">
    <w:name w:val="IPP References"/>
    <w:basedOn w:val="IPPNormal"/>
    <w:qFormat/>
    <w:rsid w:val="0027255F"/>
    <w:pPr>
      <w:spacing w:after="60"/>
      <w:ind w:left="567" w:hanging="567"/>
    </w:pPr>
  </w:style>
  <w:style w:type="paragraph" w:customStyle="1" w:styleId="IPPArialTable">
    <w:name w:val="IPP Arial Table"/>
    <w:basedOn w:val="IPPArial"/>
    <w:qFormat/>
    <w:rsid w:val="0027255F"/>
    <w:pPr>
      <w:spacing w:before="60" w:after="60"/>
      <w:jc w:val="left"/>
    </w:pPr>
  </w:style>
  <w:style w:type="paragraph" w:customStyle="1" w:styleId="IPPHeaderlandscape">
    <w:name w:val="IPP Header landscape"/>
    <w:basedOn w:val="IPPHeader"/>
    <w:qFormat/>
    <w:rsid w:val="0027255F"/>
    <w:pPr>
      <w:pBdr>
        <w:bottom w:val="single" w:sz="4" w:space="1" w:color="auto"/>
      </w:pBdr>
      <w:tabs>
        <w:tab w:val="clear" w:pos="9072"/>
        <w:tab w:val="right" w:pos="14034"/>
      </w:tabs>
      <w:spacing w:after="0"/>
      <w:ind w:right="-32"/>
    </w:pPr>
    <w:rPr>
      <w:noProof/>
    </w:rPr>
  </w:style>
  <w:style w:type="paragraph" w:customStyle="1" w:styleId="IPPLetterList">
    <w:name w:val="IPP LetterList"/>
    <w:basedOn w:val="IPPBullet2"/>
    <w:qFormat/>
    <w:rsid w:val="0027255F"/>
    <w:pPr>
      <w:numPr>
        <w:numId w:val="11"/>
      </w:numPr>
      <w:jc w:val="left"/>
    </w:pPr>
  </w:style>
  <w:style w:type="paragraph" w:customStyle="1" w:styleId="IPPLetterListIndent">
    <w:name w:val="IPP LetterList Indent"/>
    <w:basedOn w:val="IPPLetterList"/>
    <w:qFormat/>
    <w:rsid w:val="0027255F"/>
    <w:pPr>
      <w:numPr>
        <w:numId w:val="12"/>
      </w:numPr>
    </w:pPr>
  </w:style>
  <w:style w:type="paragraph" w:customStyle="1" w:styleId="IPPFooterLandscape">
    <w:name w:val="IPP Footer Landscape"/>
    <w:basedOn w:val="IPPHeaderlandscape"/>
    <w:qFormat/>
    <w:rsid w:val="0027255F"/>
    <w:pPr>
      <w:pBdr>
        <w:top w:val="single" w:sz="4" w:space="1" w:color="auto"/>
        <w:bottom w:val="none" w:sz="0" w:space="0" w:color="auto"/>
      </w:pBdr>
      <w:jc w:val="right"/>
    </w:pPr>
    <w:rPr>
      <w:b/>
    </w:rPr>
  </w:style>
  <w:style w:type="paragraph" w:customStyle="1" w:styleId="IPPSubheadSpace">
    <w:name w:val="IPP Subhead Space"/>
    <w:basedOn w:val="IPPSubhead"/>
    <w:qFormat/>
    <w:rsid w:val="0027255F"/>
    <w:pPr>
      <w:tabs>
        <w:tab w:val="left" w:pos="567"/>
      </w:tabs>
      <w:spacing w:before="60" w:after="60"/>
    </w:pPr>
  </w:style>
  <w:style w:type="paragraph" w:customStyle="1" w:styleId="IPPSubheadSpaceAfter">
    <w:name w:val="IPP Subhead SpaceAfter"/>
    <w:basedOn w:val="IPPSubhead"/>
    <w:qFormat/>
    <w:rsid w:val="0027255F"/>
    <w:pPr>
      <w:spacing w:after="60"/>
    </w:pPr>
  </w:style>
  <w:style w:type="paragraph" w:customStyle="1" w:styleId="IPPHdg1Num">
    <w:name w:val="IPP Hdg1Num"/>
    <w:basedOn w:val="IPPHeading1"/>
    <w:next w:val="IPPNormal"/>
    <w:qFormat/>
    <w:rsid w:val="0027255F"/>
    <w:pPr>
      <w:numPr>
        <w:numId w:val="14"/>
      </w:numPr>
    </w:pPr>
  </w:style>
  <w:style w:type="character" w:styleId="Strong">
    <w:name w:val="Strong"/>
    <w:basedOn w:val="DefaultParagraphFont"/>
    <w:qFormat/>
    <w:rsid w:val="0027255F"/>
    <w:rPr>
      <w:b/>
      <w:bCs/>
    </w:rPr>
  </w:style>
  <w:style w:type="paragraph" w:styleId="ListParagraph">
    <w:name w:val="List Paragraph"/>
    <w:basedOn w:val="Normal"/>
    <w:uiPriority w:val="34"/>
    <w:qFormat/>
    <w:rsid w:val="0027255F"/>
    <w:pPr>
      <w:spacing w:line="240" w:lineRule="atLeast"/>
      <w:ind w:leftChars="400" w:left="800"/>
    </w:pPr>
    <w:rPr>
      <w:rFonts w:ascii="Verdana" w:eastAsia="Times New Roman" w:hAnsi="Verdana"/>
      <w:sz w:val="20"/>
      <w:lang w:val="nl-NL" w:eastAsia="nl-NL"/>
    </w:rPr>
  </w:style>
  <w:style w:type="paragraph" w:customStyle="1" w:styleId="IPPNumberedListLast">
    <w:name w:val="IPP NumberedListLast"/>
    <w:basedOn w:val="IPPNumberedList"/>
    <w:qFormat/>
    <w:rsid w:val="0027255F"/>
    <w:pPr>
      <w:spacing w:after="180"/>
    </w:pPr>
  </w:style>
  <w:style w:type="character" w:styleId="CommentReference">
    <w:name w:val="annotation reference"/>
    <w:basedOn w:val="DefaultParagraphFont"/>
    <w:uiPriority w:val="99"/>
    <w:semiHidden/>
    <w:unhideWhenUsed/>
    <w:rsid w:val="008D6264"/>
    <w:rPr>
      <w:sz w:val="16"/>
      <w:szCs w:val="16"/>
    </w:rPr>
  </w:style>
  <w:style w:type="paragraph" w:styleId="CommentText">
    <w:name w:val="annotation text"/>
    <w:basedOn w:val="Normal"/>
    <w:link w:val="CommentTextChar"/>
    <w:uiPriority w:val="99"/>
    <w:unhideWhenUsed/>
    <w:rsid w:val="008D6264"/>
    <w:pPr>
      <w:spacing w:after="160"/>
      <w:jc w:val="left"/>
    </w:pPr>
    <w:rPr>
      <w:rFonts w:asciiTheme="minorHAnsi" w:eastAsiaTheme="minorHAnsi" w:hAnsiTheme="minorHAnsi" w:cstheme="minorBidi"/>
      <w:kern w:val="2"/>
      <w:sz w:val="20"/>
      <w:szCs w:val="20"/>
      <w:lang w:val="en-NZ"/>
      <w14:ligatures w14:val="standardContextual"/>
    </w:rPr>
  </w:style>
  <w:style w:type="character" w:customStyle="1" w:styleId="CommentTextChar">
    <w:name w:val="Comment Text Char"/>
    <w:basedOn w:val="DefaultParagraphFont"/>
    <w:link w:val="CommentText"/>
    <w:uiPriority w:val="99"/>
    <w:rsid w:val="008D6264"/>
    <w:rPr>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pc.int/en/publications/91184/" TargetMode="External"/><Relationship Id="rId18" Type="http://schemas.openxmlformats.org/officeDocument/2006/relationships/hyperlink" Target="https://www.ippc.int/en/publications/8927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yperlink" Target="https://www.ippc.int/en/commission/standards-committee/technical-panels/technical-panel-on-commodity-standards/" TargetMode="External"/><Relationship Id="rId17" Type="http://schemas.openxmlformats.org/officeDocument/2006/relationships/hyperlink" Target="https://www.ippc.int/en/publications/9121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ppc.int/en/core-activities/standards-setting/ispms/" TargetMode="External"/><Relationship Id="rId20" Type="http://schemas.openxmlformats.org/officeDocument/2006/relationships/hyperlink" Target="chrome-extension://efaidnbmnnnibpcajpcglclefindmkaj/https:/assets.ippc.int/static/media/files/publication/en/2025/05/CPM-19_Report_2025-05-0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commission/standards-committe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ppc.int/en/core-activities/standards-setting/ispm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ppc.int/en/calls/calls-and-consultations/calls-for-papers-and-stud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pc.int/en/publications/91212/" TargetMode="External"/><Relationship Id="rId22" Type="http://schemas.openxmlformats.org/officeDocument/2006/relationships/hyperlink" Target="https://www.ippc.int/en/calls/calls-and-consultations/calls-for-papers-and-studies/"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ppc.int/en/core-activities/standards-setting/expert-drafting-groups/technical-panels/technical-panel-on-commodity-standards/" TargetMode="External"/><Relationship Id="rId3" Type="http://schemas.openxmlformats.org/officeDocument/2006/relationships/hyperlink" Target="https://www.ippc.int/en/publications/85024/" TargetMode="External"/><Relationship Id="rId7" Type="http://schemas.openxmlformats.org/officeDocument/2006/relationships/hyperlink" Target="https://www.ippc.int/en/publications/94234/" TargetMode="External"/><Relationship Id="rId2" Type="http://schemas.openxmlformats.org/officeDocument/2006/relationships/hyperlink" Target="https://assets.ippc.int/static/media/files/publication/en/2019/07/CPM-14_Report_withISPMs-2019-07-31.pdf" TargetMode="External"/><Relationship Id="rId1" Type="http://schemas.openxmlformats.org/officeDocument/2006/relationships/hyperlink" Target="https://www.ippc.int/en/core-activities/standards-setting/expert-drafting-groups/technical-panels/technical-panel-on-commodity-standards/" TargetMode="External"/><Relationship Id="rId6" Type="http://schemas.openxmlformats.org/officeDocument/2006/relationships/hyperlink" Target="https://www.ippc.int/en/calls/call-for-topics-standards-and-implementation/" TargetMode="External"/><Relationship Id="rId5" Type="http://schemas.openxmlformats.org/officeDocument/2006/relationships/hyperlink" Target="https://www.ippc.int/en/core-activities/standards-setting/expert-drafting-groups/technical-panels/technical-panel-on-commodity-standards/" TargetMode="External"/><Relationship Id="rId4" Type="http://schemas.openxmlformats.org/officeDocument/2006/relationships/hyperlink" Target="https://www.ippc.int/en/publications/89276/" TargetMode="External"/><Relationship Id="rId9" Type="http://schemas.openxmlformats.org/officeDocument/2006/relationships/hyperlink" Target="https://www.ippc.int/en/news/ippc-paves-the-way-for-next-generation-plant-health-standard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N\Downloads\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58B26-54CF-4BD0-B65F-D108894B0585}">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2.xml><?xml version="1.0" encoding="utf-8"?>
<ds:datastoreItem xmlns:ds="http://schemas.openxmlformats.org/officeDocument/2006/customXml" ds:itemID="{3ECE4F0C-656C-417F-9ABC-B8F4B66C6881}">
  <ds:schemaRefs>
    <ds:schemaRef ds:uri="http://schemas.openxmlformats.org/officeDocument/2006/bibliography"/>
  </ds:schemaRefs>
</ds:datastoreItem>
</file>

<file path=customXml/itemProps3.xml><?xml version="1.0" encoding="utf-8"?>
<ds:datastoreItem xmlns:ds="http://schemas.openxmlformats.org/officeDocument/2006/customXml" ds:itemID="{A53B83ED-1000-43B5-A14B-9EA577AEB61A}">
  <ds:schemaRefs>
    <ds:schemaRef ds:uri="http://schemas.microsoft.com/sharepoint/v3/contenttype/forms"/>
  </ds:schemaRefs>
</ds:datastoreItem>
</file>

<file path=customXml/itemProps4.xml><?xml version="1.0" encoding="utf-8"?>
<ds:datastoreItem xmlns:ds="http://schemas.openxmlformats.org/officeDocument/2006/customXml" ds:itemID="{204B4164-02D4-4CEF-A481-449DF1DE7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IPPC_2024-06-17</Template>
  <TotalTime>4</TotalTime>
  <Pages>6</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Moreira, Adriana (NSP)</dc:creator>
  <cp:keywords/>
  <dc:description/>
  <cp:lastModifiedBy>Lahti, Tanja (NSP)</cp:lastModifiedBy>
  <cp:revision>5</cp:revision>
  <dcterms:created xsi:type="dcterms:W3CDTF">2025-10-17T14:32:00Z</dcterms:created>
  <dcterms:modified xsi:type="dcterms:W3CDTF">2025-10-17T14:44:00Z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