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DDCA" w14:textId="77777777" w:rsidR="00067E33" w:rsidRPr="003C2F0A" w:rsidRDefault="00067E33" w:rsidP="00AB640B">
      <w:pPr>
        <w:pStyle w:val="IPPHeadSection"/>
        <w:jc w:val="center"/>
      </w:pPr>
      <w:bookmarkStart w:id="0" w:name="_Hlk38797077"/>
      <w:r>
        <w:t>FOR REFERENCE</w:t>
      </w:r>
    </w:p>
    <w:p w14:paraId="0D26CB46" w14:textId="750422E9" w:rsidR="0033372E" w:rsidRDefault="00E7020C" w:rsidP="00AB640B">
      <w:pPr>
        <w:pStyle w:val="IPPHeadSection"/>
        <w:tabs>
          <w:tab w:val="clear" w:pos="851"/>
        </w:tabs>
        <w:ind w:left="0" w:firstLine="0"/>
        <w:jc w:val="center"/>
      </w:pPr>
      <w:r w:rsidRPr="00836052">
        <w:t>editorial style for commodity standards</w:t>
      </w:r>
      <w:r w:rsidR="00AB3BA3">
        <w:t>,</w:t>
      </w:r>
      <w:r w:rsidR="00A92944">
        <w:t xml:space="preserve"> </w:t>
      </w:r>
      <w:r w:rsidR="00E82D5E" w:rsidRPr="005147F2">
        <w:t>JU</w:t>
      </w:r>
      <w:r w:rsidR="009F1BB3">
        <w:t>ly</w:t>
      </w:r>
      <w:r>
        <w:t xml:space="preserve"> 202</w:t>
      </w:r>
      <w:r w:rsidR="00D715BE">
        <w:t>5</w:t>
      </w:r>
    </w:p>
    <w:p w14:paraId="3EC20128" w14:textId="49CE244F" w:rsidR="00F14A9F" w:rsidRPr="00AE0CB3" w:rsidRDefault="00F14A9F" w:rsidP="00623D44">
      <w:pPr>
        <w:pStyle w:val="IPPNormal"/>
        <w:spacing w:before="240"/>
        <w:jc w:val="center"/>
        <w:rPr>
          <w:i/>
        </w:rPr>
      </w:pPr>
      <w:r w:rsidRPr="00AE0CB3">
        <w:rPr>
          <w:i/>
        </w:rPr>
        <w:t>(Pre</w:t>
      </w:r>
      <w:r w:rsidR="005E53FD">
        <w:rPr>
          <w:i/>
        </w:rPr>
        <w:t>pared by the IPPC Secretariat</w:t>
      </w:r>
      <w:r w:rsidRPr="00AE0CB3">
        <w:rPr>
          <w:i/>
        </w:rPr>
        <w:t>)</w:t>
      </w:r>
      <w:bookmarkEnd w:id="0"/>
    </w:p>
    <w:p w14:paraId="3E0E624C" w14:textId="77777777" w:rsidR="00F95766" w:rsidRDefault="00BD7930" w:rsidP="00F95766">
      <w:pPr>
        <w:pStyle w:val="IPPParagraphnumberingclose"/>
      </w:pPr>
      <w:r>
        <w:t xml:space="preserve">The following style is </w:t>
      </w:r>
      <w:r w:rsidR="002D1A23">
        <w:t>drawn from</w:t>
      </w:r>
      <w:r w:rsidR="00F95766">
        <w:t>:</w:t>
      </w:r>
    </w:p>
    <w:p w14:paraId="7C26C199" w14:textId="414C967A" w:rsidR="00F95766" w:rsidRDefault="00F95766" w:rsidP="00F95766">
      <w:pPr>
        <w:pStyle w:val="IPPBullet1"/>
      </w:pPr>
      <w:r>
        <w:t>Commodity Standard No. 1 (</w:t>
      </w:r>
      <w:r w:rsidR="00BD7930" w:rsidRPr="00F95766">
        <w:t>International movement of fresh</w:t>
      </w:r>
      <w:r w:rsidR="00BD7930" w:rsidRPr="00836052">
        <w:rPr>
          <w:i/>
          <w:iCs/>
        </w:rPr>
        <w:t xml:space="preserve"> </w:t>
      </w:r>
      <w:r w:rsidR="00BD7930" w:rsidRPr="00F95766">
        <w:rPr>
          <w:i/>
          <w:iCs/>
        </w:rPr>
        <w:t>Mangifera indica</w:t>
      </w:r>
      <w:r w:rsidR="00BD7930" w:rsidRPr="00836052">
        <w:rPr>
          <w:i/>
          <w:iCs/>
        </w:rPr>
        <w:t xml:space="preserve"> </w:t>
      </w:r>
      <w:r w:rsidR="00BD7930" w:rsidRPr="00F95766">
        <w:t>fruit</w:t>
      </w:r>
      <w:r>
        <w:t>)</w:t>
      </w:r>
      <w:r w:rsidR="00BD7930" w:rsidRPr="00836052">
        <w:t xml:space="preserve"> (2021-011) </w:t>
      </w:r>
      <w:r w:rsidR="00B63EE8">
        <w:t xml:space="preserve">as </w:t>
      </w:r>
      <w:r>
        <w:t xml:space="preserve">adopted </w:t>
      </w:r>
      <w:r w:rsidR="00B63EE8">
        <w:t xml:space="preserve">by </w:t>
      </w:r>
      <w:r>
        <w:t>CPM-19 (2025)</w:t>
      </w:r>
      <w:r w:rsidR="00310341">
        <w:t xml:space="preserve"> (also referred to herein as the “mango standard”</w:t>
      </w:r>
      <w:proofErr w:type="gramStart"/>
      <w:r w:rsidR="00310341">
        <w:t>)</w:t>
      </w:r>
      <w:r>
        <w:t>;</w:t>
      </w:r>
      <w:proofErr w:type="gramEnd"/>
    </w:p>
    <w:p w14:paraId="031259F3" w14:textId="754C97C2" w:rsidR="00F95766" w:rsidRDefault="00F95766" w:rsidP="00F95766">
      <w:pPr>
        <w:pStyle w:val="IPPBullet1"/>
      </w:pPr>
      <w:r>
        <w:t xml:space="preserve">the draft commodity standard </w:t>
      </w:r>
      <w:r w:rsidR="001E38B9">
        <w:t xml:space="preserve">for </w:t>
      </w:r>
      <w:proofErr w:type="gramStart"/>
      <w:r>
        <w:t>International</w:t>
      </w:r>
      <w:proofErr w:type="gramEnd"/>
      <w:r>
        <w:t xml:space="preserve"> movement of fresh </w:t>
      </w:r>
      <w:r>
        <w:rPr>
          <w:i/>
          <w:iCs/>
        </w:rPr>
        <w:t xml:space="preserve">Musa </w:t>
      </w:r>
      <w:r>
        <w:t>spp. fruit (2023-028)</w:t>
      </w:r>
      <w:r w:rsidR="00BD7930">
        <w:t xml:space="preserve"> (</w:t>
      </w:r>
      <w:r w:rsidR="0012506D">
        <w:t xml:space="preserve">hereafter referred to as the </w:t>
      </w:r>
      <w:r w:rsidR="008769F0">
        <w:t xml:space="preserve">draft </w:t>
      </w:r>
      <w:r w:rsidR="0012506D">
        <w:t>“</w:t>
      </w:r>
      <w:r w:rsidRPr="00F95766">
        <w:rPr>
          <w:i/>
          <w:iCs/>
        </w:rPr>
        <w:t>Musa</w:t>
      </w:r>
      <w:r w:rsidR="0012506D">
        <w:t xml:space="preserve"> standard”</w:t>
      </w:r>
      <w:proofErr w:type="gramStart"/>
      <w:r w:rsidR="00BD7930">
        <w:t>)</w:t>
      </w:r>
      <w:r>
        <w:t>;</w:t>
      </w:r>
      <w:proofErr w:type="gramEnd"/>
      <w:r w:rsidR="00310341">
        <w:t xml:space="preserve"> </w:t>
      </w:r>
    </w:p>
    <w:p w14:paraId="113B7181" w14:textId="1666E417" w:rsidR="00501135" w:rsidRDefault="00F95766" w:rsidP="002E08A6">
      <w:pPr>
        <w:pStyle w:val="IPPBullet1"/>
      </w:pPr>
      <w:r>
        <w:t xml:space="preserve">the draft commodity standard </w:t>
      </w:r>
      <w:r w:rsidR="001E38B9">
        <w:t xml:space="preserve">for </w:t>
      </w:r>
      <w:proofErr w:type="gramStart"/>
      <w:r>
        <w:t>International</w:t>
      </w:r>
      <w:proofErr w:type="gramEnd"/>
      <w:r>
        <w:t xml:space="preserve"> movement of </w:t>
      </w:r>
      <w:r w:rsidRPr="00F95766">
        <w:t xml:space="preserve">fresh </w:t>
      </w:r>
      <w:bookmarkStart w:id="1" w:name="OLE_LINK1"/>
      <w:r w:rsidRPr="00F95766">
        <w:rPr>
          <w:i/>
        </w:rPr>
        <w:t>Colocasia esculenta</w:t>
      </w:r>
      <w:r w:rsidRPr="00F95766">
        <w:t xml:space="preserve"> </w:t>
      </w:r>
      <w:bookmarkEnd w:id="1"/>
      <w:r w:rsidRPr="00F95766">
        <w:t>corms</w:t>
      </w:r>
      <w:r>
        <w:t xml:space="preserve"> (2023-023) (hereafter referred to as the draft “</w:t>
      </w:r>
      <w:r w:rsidR="002C265C">
        <w:t>taro</w:t>
      </w:r>
      <w:r>
        <w:t xml:space="preserve"> standard”</w:t>
      </w:r>
      <w:proofErr w:type="gramStart"/>
      <w:r>
        <w:t>)</w:t>
      </w:r>
      <w:r w:rsidR="00501135">
        <w:t>;</w:t>
      </w:r>
      <w:proofErr w:type="gramEnd"/>
    </w:p>
    <w:p w14:paraId="7879C20C" w14:textId="77777777" w:rsidR="009C795D" w:rsidRDefault="00501135" w:rsidP="002E08A6">
      <w:pPr>
        <w:pStyle w:val="IPPBullet1"/>
      </w:pPr>
      <w:r>
        <w:t xml:space="preserve">the draft commodity standard for </w:t>
      </w:r>
      <w:proofErr w:type="gramStart"/>
      <w:r>
        <w:t>International</w:t>
      </w:r>
      <w:proofErr w:type="gramEnd"/>
      <w:r>
        <w:t xml:space="preserve"> movement of </w:t>
      </w:r>
      <w:r w:rsidRPr="00501135">
        <w:rPr>
          <w:i/>
        </w:rPr>
        <w:t>Citrus</w:t>
      </w:r>
      <w:r w:rsidRPr="00F95766">
        <w:t xml:space="preserve"> </w:t>
      </w:r>
      <w:r>
        <w:t>fruit (2023-0</w:t>
      </w:r>
      <w:r w:rsidR="009C795D">
        <w:t>19</w:t>
      </w:r>
      <w:r>
        <w:t>) (hereafter referred to as the draft “</w:t>
      </w:r>
      <w:r>
        <w:rPr>
          <w:i/>
          <w:iCs/>
        </w:rPr>
        <w:t>Citrus</w:t>
      </w:r>
      <w:r>
        <w:t xml:space="preserve"> standard”)</w:t>
      </w:r>
      <w:r w:rsidR="009C795D">
        <w:t>; and</w:t>
      </w:r>
    </w:p>
    <w:p w14:paraId="53E67BF1" w14:textId="26C8BA6C" w:rsidR="00BD7930" w:rsidRDefault="003C2559" w:rsidP="00F95766">
      <w:pPr>
        <w:pStyle w:val="IPPBullet1Last"/>
      </w:pPr>
      <w:r>
        <w:t xml:space="preserve">the draft </w:t>
      </w:r>
      <w:r w:rsidR="009C795D">
        <w:t xml:space="preserve">commodity standard for </w:t>
      </w:r>
      <w:proofErr w:type="gramStart"/>
      <w:r w:rsidR="009C795D">
        <w:t>International</w:t>
      </w:r>
      <w:proofErr w:type="gramEnd"/>
      <w:r w:rsidR="009C795D">
        <w:t xml:space="preserve"> movement of </w:t>
      </w:r>
      <w:r w:rsidR="00D42214">
        <w:t xml:space="preserve">seeds of </w:t>
      </w:r>
      <w:r w:rsidR="00D42214">
        <w:rPr>
          <w:i/>
          <w:iCs/>
        </w:rPr>
        <w:t>Phaseolus vulgaris</w:t>
      </w:r>
      <w:r w:rsidR="009C795D">
        <w:t xml:space="preserve"> (2023-0</w:t>
      </w:r>
      <w:r w:rsidR="00D42214">
        <w:t>08</w:t>
      </w:r>
      <w:r w:rsidR="009C795D">
        <w:t>) (hereafter referred to as the draft “</w:t>
      </w:r>
      <w:r>
        <w:rPr>
          <w:i/>
          <w:iCs/>
        </w:rPr>
        <w:t>P. vulgaris</w:t>
      </w:r>
      <w:r w:rsidR="009C795D">
        <w:t xml:space="preserve"> standard”)</w:t>
      </w:r>
      <w:r w:rsidR="00BD7930">
        <w:t>.</w:t>
      </w:r>
    </w:p>
    <w:p w14:paraId="14C8450B" w14:textId="4B0074BC" w:rsidR="00040CAE" w:rsidRPr="00550967" w:rsidRDefault="00040CAE" w:rsidP="00040CAE">
      <w:pPr>
        <w:pStyle w:val="IPPHeading1"/>
      </w:pPr>
      <w:r>
        <w:t>Generic editorial style</w:t>
      </w:r>
    </w:p>
    <w:p w14:paraId="7BC85D6A" w14:textId="4EF78F18" w:rsidR="00AA0FC8" w:rsidRDefault="00EB16E4" w:rsidP="00C72B44">
      <w:pPr>
        <w:pStyle w:val="IPPParagraphnumbering"/>
        <w:numPr>
          <w:ilvl w:val="0"/>
          <w:numId w:val="27"/>
        </w:numPr>
        <w:rPr>
          <w:lang w:val="en-GB"/>
        </w:rPr>
      </w:pPr>
      <w:bookmarkStart w:id="2" w:name="_Hlk193749173"/>
      <w:r>
        <w:rPr>
          <w:b/>
          <w:bCs/>
        </w:rPr>
        <w:t>Title and s</w:t>
      </w:r>
      <w:r w:rsidR="007832AC" w:rsidRPr="00EB16E4">
        <w:rPr>
          <w:b/>
          <w:bCs/>
        </w:rPr>
        <w:t>cope.</w:t>
      </w:r>
      <w:r w:rsidR="007832AC">
        <w:t xml:space="preserve"> </w:t>
      </w:r>
      <w:r w:rsidR="007832AC" w:rsidRPr="00061FFF">
        <w:rPr>
          <w:lang w:val="en-GB"/>
        </w:rPr>
        <w:t xml:space="preserve">The </w:t>
      </w:r>
      <w:r w:rsidR="008916FB">
        <w:rPr>
          <w:lang w:val="en-GB"/>
        </w:rPr>
        <w:t xml:space="preserve">scope </w:t>
      </w:r>
      <w:r w:rsidR="00AA0FC8">
        <w:rPr>
          <w:lang w:val="en-GB"/>
        </w:rPr>
        <w:t xml:space="preserve">of </w:t>
      </w:r>
      <w:r w:rsidR="00557037">
        <w:rPr>
          <w:lang w:val="en-GB"/>
        </w:rPr>
        <w:t xml:space="preserve">ISPM 46 is </w:t>
      </w:r>
      <w:r w:rsidR="00833427" w:rsidRPr="00981AC0">
        <w:rPr>
          <w:lang w:val="en-GB"/>
        </w:rPr>
        <w:t>commodities being moved in international trade</w:t>
      </w:r>
      <w:r w:rsidR="00426C3D">
        <w:rPr>
          <w:lang w:val="en-GB"/>
        </w:rPr>
        <w:t>, so the scope is trade</w:t>
      </w:r>
      <w:r w:rsidR="009D132C">
        <w:rPr>
          <w:lang w:val="en-GB"/>
        </w:rPr>
        <w:t xml:space="preserve">; however, currently there is inconsistency </w:t>
      </w:r>
      <w:r w:rsidR="00B42630">
        <w:rPr>
          <w:lang w:val="en-GB"/>
        </w:rPr>
        <w:t xml:space="preserve">between draft standards and between the title and the Scope section </w:t>
      </w:r>
      <w:r w:rsidR="009D132C">
        <w:rPr>
          <w:lang w:val="en-GB"/>
        </w:rPr>
        <w:t xml:space="preserve">as to whether </w:t>
      </w:r>
      <w:r w:rsidR="00CD79B7">
        <w:rPr>
          <w:lang w:val="en-GB"/>
        </w:rPr>
        <w:t xml:space="preserve">to </w:t>
      </w:r>
      <w:r w:rsidR="00493CA5">
        <w:rPr>
          <w:lang w:val="en-GB"/>
        </w:rPr>
        <w:t xml:space="preserve">refer to the </w:t>
      </w:r>
      <w:r w:rsidR="00CD79B7">
        <w:t xml:space="preserve">“international movement of” or </w:t>
      </w:r>
      <w:r w:rsidR="00493CA5">
        <w:t xml:space="preserve">the </w:t>
      </w:r>
      <w:r w:rsidR="00CD79B7">
        <w:t>“international trade of”</w:t>
      </w:r>
      <w:r w:rsidR="00493CA5">
        <w:t xml:space="preserve"> the commodity</w:t>
      </w:r>
      <w:r w:rsidR="00833427">
        <w:rPr>
          <w:lang w:val="en-GB"/>
        </w:rPr>
        <w:t>.</w:t>
      </w:r>
      <w:r w:rsidR="00B42630">
        <w:rPr>
          <w:rStyle w:val="FootnoteReference"/>
          <w:lang w:val="en-GB"/>
        </w:rPr>
        <w:footnoteReference w:id="2"/>
      </w:r>
      <w:r w:rsidR="00426C3D">
        <w:rPr>
          <w:lang w:val="en-GB"/>
        </w:rPr>
        <w:t xml:space="preserve"> </w:t>
      </w:r>
      <w:r w:rsidR="00C72B44">
        <w:rPr>
          <w:lang w:val="en-GB"/>
        </w:rPr>
        <w:t xml:space="preserve">This issue is pending </w:t>
      </w:r>
      <w:r w:rsidR="002F5BC5">
        <w:t xml:space="preserve">review </w:t>
      </w:r>
      <w:r w:rsidR="00A40781">
        <w:t xml:space="preserve">of </w:t>
      </w:r>
      <w:r w:rsidR="00C72B44">
        <w:t xml:space="preserve">the </w:t>
      </w:r>
      <w:r w:rsidR="00A40781">
        <w:t xml:space="preserve">draft </w:t>
      </w:r>
      <w:r w:rsidR="002F5BC5" w:rsidRPr="00C72B44">
        <w:rPr>
          <w:i/>
          <w:iCs/>
        </w:rPr>
        <w:t xml:space="preserve">Citrus </w:t>
      </w:r>
      <w:r w:rsidR="002F5BC5">
        <w:t xml:space="preserve">and </w:t>
      </w:r>
      <w:r w:rsidR="002F5BC5" w:rsidRPr="00C72B44">
        <w:rPr>
          <w:i/>
          <w:iCs/>
        </w:rPr>
        <w:t xml:space="preserve">P. vulgaris </w:t>
      </w:r>
      <w:r w:rsidR="00A40781">
        <w:t>standards</w:t>
      </w:r>
      <w:r w:rsidR="00C72B44">
        <w:t xml:space="preserve"> by the SC in May 2026</w:t>
      </w:r>
      <w:r w:rsidR="00AA0FC8" w:rsidRPr="00AA0FC8">
        <w:rPr>
          <w:lang w:val="en-GB"/>
        </w:rPr>
        <w:t>.</w:t>
      </w:r>
    </w:p>
    <w:p w14:paraId="47A99E1F" w14:textId="1C857996" w:rsidR="009F072B" w:rsidRPr="002E08A6" w:rsidRDefault="00DD1536" w:rsidP="002477F4">
      <w:pPr>
        <w:pStyle w:val="IPPParagraphnumbering"/>
        <w:rPr>
          <w:b/>
          <w:bCs/>
        </w:rPr>
      </w:pPr>
      <w:r w:rsidRPr="00DD1536">
        <w:rPr>
          <w:b/>
          <w:bCs/>
        </w:rPr>
        <w:t xml:space="preserve">Species, genus and race. </w:t>
      </w:r>
      <w:r w:rsidR="00621108" w:rsidRPr="002E08A6">
        <w:t xml:space="preserve">In the </w:t>
      </w:r>
      <w:r w:rsidR="00621108">
        <w:t xml:space="preserve">table </w:t>
      </w:r>
      <w:r w:rsidR="00621108" w:rsidRPr="002E08A6">
        <w:t xml:space="preserve">of pests, </w:t>
      </w:r>
      <w:r w:rsidR="00BD591B">
        <w:t xml:space="preserve">taxa </w:t>
      </w:r>
      <w:r w:rsidR="004F68D8">
        <w:t xml:space="preserve">may be listed </w:t>
      </w:r>
      <w:r>
        <w:t xml:space="preserve">to </w:t>
      </w:r>
      <w:r w:rsidR="00BD591B">
        <w:t xml:space="preserve">the </w:t>
      </w:r>
      <w:r w:rsidR="00B12007">
        <w:t>species</w:t>
      </w:r>
      <w:r w:rsidR="00BD591B">
        <w:t xml:space="preserve"> or</w:t>
      </w:r>
      <w:r w:rsidR="00B12007">
        <w:t xml:space="preserve"> genus</w:t>
      </w:r>
      <w:r w:rsidR="00BD591B">
        <w:t xml:space="preserve"> level, </w:t>
      </w:r>
      <w:r w:rsidR="00B12007">
        <w:t xml:space="preserve">depending on </w:t>
      </w:r>
      <w:r>
        <w:t xml:space="preserve">the </w:t>
      </w:r>
      <w:r w:rsidR="005264A9">
        <w:t xml:space="preserve">taxonomic </w:t>
      </w:r>
      <w:r>
        <w:t xml:space="preserve">level </w:t>
      </w:r>
      <w:r w:rsidR="005B538D">
        <w:t>at which they are regulated</w:t>
      </w:r>
      <w:r w:rsidR="002946B6">
        <w:t xml:space="preserve">. Both the genus and individual species from </w:t>
      </w:r>
      <w:r w:rsidR="00B05BA0">
        <w:t>a</w:t>
      </w:r>
      <w:r w:rsidR="002946B6">
        <w:t xml:space="preserve"> genus should be listed if they are regulated separatel</w:t>
      </w:r>
      <w:r w:rsidR="008D087A">
        <w:t>y</w:t>
      </w:r>
      <w:r w:rsidR="00105BD6">
        <w:t xml:space="preserve">, as </w:t>
      </w:r>
      <w:r w:rsidR="00105BD6" w:rsidRPr="00015867">
        <w:rPr>
          <w:lang w:val="en-GB"/>
        </w:rPr>
        <w:t>the options for phytosanitary measures might differ between individual species</w:t>
      </w:r>
      <w:r w:rsidR="008D087A">
        <w:t>.</w:t>
      </w:r>
      <w:r w:rsidR="0043543C">
        <w:rPr>
          <w:rStyle w:val="FootnoteReference"/>
        </w:rPr>
        <w:footnoteReference w:id="3"/>
      </w:r>
      <w:r w:rsidR="00D82182">
        <w:t xml:space="preserve"> </w:t>
      </w:r>
    </w:p>
    <w:p w14:paraId="277F3ABB" w14:textId="0F5499B3" w:rsidR="00015867" w:rsidRPr="002E08A6" w:rsidRDefault="00D80AC8" w:rsidP="002477F4">
      <w:pPr>
        <w:pStyle w:val="IPPParagraphnumbering"/>
        <w:rPr>
          <w:b/>
          <w:bCs/>
        </w:rPr>
      </w:pPr>
      <w:r>
        <w:t xml:space="preserve">There is precedence for listing to the level of </w:t>
      </w:r>
      <w:r w:rsidR="003137C0">
        <w:t xml:space="preserve">race </w:t>
      </w:r>
      <w:r w:rsidR="00AA0FEE">
        <w:t xml:space="preserve">or strain </w:t>
      </w:r>
      <w:r w:rsidR="003137C0">
        <w:t>where</w:t>
      </w:r>
      <w:r w:rsidR="00DD1536">
        <w:t xml:space="preserve"> </w:t>
      </w:r>
      <w:r w:rsidR="002E0E85">
        <w:t xml:space="preserve">the </w:t>
      </w:r>
      <w:r w:rsidR="00DD1536">
        <w:t>regulat</w:t>
      </w:r>
      <w:r w:rsidR="002E0E85">
        <w:t>ion</w:t>
      </w:r>
      <w:r w:rsidR="00DD1536">
        <w:t xml:space="preserve"> </w:t>
      </w:r>
      <w:r w:rsidR="002E0E85">
        <w:t xml:space="preserve">is </w:t>
      </w:r>
      <w:r w:rsidR="00DD1536">
        <w:t xml:space="preserve">to the level of race </w:t>
      </w:r>
      <w:r w:rsidR="0079004B">
        <w:t xml:space="preserve">or strain </w:t>
      </w:r>
      <w:r w:rsidR="00DD1536">
        <w:t>(e.g. </w:t>
      </w:r>
      <w:r w:rsidR="00DD1536" w:rsidRPr="00DD1536">
        <w:rPr>
          <w:i/>
          <w:iCs/>
          <w:lang w:val="en-GB"/>
        </w:rPr>
        <w:t xml:space="preserve">Fusarium </w:t>
      </w:r>
      <w:proofErr w:type="spellStart"/>
      <w:r w:rsidR="00DD1536" w:rsidRPr="00DD1536">
        <w:rPr>
          <w:i/>
          <w:iCs/>
          <w:lang w:val="en-GB"/>
        </w:rPr>
        <w:t>oxysporum</w:t>
      </w:r>
      <w:proofErr w:type="spellEnd"/>
      <w:r w:rsidR="00DD1536" w:rsidRPr="00DD1536">
        <w:rPr>
          <w:i/>
          <w:iCs/>
          <w:lang w:val="en-GB"/>
        </w:rPr>
        <w:t xml:space="preserve"> </w:t>
      </w:r>
      <w:r w:rsidR="00DD1536" w:rsidRPr="00DD1536">
        <w:rPr>
          <w:lang w:val="en-GB"/>
        </w:rPr>
        <w:t xml:space="preserve">f. </w:t>
      </w:r>
      <w:proofErr w:type="spellStart"/>
      <w:r w:rsidR="00DD1536" w:rsidRPr="00DD1536">
        <w:rPr>
          <w:i/>
          <w:iCs/>
          <w:lang w:val="en-GB"/>
        </w:rPr>
        <w:t>cubense</w:t>
      </w:r>
      <w:proofErr w:type="spellEnd"/>
      <w:r w:rsidR="00DD1536" w:rsidRPr="00DD1536">
        <w:rPr>
          <w:i/>
          <w:iCs/>
          <w:lang w:val="en-GB"/>
        </w:rPr>
        <w:t xml:space="preserve"> </w:t>
      </w:r>
      <w:r w:rsidR="00DD1536" w:rsidRPr="00DD1536">
        <w:rPr>
          <w:lang w:val="en-GB"/>
        </w:rPr>
        <w:t>Tropical Race</w:t>
      </w:r>
      <w:r w:rsidR="00DD1536">
        <w:rPr>
          <w:lang w:val="en-GB"/>
        </w:rPr>
        <w:t> </w:t>
      </w:r>
      <w:r w:rsidR="00DD1536" w:rsidRPr="00DD1536">
        <w:rPr>
          <w:lang w:val="en-GB"/>
        </w:rPr>
        <w:t>4</w:t>
      </w:r>
      <w:r w:rsidR="00167102">
        <w:rPr>
          <w:lang w:val="en-GB"/>
        </w:rPr>
        <w:t>,</w:t>
      </w:r>
      <w:r w:rsidR="00DD1536">
        <w:rPr>
          <w:rStyle w:val="FootnoteReference"/>
        </w:rPr>
        <w:footnoteReference w:id="4"/>
      </w:r>
      <w:r w:rsidR="00167102">
        <w:t xml:space="preserve"> </w:t>
      </w:r>
      <w:r w:rsidR="00167102">
        <w:rPr>
          <w:lang w:val="en-GB"/>
        </w:rPr>
        <w:t>r</w:t>
      </w:r>
      <w:r w:rsidR="00167102" w:rsidRPr="00855B79">
        <w:rPr>
          <w:lang w:val="en-GB"/>
        </w:rPr>
        <w:t xml:space="preserve">aces and strains of </w:t>
      </w:r>
      <w:proofErr w:type="spellStart"/>
      <w:r w:rsidR="00167102" w:rsidRPr="002E08A6">
        <w:rPr>
          <w:i/>
          <w:iCs/>
          <w:lang w:val="en-GB"/>
        </w:rPr>
        <w:t>Ralstonia</w:t>
      </w:r>
      <w:proofErr w:type="spellEnd"/>
      <w:r w:rsidR="00167102" w:rsidRPr="002E08A6">
        <w:rPr>
          <w:i/>
          <w:iCs/>
          <w:lang w:val="en-GB"/>
        </w:rPr>
        <w:t xml:space="preserve"> solanacearum</w:t>
      </w:r>
      <w:r w:rsidR="00167102" w:rsidRPr="002E08A6">
        <w:rPr>
          <w:rStyle w:val="FootnoteReference"/>
          <w:lang w:val="en-GB"/>
        </w:rPr>
        <w:footnoteReference w:id="5"/>
      </w:r>
      <w:r w:rsidR="0079004B">
        <w:rPr>
          <w:lang w:val="en-GB"/>
        </w:rPr>
        <w:t>).</w:t>
      </w:r>
      <w:r w:rsidR="002E0E85">
        <w:t xml:space="preserve"> </w:t>
      </w:r>
      <w:r w:rsidR="00103747">
        <w:t xml:space="preserve">There is also precedence for omitting a </w:t>
      </w:r>
      <w:r w:rsidR="0003319E">
        <w:t>strain where there is also a submission for the species and it has the same measures.</w:t>
      </w:r>
      <w:r w:rsidR="0003319E">
        <w:rPr>
          <w:rStyle w:val="FootnoteReference"/>
        </w:rPr>
        <w:footnoteReference w:id="6"/>
      </w:r>
    </w:p>
    <w:p w14:paraId="02C6F464" w14:textId="3D2E1740" w:rsidR="00423311" w:rsidRPr="00F02533" w:rsidRDefault="004E4DFD" w:rsidP="00BD7930">
      <w:pPr>
        <w:pStyle w:val="IPPParagraphnumbering"/>
        <w:rPr>
          <w:b/>
          <w:bCs/>
        </w:rPr>
      </w:pPr>
      <w:r>
        <w:lastRenderedPageBreak/>
        <w:t>F</w:t>
      </w:r>
      <w:r w:rsidR="00423311" w:rsidRPr="00423311">
        <w:t xml:space="preserve">or </w:t>
      </w:r>
      <w:r>
        <w:t xml:space="preserve">the </w:t>
      </w:r>
      <w:proofErr w:type="spellStart"/>
      <w:r w:rsidR="00423311" w:rsidRPr="00423311">
        <w:rPr>
          <w:i/>
          <w:iCs/>
        </w:rPr>
        <w:t>Bactrocera</w:t>
      </w:r>
      <w:proofErr w:type="spellEnd"/>
      <w:r w:rsidR="00423311" w:rsidRPr="00423311">
        <w:rPr>
          <w:i/>
          <w:iCs/>
        </w:rPr>
        <w:t xml:space="preserve"> dorsalis</w:t>
      </w:r>
      <w:r>
        <w:rPr>
          <w:i/>
          <w:iCs/>
        </w:rPr>
        <w:t xml:space="preserve"> </w:t>
      </w:r>
      <w:r>
        <w:t>complex,</w:t>
      </w:r>
      <w:r w:rsidR="00423311" w:rsidRPr="00423311">
        <w:rPr>
          <w:i/>
          <w:iCs/>
        </w:rPr>
        <w:t xml:space="preserve"> </w:t>
      </w:r>
      <w:r>
        <w:t xml:space="preserve">list the individual species </w:t>
      </w:r>
      <w:r w:rsidR="00423311" w:rsidRPr="00423311">
        <w:t>rather than the complex</w:t>
      </w:r>
      <w:r>
        <w:t xml:space="preserve"> if </w:t>
      </w:r>
      <w:r w:rsidR="00423311" w:rsidRPr="00423311">
        <w:t xml:space="preserve">the various species within the complex </w:t>
      </w:r>
      <w:r>
        <w:t>a</w:t>
      </w:r>
      <w:r w:rsidR="00423311" w:rsidRPr="00423311">
        <w:t>re regulated separately to each other, with different phytosanitary measures.</w:t>
      </w:r>
      <w:r w:rsidR="00423311" w:rsidRPr="00423311">
        <w:rPr>
          <w:rStyle w:val="FootnoteReference"/>
        </w:rPr>
        <w:footnoteReference w:id="7"/>
      </w:r>
    </w:p>
    <w:p w14:paraId="613E68DD" w14:textId="108ABA2F" w:rsidR="00543AC7" w:rsidRDefault="00543AC7" w:rsidP="00BD7930">
      <w:pPr>
        <w:pStyle w:val="IPPParagraphnumbering"/>
      </w:pPr>
      <w:r>
        <w:t xml:space="preserve">In the table of </w:t>
      </w:r>
      <w:r w:rsidRPr="00543AC7">
        <w:t>pest-specific options for phytosanitary measures</w:t>
      </w:r>
      <w:r>
        <w:t xml:space="preserve">, there is precedence for a pest being listed to the genus level where the measure was the same for all species of the genus and the </w:t>
      </w:r>
      <w:r w:rsidR="00750BA4">
        <w:t xml:space="preserve">list of pests </w:t>
      </w:r>
      <w:r>
        <w:t>include</w:t>
      </w:r>
      <w:r w:rsidR="00750BA4">
        <w:t>d</w:t>
      </w:r>
      <w:r>
        <w:t xml:space="preserve"> all the main pest species of the genus</w:t>
      </w:r>
      <w:r w:rsidR="00750BA4">
        <w:t xml:space="preserve"> (in a case where </w:t>
      </w:r>
      <w:r w:rsidRPr="00543AC7">
        <w:t>one contracting party regulated to species level but did not require specific measures, whereas another contracting party required specific measures but only regulated the pest to the level of the genus).</w:t>
      </w:r>
      <w:r w:rsidR="00750BA4">
        <w:rPr>
          <w:rStyle w:val="FootnoteReference"/>
        </w:rPr>
        <w:footnoteReference w:id="8"/>
      </w:r>
    </w:p>
    <w:p w14:paraId="4CD33425" w14:textId="41903173" w:rsidR="00575464" w:rsidRPr="00543AC7" w:rsidRDefault="00575464" w:rsidP="00575464">
      <w:pPr>
        <w:pStyle w:val="IPPParagraphnumbering"/>
        <w:rPr>
          <w:b/>
          <w:bCs/>
        </w:rPr>
      </w:pPr>
      <w:r>
        <w:rPr>
          <w:b/>
          <w:bCs/>
        </w:rPr>
        <w:t xml:space="preserve">Viruses. </w:t>
      </w:r>
      <w:r>
        <w:t xml:space="preserve">For viruses, give “virus name (ACRONYM, </w:t>
      </w:r>
      <w:r w:rsidRPr="00B363E0">
        <w:rPr>
          <w:i/>
          <w:iCs/>
        </w:rPr>
        <w:t>Species name</w:t>
      </w:r>
      <w:r>
        <w:t>)” in the list of pests and virus name only in the list of pest-specific measures.</w:t>
      </w:r>
      <w:r>
        <w:rPr>
          <w:rStyle w:val="FootnoteReference"/>
        </w:rPr>
        <w:footnoteReference w:id="9"/>
      </w:r>
    </w:p>
    <w:p w14:paraId="45A5A3BA" w14:textId="07A3D23C" w:rsidR="00FF79AC" w:rsidRDefault="0016300E" w:rsidP="00FF79AC">
      <w:pPr>
        <w:pStyle w:val="IPPParagraphnumberingclose"/>
      </w:pPr>
      <w:r w:rsidRPr="00FF79AC">
        <w:rPr>
          <w:b/>
          <w:bCs/>
        </w:rPr>
        <w:t>Species names</w:t>
      </w:r>
      <w:r w:rsidR="00FF79AC" w:rsidRPr="00FF79AC">
        <w:rPr>
          <w:b/>
          <w:bCs/>
        </w:rPr>
        <w:t xml:space="preserve"> and synonyms</w:t>
      </w:r>
      <w:r w:rsidRPr="00FF79AC">
        <w:rPr>
          <w:b/>
          <w:bCs/>
        </w:rPr>
        <w:t xml:space="preserve">. </w:t>
      </w:r>
      <w:r w:rsidR="00FF79AC" w:rsidRPr="00FF79AC">
        <w:t>Apply</w:t>
      </w:r>
      <w:r w:rsidR="00FF79AC">
        <w:t xml:space="preserve"> the following general approach:</w:t>
      </w:r>
      <w:r w:rsidR="00FF79AC">
        <w:rPr>
          <w:rStyle w:val="FootnoteReference"/>
        </w:rPr>
        <w:footnoteReference w:id="10"/>
      </w:r>
    </w:p>
    <w:p w14:paraId="766A02F3" w14:textId="391CEE4A" w:rsidR="005C013C" w:rsidRDefault="00FF79AC" w:rsidP="00FF79AC">
      <w:pPr>
        <w:pStyle w:val="IPPBullet1"/>
      </w:pPr>
      <w:r>
        <w:t>Use the names as submitted by contracting parties, unless a different name is used in an annex to ISPM 27 (</w:t>
      </w:r>
      <w:r w:rsidRPr="0016300E">
        <w:rPr>
          <w:i/>
          <w:iCs/>
        </w:rPr>
        <w:t>Diagnostic protocols for regulated pests</w:t>
      </w:r>
      <w:r>
        <w:t>) or ISPM 28 (</w:t>
      </w:r>
      <w:r w:rsidRPr="0016300E">
        <w:rPr>
          <w:i/>
          <w:iCs/>
        </w:rPr>
        <w:t>Phytosanitary treatments for regulated pests</w:t>
      </w:r>
      <w:r>
        <w:t xml:space="preserve">). Where two </w:t>
      </w:r>
      <w:r w:rsidR="005C013C">
        <w:t xml:space="preserve">or more </w:t>
      </w:r>
      <w:r>
        <w:t xml:space="preserve">names have been submitted, use the most recent, accepted name of the </w:t>
      </w:r>
      <w:r w:rsidR="00C41FEF">
        <w:t>submitted names</w:t>
      </w:r>
      <w:r>
        <w:t>.</w:t>
      </w:r>
    </w:p>
    <w:p w14:paraId="19FB3B3C" w14:textId="0E264CF5" w:rsidR="00FF79AC" w:rsidRDefault="00FF79AC" w:rsidP="00FF79AC">
      <w:pPr>
        <w:pStyle w:val="IPPBullet1"/>
      </w:pPr>
      <w:r>
        <w:t>In cases of doubt, the TPCS asks the submitting country to confirm that the name preferred by the panel relates to the same organism as the submitted name.</w:t>
      </w:r>
    </w:p>
    <w:p w14:paraId="561C1A47" w14:textId="25EE5A49" w:rsidR="00FF79AC" w:rsidRDefault="00FF79AC" w:rsidP="00FF79AC">
      <w:pPr>
        <w:pStyle w:val="IPPBullet1Last"/>
      </w:pPr>
      <w:r>
        <w:t>Where confusion could arise by giving only one name, the TPCS may consider, on a case-by</w:t>
      </w:r>
      <w:r w:rsidR="00AF4E9F">
        <w:t>-</w:t>
      </w:r>
      <w:r>
        <w:t>case basis, whether to give the superseded name in parentheses.</w:t>
      </w:r>
    </w:p>
    <w:p w14:paraId="02CA529B" w14:textId="241CB813" w:rsidR="00FF79AC" w:rsidRDefault="00FF79AC" w:rsidP="00FF79AC">
      <w:pPr>
        <w:pStyle w:val="IPPParagraphnumbering"/>
      </w:pPr>
      <w:r>
        <w:t xml:space="preserve">See Appendix 1 for detail about </w:t>
      </w:r>
      <w:r w:rsidR="003A2C94">
        <w:t xml:space="preserve">the </w:t>
      </w:r>
      <w:r>
        <w:t>development of this approach.</w:t>
      </w:r>
    </w:p>
    <w:p w14:paraId="2EAA36F3" w14:textId="55A88EE1" w:rsidR="00FF79AC" w:rsidRDefault="00FF79AC" w:rsidP="002E08A6">
      <w:pPr>
        <w:pStyle w:val="IPPParagraphnumberingclose"/>
      </w:pPr>
      <w:r>
        <w:t>Include a generic footnote to the table of pests:</w:t>
      </w:r>
      <w:r w:rsidR="003A2C94">
        <w:rPr>
          <w:rStyle w:val="FootnoteReference"/>
        </w:rPr>
        <w:footnoteReference w:id="11"/>
      </w:r>
    </w:p>
    <w:p w14:paraId="3B7C3257" w14:textId="087950B3" w:rsidR="00FF79AC" w:rsidRDefault="00FF79AC" w:rsidP="00FF79AC">
      <w:pPr>
        <w:pStyle w:val="IPPQuote"/>
      </w:pPr>
      <w:r w:rsidRPr="008644F7">
        <w:t xml:space="preserve">Scientific names used in this </w:t>
      </w:r>
      <w:proofErr w:type="gramStart"/>
      <w:r w:rsidRPr="008644F7">
        <w:t>table</w:t>
      </w:r>
      <w:r w:rsidR="00633F12">
        <w:t>[</w:t>
      </w:r>
      <w:proofErr w:type="gramEnd"/>
      <w:r w:rsidR="009E6347">
        <w:t>, and names provided for viruses,]</w:t>
      </w:r>
      <w:r w:rsidRPr="008644F7">
        <w:t xml:space="preserve"> are based on the submissions by contracting </w:t>
      </w:r>
      <w:proofErr w:type="gramStart"/>
      <w:r w:rsidRPr="008644F7">
        <w:t>parties</w:t>
      </w:r>
      <w:r w:rsidR="009D29A8">
        <w:t>[</w:t>
      </w:r>
      <w:proofErr w:type="gramEnd"/>
      <w:r>
        <w:t xml:space="preserve">, modified </w:t>
      </w:r>
      <w:r w:rsidR="007467C2" w:rsidRPr="004E46D4">
        <w:t xml:space="preserve">where more than one name was submitted to the more recent scientific name or </w:t>
      </w:r>
      <w:r w:rsidRPr="008644F7">
        <w:t>align</w:t>
      </w:r>
      <w:r w:rsidR="005060A8">
        <w:t>ed</w:t>
      </w:r>
      <w:r w:rsidRPr="008644F7">
        <w:t xml:space="preserve"> with ISPM 27 (</w:t>
      </w:r>
      <w:r w:rsidRPr="008644F7">
        <w:rPr>
          <w:i/>
          <w:iCs/>
        </w:rPr>
        <w:t>Diagnostic protocols for regulated pests</w:t>
      </w:r>
      <w:r w:rsidRPr="008644F7">
        <w:t>) or ISPM 28 (</w:t>
      </w:r>
      <w:r w:rsidRPr="008644F7">
        <w:rPr>
          <w:i/>
          <w:iCs/>
        </w:rPr>
        <w:t>Phytosanitary treatments for regulated pests</w:t>
      </w:r>
      <w:r w:rsidRPr="008644F7">
        <w:t>)</w:t>
      </w:r>
      <w:r w:rsidR="00DA349A">
        <w:t>]</w:t>
      </w:r>
      <w:r w:rsidRPr="008644F7">
        <w:t>.</w:t>
      </w:r>
    </w:p>
    <w:p w14:paraId="5944AA25" w14:textId="2D152469" w:rsidR="0016300E" w:rsidRDefault="003A2C94" w:rsidP="0016300E">
      <w:pPr>
        <w:pStyle w:val="IPPParagraphnumberingclose"/>
      </w:pPr>
      <w:r>
        <w:t xml:space="preserve">Note that the footnote differs from that used in </w:t>
      </w:r>
      <w:r w:rsidR="00310341">
        <w:t>CS 1</w:t>
      </w:r>
      <w:r w:rsidR="00FF79AC">
        <w:t>:</w:t>
      </w:r>
      <w:r w:rsidR="0016300E">
        <w:rPr>
          <w:rStyle w:val="FootnoteReference"/>
        </w:rPr>
        <w:footnoteReference w:id="12"/>
      </w:r>
    </w:p>
    <w:p w14:paraId="3A402359" w14:textId="77777777" w:rsidR="0016300E" w:rsidRDefault="0016300E" w:rsidP="0016300E">
      <w:pPr>
        <w:pStyle w:val="IPPQuote"/>
      </w:pPr>
      <w:r w:rsidRPr="001035F1">
        <w:t>Scientific names used in this table are based on the submissions by contracting parties</w:t>
      </w:r>
      <w:r w:rsidRPr="00A5598B">
        <w:t xml:space="preserve"> or aligned with ISPM 27 (</w:t>
      </w:r>
      <w:r w:rsidRPr="00A5598B">
        <w:rPr>
          <w:i/>
          <w:iCs/>
        </w:rPr>
        <w:t>Diagnostic protocols for regulated pests</w:t>
      </w:r>
      <w:r w:rsidRPr="00A5598B">
        <w:t>) or ISPM 28 (</w:t>
      </w:r>
      <w:r w:rsidRPr="00A5598B">
        <w:rPr>
          <w:i/>
          <w:iCs/>
        </w:rPr>
        <w:t>Phytosanitary treatments for regulated pests</w:t>
      </w:r>
      <w:r w:rsidRPr="00A5598B">
        <w:t>).</w:t>
      </w:r>
    </w:p>
    <w:bookmarkEnd w:id="2"/>
    <w:p w14:paraId="4C2D9D19" w14:textId="77EB0C06" w:rsidR="00BD7930" w:rsidRDefault="00BD7930" w:rsidP="00BD7930">
      <w:pPr>
        <w:pStyle w:val="IPPParagraphnumbering"/>
      </w:pPr>
      <w:r w:rsidRPr="00C90C76">
        <w:rPr>
          <w:b/>
          <w:bCs/>
        </w:rPr>
        <w:t>Species authorities.</w:t>
      </w:r>
      <w:r>
        <w:rPr>
          <w:i/>
          <w:iCs/>
        </w:rPr>
        <w:t xml:space="preserve"> </w:t>
      </w:r>
      <w:r>
        <w:t xml:space="preserve">Include authority and year for pests in the list of </w:t>
      </w:r>
      <w:proofErr w:type="gramStart"/>
      <w:r>
        <w:t>pests, but</w:t>
      </w:r>
      <w:proofErr w:type="gramEnd"/>
      <w:r>
        <w:t xml:space="preserve"> omit authority and year for the commodity that is the subject of the standard</w:t>
      </w:r>
      <w:r w:rsidRPr="0046508C">
        <w:t>.</w:t>
      </w:r>
      <w:r w:rsidRPr="0046508C">
        <w:rPr>
          <w:rStyle w:val="FootnoteReference"/>
        </w:rPr>
        <w:footnoteReference w:id="13"/>
      </w:r>
    </w:p>
    <w:p w14:paraId="0CF0AC0A" w14:textId="6D2EE28F" w:rsidR="00BD7930" w:rsidRPr="00AD7472" w:rsidRDefault="00BD7930" w:rsidP="00BD7930">
      <w:pPr>
        <w:pStyle w:val="IPPParagraphnumberingclose"/>
        <w:rPr>
          <w:b/>
          <w:bCs/>
        </w:rPr>
      </w:pPr>
      <w:r w:rsidRPr="00AD7472">
        <w:rPr>
          <w:b/>
          <w:bCs/>
        </w:rPr>
        <w:lastRenderedPageBreak/>
        <w:t xml:space="preserve">Sources </w:t>
      </w:r>
      <w:r w:rsidR="00E617CC">
        <w:rPr>
          <w:b/>
          <w:bCs/>
        </w:rPr>
        <w:t xml:space="preserve">for </w:t>
      </w:r>
      <w:r w:rsidRPr="00AD7472">
        <w:rPr>
          <w:b/>
          <w:bCs/>
        </w:rPr>
        <w:t>checking species names and authorities</w:t>
      </w:r>
      <w:r w:rsidR="00B73391">
        <w:rPr>
          <w:b/>
          <w:bCs/>
        </w:rPr>
        <w:t xml:space="preserve">. </w:t>
      </w:r>
      <w:r w:rsidR="00B73391" w:rsidRPr="00B73391">
        <w:t>The spelling of a</w:t>
      </w:r>
      <w:r w:rsidR="00B73391">
        <w:t>ll species names, and the accuracy of the associated authorities and dates, are checked by the IPPC editor during the editing stages</w:t>
      </w:r>
      <w:r w:rsidR="00E617CC">
        <w:t>.</w:t>
      </w:r>
      <w:r w:rsidR="00BC6B3B">
        <w:rPr>
          <w:rStyle w:val="FootnoteReference"/>
        </w:rPr>
        <w:footnoteReference w:id="14"/>
      </w:r>
      <w:r w:rsidR="00E617CC">
        <w:t xml:space="preserve"> </w:t>
      </w:r>
    </w:p>
    <w:p w14:paraId="0804BAF3" w14:textId="66FEB7DC" w:rsidR="00BD7930" w:rsidRPr="00443120" w:rsidRDefault="008E4D77" w:rsidP="00BD7930">
      <w:pPr>
        <w:pStyle w:val="IPPBullet1"/>
      </w:pPr>
      <w:r>
        <w:t>P</w:t>
      </w:r>
      <w:r w:rsidR="00BD7930">
        <w:t xml:space="preserve">rimary sources </w:t>
      </w:r>
      <w:r w:rsidR="00FB121F">
        <w:t xml:space="preserve">used </w:t>
      </w:r>
      <w:r w:rsidR="00FE4838">
        <w:t xml:space="preserve">when editing ISPMs </w:t>
      </w:r>
      <w:r w:rsidR="00BD7930">
        <w:t xml:space="preserve">(as recommended by the </w:t>
      </w:r>
      <w:r w:rsidR="00D36AE8">
        <w:t>Technical Panel on Diagnostic Protocols</w:t>
      </w:r>
      <w:r w:rsidR="00BD7930">
        <w:t xml:space="preserve"> and listed in </w:t>
      </w:r>
      <w:r w:rsidR="00BD7930" w:rsidRPr="00443120">
        <w:t xml:space="preserve">the </w:t>
      </w:r>
      <w:hyperlink r:id="rId11" w:history="1">
        <w:r w:rsidR="00BD7930" w:rsidRPr="003B2F23">
          <w:rPr>
            <w:rStyle w:val="Hyperlink"/>
          </w:rPr>
          <w:t xml:space="preserve">Instructions </w:t>
        </w:r>
        <w:r w:rsidR="003B2F23">
          <w:rPr>
            <w:rStyle w:val="Hyperlink"/>
          </w:rPr>
          <w:t>t</w:t>
        </w:r>
        <w:r w:rsidR="003B2F23" w:rsidRPr="003B2F23">
          <w:rPr>
            <w:rStyle w:val="Hyperlink"/>
          </w:rPr>
          <w:t xml:space="preserve">o Authors </w:t>
        </w:r>
        <w:r w:rsidR="003B2F23">
          <w:rPr>
            <w:rStyle w:val="Hyperlink"/>
          </w:rPr>
          <w:t>o</w:t>
        </w:r>
        <w:r w:rsidR="003B2F23" w:rsidRPr="003B2F23">
          <w:rPr>
            <w:rStyle w:val="Hyperlink"/>
          </w:rPr>
          <w:t xml:space="preserve">f Diagnostic Protocols </w:t>
        </w:r>
        <w:r w:rsidR="003B2F23">
          <w:rPr>
            <w:rStyle w:val="Hyperlink"/>
          </w:rPr>
          <w:t>f</w:t>
        </w:r>
        <w:r w:rsidR="003B2F23" w:rsidRPr="003B2F23">
          <w:rPr>
            <w:rStyle w:val="Hyperlink"/>
          </w:rPr>
          <w:t>or Regulated Pests</w:t>
        </w:r>
      </w:hyperlink>
      <w:r w:rsidR="00BD7930" w:rsidRPr="00443120">
        <w:t xml:space="preserve">): </w:t>
      </w:r>
    </w:p>
    <w:p w14:paraId="3884C269" w14:textId="1C3120C5" w:rsidR="00BD7930" w:rsidRPr="002609DD" w:rsidRDefault="00BD7930" w:rsidP="00BD7930">
      <w:pPr>
        <w:pStyle w:val="IPPBullet2"/>
      </w:pPr>
      <w:r w:rsidRPr="002609DD">
        <w:t>Botany: International Plant Name Index (</w:t>
      </w:r>
      <w:hyperlink r:id="rId12" w:history="1">
        <w:r w:rsidR="00D55FD6" w:rsidRPr="002F6A25">
          <w:rPr>
            <w:rStyle w:val="Hyperlink"/>
          </w:rPr>
          <w:t>http://www.ipni.org</w:t>
        </w:r>
      </w:hyperlink>
      <w:proofErr w:type="gramStart"/>
      <w:r w:rsidRPr="002609DD">
        <w:t>)</w:t>
      </w:r>
      <w:r w:rsidR="008E4D77">
        <w:t>;</w:t>
      </w:r>
      <w:proofErr w:type="gramEnd"/>
    </w:p>
    <w:p w14:paraId="58231095" w14:textId="22D6188E" w:rsidR="00BD7930" w:rsidRPr="002609DD" w:rsidRDefault="00BD7930" w:rsidP="00BD7930">
      <w:pPr>
        <w:pStyle w:val="IPPBullet2"/>
      </w:pPr>
      <w:r w:rsidRPr="002609DD">
        <w:t xml:space="preserve">Fungi: Index </w:t>
      </w:r>
      <w:proofErr w:type="spellStart"/>
      <w:r w:rsidRPr="002609DD">
        <w:t>Fungorum</w:t>
      </w:r>
      <w:proofErr w:type="spellEnd"/>
      <w:r w:rsidRPr="002609DD">
        <w:t xml:space="preserve"> </w:t>
      </w:r>
      <w:r w:rsidR="004219B9">
        <w:t>(</w:t>
      </w:r>
      <w:hyperlink r:id="rId13" w:history="1">
        <w:r w:rsidR="004219B9" w:rsidRPr="002F6A25">
          <w:rPr>
            <w:rStyle w:val="Hyperlink"/>
          </w:rPr>
          <w:t>https://www.indexfungorum.org/</w:t>
        </w:r>
      </w:hyperlink>
      <w:r w:rsidR="004219B9">
        <w:t xml:space="preserve">) </w:t>
      </w:r>
      <w:r w:rsidRPr="002609DD">
        <w:t xml:space="preserve">or </w:t>
      </w:r>
      <w:proofErr w:type="spellStart"/>
      <w:r w:rsidRPr="002609DD">
        <w:t>Mycobank</w:t>
      </w:r>
      <w:proofErr w:type="spellEnd"/>
      <w:r w:rsidR="00D55FD6">
        <w:t xml:space="preserve"> (</w:t>
      </w:r>
      <w:hyperlink r:id="rId14" w:history="1">
        <w:r w:rsidR="00D55FD6" w:rsidRPr="002F6A25">
          <w:rPr>
            <w:rStyle w:val="Hyperlink"/>
          </w:rPr>
          <w:t>https://www.mycobank.org/</w:t>
        </w:r>
      </w:hyperlink>
      <w:proofErr w:type="gramStart"/>
      <w:r w:rsidR="00D55FD6">
        <w:t>)</w:t>
      </w:r>
      <w:r w:rsidR="008E4D77">
        <w:t>;</w:t>
      </w:r>
      <w:proofErr w:type="gramEnd"/>
    </w:p>
    <w:p w14:paraId="5440072F" w14:textId="0EC096FA" w:rsidR="00BD7930" w:rsidRPr="002609DD" w:rsidRDefault="00BD7930" w:rsidP="00BD7930">
      <w:pPr>
        <w:pStyle w:val="IPPBullet2"/>
      </w:pPr>
      <w:r w:rsidRPr="002609DD">
        <w:t xml:space="preserve">Zoology: </w:t>
      </w:r>
      <w:proofErr w:type="spellStart"/>
      <w:r w:rsidRPr="002609DD">
        <w:t>Zoobank</w:t>
      </w:r>
      <w:proofErr w:type="spellEnd"/>
      <w:r w:rsidRPr="002609DD">
        <w:t xml:space="preserve"> (</w:t>
      </w:r>
      <w:hyperlink r:id="rId15" w:history="1">
        <w:r w:rsidR="00353A28" w:rsidRPr="002F6A25">
          <w:rPr>
            <w:rStyle w:val="Hyperlink"/>
          </w:rPr>
          <w:t>https://zoobank.org</w:t>
        </w:r>
      </w:hyperlink>
      <w:proofErr w:type="gramStart"/>
      <w:r w:rsidR="002A0620">
        <w:t>)</w:t>
      </w:r>
      <w:r w:rsidR="008E4D77">
        <w:t>;</w:t>
      </w:r>
      <w:proofErr w:type="gramEnd"/>
    </w:p>
    <w:p w14:paraId="376074DC" w14:textId="236B2DCF" w:rsidR="00BD7930" w:rsidRPr="002609DD" w:rsidRDefault="00BD7930" w:rsidP="00BD7930">
      <w:pPr>
        <w:pStyle w:val="IPPBullet2"/>
      </w:pPr>
      <w:r w:rsidRPr="002609DD">
        <w:t>Bacteriology: List of Prokaryotic Names with Standing in Nomenclature</w:t>
      </w:r>
      <w:r w:rsidR="00096C75">
        <w:t xml:space="preserve"> (</w:t>
      </w:r>
      <w:hyperlink r:id="rId16" w:history="1">
        <w:r w:rsidR="00DC2FE0">
          <w:rPr>
            <w:rStyle w:val="Hyperlink"/>
          </w:rPr>
          <w:t>https://lpsn.dsmz.de/</w:t>
        </w:r>
      </w:hyperlink>
      <w:r w:rsidR="00096C75">
        <w:t>)</w:t>
      </w:r>
      <w:r w:rsidR="008E4D77">
        <w:t>; and</w:t>
      </w:r>
    </w:p>
    <w:p w14:paraId="0A6FED26" w14:textId="1AA8A0A9" w:rsidR="00BD7930" w:rsidRPr="002609DD" w:rsidRDefault="00BD7930" w:rsidP="00BD7930">
      <w:pPr>
        <w:pStyle w:val="IPPBullet2"/>
      </w:pPr>
      <w:r w:rsidRPr="002609DD">
        <w:t>Virology: International Committee on Taxonomy of Viruses</w:t>
      </w:r>
      <w:r w:rsidR="00A77658">
        <w:t xml:space="preserve"> (</w:t>
      </w:r>
      <w:hyperlink r:id="rId17" w:history="1">
        <w:r w:rsidR="00353A28" w:rsidRPr="002F6A25">
          <w:rPr>
            <w:rStyle w:val="Hyperlink"/>
          </w:rPr>
          <w:t>https://ictv.global/</w:t>
        </w:r>
      </w:hyperlink>
      <w:r w:rsidR="00A77658">
        <w:t>)</w:t>
      </w:r>
      <w:r w:rsidR="008E4D77">
        <w:t>.</w:t>
      </w:r>
    </w:p>
    <w:p w14:paraId="02E97A63" w14:textId="4EECBDD2" w:rsidR="00BD7930" w:rsidRPr="002609DD" w:rsidRDefault="00A97468" w:rsidP="00BD7930">
      <w:pPr>
        <w:pStyle w:val="IPPBullet1"/>
      </w:pPr>
      <w:r>
        <w:t>Examples of o</w:t>
      </w:r>
      <w:r w:rsidR="00BD7930" w:rsidRPr="002609DD">
        <w:t xml:space="preserve">ther supplementary sources used during editing of ISPMs when the above </w:t>
      </w:r>
      <w:proofErr w:type="gramStart"/>
      <w:r w:rsidR="00BD7930" w:rsidRPr="002609DD">
        <w:t>are</w:t>
      </w:r>
      <w:proofErr w:type="gramEnd"/>
      <w:r w:rsidR="00BD7930" w:rsidRPr="002609DD">
        <w:t xml:space="preserve"> not conclusive</w:t>
      </w:r>
      <w:r w:rsidR="00C74B4E">
        <w:t xml:space="preserve"> </w:t>
      </w:r>
      <w:r w:rsidR="00BD7930" w:rsidRPr="002609DD">
        <w:t xml:space="preserve">(in no </w:t>
      </w:r>
      <w:proofErr w:type="gramStart"/>
      <w:r w:rsidR="00BD7930" w:rsidRPr="002609DD">
        <w:t>particular order</w:t>
      </w:r>
      <w:proofErr w:type="gramEnd"/>
      <w:r w:rsidR="00BD7930" w:rsidRPr="002609DD">
        <w:t>):</w:t>
      </w:r>
    </w:p>
    <w:p w14:paraId="5208E88D" w14:textId="2A250771" w:rsidR="00BD7930" w:rsidRPr="002609DD" w:rsidRDefault="00BD7930" w:rsidP="00BD7930">
      <w:pPr>
        <w:pStyle w:val="IPPBullet2"/>
      </w:pPr>
      <w:r w:rsidRPr="002609DD">
        <w:t>Catalogue of Life</w:t>
      </w:r>
      <w:r w:rsidR="00EE44C0">
        <w:t xml:space="preserve"> (</w:t>
      </w:r>
      <w:hyperlink r:id="rId18" w:history="1">
        <w:r w:rsidR="00353A28" w:rsidRPr="002F6A25">
          <w:rPr>
            <w:rStyle w:val="Hyperlink"/>
          </w:rPr>
          <w:t>https://www.catalogueoflife.org/</w:t>
        </w:r>
      </w:hyperlink>
      <w:proofErr w:type="gramStart"/>
      <w:r w:rsidR="00EE44C0">
        <w:t>)</w:t>
      </w:r>
      <w:r w:rsidR="008E4D77">
        <w:t>;</w:t>
      </w:r>
      <w:proofErr w:type="gramEnd"/>
    </w:p>
    <w:p w14:paraId="3ACE5918" w14:textId="202E6ABF" w:rsidR="00BD7930" w:rsidRPr="002609DD" w:rsidRDefault="00BD7930" w:rsidP="00BD7930">
      <w:pPr>
        <w:pStyle w:val="IPPBullet2"/>
      </w:pPr>
      <w:r w:rsidRPr="002609DD">
        <w:t>Global Biodiversity Information Facility</w:t>
      </w:r>
      <w:r w:rsidR="00955726">
        <w:t xml:space="preserve"> (</w:t>
      </w:r>
      <w:hyperlink r:id="rId19" w:history="1">
        <w:r w:rsidR="00353A28" w:rsidRPr="002F6A25">
          <w:rPr>
            <w:rStyle w:val="Hyperlink"/>
          </w:rPr>
          <w:t>https://www.gbif.org/</w:t>
        </w:r>
      </w:hyperlink>
      <w:proofErr w:type="gramStart"/>
      <w:r w:rsidR="00955726">
        <w:t>)</w:t>
      </w:r>
      <w:r w:rsidR="008E4D77">
        <w:t>;</w:t>
      </w:r>
      <w:proofErr w:type="gramEnd"/>
    </w:p>
    <w:p w14:paraId="193CBF78" w14:textId="1E59B51E" w:rsidR="00BD7930" w:rsidRPr="002609DD" w:rsidRDefault="00BD7930" w:rsidP="00BD7930">
      <w:pPr>
        <w:pStyle w:val="IPPBullet2"/>
      </w:pPr>
      <w:r w:rsidRPr="002609DD">
        <w:t>EPPO Global Database</w:t>
      </w:r>
      <w:r w:rsidR="00045096">
        <w:t xml:space="preserve"> (</w:t>
      </w:r>
      <w:hyperlink r:id="rId20" w:history="1">
        <w:r w:rsidR="00353A28" w:rsidRPr="002F6A25">
          <w:rPr>
            <w:rStyle w:val="Hyperlink"/>
          </w:rPr>
          <w:t>https://gd.eppo.int/</w:t>
        </w:r>
      </w:hyperlink>
      <w:proofErr w:type="gramStart"/>
      <w:r w:rsidR="00045096">
        <w:t>)</w:t>
      </w:r>
      <w:r w:rsidR="008E4D77">
        <w:t>;</w:t>
      </w:r>
      <w:proofErr w:type="gramEnd"/>
    </w:p>
    <w:p w14:paraId="4A8A1897" w14:textId="37263271" w:rsidR="00BD7930" w:rsidRPr="002609DD" w:rsidRDefault="00BD7930" w:rsidP="00BD7930">
      <w:pPr>
        <w:pStyle w:val="IPPBullet2"/>
      </w:pPr>
      <w:r w:rsidRPr="002609DD">
        <w:t>CABI Compendium</w:t>
      </w:r>
      <w:r w:rsidR="00B621A2">
        <w:t xml:space="preserve"> (</w:t>
      </w:r>
      <w:hyperlink r:id="rId21" w:history="1">
        <w:r w:rsidR="00353A28" w:rsidRPr="002F6A25">
          <w:rPr>
            <w:rStyle w:val="Hyperlink"/>
          </w:rPr>
          <w:t>https://www.cabidigitallibrary.org/journal/cabicompendium</w:t>
        </w:r>
      </w:hyperlink>
      <w:proofErr w:type="gramStart"/>
      <w:r w:rsidR="00B621A2">
        <w:t>)</w:t>
      </w:r>
      <w:r w:rsidR="008E4D77">
        <w:t>;</w:t>
      </w:r>
      <w:proofErr w:type="gramEnd"/>
    </w:p>
    <w:p w14:paraId="3309C871" w14:textId="6E917D9B" w:rsidR="00045096" w:rsidRDefault="00BD7930" w:rsidP="006D4D48">
      <w:pPr>
        <w:pStyle w:val="IPPBullet2"/>
      </w:pPr>
      <w:r w:rsidRPr="002609DD">
        <w:t>adopted ISPMs (e.g. </w:t>
      </w:r>
      <w:r w:rsidR="00D36AE8">
        <w:t>diagnostic protocols</w:t>
      </w:r>
      <w:r w:rsidRPr="002609DD">
        <w:t xml:space="preserve"> and </w:t>
      </w:r>
      <w:r w:rsidR="00D36AE8">
        <w:t>phytosanitary treatments (</w:t>
      </w:r>
      <w:r w:rsidRPr="002609DD">
        <w:t>PTs</w:t>
      </w:r>
      <w:r w:rsidR="00D36AE8">
        <w:t>)</w:t>
      </w:r>
      <w:r w:rsidRPr="002609DD">
        <w:t>)</w:t>
      </w:r>
      <w:r w:rsidR="008E4D77">
        <w:t>; and</w:t>
      </w:r>
    </w:p>
    <w:p w14:paraId="2EDE22F6" w14:textId="1391E925" w:rsidR="00BD7930" w:rsidRPr="002609DD" w:rsidRDefault="00045096" w:rsidP="00BD7930">
      <w:pPr>
        <w:pStyle w:val="IPPBullet2"/>
        <w:spacing w:after="180"/>
      </w:pPr>
      <w:r>
        <w:t xml:space="preserve">online databases maintained by </w:t>
      </w:r>
      <w:r w:rsidR="00A04A6D">
        <w:t xml:space="preserve">taxonomic </w:t>
      </w:r>
      <w:r w:rsidR="00390FD7">
        <w:t xml:space="preserve">societies </w:t>
      </w:r>
      <w:r w:rsidR="007B18C4">
        <w:t xml:space="preserve">specializing in particular </w:t>
      </w:r>
      <w:r w:rsidR="002475EE">
        <w:t>taxa</w:t>
      </w:r>
      <w:r w:rsidR="00BD7930" w:rsidRPr="002609DD">
        <w:t>.</w:t>
      </w:r>
    </w:p>
    <w:p w14:paraId="609B4B45" w14:textId="61C92A1A" w:rsidR="00B56DBC" w:rsidRPr="00B56DBC" w:rsidRDefault="00BD7930" w:rsidP="00F54DCD">
      <w:pPr>
        <w:pStyle w:val="IPPParagraphnumberingclose"/>
      </w:pPr>
      <w:r w:rsidRPr="00AD7472">
        <w:rPr>
          <w:b/>
          <w:bCs/>
        </w:rPr>
        <w:t>Order of listing pests.</w:t>
      </w:r>
      <w:r>
        <w:rPr>
          <w:i/>
          <w:iCs/>
        </w:rPr>
        <w:t xml:space="preserve"> </w:t>
      </w:r>
      <w:r w:rsidR="00B56DBC">
        <w:t xml:space="preserve">In the list of pests, list the pests in decreasing order of biological complexity and then alphabetically (where applicable) </w:t>
      </w:r>
      <w:r w:rsidR="00B56DBC" w:rsidRPr="00B56DBC">
        <w:rPr>
          <w:rFonts w:cstheme="minorHAnsi"/>
        </w:rPr>
        <w:t>by Phylum</w:t>
      </w:r>
      <w:r w:rsidR="00F54DCD">
        <w:rPr>
          <w:rFonts w:cstheme="minorHAnsi"/>
        </w:rPr>
        <w:t xml:space="preserve">, </w:t>
      </w:r>
      <w:r w:rsidR="00B56DBC" w:rsidRPr="00B56DBC">
        <w:rPr>
          <w:rFonts w:cstheme="minorHAnsi"/>
        </w:rPr>
        <w:t>Class and Order</w:t>
      </w:r>
      <w:r w:rsidR="00F54DCD">
        <w:t>.</w:t>
      </w:r>
      <w:r w:rsidR="00F54DCD">
        <w:rPr>
          <w:rStyle w:val="FootnoteReference"/>
        </w:rPr>
        <w:footnoteReference w:id="15"/>
      </w:r>
      <w:r w:rsidR="00F54DCD">
        <w:t xml:space="preserve"> For example:</w:t>
      </w:r>
      <w:r w:rsidR="00006CE4">
        <w:rPr>
          <w:rStyle w:val="FootnoteReference"/>
        </w:rPr>
        <w:footnoteReference w:id="16"/>
      </w:r>
    </w:p>
    <w:p w14:paraId="46EA4164" w14:textId="5FB42242" w:rsidR="00F54DCD" w:rsidRPr="00B56DBC" w:rsidRDefault="00F54DCD" w:rsidP="00F54DCD">
      <w:pPr>
        <w:pStyle w:val="IPPQuote"/>
        <w:spacing w:after="60"/>
      </w:pPr>
      <w:r w:rsidRPr="00B56DBC">
        <w:t>Animalia</w:t>
      </w:r>
    </w:p>
    <w:p w14:paraId="23DB690E" w14:textId="553E797B" w:rsidR="00F54DCD" w:rsidRPr="00B56DBC" w:rsidRDefault="00F54DCD" w:rsidP="00F54DCD">
      <w:pPr>
        <w:pStyle w:val="IPPQuote"/>
        <w:spacing w:after="60"/>
      </w:pPr>
      <w:r w:rsidRPr="00B56DBC">
        <w:tab/>
        <w:t>Phylum: Arthropoda</w:t>
      </w:r>
    </w:p>
    <w:p w14:paraId="3359FBC1" w14:textId="42B97FCB" w:rsidR="00F54DCD" w:rsidRPr="00B56DBC" w:rsidRDefault="00F54DCD" w:rsidP="00F54DCD">
      <w:pPr>
        <w:pStyle w:val="IPPQuote"/>
        <w:spacing w:after="60"/>
      </w:pPr>
      <w:r>
        <w:tab/>
      </w:r>
      <w:r w:rsidRPr="00B56DBC">
        <w:tab/>
        <w:t xml:space="preserve">Class: Arachnida (Order </w:t>
      </w:r>
      <w:proofErr w:type="spellStart"/>
      <w:r w:rsidRPr="00B56DBC">
        <w:t>Trombidiformes</w:t>
      </w:r>
      <w:proofErr w:type="spellEnd"/>
      <w:r w:rsidRPr="00B56DBC">
        <w:t>)</w:t>
      </w:r>
    </w:p>
    <w:p w14:paraId="1E1BE166" w14:textId="7AFA5142" w:rsidR="00F54DCD" w:rsidRPr="00B56DBC" w:rsidRDefault="00F54DCD" w:rsidP="00F54DCD">
      <w:pPr>
        <w:pStyle w:val="IPPQuote"/>
        <w:spacing w:after="60"/>
      </w:pPr>
      <w:r w:rsidRPr="00B56DBC">
        <w:tab/>
      </w:r>
      <w:r w:rsidRPr="00B56DBC">
        <w:tab/>
        <w:t xml:space="preserve">Class: </w:t>
      </w:r>
      <w:proofErr w:type="spellStart"/>
      <w:r w:rsidRPr="00B56DBC">
        <w:t>Insecta</w:t>
      </w:r>
      <w:proofErr w:type="spellEnd"/>
      <w:r w:rsidRPr="00B56DBC">
        <w:t xml:space="preserve"> (Orders Diptera, Hemiptera, Lepidoptera, Thysanoptera)</w:t>
      </w:r>
    </w:p>
    <w:p w14:paraId="2EA2C811" w14:textId="247BF8E9" w:rsidR="00F54DCD" w:rsidRPr="00B56DBC" w:rsidRDefault="00F54DCD" w:rsidP="00F54DCD">
      <w:pPr>
        <w:pStyle w:val="IPPQuote"/>
        <w:spacing w:after="60"/>
      </w:pPr>
      <w:r w:rsidRPr="00B56DBC">
        <w:tab/>
        <w:t xml:space="preserve">Phylum: Mollusca (Class </w:t>
      </w:r>
      <w:proofErr w:type="spellStart"/>
      <w:r w:rsidRPr="00B56DBC">
        <w:t>Gastropoda</w:t>
      </w:r>
      <w:proofErr w:type="spellEnd"/>
      <w:r w:rsidRPr="00B56DBC">
        <w:t>)</w:t>
      </w:r>
    </w:p>
    <w:p w14:paraId="35E20EFD" w14:textId="41E901CB" w:rsidR="00F54DCD" w:rsidRPr="00B56DBC" w:rsidRDefault="00F54DCD" w:rsidP="00F54DCD">
      <w:pPr>
        <w:pStyle w:val="IPPQuote"/>
        <w:spacing w:after="60"/>
      </w:pPr>
      <w:r w:rsidRPr="00B56DBC">
        <w:t>Fungi</w:t>
      </w:r>
    </w:p>
    <w:p w14:paraId="3C65DF72" w14:textId="6B4C6036" w:rsidR="00F54DCD" w:rsidRPr="00B56DBC" w:rsidRDefault="00F54DCD" w:rsidP="00F54DCD">
      <w:pPr>
        <w:pStyle w:val="IPPQuote"/>
      </w:pPr>
      <w:r w:rsidRPr="00B56DBC">
        <w:t>Bacteria</w:t>
      </w:r>
    </w:p>
    <w:p w14:paraId="1470D7AD" w14:textId="2C7A57DE" w:rsidR="00564ABD" w:rsidRDefault="00564ABD" w:rsidP="00BD7930">
      <w:pPr>
        <w:pStyle w:val="IPPParagraphnumbering"/>
      </w:pPr>
      <w:r>
        <w:t xml:space="preserve">Within an </w:t>
      </w:r>
      <w:r w:rsidR="002B1464">
        <w:t>Order, list families in alphabetical order.</w:t>
      </w:r>
    </w:p>
    <w:p w14:paraId="425A2D88" w14:textId="610EEB97" w:rsidR="0001004A" w:rsidRDefault="00651542" w:rsidP="00BD7930">
      <w:pPr>
        <w:pStyle w:val="IPPParagraphnumbering"/>
      </w:pPr>
      <w:r>
        <w:t>Include s</w:t>
      </w:r>
      <w:r w:rsidR="00F54DCD">
        <w:t xml:space="preserve">ubheadings </w:t>
      </w:r>
      <w:r w:rsidR="00550605">
        <w:t xml:space="preserve">(e.g. Arthropoda: Arachnida; Arthropoda: </w:t>
      </w:r>
      <w:proofErr w:type="spellStart"/>
      <w:r w:rsidR="00550605">
        <w:t>Insecta</w:t>
      </w:r>
      <w:proofErr w:type="spellEnd"/>
      <w:r w:rsidR="00550605">
        <w:t>) where needed to explain the order of listing.</w:t>
      </w:r>
      <w:r w:rsidR="00BD7930">
        <w:rPr>
          <w:rStyle w:val="FootnoteReference"/>
        </w:rPr>
        <w:footnoteReference w:id="17"/>
      </w:r>
      <w:r w:rsidR="00B56DBC">
        <w:t xml:space="preserve"> </w:t>
      </w:r>
    </w:p>
    <w:p w14:paraId="54B3EB37" w14:textId="7A639D54" w:rsidR="0033370B" w:rsidRDefault="0033370B" w:rsidP="00BD7930">
      <w:pPr>
        <w:pStyle w:val="IPPParagraphnumbering"/>
      </w:pPr>
      <w:r>
        <w:t>In the list of pest-specific measures,</w:t>
      </w:r>
      <w:r w:rsidR="00CC21C3">
        <w:t xml:space="preserve"> list </w:t>
      </w:r>
      <w:r w:rsidR="00CC21C3" w:rsidRPr="00CC21C3">
        <w:t xml:space="preserve">pest groups in </w:t>
      </w:r>
      <w:r w:rsidR="00CC21C3">
        <w:t xml:space="preserve">the </w:t>
      </w:r>
      <w:r w:rsidR="00CC21C3" w:rsidRPr="00CC21C3">
        <w:t xml:space="preserve">same order as in </w:t>
      </w:r>
      <w:r w:rsidR="00654046">
        <w:t>the list of pests</w:t>
      </w:r>
      <w:r w:rsidR="00CC21C3" w:rsidRPr="00CC21C3">
        <w:t xml:space="preserve">, with pest species listed alphabetically within each pest group (which may be </w:t>
      </w:r>
      <w:r w:rsidR="00654046">
        <w:t xml:space="preserve">a </w:t>
      </w:r>
      <w:r w:rsidR="00CC21C3" w:rsidRPr="00CC21C3">
        <w:t xml:space="preserve">different </w:t>
      </w:r>
      <w:r w:rsidR="00654046">
        <w:t xml:space="preserve">order </w:t>
      </w:r>
      <w:r w:rsidR="00CC21C3" w:rsidRPr="00CC21C3">
        <w:t xml:space="preserve">to </w:t>
      </w:r>
      <w:r w:rsidR="00D87CB4">
        <w:t xml:space="preserve">that </w:t>
      </w:r>
      <w:r w:rsidR="00E2262B">
        <w:t>in the list of pests</w:t>
      </w:r>
      <w:r w:rsidR="00CC21C3" w:rsidRPr="00CC21C3">
        <w:t xml:space="preserve">, as </w:t>
      </w:r>
      <w:r w:rsidR="00E2262B">
        <w:t xml:space="preserve">the pests are </w:t>
      </w:r>
      <w:r w:rsidR="00CC21C3" w:rsidRPr="00CC21C3">
        <w:t>not grouped by family)</w:t>
      </w:r>
      <w:r w:rsidR="00D87CB4">
        <w:t>.</w:t>
      </w:r>
      <w:r w:rsidR="00D87CB4">
        <w:rPr>
          <w:rStyle w:val="FootnoteReference"/>
        </w:rPr>
        <w:footnoteReference w:id="18"/>
      </w:r>
    </w:p>
    <w:p w14:paraId="1C19D763" w14:textId="0D7DFF11" w:rsidR="006A4B10" w:rsidRPr="006427BB" w:rsidRDefault="006A4B10" w:rsidP="006A4B10">
      <w:pPr>
        <w:pStyle w:val="IPPParagraphnumbering"/>
        <w:rPr>
          <w:b/>
          <w:bCs/>
        </w:rPr>
      </w:pPr>
      <w:bookmarkStart w:id="4" w:name="_Hlk193748631"/>
      <w:bookmarkStart w:id="5" w:name="_Hlk193730384"/>
      <w:r w:rsidRPr="006427BB">
        <w:rPr>
          <w:b/>
          <w:bCs/>
        </w:rPr>
        <w:lastRenderedPageBreak/>
        <w:t xml:space="preserve">Codes for measures. </w:t>
      </w:r>
      <w:r w:rsidR="007A3DAA" w:rsidRPr="007A3DAA">
        <w:t>The format is</w:t>
      </w:r>
      <w:r w:rsidR="00981C55">
        <w:t>: a</w:t>
      </w:r>
      <w:r>
        <w:t>bbreviation</w:t>
      </w:r>
      <w:r w:rsidR="00981C55">
        <w:t>,</w:t>
      </w:r>
      <w:r>
        <w:t xml:space="preserve"> followed by a non-breaking space and a number </w:t>
      </w:r>
      <w:r w:rsidR="00981C55">
        <w:t>(</w:t>
      </w:r>
      <w:r>
        <w:t xml:space="preserve">even if </w:t>
      </w:r>
      <w:r w:rsidR="00981C55">
        <w:t xml:space="preserve">there is </w:t>
      </w:r>
      <w:r>
        <w:t>only one option for that category</w:t>
      </w:r>
      <w:r w:rsidR="00981C55">
        <w:t>)</w:t>
      </w:r>
      <w:r>
        <w:t>.</w:t>
      </w:r>
      <w:r>
        <w:rPr>
          <w:rStyle w:val="FootnoteReference"/>
        </w:rPr>
        <w:footnoteReference w:id="19"/>
      </w:r>
      <w:r>
        <w:t xml:space="preserve"> Abbreviations: HWIT, hot water immersion treatment; IRDN, irradiation; MB, methyl bromide fumigation; SA, systems approach; VHT, </w:t>
      </w:r>
      <w:proofErr w:type="spellStart"/>
      <w:r>
        <w:t>vapour</w:t>
      </w:r>
      <w:proofErr w:type="spellEnd"/>
      <w:r>
        <w:t xml:space="preserve"> heat treatment.</w:t>
      </w:r>
      <w:r>
        <w:rPr>
          <w:rStyle w:val="FootnoteReference"/>
        </w:rPr>
        <w:footnoteReference w:id="20"/>
      </w:r>
    </w:p>
    <w:bookmarkEnd w:id="4"/>
    <w:p w14:paraId="3E0B5794" w14:textId="35AEDE28" w:rsidR="0070046D" w:rsidRDefault="00BD7930" w:rsidP="005A25EE">
      <w:pPr>
        <w:pStyle w:val="IPPParagraphnumbering"/>
      </w:pPr>
      <w:r w:rsidRPr="0070046D">
        <w:rPr>
          <w:b/>
          <w:bCs/>
        </w:rPr>
        <w:t>Order of listing measures.</w:t>
      </w:r>
      <w:r>
        <w:t xml:space="preserve"> </w:t>
      </w:r>
      <w:r w:rsidR="0070046D">
        <w:t xml:space="preserve">In the list of </w:t>
      </w:r>
      <w:r w:rsidR="00E2262B">
        <w:t xml:space="preserve">pest-specific </w:t>
      </w:r>
      <w:r w:rsidR="0070046D">
        <w:t xml:space="preserve">measures, </w:t>
      </w:r>
      <w:r w:rsidR="0070046D" w:rsidRPr="0070046D">
        <w:rPr>
          <w:rFonts w:cstheme="minorHAnsi"/>
        </w:rPr>
        <w:t xml:space="preserve">list the options for </w:t>
      </w:r>
      <w:r w:rsidR="005A25EE">
        <w:rPr>
          <w:rFonts w:cstheme="minorHAnsi"/>
        </w:rPr>
        <w:t xml:space="preserve">phytosanitary </w:t>
      </w:r>
      <w:r w:rsidR="0070046D" w:rsidRPr="0070046D">
        <w:rPr>
          <w:rFonts w:cstheme="minorHAnsi"/>
        </w:rPr>
        <w:t>measures in alphabetical order, regardless of whether they are a code, an abbreviation, a noun or a noun phrase.</w:t>
      </w:r>
      <w:r w:rsidR="0070046D">
        <w:rPr>
          <w:rStyle w:val="FootnoteReference"/>
          <w:rFonts w:cstheme="minorHAnsi"/>
        </w:rPr>
        <w:footnoteReference w:id="21"/>
      </w:r>
      <w:r w:rsidR="0070046D" w:rsidRPr="0070046D">
        <w:rPr>
          <w:rFonts w:cstheme="minorHAnsi"/>
        </w:rPr>
        <w:t xml:space="preserve"> </w:t>
      </w:r>
      <w:r w:rsidR="0070046D" w:rsidRPr="005A25EE">
        <w:rPr>
          <w:rFonts w:cstheme="minorHAnsi"/>
        </w:rPr>
        <w:t xml:space="preserve">This style differs from </w:t>
      </w:r>
      <w:r w:rsidR="00062697">
        <w:rPr>
          <w:rFonts w:cstheme="minorHAnsi"/>
        </w:rPr>
        <w:t>the former style (</w:t>
      </w:r>
      <w:r w:rsidR="0070046D" w:rsidRPr="005A25EE">
        <w:rPr>
          <w:rFonts w:cstheme="minorHAnsi"/>
        </w:rPr>
        <w:t>used in CS 1</w:t>
      </w:r>
      <w:r w:rsidR="00062697">
        <w:rPr>
          <w:rFonts w:cstheme="minorHAnsi"/>
        </w:rPr>
        <w:t>)</w:t>
      </w:r>
      <w:r w:rsidR="0070046D" w:rsidRPr="005A25EE">
        <w:rPr>
          <w:rFonts w:cstheme="minorHAnsi"/>
        </w:rPr>
        <w:t xml:space="preserve">, where codes </w:t>
      </w:r>
      <w:r w:rsidR="00062697">
        <w:rPr>
          <w:rFonts w:cstheme="minorHAnsi"/>
        </w:rPr>
        <w:t>we</w:t>
      </w:r>
      <w:r w:rsidR="0070046D">
        <w:t xml:space="preserve">re listed </w:t>
      </w:r>
      <w:r>
        <w:t>in alphabetical order (e.g. HWIT 3, 4, 5; IRDN 3; MB 1; VHT 1, 4, 6, 7)</w:t>
      </w:r>
      <w:r>
        <w:rPr>
          <w:rStyle w:val="FootnoteReference"/>
        </w:rPr>
        <w:footnoteReference w:id="22"/>
      </w:r>
      <w:r>
        <w:t xml:space="preserve"> </w:t>
      </w:r>
      <w:r w:rsidR="0070046D">
        <w:t xml:space="preserve">and </w:t>
      </w:r>
      <w:r>
        <w:t>options that d</w:t>
      </w:r>
      <w:r w:rsidR="00062697">
        <w:t>id</w:t>
      </w:r>
      <w:r>
        <w:t xml:space="preserve"> not have codes (e.g. export inspection, official laboratory analysis) follow</w:t>
      </w:r>
      <w:r w:rsidR="00062697">
        <w:t>ed</w:t>
      </w:r>
      <w:r>
        <w:t xml:space="preserve"> after the codes in the order of their footnote indicator.</w:t>
      </w:r>
      <w:r>
        <w:rPr>
          <w:rStyle w:val="FootnoteReference"/>
        </w:rPr>
        <w:footnoteReference w:id="23"/>
      </w:r>
    </w:p>
    <w:bookmarkEnd w:id="5"/>
    <w:p w14:paraId="04C2E799" w14:textId="542BA1DB" w:rsidR="00BD7930" w:rsidRDefault="00BD7930" w:rsidP="00BD7930">
      <w:pPr>
        <w:pStyle w:val="IPPParagraphnumbering"/>
      </w:pPr>
      <w:r>
        <w:t xml:space="preserve">Tables listing schedules </w:t>
      </w:r>
      <w:r w:rsidR="00D55865">
        <w:t>are sequenced</w:t>
      </w:r>
      <w:r w:rsidR="00381321">
        <w:t xml:space="preserve"> in alphabetical order by the abbreviation of the measure</w:t>
      </w:r>
      <w:r w:rsidR="00FE708C">
        <w:t xml:space="preserve"> (e.g. HWIT, IRDN, MB, SA, VHT)</w:t>
      </w:r>
      <w:r>
        <w:t>.</w:t>
      </w:r>
      <w:r>
        <w:rPr>
          <w:rStyle w:val="FootnoteReference"/>
        </w:rPr>
        <w:footnoteReference w:id="24"/>
      </w:r>
    </w:p>
    <w:p w14:paraId="443B7E7F" w14:textId="572DB2EF" w:rsidR="00BD7930" w:rsidRDefault="00BD7930" w:rsidP="00BD7930">
      <w:pPr>
        <w:pStyle w:val="IPPParagraphnumbering"/>
      </w:pPr>
      <w:r w:rsidRPr="00AD7472">
        <w:rPr>
          <w:b/>
          <w:bCs/>
        </w:rPr>
        <w:t>Position of tables.</w:t>
      </w:r>
      <w:r>
        <w:rPr>
          <w:i/>
          <w:iCs/>
        </w:rPr>
        <w:t xml:space="preserve"> </w:t>
      </w:r>
      <w:r>
        <w:t>In the section on Options for phytosanitary measures, place all tables at the end of the section to avoid interrupting the text.</w:t>
      </w:r>
      <w:r w:rsidR="00E06137">
        <w:rPr>
          <w:rStyle w:val="FootnoteReference"/>
        </w:rPr>
        <w:footnoteReference w:id="25"/>
      </w:r>
    </w:p>
    <w:p w14:paraId="3970A488" w14:textId="4602657B" w:rsidR="00BD7930" w:rsidRDefault="00BD7930" w:rsidP="00BD7930">
      <w:pPr>
        <w:pStyle w:val="IPPParagraphnumbering"/>
      </w:pPr>
      <w:r w:rsidRPr="00AD7472">
        <w:rPr>
          <w:b/>
          <w:bCs/>
        </w:rPr>
        <w:t>References in tables.</w:t>
      </w:r>
      <w:r>
        <w:t xml:space="preserve"> If there are multiple references for a treatment and one is a PT, only the PT is listed; </w:t>
      </w:r>
      <w:r w:rsidR="00AF653C">
        <w:t xml:space="preserve">adopted </w:t>
      </w:r>
      <w:r>
        <w:t>PTs are presented in bold.</w:t>
      </w:r>
      <w:r>
        <w:rPr>
          <w:rStyle w:val="FootnoteReference"/>
        </w:rPr>
        <w:footnoteReference w:id="26"/>
      </w:r>
      <w:r w:rsidR="00982E2C">
        <w:t xml:space="preserve"> </w:t>
      </w:r>
      <w:r w:rsidR="00982E2C" w:rsidRPr="00982E2C">
        <w:t xml:space="preserve">However, the </w:t>
      </w:r>
      <w:r w:rsidR="002A5E44">
        <w:t xml:space="preserve">omission of other references </w:t>
      </w:r>
      <w:r w:rsidR="00D747A6">
        <w:t xml:space="preserve">applies only </w:t>
      </w:r>
      <w:r w:rsidR="00982E2C" w:rsidRPr="00982E2C">
        <w:t xml:space="preserve">if the scope of the </w:t>
      </w:r>
      <w:r w:rsidR="00444A32">
        <w:t>treatment</w:t>
      </w:r>
      <w:r w:rsidR="002C37F4">
        <w:t xml:space="preserve"> described in the reference</w:t>
      </w:r>
      <w:r w:rsidR="00982E2C" w:rsidRPr="00982E2C">
        <w:t xml:space="preserve"> (target pest, host and schedule parameters) exactly matche</w:t>
      </w:r>
      <w:r w:rsidR="00D747A6">
        <w:t>s</w:t>
      </w:r>
      <w:r w:rsidR="00982E2C" w:rsidRPr="00982E2C">
        <w:t xml:space="preserve"> the scope of the PT.</w:t>
      </w:r>
      <w:r w:rsidR="00501135">
        <w:rPr>
          <w:rStyle w:val="FootnoteReference"/>
        </w:rPr>
        <w:footnoteReference w:id="27"/>
      </w:r>
    </w:p>
    <w:p w14:paraId="3ED04260" w14:textId="2AFCF154" w:rsidR="00C3393A" w:rsidRDefault="002A34BA" w:rsidP="00BD7930">
      <w:pPr>
        <w:pStyle w:val="IPPParagraphnumbering"/>
      </w:pPr>
      <w:r w:rsidRPr="002E08A6">
        <w:rPr>
          <w:b/>
          <w:bCs/>
        </w:rPr>
        <w:t>Abbreviations.</w:t>
      </w:r>
      <w:r w:rsidRPr="002A34BA">
        <w:t xml:space="preserve"> </w:t>
      </w:r>
      <w:r>
        <w:t xml:space="preserve">Include </w:t>
      </w:r>
      <w:r w:rsidRPr="002A34BA">
        <w:t>a box of the abbreviations used in the tables of measures, together with a corresponding cross-reference in the body text.</w:t>
      </w:r>
      <w:r>
        <w:rPr>
          <w:rStyle w:val="FootnoteReference"/>
        </w:rPr>
        <w:footnoteReference w:id="28"/>
      </w:r>
    </w:p>
    <w:p w14:paraId="3164B971" w14:textId="554F95E9" w:rsidR="00BD7930" w:rsidRPr="00AD7472" w:rsidRDefault="00040CAE" w:rsidP="00BD7930">
      <w:pPr>
        <w:pStyle w:val="IPPParagraphnumberingclose"/>
        <w:rPr>
          <w:b/>
          <w:bCs/>
        </w:rPr>
      </w:pPr>
      <w:r>
        <w:rPr>
          <w:b/>
          <w:bCs/>
        </w:rPr>
        <w:t>Terminology</w:t>
      </w:r>
      <w:r w:rsidR="00BD7930" w:rsidRPr="00AD7472">
        <w:rPr>
          <w:b/>
          <w:bCs/>
        </w:rPr>
        <w:t>:</w:t>
      </w:r>
    </w:p>
    <w:p w14:paraId="002AFB32" w14:textId="77777777" w:rsidR="00BD7930" w:rsidRDefault="00BD7930" w:rsidP="00BD7930">
      <w:pPr>
        <w:pStyle w:val="IPPBullet1"/>
      </w:pPr>
      <w:r>
        <w:t xml:space="preserve">Refer to </w:t>
      </w:r>
      <w:r w:rsidRPr="0046508C">
        <w:t xml:space="preserve">“this commodity standard” </w:t>
      </w:r>
      <w:r w:rsidRPr="00795C3A">
        <w:t xml:space="preserve">not </w:t>
      </w:r>
      <w:r w:rsidRPr="0046508C">
        <w:t xml:space="preserve">“this annex” (except in </w:t>
      </w:r>
      <w:r>
        <w:t xml:space="preserve">the </w:t>
      </w:r>
      <w:r w:rsidRPr="0046508C">
        <w:t>standard ISPM references statement).</w:t>
      </w:r>
      <w:r w:rsidRPr="0046508C">
        <w:rPr>
          <w:rStyle w:val="FootnoteReference"/>
        </w:rPr>
        <w:footnoteReference w:id="29"/>
      </w:r>
      <w:r>
        <w:t xml:space="preserve"> </w:t>
      </w:r>
    </w:p>
    <w:p w14:paraId="372EC294" w14:textId="703FD97B" w:rsidR="00E46E4D" w:rsidRDefault="00BD7930" w:rsidP="00D42149">
      <w:pPr>
        <w:pStyle w:val="IPPBullet1Last"/>
      </w:pPr>
      <w:r>
        <w:t xml:space="preserve">Use “measures” when referring to properties or characteristics of </w:t>
      </w:r>
      <w:r w:rsidR="003A430C">
        <w:t xml:space="preserve">implemented </w:t>
      </w:r>
      <w:r>
        <w:t>measures (e.g. </w:t>
      </w:r>
      <w:r w:rsidR="004766E7">
        <w:t xml:space="preserve">such as whether they </w:t>
      </w:r>
      <w:r w:rsidR="004766E7">
        <w:rPr>
          <w:i/>
          <w:iCs/>
        </w:rPr>
        <w:t xml:space="preserve">are </w:t>
      </w:r>
      <w:r w:rsidR="004766E7">
        <w:t xml:space="preserve">or </w:t>
      </w:r>
      <w:r w:rsidR="004766E7">
        <w:rPr>
          <w:i/>
          <w:iCs/>
        </w:rPr>
        <w:t xml:space="preserve">will be </w:t>
      </w:r>
      <w:r>
        <w:t>effective) and “options for phytosanitary measures” when referring to the selection, consideration or presentation of options</w:t>
      </w:r>
      <w:r w:rsidR="004766E7">
        <w:t xml:space="preserve"> </w:t>
      </w:r>
      <w:r w:rsidR="004766E7">
        <w:rPr>
          <w:rFonts w:cstheme="minorHAnsi"/>
        </w:rPr>
        <w:t xml:space="preserve">(including whether they </w:t>
      </w:r>
      <w:r w:rsidR="004766E7">
        <w:rPr>
          <w:rFonts w:cstheme="minorHAnsi"/>
          <w:i/>
          <w:iCs/>
        </w:rPr>
        <w:t xml:space="preserve">may </w:t>
      </w:r>
      <w:r w:rsidR="004766E7">
        <w:rPr>
          <w:rFonts w:cstheme="minorHAnsi"/>
        </w:rPr>
        <w:t>be effective)</w:t>
      </w:r>
      <w:r>
        <w:t>.</w:t>
      </w:r>
      <w:r>
        <w:rPr>
          <w:rStyle w:val="FootnoteReference"/>
        </w:rPr>
        <w:footnoteReference w:id="30"/>
      </w:r>
    </w:p>
    <w:p w14:paraId="66A4276F" w14:textId="532BDDF3" w:rsidR="00F72A81" w:rsidRPr="0037293C" w:rsidRDefault="00B84D81" w:rsidP="004A1888">
      <w:pPr>
        <w:pStyle w:val="IPPParagraphnumbering"/>
      </w:pPr>
      <w:r>
        <w:rPr>
          <w:b/>
          <w:bCs/>
        </w:rPr>
        <w:t xml:space="preserve">References section. </w:t>
      </w:r>
      <w:r>
        <w:t>In the i</w:t>
      </w:r>
      <w:r>
        <w:rPr>
          <w:rFonts w:cstheme="minorHAnsi"/>
        </w:rPr>
        <w:t>ntroductory sentence</w:t>
      </w:r>
      <w:r w:rsidR="00BB2657">
        <w:rPr>
          <w:rFonts w:cstheme="minorHAnsi"/>
        </w:rPr>
        <w:t>, use</w:t>
      </w:r>
      <w:r>
        <w:rPr>
          <w:rFonts w:cstheme="minorHAnsi"/>
        </w:rPr>
        <w:t xml:space="preserve"> “refers to” </w:t>
      </w:r>
      <w:r>
        <w:rPr>
          <w:rFonts w:cstheme="minorHAnsi"/>
          <w:i/>
          <w:iCs/>
        </w:rPr>
        <w:t xml:space="preserve">not </w:t>
      </w:r>
      <w:r>
        <w:rPr>
          <w:rFonts w:cstheme="minorHAnsi"/>
        </w:rPr>
        <w:t>“may refer to”</w:t>
      </w:r>
      <w:r w:rsidR="00BB2657">
        <w:rPr>
          <w:rFonts w:cstheme="minorHAnsi"/>
        </w:rPr>
        <w:t>.</w:t>
      </w:r>
      <w:r w:rsidR="00903ED4">
        <w:rPr>
          <w:rStyle w:val="FootnoteReference"/>
          <w:rFonts w:cstheme="minorHAnsi"/>
        </w:rPr>
        <w:footnoteReference w:id="31"/>
      </w:r>
    </w:p>
    <w:p w14:paraId="79643625" w14:textId="48FC752B" w:rsidR="0037293C" w:rsidRPr="006D1741" w:rsidRDefault="0037293C" w:rsidP="006D1741">
      <w:pPr>
        <w:pStyle w:val="IPPParagraphnumbering"/>
      </w:pPr>
      <w:r w:rsidRPr="00675269">
        <w:rPr>
          <w:b/>
          <w:bCs/>
        </w:rPr>
        <w:lastRenderedPageBreak/>
        <w:t>Table of contents</w:t>
      </w:r>
      <w:r w:rsidR="006D1741" w:rsidRPr="00675269">
        <w:rPr>
          <w:b/>
          <w:bCs/>
        </w:rPr>
        <w:t>.</w:t>
      </w:r>
      <w:r w:rsidR="006D1741">
        <w:t xml:space="preserve"> </w:t>
      </w:r>
      <w:r w:rsidR="00675269">
        <w:t xml:space="preserve">Omit </w:t>
      </w:r>
      <w:r w:rsidRPr="006D1741">
        <w:t xml:space="preserve">subsections of </w:t>
      </w:r>
      <w:r w:rsidR="00675269">
        <w:t xml:space="preserve">the </w:t>
      </w:r>
      <w:r w:rsidRPr="006D1741">
        <w:t>References</w:t>
      </w:r>
      <w:r w:rsidR="00675269">
        <w:t xml:space="preserve"> section</w:t>
      </w:r>
      <w:r w:rsidR="0067167C">
        <w:t>.</w:t>
      </w:r>
      <w:r w:rsidR="0067167C">
        <w:rPr>
          <w:rStyle w:val="FootnoteReference"/>
        </w:rPr>
        <w:footnoteReference w:id="32"/>
      </w:r>
      <w:r w:rsidR="00675269">
        <w:t xml:space="preserve"> </w:t>
      </w:r>
      <w:r w:rsidRPr="006D1741">
        <w:t>Include</w:t>
      </w:r>
      <w:r w:rsidR="00675269">
        <w:t xml:space="preserve"> a </w:t>
      </w:r>
      <w:r w:rsidRPr="006D1741">
        <w:t xml:space="preserve">list of tables </w:t>
      </w:r>
      <w:r w:rsidR="00675269">
        <w:t>as a subsection</w:t>
      </w:r>
      <w:r w:rsidR="006A2767">
        <w:t>, headed “Tables”.</w:t>
      </w:r>
      <w:r w:rsidR="006A2767">
        <w:rPr>
          <w:rStyle w:val="FootnoteReference"/>
        </w:rPr>
        <w:footnoteReference w:id="33"/>
      </w:r>
    </w:p>
    <w:p w14:paraId="40594567" w14:textId="3F8F07CF" w:rsidR="001B011A" w:rsidRPr="00AB640B" w:rsidRDefault="001B011A" w:rsidP="002E08A6">
      <w:pPr>
        <w:spacing w:after="160" w:line="259" w:lineRule="auto"/>
        <w:jc w:val="left"/>
      </w:pPr>
      <w:r>
        <w:br w:type="page"/>
      </w:r>
    </w:p>
    <w:p w14:paraId="6D2B6192" w14:textId="0E58C1A8" w:rsidR="0037293C" w:rsidRPr="001B011A" w:rsidRDefault="001B011A" w:rsidP="001B011A">
      <w:pPr>
        <w:pStyle w:val="IPPAnnexHead"/>
      </w:pPr>
      <w:r w:rsidRPr="001B011A">
        <w:lastRenderedPageBreak/>
        <w:t xml:space="preserve">APPENDIX 1: </w:t>
      </w:r>
      <w:r>
        <w:t xml:space="preserve">Discussions regarding approach to </w:t>
      </w:r>
      <w:r w:rsidRPr="001B011A">
        <w:t>synonyms</w:t>
      </w:r>
    </w:p>
    <w:p w14:paraId="122C8ACA" w14:textId="392436E2" w:rsidR="001B011A" w:rsidRDefault="007D002C" w:rsidP="001B011A">
      <w:pPr>
        <w:pStyle w:val="IPPParagraphnumbering"/>
      </w:pPr>
      <w:r w:rsidRPr="007D002C">
        <w:rPr>
          <w:b/>
          <w:bCs/>
        </w:rPr>
        <w:t>TPCS January 2023.</w:t>
      </w:r>
      <w:r>
        <w:t xml:space="preserve"> </w:t>
      </w:r>
      <w:r w:rsidR="001B011A">
        <w:t xml:space="preserve">When compiling the pest list in the initial draft mango standard, the Technical Panel on Commodity Standards (TPCS) </w:t>
      </w:r>
      <w:r w:rsidR="001B011A" w:rsidRPr="00800566">
        <w:t>recognized</w:t>
      </w:r>
      <w:r w:rsidR="001B011A">
        <w:t xml:space="preserve"> </w:t>
      </w:r>
      <w:r w:rsidR="001B011A" w:rsidRPr="00800566">
        <w:t xml:space="preserve">that some entries </w:t>
      </w:r>
      <w:r w:rsidR="001B011A">
        <w:t xml:space="preserve">may </w:t>
      </w:r>
      <w:r w:rsidR="001B011A" w:rsidRPr="00800566">
        <w:t xml:space="preserve">not </w:t>
      </w:r>
      <w:r w:rsidR="001B011A">
        <w:t xml:space="preserve">be </w:t>
      </w:r>
      <w:r w:rsidR="001B011A" w:rsidRPr="00800566">
        <w:t xml:space="preserve">the preferred name or </w:t>
      </w:r>
      <w:r w:rsidR="001B011A">
        <w:t xml:space="preserve">may be </w:t>
      </w:r>
      <w:r w:rsidR="001B011A" w:rsidRPr="00800566">
        <w:t>synonyms of each other. The</w:t>
      </w:r>
      <w:r w:rsidR="001B011A">
        <w:t xml:space="preserve">y </w:t>
      </w:r>
      <w:r w:rsidR="001B011A" w:rsidRPr="00800566">
        <w:t>acknowledged that</w:t>
      </w:r>
      <w:r w:rsidR="001B011A">
        <w:t>,</w:t>
      </w:r>
      <w:r w:rsidR="001B011A" w:rsidRPr="00800566">
        <w:t xml:space="preserve"> as they did not as a panel have the expertise to make decisions on preferred names, this issue could be left for experts to comment upon during consultation. </w:t>
      </w:r>
      <w:r w:rsidR="001B011A">
        <w:t>They did, however, resolve s</w:t>
      </w:r>
      <w:r w:rsidR="001B011A" w:rsidRPr="00800566">
        <w:t>ome of the issues with synonyms.</w:t>
      </w:r>
      <w:r w:rsidR="001B011A">
        <w:rPr>
          <w:rStyle w:val="FootnoteReference"/>
        </w:rPr>
        <w:footnoteReference w:id="34"/>
      </w:r>
    </w:p>
    <w:p w14:paraId="075E0023" w14:textId="7E848E7A" w:rsidR="00EA0BDB" w:rsidRDefault="007D002C" w:rsidP="00EA0BDB">
      <w:pPr>
        <w:pStyle w:val="IPPParagraphnumbering"/>
      </w:pPr>
      <w:r w:rsidRPr="007D002C">
        <w:rPr>
          <w:b/>
          <w:bCs/>
        </w:rPr>
        <w:t>SC-7 May</w:t>
      </w:r>
      <w:r w:rsidR="009D00FD">
        <w:rPr>
          <w:b/>
          <w:bCs/>
        </w:rPr>
        <w:t xml:space="preserve"> 2024</w:t>
      </w:r>
      <w:r w:rsidRPr="007D002C">
        <w:rPr>
          <w:b/>
          <w:bCs/>
        </w:rPr>
        <w:t>.</w:t>
      </w:r>
      <w:r>
        <w:t xml:space="preserve"> </w:t>
      </w:r>
      <w:r w:rsidR="001B011A">
        <w:t xml:space="preserve">The Standards Committee Working Group (SC-7) discussed the issue of preferred names and synonyms after the first consultation. The steward explained that including all synonyms of pest names was not considered feasible and so the TPCS had used the names provided by national plant protection organizations, with the assumption that those were the </w:t>
      </w:r>
      <w:proofErr w:type="gramStart"/>
      <w:r w:rsidR="001B011A">
        <w:t>most commonly used</w:t>
      </w:r>
      <w:proofErr w:type="gramEnd"/>
      <w:r w:rsidR="001B011A">
        <w:t xml:space="preserve">, and names that aligned with </w:t>
      </w:r>
      <w:proofErr w:type="spellStart"/>
      <w:r w:rsidR="001B011A">
        <w:t>PTs.</w:t>
      </w:r>
      <w:proofErr w:type="spellEnd"/>
      <w:r w:rsidR="001B011A">
        <w:t xml:space="preserve"> Therefore, it would be the responsibility of individual countries to look up synonym names. An SC-7 member pointed out the possibility that the scientific names provided could be incorrect and the steward explained that some names had been changed during the review. To clarify this matter, the SC-7 agreed to add a statement that the scientific names used in the table of pests were based on the submissions of contracting parties.</w:t>
      </w:r>
      <w:r w:rsidR="001B011A">
        <w:rPr>
          <w:rStyle w:val="FootnoteReference"/>
        </w:rPr>
        <w:footnoteReference w:id="35"/>
      </w:r>
      <w:r w:rsidR="001B011A">
        <w:t xml:space="preserve"> The statement was added as a </w:t>
      </w:r>
      <w:proofErr w:type="spellStart"/>
      <w:r w:rsidR="001B011A">
        <w:t>foonote</w:t>
      </w:r>
      <w:proofErr w:type="spellEnd"/>
      <w:r w:rsidR="001B011A">
        <w:t xml:space="preserve"> to the pest list</w:t>
      </w:r>
      <w:r w:rsidR="00EA0BDB">
        <w:t>.</w:t>
      </w:r>
    </w:p>
    <w:p w14:paraId="7699C56B" w14:textId="173D1219" w:rsidR="001B011A" w:rsidRDefault="007D002C" w:rsidP="00EA0BDB">
      <w:pPr>
        <w:pStyle w:val="IPPParagraphnumberingclose"/>
      </w:pPr>
      <w:r w:rsidRPr="007D002C">
        <w:rPr>
          <w:b/>
          <w:bCs/>
        </w:rPr>
        <w:t>SC Nov</w:t>
      </w:r>
      <w:r w:rsidR="009D00FD">
        <w:rPr>
          <w:b/>
          <w:bCs/>
        </w:rPr>
        <w:t>ember</w:t>
      </w:r>
      <w:r w:rsidRPr="007D002C">
        <w:rPr>
          <w:b/>
          <w:bCs/>
        </w:rPr>
        <w:t xml:space="preserve"> 2024.</w:t>
      </w:r>
      <w:r>
        <w:t xml:space="preserve"> </w:t>
      </w:r>
      <w:r w:rsidR="00EA0BDB">
        <w:t>At their meeting in November 2024, t</w:t>
      </w:r>
      <w:r w:rsidR="00EA0BDB" w:rsidRPr="00972DCD">
        <w:t>he SC discussed whether to include synonyms in the table</w:t>
      </w:r>
      <w:r w:rsidR="00EA0BDB">
        <w:t>,</w:t>
      </w:r>
      <w:r w:rsidR="00EA0BDB" w:rsidRPr="00972DCD">
        <w:t xml:space="preserve"> rather than </w:t>
      </w:r>
      <w:r w:rsidR="00EA0BDB">
        <w:t xml:space="preserve">as a </w:t>
      </w:r>
      <w:r w:rsidR="00EA0BDB" w:rsidRPr="00972DCD">
        <w:t>footnote</w:t>
      </w:r>
      <w:r w:rsidR="00EA0BDB">
        <w:t>, for the three species whose name had been changed or combined to align with DPs or PTs</w:t>
      </w:r>
      <w:r w:rsidR="00EA0BDB" w:rsidRPr="00972DCD">
        <w:t xml:space="preserve">, but </w:t>
      </w:r>
      <w:r w:rsidR="00EA0BDB">
        <w:t xml:space="preserve">they </w:t>
      </w:r>
      <w:r w:rsidR="00EA0BDB" w:rsidRPr="00972DCD">
        <w:t xml:space="preserve">recognized that this could be setting a precedent for future commodity standards, encouraging contracting parties to submit comprehensive lists of synonyms. </w:t>
      </w:r>
      <w:r w:rsidR="00EA0BDB">
        <w:t>The SC therefore opted to remove the footnote about the three species names</w:t>
      </w:r>
      <w:r w:rsidR="00EA0BDB" w:rsidRPr="00EA0BDB">
        <w:rPr>
          <w:i/>
          <w:iCs/>
        </w:rPr>
        <w:t xml:space="preserve"> </w:t>
      </w:r>
      <w:r w:rsidR="00EA0BDB">
        <w:t>and replace it with a general footnote to the Species column heading</w:t>
      </w:r>
      <w:r w:rsidR="001B011A">
        <w:t>:</w:t>
      </w:r>
      <w:r w:rsidR="001B011A">
        <w:rPr>
          <w:rStyle w:val="FootnoteReference"/>
        </w:rPr>
        <w:footnoteReference w:id="36"/>
      </w:r>
    </w:p>
    <w:p w14:paraId="04379FEC" w14:textId="77777777" w:rsidR="001B011A" w:rsidRDefault="001B011A" w:rsidP="001B011A">
      <w:pPr>
        <w:pStyle w:val="IPPQuote"/>
      </w:pPr>
      <w:r w:rsidRPr="001035F1">
        <w:t>Scientific names used in this table are based on the submissions by contracting parties</w:t>
      </w:r>
      <w:r w:rsidRPr="00A5598B">
        <w:t xml:space="preserve"> or aligned with ISPM 27 (</w:t>
      </w:r>
      <w:r w:rsidRPr="00A5598B">
        <w:rPr>
          <w:i/>
          <w:iCs/>
        </w:rPr>
        <w:t>Diagnostic protocols for regulated pests</w:t>
      </w:r>
      <w:r w:rsidRPr="00A5598B">
        <w:t>) or ISPM 28 (</w:t>
      </w:r>
      <w:r w:rsidRPr="00A5598B">
        <w:rPr>
          <w:i/>
          <w:iCs/>
        </w:rPr>
        <w:t>Phytosanitary treatments for regulated pests</w:t>
      </w:r>
      <w:r w:rsidRPr="00A5598B">
        <w:t>).</w:t>
      </w:r>
    </w:p>
    <w:p w14:paraId="0CE4AC33" w14:textId="6D8F67C5" w:rsidR="001B011A" w:rsidRDefault="00D268F3" w:rsidP="001B011A">
      <w:pPr>
        <w:pStyle w:val="IPPParagraphnumbering"/>
      </w:pPr>
      <w:r w:rsidRPr="00D268F3">
        <w:rPr>
          <w:b/>
          <w:bCs/>
        </w:rPr>
        <w:t>TPCS January–February 2025.</w:t>
      </w:r>
      <w:r>
        <w:t xml:space="preserve"> </w:t>
      </w:r>
      <w:r w:rsidR="001B011A">
        <w:t>The TPCS noted that, although the SC had decided not to include any synonyms in the draft mango standard, the inclusion of synonyms may be necessary for some commodity standards, so it was important to retain some flexibility of approach. The TPCS also recognized that, although countries may strive to always use the latest accepted scientific names in their regulations, updates to regulations may not always keep pace with changes to species names, so it was likely that some discrepancies between submitted names and the latest accepted names would occur.</w:t>
      </w:r>
    </w:p>
    <w:p w14:paraId="3BAEC6AB" w14:textId="4239C369" w:rsidR="001B011A" w:rsidRDefault="001B011A" w:rsidP="001B011A">
      <w:pPr>
        <w:pStyle w:val="IPPParagraphnumberingclose"/>
      </w:pPr>
      <w:r>
        <w:t>The TPCS therefore agreed the following general approach:</w:t>
      </w:r>
      <w:r w:rsidR="00D268F3">
        <w:rPr>
          <w:rStyle w:val="FootnoteReference"/>
        </w:rPr>
        <w:footnoteReference w:id="37"/>
      </w:r>
    </w:p>
    <w:p w14:paraId="3B08530E" w14:textId="77777777" w:rsidR="001B011A" w:rsidRDefault="001B011A" w:rsidP="001B011A">
      <w:pPr>
        <w:pStyle w:val="IPPBullet1"/>
      </w:pPr>
      <w:r>
        <w:t>The panel would use the names as submitted by contracting parties, unless a different name was used in an annex to ISPM 27 (</w:t>
      </w:r>
      <w:r w:rsidRPr="0016300E">
        <w:rPr>
          <w:i/>
          <w:iCs/>
        </w:rPr>
        <w:t>Diagnostic protocols for regulated pests</w:t>
      </w:r>
      <w:r>
        <w:t>) or ISPM 28 (</w:t>
      </w:r>
      <w:r w:rsidRPr="0016300E">
        <w:rPr>
          <w:i/>
          <w:iCs/>
        </w:rPr>
        <w:t>Phytosanitary treatments for regulated pests</w:t>
      </w:r>
      <w:r>
        <w:t>) or unless there was a more recent, accepted scientific name. Where two names had been submitted, the most recent, accepted name of the two would be used.</w:t>
      </w:r>
    </w:p>
    <w:p w14:paraId="49671E1F" w14:textId="77777777" w:rsidR="001B011A" w:rsidRDefault="001B011A" w:rsidP="001B011A">
      <w:pPr>
        <w:pStyle w:val="IPPBullet1"/>
      </w:pPr>
      <w:r>
        <w:t>In cases of doubt, the TPCS would ask the submitting country to confirm that the name preferred by the panel related to the same organism as the submitted name.</w:t>
      </w:r>
    </w:p>
    <w:p w14:paraId="13FB6388" w14:textId="3284B2A5" w:rsidR="001B011A" w:rsidRDefault="001B011A" w:rsidP="001B011A">
      <w:pPr>
        <w:pStyle w:val="IPPBullet1Last"/>
      </w:pPr>
      <w:r>
        <w:t>Where confusion could arise by giving only one name, the TPCS may consider, on a case-by</w:t>
      </w:r>
      <w:r w:rsidR="00402F7B">
        <w:t>-</w:t>
      </w:r>
      <w:r>
        <w:t>case basis, whether to give the superseded name in parentheses.</w:t>
      </w:r>
    </w:p>
    <w:p w14:paraId="3A4DEA8F" w14:textId="141566A9" w:rsidR="00D268F3" w:rsidRDefault="00D268F3" w:rsidP="006D1741">
      <w:pPr>
        <w:pStyle w:val="IPPParagraphnumbering"/>
      </w:pPr>
      <w:r w:rsidRPr="00D268F3">
        <w:t>The TPCS agreed to revise its working procedures to include these points, to be presented to the SC.</w:t>
      </w:r>
    </w:p>
    <w:p w14:paraId="130C769E" w14:textId="130823B1" w:rsidR="001B011A" w:rsidRDefault="001B011A" w:rsidP="006D1741">
      <w:pPr>
        <w:pStyle w:val="IPPParagraphnumbering"/>
      </w:pPr>
      <w:r>
        <w:lastRenderedPageBreak/>
        <w:t>The TPCS noted that annexes to ISPM 27 listed synonyms, as would the pest risk analyses conducted by contracting parties when regulating pests, so there was no need for commodity standards to also list synonyms except where essential to avoid confusion.</w:t>
      </w:r>
    </w:p>
    <w:p w14:paraId="390F97F8" w14:textId="5A8BED17" w:rsidR="00B71CF2" w:rsidRPr="00B71CF2" w:rsidRDefault="00D6012A" w:rsidP="00B71CF2">
      <w:pPr>
        <w:pStyle w:val="IPPParagraphnumberingclose"/>
      </w:pPr>
      <w:r>
        <w:rPr>
          <w:b/>
          <w:bCs/>
        </w:rPr>
        <w:t xml:space="preserve">SC May 2025. </w:t>
      </w:r>
      <w:r w:rsidR="00E262A0" w:rsidRPr="00E262A0">
        <w:t>For the draft</w:t>
      </w:r>
      <w:r w:rsidR="00E262A0">
        <w:t xml:space="preserve"> </w:t>
      </w:r>
      <w:r w:rsidR="00E262A0">
        <w:rPr>
          <w:i/>
          <w:iCs/>
        </w:rPr>
        <w:t xml:space="preserve">Musa </w:t>
      </w:r>
      <w:r w:rsidR="00CC5300">
        <w:t>s</w:t>
      </w:r>
      <w:r w:rsidR="00E262A0">
        <w:t>tandard, t</w:t>
      </w:r>
      <w:r w:rsidR="00597E12" w:rsidRPr="00F25412">
        <w:t>he steward clarified that, where two names had been submitted for the same pest, the most recent of the two had been used in the annex.</w:t>
      </w:r>
      <w:r w:rsidR="00F51FCF">
        <w:rPr>
          <w:rStyle w:val="FootnoteReference"/>
        </w:rPr>
        <w:footnoteReference w:id="38"/>
      </w:r>
      <w:r w:rsidR="00597E12" w:rsidRPr="00F25412">
        <w:t xml:space="preserve"> The SC amended the footnote to </w:t>
      </w:r>
      <w:r w:rsidR="00AA3271">
        <w:t xml:space="preserve">refer only to this situation and to alignment with </w:t>
      </w:r>
      <w:r w:rsidR="00CC5300">
        <w:t>ISPM 27</w:t>
      </w:r>
      <w:r w:rsidR="00B71CF2">
        <w:t xml:space="preserve"> or </w:t>
      </w:r>
      <w:r w:rsidR="00CC5300">
        <w:t>ISPM 28</w:t>
      </w:r>
      <w:r w:rsidR="00B71CF2">
        <w:t>:</w:t>
      </w:r>
    </w:p>
    <w:p w14:paraId="47242AE5" w14:textId="77777777" w:rsidR="00B71CF2" w:rsidRDefault="00B71CF2" w:rsidP="00B71CF2">
      <w:pPr>
        <w:pStyle w:val="IPPQuote"/>
      </w:pPr>
      <w:r w:rsidRPr="008644F7">
        <w:t>Scientific names used in this table are based on the submissions by contracting parties</w:t>
      </w:r>
      <w:r>
        <w:t xml:space="preserve">, modified </w:t>
      </w:r>
      <w:r w:rsidRPr="004E46D4">
        <w:t xml:space="preserve">where more than one name was submitted to the more recent scientific name or </w:t>
      </w:r>
      <w:r w:rsidRPr="008644F7">
        <w:t>align</w:t>
      </w:r>
      <w:r>
        <w:t>ed</w:t>
      </w:r>
      <w:r w:rsidRPr="008644F7">
        <w:t xml:space="preserve"> with ISPM 27 (</w:t>
      </w:r>
      <w:r w:rsidRPr="00B71CF2">
        <w:rPr>
          <w:i/>
          <w:iCs/>
        </w:rPr>
        <w:t>Diagnostic protocols for regulated pests</w:t>
      </w:r>
      <w:r w:rsidRPr="008644F7">
        <w:t>) or ISPM 28 (</w:t>
      </w:r>
      <w:r w:rsidRPr="00B71CF2">
        <w:rPr>
          <w:i/>
          <w:iCs/>
        </w:rPr>
        <w:t>Phytosanitary treatments for regulated pests</w:t>
      </w:r>
      <w:r w:rsidRPr="008644F7">
        <w:t>).</w:t>
      </w:r>
    </w:p>
    <w:p w14:paraId="548116DA" w14:textId="6E4D975C" w:rsidR="001D72E7" w:rsidRPr="00F61946" w:rsidRDefault="00F51FCF" w:rsidP="00F61946">
      <w:pPr>
        <w:pStyle w:val="IPPParagraphnumberingclose"/>
        <w:rPr>
          <w:b/>
          <w:bCs/>
        </w:rPr>
      </w:pPr>
      <w:r>
        <w:t xml:space="preserve">However, </w:t>
      </w:r>
      <w:r w:rsidR="008F238E">
        <w:t xml:space="preserve">for the draft taro standard, as no alignment with ISPM 27 or ISPM 28 had been necessary, </w:t>
      </w:r>
      <w:r>
        <w:t xml:space="preserve">the </w:t>
      </w:r>
      <w:proofErr w:type="spellStart"/>
      <w:r w:rsidR="00F61946">
        <w:t>t</w:t>
      </w:r>
      <w:r w:rsidR="001D72E7" w:rsidRPr="00F61946">
        <w:t>he</w:t>
      </w:r>
      <w:proofErr w:type="spellEnd"/>
      <w:r w:rsidR="001D72E7" w:rsidRPr="00F61946">
        <w:t xml:space="preserve"> SC agreed that it was sufficient to say that the scientific names were </w:t>
      </w:r>
      <w:r w:rsidR="001D72E7" w:rsidRPr="00F61946">
        <w:rPr>
          <w:i/>
          <w:iCs/>
        </w:rPr>
        <w:t>based</w:t>
      </w:r>
      <w:r w:rsidR="001D72E7" w:rsidRPr="00F61946">
        <w:t xml:space="preserve"> on the submissions of contracting parties, without also referring to modifications to a more recent scientific name</w:t>
      </w:r>
      <w:r w:rsidR="00F61946">
        <w:t xml:space="preserve"> (</w:t>
      </w:r>
      <w:r w:rsidR="001D72E7" w:rsidRPr="00F61946">
        <w:t>because the statement would be true provided one of the names submitted for a pest was used</w:t>
      </w:r>
      <w:r w:rsidR="00F61946">
        <w:t>):</w:t>
      </w:r>
      <w:r w:rsidR="00F61946">
        <w:rPr>
          <w:rStyle w:val="FootnoteReference"/>
        </w:rPr>
        <w:footnoteReference w:id="39"/>
      </w:r>
    </w:p>
    <w:p w14:paraId="63683A02" w14:textId="61D5C212" w:rsidR="00F61946" w:rsidRPr="00F61946" w:rsidRDefault="00F61946" w:rsidP="00F61946">
      <w:pPr>
        <w:pStyle w:val="IPPQuote"/>
        <w:rPr>
          <w:b/>
          <w:bCs/>
        </w:rPr>
      </w:pPr>
      <w:r w:rsidRPr="008644F7">
        <w:t>Scientific names used in this table are based on the submissions by contracting parties</w:t>
      </w:r>
      <w:r>
        <w:t>.</w:t>
      </w:r>
    </w:p>
    <w:p w14:paraId="77567F23" w14:textId="3B3676A0" w:rsidR="001D72E7" w:rsidRPr="00F25412" w:rsidRDefault="001D72E7" w:rsidP="00F61946">
      <w:pPr>
        <w:pStyle w:val="IPPParagraphnumbering"/>
        <w:rPr>
          <w:b/>
          <w:bCs/>
          <w:lang w:val="en-GB"/>
        </w:rPr>
      </w:pPr>
      <w:r w:rsidRPr="00F25412">
        <w:rPr>
          <w:lang w:val="en-GB"/>
        </w:rPr>
        <w:t xml:space="preserve">The SC considered whether to say that names </w:t>
      </w:r>
      <w:r w:rsidRPr="00F25412">
        <w:rPr>
          <w:i/>
          <w:iCs/>
          <w:lang w:val="en-GB"/>
        </w:rPr>
        <w:t xml:space="preserve">may </w:t>
      </w:r>
      <w:r w:rsidRPr="00F25412">
        <w:rPr>
          <w:lang w:val="en-GB"/>
        </w:rPr>
        <w:t xml:space="preserve">have been aligned with ISPM 27 or ISPM 28, to future-proof it, but concluded that this could be confusing when no such alignment had been done. The SC agreed that the footnote </w:t>
      </w:r>
      <w:r w:rsidR="009C19AD">
        <w:rPr>
          <w:lang w:val="en-GB"/>
        </w:rPr>
        <w:t xml:space="preserve">[in each draft standard] </w:t>
      </w:r>
      <w:r w:rsidRPr="00F25412">
        <w:rPr>
          <w:lang w:val="en-GB"/>
        </w:rPr>
        <w:t>could be amended in future as and when needed</w:t>
      </w:r>
      <w:r w:rsidR="00291929">
        <w:rPr>
          <w:lang w:val="en-GB"/>
        </w:rPr>
        <w:t xml:space="preserve"> [during drafting]</w:t>
      </w:r>
      <w:r w:rsidRPr="00F25412">
        <w:rPr>
          <w:lang w:val="en-GB"/>
        </w:rPr>
        <w:t>.</w:t>
      </w:r>
    </w:p>
    <w:p w14:paraId="52B76EA0" w14:textId="39CF0ABF" w:rsidR="00D6012A" w:rsidRDefault="003B5122" w:rsidP="003B5122">
      <w:pPr>
        <w:pStyle w:val="IPPParagraphnumberingclose"/>
      </w:pPr>
      <w:r>
        <w:t>A</w:t>
      </w:r>
      <w:r w:rsidR="00D0103E">
        <w:t xml:space="preserve">fter the SC May 2025 meeting, the editor </w:t>
      </w:r>
      <w:r w:rsidR="007A319D">
        <w:t>inserted reference to</w:t>
      </w:r>
      <w:r w:rsidR="00CA108E">
        <w:t xml:space="preserve"> virus names</w:t>
      </w:r>
      <w:r>
        <w:t xml:space="preserve"> in the footnote of the draft taro standard, </w:t>
      </w:r>
      <w:r w:rsidR="00663A60">
        <w:t>and this was accepted by the steward. The revis</w:t>
      </w:r>
      <w:r w:rsidR="00920091">
        <w:t xml:space="preserve">ion </w:t>
      </w:r>
      <w:r w:rsidR="001707B2">
        <w:t xml:space="preserve">was </w:t>
      </w:r>
      <w:r w:rsidR="00920091">
        <w:t xml:space="preserve">needed to </w:t>
      </w:r>
      <w:r w:rsidR="001707B2">
        <w:t xml:space="preserve">align with </w:t>
      </w:r>
      <w:r w:rsidRPr="003B5122">
        <w:t>the heading row for viruses</w:t>
      </w:r>
      <w:r w:rsidR="001707B2">
        <w:t>, which</w:t>
      </w:r>
      <w:r w:rsidRPr="003B5122">
        <w:t xml:space="preserve"> refer</w:t>
      </w:r>
      <w:r w:rsidR="006227EB">
        <w:t>red</w:t>
      </w:r>
      <w:r w:rsidRPr="003B5122">
        <w:t xml:space="preserve"> to species name not scientific name (following IPPC style and </w:t>
      </w:r>
      <w:r w:rsidR="006227EB">
        <w:t xml:space="preserve">International Committee on Taxonomy of Viruses </w:t>
      </w:r>
      <w:r w:rsidRPr="003B5122">
        <w:t>style)</w:t>
      </w:r>
      <w:r w:rsidR="001707B2">
        <w:t>,</w:t>
      </w:r>
      <w:r w:rsidRPr="003B5122">
        <w:t xml:space="preserve"> and </w:t>
      </w:r>
      <w:r w:rsidR="003C0164">
        <w:t xml:space="preserve">to </w:t>
      </w:r>
      <w:r w:rsidRPr="003B5122">
        <w:t xml:space="preserve">allow for the name submitted by the </w:t>
      </w:r>
      <w:r w:rsidR="00F62F68">
        <w:t xml:space="preserve">contracted party </w:t>
      </w:r>
      <w:r w:rsidR="00D6074F">
        <w:t xml:space="preserve">to </w:t>
      </w:r>
      <w:r w:rsidRPr="003B5122">
        <w:t>be either a virus name or a species name</w:t>
      </w:r>
      <w:r w:rsidR="00CA108E">
        <w:t>:</w:t>
      </w:r>
    </w:p>
    <w:p w14:paraId="0F3459A7" w14:textId="436C1BAF" w:rsidR="00CA108E" w:rsidRDefault="00CA108E" w:rsidP="00CA108E">
      <w:pPr>
        <w:pStyle w:val="IPPQuote"/>
      </w:pPr>
      <w:r w:rsidRPr="00CA108E">
        <w:t>Scientific names used in this table, and names provided for viruses, are based on the submissions by contracting parties</w:t>
      </w:r>
      <w:r w:rsidR="00AF46D3">
        <w:t>.</w:t>
      </w:r>
    </w:p>
    <w:p w14:paraId="48BD7498" w14:textId="444CF9DA" w:rsidR="008B3C05" w:rsidRPr="00061FFF" w:rsidRDefault="0025240E" w:rsidP="008B3C05">
      <w:pPr>
        <w:pStyle w:val="IPPParagraphnumbering"/>
        <w:numPr>
          <w:ilvl w:val="0"/>
          <w:numId w:val="27"/>
        </w:numPr>
        <w:rPr>
          <w:lang w:val="en-GB"/>
        </w:rPr>
      </w:pPr>
      <w:r>
        <w:rPr>
          <w:b/>
          <w:bCs/>
        </w:rPr>
        <w:t xml:space="preserve">TPCS June 2025. </w:t>
      </w:r>
      <w:r w:rsidR="008B3C05" w:rsidRPr="00061FFF">
        <w:rPr>
          <w:lang w:val="en-GB"/>
        </w:rPr>
        <w:t>The TPCS reviewed the approach they had agreed in February 2025 regarding which scientific names to use in commodity standards. The TPCS agreed that there was no need to look for the most recent, accepted scientific name (other than the more recent of those names submitted), as commodity standards were based on the submissions of contracting parties.</w:t>
      </w:r>
    </w:p>
    <w:p w14:paraId="4E4AB801" w14:textId="1A00EC1B" w:rsidR="008B3C05" w:rsidRPr="002E08A6" w:rsidRDefault="008B3C05" w:rsidP="002E08A6">
      <w:pPr>
        <w:pStyle w:val="IPPParagraphnumberingclose"/>
        <w:rPr>
          <w:lang w:val="en-GB"/>
        </w:rPr>
      </w:pPr>
      <w:r w:rsidRPr="00061FFF">
        <w:rPr>
          <w:lang w:val="en-GB"/>
        </w:rPr>
        <w:t>The TPCS</w:t>
      </w:r>
      <w:r w:rsidR="001403CD">
        <w:rPr>
          <w:lang w:val="en-GB"/>
        </w:rPr>
        <w:t xml:space="preserve"> therefore </w:t>
      </w:r>
      <w:r w:rsidRPr="002E08A6">
        <w:rPr>
          <w:lang w:val="en-GB"/>
        </w:rPr>
        <w:t>revised</w:t>
      </w:r>
      <w:r w:rsidRPr="002E08A6">
        <w:rPr>
          <w:i/>
          <w:iCs/>
          <w:lang w:val="en-GB"/>
        </w:rPr>
        <w:t xml:space="preserve"> </w:t>
      </w:r>
      <w:r w:rsidRPr="002E08A6">
        <w:rPr>
          <w:lang w:val="en-GB"/>
        </w:rPr>
        <w:t xml:space="preserve">its approach to </w:t>
      </w:r>
      <w:r w:rsidRPr="00BA6A76">
        <w:t>scientific</w:t>
      </w:r>
      <w:r w:rsidRPr="002E08A6">
        <w:rPr>
          <w:lang w:val="en-GB"/>
        </w:rPr>
        <w:t xml:space="preserve"> names of pests in commodity standards </w:t>
      </w:r>
      <w:r w:rsidR="00BA6A76">
        <w:rPr>
          <w:lang w:val="en-GB"/>
        </w:rPr>
        <w:t xml:space="preserve">(first bullet point) </w:t>
      </w:r>
      <w:r w:rsidRPr="002E08A6">
        <w:rPr>
          <w:lang w:val="en-GB"/>
        </w:rPr>
        <w:t>as follows:</w:t>
      </w:r>
    </w:p>
    <w:p w14:paraId="2381E205" w14:textId="77777777" w:rsidR="008B3C05" w:rsidRPr="00061FFF" w:rsidRDefault="008B3C05" w:rsidP="008B3C05">
      <w:pPr>
        <w:pStyle w:val="IPPQuote"/>
      </w:pPr>
      <w:r w:rsidRPr="00061FFF">
        <w:t>Use the names as submitted by contracting parties, unless a different name is used in an annex to ISPM 27 (</w:t>
      </w:r>
      <w:r w:rsidRPr="00061FFF">
        <w:rPr>
          <w:i/>
          <w:iCs/>
        </w:rPr>
        <w:t>Diagnostic protocols for regulated pests</w:t>
      </w:r>
      <w:r w:rsidRPr="00061FFF">
        <w:t>) or ISPM 28 (</w:t>
      </w:r>
      <w:r w:rsidRPr="00061FFF">
        <w:rPr>
          <w:i/>
          <w:iCs/>
        </w:rPr>
        <w:t>Phytosanitary treatments for regulated pests</w:t>
      </w:r>
      <w:r w:rsidRPr="00061FFF">
        <w:t xml:space="preserve">); where two </w:t>
      </w:r>
      <w:r>
        <w:t xml:space="preserve">or more </w:t>
      </w:r>
      <w:r w:rsidRPr="00061FFF">
        <w:t xml:space="preserve">names have been submitted, use the most recent, accepted name of the </w:t>
      </w:r>
      <w:r>
        <w:t>submitted names</w:t>
      </w:r>
      <w:r w:rsidRPr="00061FFF">
        <w:t>.</w:t>
      </w:r>
    </w:p>
    <w:p w14:paraId="3C2952B0" w14:textId="7D6FD0B6" w:rsidR="0025240E" w:rsidRPr="00B12007" w:rsidRDefault="009C69A0" w:rsidP="002E08A6">
      <w:pPr>
        <w:pStyle w:val="IPPParagraphnumbering"/>
        <w:numPr>
          <w:ilvl w:val="0"/>
          <w:numId w:val="27"/>
        </w:numPr>
      </w:pPr>
      <w:r w:rsidRPr="00061FFF">
        <w:rPr>
          <w:lang w:val="en-GB"/>
        </w:rPr>
        <w:t>The TPCS recognized that it might be challenging to apply the new IPPC style for viruses – virus name (</w:t>
      </w:r>
      <w:r>
        <w:rPr>
          <w:lang w:val="en-GB"/>
        </w:rPr>
        <w:t>acronym</w:t>
      </w:r>
      <w:r w:rsidRPr="00061FFF">
        <w:rPr>
          <w:lang w:val="en-GB"/>
        </w:rPr>
        <w:t xml:space="preserve">; species </w:t>
      </w:r>
      <w:r w:rsidRPr="00061FFF">
        <w:rPr>
          <w:i/>
          <w:iCs/>
          <w:lang w:val="en-GB"/>
        </w:rPr>
        <w:t>Scientific name</w:t>
      </w:r>
      <w:r w:rsidRPr="00061FFF">
        <w:rPr>
          <w:lang w:val="en-GB"/>
        </w:rPr>
        <w:t>) – and at the same time respect the names submitted by contracting parties, many of which may pre-date the change to binomial scientific names for viruses. However, the TPCS agreed to address this as and when the issue arose during the development of the draft commodity standards.</w:t>
      </w:r>
    </w:p>
    <w:sectPr w:rsidR="0025240E" w:rsidRPr="00B12007" w:rsidSect="00FC5E63">
      <w:headerReference w:type="even" r:id="rId22"/>
      <w:headerReference w:type="default" r:id="rId23"/>
      <w:footerReference w:type="even" r:id="rId24"/>
      <w:footerReference w:type="default" r:id="rId25"/>
      <w:headerReference w:type="first" r:id="rId26"/>
      <w:footerReference w:type="first" r:id="rId27"/>
      <w:pgSz w:w="11906" w:h="16838" w:code="9"/>
      <w:pgMar w:top="1559"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B2E8" w14:textId="77777777" w:rsidR="00E302E8" w:rsidRDefault="00E302E8" w:rsidP="002B4ADC">
      <w:r>
        <w:separator/>
      </w:r>
    </w:p>
  </w:endnote>
  <w:endnote w:type="continuationSeparator" w:id="0">
    <w:p w14:paraId="2FBA41B5" w14:textId="77777777" w:rsidR="00E302E8" w:rsidRDefault="00E302E8" w:rsidP="002B4ADC">
      <w:r>
        <w:continuationSeparator/>
      </w:r>
    </w:p>
  </w:endnote>
  <w:endnote w:type="continuationNotice" w:id="1">
    <w:p w14:paraId="602FAA07" w14:textId="77777777" w:rsidR="00E302E8" w:rsidRDefault="00E3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54C5865"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1B56F6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4700B43E" w:rsidR="003E28FF" w:rsidRPr="003E28FF" w:rsidRDefault="00A66045" w:rsidP="00A66045">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7</w:t>
    </w:r>
    <w:r w:rsidRPr="00377B1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F383" w14:textId="77777777" w:rsidR="00E302E8" w:rsidRDefault="00E302E8" w:rsidP="002B4ADC">
      <w:r>
        <w:separator/>
      </w:r>
    </w:p>
  </w:footnote>
  <w:footnote w:type="continuationSeparator" w:id="0">
    <w:p w14:paraId="7DF39B28" w14:textId="77777777" w:rsidR="00E302E8" w:rsidRDefault="00E302E8" w:rsidP="002B4ADC">
      <w:r>
        <w:continuationSeparator/>
      </w:r>
    </w:p>
  </w:footnote>
  <w:footnote w:type="continuationNotice" w:id="1">
    <w:p w14:paraId="259C554A" w14:textId="77777777" w:rsidR="00E302E8" w:rsidRDefault="00E302E8"/>
  </w:footnote>
  <w:footnote w:id="2">
    <w:p w14:paraId="495E8E5F" w14:textId="0931E4A0" w:rsidR="00B42630" w:rsidRDefault="00B42630" w:rsidP="002E08A6">
      <w:pPr>
        <w:pStyle w:val="IPPFootnote"/>
      </w:pPr>
      <w:r>
        <w:rPr>
          <w:rStyle w:val="FootnoteReference"/>
        </w:rPr>
        <w:footnoteRef/>
      </w:r>
      <w:r>
        <w:t xml:space="preserve"> TPCS 2025</w:t>
      </w:r>
      <w:r w:rsidR="00D27D5E">
        <w:t>-</w:t>
      </w:r>
      <w:r>
        <w:t>06</w:t>
      </w:r>
      <w:r w:rsidR="00D27D5E">
        <w:t xml:space="preserve">. In </w:t>
      </w:r>
      <w:r>
        <w:t>agenda item 5.3</w:t>
      </w:r>
      <w:r w:rsidR="00D27D5E">
        <w:t>, the</w:t>
      </w:r>
      <w:r w:rsidR="00A22876">
        <w:t xml:space="preserve"> </w:t>
      </w:r>
      <w:r>
        <w:t xml:space="preserve">TPCS </w:t>
      </w:r>
      <w:r w:rsidR="00A22876">
        <w:t xml:space="preserve">agreed </w:t>
      </w:r>
      <w:r>
        <w:t xml:space="preserve">to use “international trade of” for Scope section of draft </w:t>
      </w:r>
      <w:r>
        <w:rPr>
          <w:i/>
          <w:iCs/>
        </w:rPr>
        <w:t xml:space="preserve">P. vulgaris </w:t>
      </w:r>
      <w:r>
        <w:t>standard</w:t>
      </w:r>
      <w:r w:rsidR="00A22876">
        <w:t>,</w:t>
      </w:r>
      <w:r>
        <w:t xml:space="preserve"> although did not discuss whether to make the same change to the title</w:t>
      </w:r>
      <w:r w:rsidR="00A22876">
        <w:t xml:space="preserve">. </w:t>
      </w:r>
      <w:r w:rsidR="008616CE">
        <w:t>Having agreed that the scope was trade, they agreed i</w:t>
      </w:r>
      <w:r w:rsidR="00D27D5E" w:rsidRPr="00CD79B7">
        <w:t xml:space="preserve">t was not necessary to </w:t>
      </w:r>
      <w:r w:rsidR="009917B8">
        <w:t xml:space="preserve">also </w:t>
      </w:r>
      <w:r w:rsidR="00D27D5E" w:rsidRPr="00CD79B7">
        <w:t>refer to movement, as movement was inherent in the international trade of seeds</w:t>
      </w:r>
      <w:r w:rsidR="008616CE">
        <w:t>.</w:t>
      </w:r>
      <w:r w:rsidR="00D27D5E">
        <w:t xml:space="preserve"> </w:t>
      </w:r>
      <w:r w:rsidR="00A22876">
        <w:t xml:space="preserve">In agenda item 5.2, they had used “international movement of” in the title and Scope section of the draft </w:t>
      </w:r>
      <w:r w:rsidR="00A22876">
        <w:rPr>
          <w:i/>
          <w:iCs/>
        </w:rPr>
        <w:t xml:space="preserve">Citrus </w:t>
      </w:r>
      <w:r w:rsidR="00A22876">
        <w:t>standard.</w:t>
      </w:r>
    </w:p>
  </w:footnote>
  <w:footnote w:id="3">
    <w:p w14:paraId="602D5A90" w14:textId="2F872AD8" w:rsidR="0043543C" w:rsidRPr="0043543C" w:rsidRDefault="0043543C" w:rsidP="002E08A6">
      <w:pPr>
        <w:pStyle w:val="IPPFootnote"/>
      </w:pPr>
      <w:r>
        <w:rPr>
          <w:rStyle w:val="FootnoteReference"/>
        </w:rPr>
        <w:footnoteRef/>
      </w:r>
      <w:r>
        <w:t xml:space="preserve"> Draft </w:t>
      </w:r>
      <w:r>
        <w:rPr>
          <w:i/>
          <w:iCs/>
        </w:rPr>
        <w:t xml:space="preserve">Citrus </w:t>
      </w:r>
      <w:r>
        <w:t>standard (TPCS 2025-06, agenda item 5.2). This supersedes the previous style</w:t>
      </w:r>
      <w:r w:rsidR="00DD5CC8">
        <w:t xml:space="preserve"> of preferring</w:t>
      </w:r>
      <w:r w:rsidR="000667B9">
        <w:t xml:space="preserve"> species level except </w:t>
      </w:r>
      <w:proofErr w:type="gramStart"/>
      <w:r w:rsidR="000667B9">
        <w:t>where</w:t>
      </w:r>
      <w:proofErr w:type="gramEnd"/>
      <w:r w:rsidR="000667B9">
        <w:t xml:space="preserve"> regulated only to the genus</w:t>
      </w:r>
      <w:r w:rsidR="002477F4">
        <w:t xml:space="preserve"> or regulated to race.</w:t>
      </w:r>
      <w:r>
        <w:t xml:space="preserve"> </w:t>
      </w:r>
    </w:p>
  </w:footnote>
  <w:footnote w:id="4">
    <w:p w14:paraId="30A55815" w14:textId="2144F3FC" w:rsidR="00DD1536" w:rsidRPr="00AB640B" w:rsidRDefault="00DD1536" w:rsidP="00AB640B">
      <w:pPr>
        <w:pStyle w:val="IPPFootnote"/>
      </w:pPr>
      <w:r w:rsidRPr="00AB640B">
        <w:rPr>
          <w:rStyle w:val="FootnoteReference"/>
        </w:rPr>
        <w:footnoteRef/>
      </w:r>
      <w:r w:rsidRPr="00AB640B">
        <w:t xml:space="preserve"> Draft </w:t>
      </w:r>
      <w:r w:rsidRPr="00AB640B">
        <w:rPr>
          <w:i/>
        </w:rPr>
        <w:t xml:space="preserve">Musa </w:t>
      </w:r>
      <w:r w:rsidRPr="00AB640B">
        <w:t>standard (TPCS 2025-02, agenda item 4.1).</w:t>
      </w:r>
    </w:p>
  </w:footnote>
  <w:footnote w:id="5">
    <w:p w14:paraId="370B78DF" w14:textId="54B44306" w:rsidR="00167102" w:rsidRDefault="00167102" w:rsidP="002E08A6">
      <w:pPr>
        <w:pStyle w:val="IPPFootnote"/>
      </w:pPr>
      <w:r>
        <w:rPr>
          <w:rStyle w:val="FootnoteReference"/>
        </w:rPr>
        <w:footnoteRef/>
      </w:r>
      <w:r>
        <w:t xml:space="preserve"> </w:t>
      </w:r>
      <w:r w:rsidR="00D95F96" w:rsidRPr="00AB640B">
        <w:t xml:space="preserve">Draft </w:t>
      </w:r>
      <w:r w:rsidR="00D95F96" w:rsidRPr="00AB640B">
        <w:rPr>
          <w:i/>
        </w:rPr>
        <w:t xml:space="preserve">Musa </w:t>
      </w:r>
      <w:r w:rsidR="00D95F96" w:rsidRPr="00AB640B">
        <w:t>standard (TPCS 202</w:t>
      </w:r>
      <w:r w:rsidR="00D95F96">
        <w:t>4</w:t>
      </w:r>
      <w:r w:rsidR="00D95F96" w:rsidRPr="00AB640B">
        <w:t>-</w:t>
      </w:r>
      <w:r w:rsidR="00D95F96">
        <w:t>1</w:t>
      </w:r>
      <w:r w:rsidR="00D95F96" w:rsidRPr="00AB640B">
        <w:t>2, agenda item 4.</w:t>
      </w:r>
      <w:r w:rsidR="00D95F96">
        <w:t>4</w:t>
      </w:r>
      <w:r w:rsidR="00D95F96" w:rsidRPr="00AB640B">
        <w:t>).</w:t>
      </w:r>
    </w:p>
  </w:footnote>
  <w:footnote w:id="6">
    <w:p w14:paraId="5E48DCEE" w14:textId="77777777" w:rsidR="0003319E" w:rsidRPr="00CB2AC5" w:rsidRDefault="0003319E" w:rsidP="002E08A6">
      <w:pPr>
        <w:pStyle w:val="IPPFootnote"/>
      </w:pPr>
      <w:r>
        <w:rPr>
          <w:rStyle w:val="FootnoteReference"/>
        </w:rPr>
        <w:footnoteRef/>
      </w:r>
      <w:r>
        <w:t xml:space="preserve"> Draft </w:t>
      </w:r>
      <w:r>
        <w:rPr>
          <w:i/>
          <w:iCs/>
        </w:rPr>
        <w:t xml:space="preserve">P. vulgaris </w:t>
      </w:r>
      <w:r>
        <w:t>standard (TPCS 2025-06, agenda item 5.3), b</w:t>
      </w:r>
      <w:r w:rsidRPr="0019004A">
        <w:t>ean common mosaic virus</w:t>
      </w:r>
      <w:r>
        <w:t>.</w:t>
      </w:r>
    </w:p>
  </w:footnote>
  <w:footnote w:id="7">
    <w:p w14:paraId="2E7C4144" w14:textId="0C6F4EB3" w:rsidR="00423311" w:rsidRPr="00AB640B" w:rsidRDefault="00423311" w:rsidP="00423311">
      <w:pPr>
        <w:pStyle w:val="IPPFootnote"/>
      </w:pPr>
      <w:r w:rsidRPr="00AB640B">
        <w:rPr>
          <w:rStyle w:val="FootnoteReference"/>
        </w:rPr>
        <w:footnoteRef/>
      </w:r>
      <w:r w:rsidRPr="00AB640B">
        <w:t xml:space="preserve"> SC 2024-11, agenda item 4.1</w:t>
      </w:r>
      <w:r w:rsidR="004E4DFD" w:rsidRPr="00AB640B">
        <w:t xml:space="preserve"> (mango standard); TPCS 2025-02, agenda item 4.1 (draft </w:t>
      </w:r>
      <w:r w:rsidR="004E4DFD" w:rsidRPr="00AB640B">
        <w:rPr>
          <w:i/>
        </w:rPr>
        <w:t xml:space="preserve">Musa </w:t>
      </w:r>
      <w:r w:rsidR="004E4DFD" w:rsidRPr="00AB640B">
        <w:t>standard)</w:t>
      </w:r>
      <w:r w:rsidRPr="00AB640B">
        <w:t>.</w:t>
      </w:r>
    </w:p>
  </w:footnote>
  <w:footnote w:id="8">
    <w:p w14:paraId="3515446A" w14:textId="7C0FEC00" w:rsidR="00750BA4" w:rsidRPr="00AB640B" w:rsidRDefault="00750BA4" w:rsidP="00AB640B">
      <w:pPr>
        <w:pStyle w:val="IPPFootnote"/>
      </w:pPr>
      <w:r w:rsidRPr="00AB640B">
        <w:rPr>
          <w:rStyle w:val="FootnoteReference"/>
        </w:rPr>
        <w:footnoteRef/>
      </w:r>
      <w:r w:rsidRPr="00AB640B">
        <w:t xml:space="preserve"> </w:t>
      </w:r>
      <w:proofErr w:type="spellStart"/>
      <w:r w:rsidR="00310341" w:rsidRPr="00AB640B">
        <w:rPr>
          <w:i/>
        </w:rPr>
        <w:t>Papuana</w:t>
      </w:r>
      <w:proofErr w:type="spellEnd"/>
      <w:r w:rsidR="00310341" w:rsidRPr="00AB640B">
        <w:rPr>
          <w:i/>
        </w:rPr>
        <w:t xml:space="preserve"> </w:t>
      </w:r>
      <w:r w:rsidR="00310341" w:rsidRPr="00AB640B">
        <w:t>species in d</w:t>
      </w:r>
      <w:r w:rsidRPr="00AB640B">
        <w:t>raft taro standard (TPCS 2025-02, agenda item 4.2).</w:t>
      </w:r>
    </w:p>
  </w:footnote>
  <w:footnote w:id="9">
    <w:p w14:paraId="5D8448C1" w14:textId="77777777" w:rsidR="00575464" w:rsidRDefault="00575464" w:rsidP="00575464">
      <w:pPr>
        <w:pStyle w:val="IPPFootnote"/>
      </w:pPr>
      <w:r>
        <w:rPr>
          <w:rStyle w:val="FootnoteReference"/>
        </w:rPr>
        <w:footnoteRef/>
      </w:r>
      <w:r>
        <w:t xml:space="preserve"> SC 2025-05, agenda item 5.2; for consistency with </w:t>
      </w:r>
      <w:r w:rsidRPr="00F02533">
        <w:rPr>
          <w:i/>
          <w:iCs/>
        </w:rPr>
        <w:t>IPPC style guide</w:t>
      </w:r>
      <w:r>
        <w:t xml:space="preserve"> 2024 (and line with </w:t>
      </w:r>
      <w:bookmarkStart w:id="3" w:name="_Hlk198845068"/>
      <w:r>
        <w:t xml:space="preserve">International Committee on Taxonomy of Viruses </w:t>
      </w:r>
      <w:bookmarkEnd w:id="3"/>
      <w:r>
        <w:t>style).</w:t>
      </w:r>
    </w:p>
  </w:footnote>
  <w:footnote w:id="10">
    <w:p w14:paraId="0F28F973" w14:textId="5DADEFC1" w:rsidR="00FF79AC" w:rsidRDefault="00FF79AC" w:rsidP="00AB640B">
      <w:pPr>
        <w:pStyle w:val="IPPFootnote"/>
      </w:pPr>
      <w:r w:rsidRPr="00AB640B">
        <w:rPr>
          <w:rStyle w:val="FootnoteReference"/>
        </w:rPr>
        <w:footnoteRef/>
      </w:r>
      <w:r w:rsidRPr="00AB640B">
        <w:t xml:space="preserve"> TPCS 2025-02, agenda item 4.1</w:t>
      </w:r>
      <w:r w:rsidR="005F0371">
        <w:t xml:space="preserve">; revised </w:t>
      </w:r>
      <w:r w:rsidR="00FD5EA7">
        <w:t xml:space="preserve">by </w:t>
      </w:r>
      <w:r w:rsidR="005F0371">
        <w:t>TPCS 2025-06, agenda item </w:t>
      </w:r>
      <w:r w:rsidR="00F055F0">
        <w:t>5.1</w:t>
      </w:r>
      <w:r w:rsidRPr="00AB640B">
        <w:t>.</w:t>
      </w:r>
    </w:p>
  </w:footnote>
  <w:footnote w:id="11">
    <w:p w14:paraId="0B6FF506" w14:textId="1CD8096D" w:rsidR="003A2C94" w:rsidRDefault="003A2C94" w:rsidP="00AB640B">
      <w:pPr>
        <w:pStyle w:val="IPPFootnote"/>
      </w:pPr>
      <w:r w:rsidRPr="00AB640B">
        <w:rPr>
          <w:rStyle w:val="FootnoteReference"/>
        </w:rPr>
        <w:footnoteRef/>
      </w:r>
      <w:r w:rsidRPr="00AB640B">
        <w:t xml:space="preserve"> </w:t>
      </w:r>
      <w:r w:rsidR="000917B2">
        <w:t>D</w:t>
      </w:r>
      <w:r>
        <w:t xml:space="preserve">raft </w:t>
      </w:r>
      <w:r>
        <w:rPr>
          <w:i/>
          <w:iCs/>
        </w:rPr>
        <w:t xml:space="preserve">Musa </w:t>
      </w:r>
      <w:r w:rsidR="00CF77AB">
        <w:t>standard</w:t>
      </w:r>
      <w:r w:rsidR="007944A9">
        <w:t xml:space="preserve"> and draft taro standards</w:t>
      </w:r>
      <w:r w:rsidR="00CF77AB">
        <w:t>, SC 2025-05</w:t>
      </w:r>
      <w:r w:rsidR="007944A9">
        <w:t>, agenda items 5.1 and 5.2</w:t>
      </w:r>
      <w:r w:rsidR="00C3063D">
        <w:t>, as edited post-SC</w:t>
      </w:r>
      <w:r w:rsidR="0018219B">
        <w:t xml:space="preserve"> (see Appendix 1 of these</w:t>
      </w:r>
      <w:r w:rsidR="00744BA6">
        <w:t xml:space="preserve"> editorial notes)</w:t>
      </w:r>
      <w:r w:rsidR="00437305">
        <w:t>. Replaces wording</w:t>
      </w:r>
      <w:r w:rsidR="00437305" w:rsidRPr="00AB640B">
        <w:t xml:space="preserve"> </w:t>
      </w:r>
      <w:r w:rsidR="000917B2" w:rsidRPr="00AB640B">
        <w:t xml:space="preserve">used in draft </w:t>
      </w:r>
      <w:r w:rsidR="000917B2" w:rsidRPr="00AB640B">
        <w:rPr>
          <w:i/>
        </w:rPr>
        <w:t xml:space="preserve">Musa </w:t>
      </w:r>
      <w:r w:rsidR="000917B2" w:rsidRPr="00AB640B">
        <w:t>and draft taro standards</w:t>
      </w:r>
      <w:r w:rsidR="00437305">
        <w:t xml:space="preserve"> as</w:t>
      </w:r>
      <w:r w:rsidR="000917B2" w:rsidRPr="00AB640B">
        <w:t xml:space="preserve"> edited March 2025</w:t>
      </w:r>
      <w:r w:rsidR="005003CB">
        <w:t xml:space="preserve"> to incorporate approach agreed by TPCS</w:t>
      </w:r>
      <w:r w:rsidR="00437305">
        <w:t>:</w:t>
      </w:r>
    </w:p>
    <w:p w14:paraId="7EA6EBA1" w14:textId="14E9D075" w:rsidR="00617ACD" w:rsidRPr="00D45EF9" w:rsidRDefault="00617ACD" w:rsidP="00AB640B">
      <w:pPr>
        <w:pStyle w:val="IPPQuote"/>
        <w:spacing w:after="60"/>
      </w:pPr>
      <w:r w:rsidRPr="008644F7">
        <w:t>Scientific names used in this table are based on</w:t>
      </w:r>
      <w:r w:rsidRPr="00D45EF9">
        <w:t xml:space="preserve"> the </w:t>
      </w:r>
      <w:r w:rsidRPr="008644F7">
        <w:t>submissions by contracting parties</w:t>
      </w:r>
      <w:r>
        <w:t xml:space="preserve">, </w:t>
      </w:r>
      <w:r w:rsidRPr="00D45EF9">
        <w:t>modified</w:t>
      </w:r>
      <w:r>
        <w:t xml:space="preserve"> </w:t>
      </w:r>
      <w:r w:rsidRPr="004E46D4">
        <w:t xml:space="preserve">where </w:t>
      </w:r>
      <w:r>
        <w:t>applicable to a more recent, accepted scientific name</w:t>
      </w:r>
      <w:r w:rsidRPr="008644F7">
        <w:t xml:space="preserve"> </w:t>
      </w:r>
      <w:r>
        <w:t>[</w:t>
      </w:r>
      <w:r w:rsidRPr="008644F7">
        <w:t>or</w:t>
      </w:r>
      <w:r w:rsidRPr="00D45EF9">
        <w:t xml:space="preserve"> for </w:t>
      </w:r>
      <w:r w:rsidRPr="008644F7">
        <w:t>align</w:t>
      </w:r>
      <w:r>
        <w:t>ment</w:t>
      </w:r>
      <w:r w:rsidRPr="008644F7">
        <w:t xml:space="preserve"> with ISPM 27 (</w:t>
      </w:r>
      <w:r w:rsidRPr="008644F7">
        <w:rPr>
          <w:i/>
          <w:iCs/>
        </w:rPr>
        <w:t>Diagnostic protocols for regulated pests</w:t>
      </w:r>
      <w:r w:rsidRPr="008644F7">
        <w:t>) or ISPM 28 (</w:t>
      </w:r>
      <w:r w:rsidRPr="008644F7">
        <w:rPr>
          <w:i/>
          <w:iCs/>
        </w:rPr>
        <w:t>Phytosanitary treatments for regulated pests</w:t>
      </w:r>
      <w:r w:rsidRPr="008644F7">
        <w:t>)</w:t>
      </w:r>
      <w:r>
        <w:t>]</w:t>
      </w:r>
      <w:r w:rsidRPr="008644F7">
        <w:t>.</w:t>
      </w:r>
    </w:p>
  </w:footnote>
  <w:footnote w:id="12">
    <w:p w14:paraId="312C55B6" w14:textId="77777777" w:rsidR="0016300E" w:rsidRPr="00AB640B" w:rsidRDefault="0016300E" w:rsidP="00AB640B">
      <w:pPr>
        <w:pStyle w:val="IPPFootnote"/>
      </w:pPr>
      <w:r w:rsidRPr="00AB640B">
        <w:rPr>
          <w:rStyle w:val="FootnoteReference"/>
        </w:rPr>
        <w:footnoteRef/>
      </w:r>
      <w:r w:rsidRPr="00AB640B">
        <w:t xml:space="preserve"> SC 2024-11, agenda item 4.1.</w:t>
      </w:r>
    </w:p>
  </w:footnote>
  <w:footnote w:id="13">
    <w:p w14:paraId="143C54D4" w14:textId="77777777" w:rsidR="00BD7930" w:rsidRPr="00AB640B" w:rsidRDefault="00BD7930" w:rsidP="00AB640B">
      <w:pPr>
        <w:pStyle w:val="IPPFootnote"/>
      </w:pPr>
      <w:r w:rsidRPr="00AB640B">
        <w:rPr>
          <w:rStyle w:val="FootnoteReference"/>
        </w:rPr>
        <w:footnoteRef/>
      </w:r>
      <w:r w:rsidRPr="00AB640B">
        <w:t xml:space="preserve"> TPCS 2023-02, agenda item 4.1, for consistency with </w:t>
      </w:r>
      <w:proofErr w:type="spellStart"/>
      <w:r w:rsidRPr="00AB640B">
        <w:t>PTs.</w:t>
      </w:r>
      <w:proofErr w:type="spellEnd"/>
    </w:p>
  </w:footnote>
  <w:footnote w:id="14">
    <w:p w14:paraId="3AB67485" w14:textId="0926E2C5" w:rsidR="00BC6B3B" w:rsidRDefault="00BC6B3B" w:rsidP="002E08A6">
      <w:pPr>
        <w:pStyle w:val="IPPFootnote"/>
      </w:pPr>
      <w:r>
        <w:rPr>
          <w:rStyle w:val="FootnoteReference"/>
        </w:rPr>
        <w:footnoteRef/>
      </w:r>
      <w:r>
        <w:t xml:space="preserve"> TPCS</w:t>
      </w:r>
      <w:r w:rsidR="00E1540E">
        <w:t xml:space="preserve"> 2025-06, agenda item 5.3</w:t>
      </w:r>
      <w:r w:rsidR="00CF39D2">
        <w:t>: TPCS confirmed that it was acceptable for editor to do this, even though the pest names themselves are as submitted by contracting parties.</w:t>
      </w:r>
    </w:p>
  </w:footnote>
  <w:footnote w:id="15">
    <w:p w14:paraId="60D3FC63" w14:textId="71872313" w:rsidR="00F54DCD" w:rsidRPr="00AB640B" w:rsidRDefault="00F54DCD" w:rsidP="00AB640B">
      <w:pPr>
        <w:pStyle w:val="IPPFootnote"/>
      </w:pPr>
      <w:r w:rsidRPr="00AB640B">
        <w:rPr>
          <w:rStyle w:val="FootnoteReference"/>
        </w:rPr>
        <w:footnoteRef/>
      </w:r>
      <w:r w:rsidRPr="00AB640B">
        <w:t xml:space="preserve"> TPCS 2023-02, agenda item 4.1, as modified for draft </w:t>
      </w:r>
      <w:r w:rsidRPr="00AB640B">
        <w:rPr>
          <w:i/>
        </w:rPr>
        <w:t xml:space="preserve">Musa </w:t>
      </w:r>
      <w:r w:rsidRPr="00AB640B">
        <w:t>and taro standards (</w:t>
      </w:r>
      <w:r w:rsidR="00006CE4" w:rsidRPr="00AB640B">
        <w:t xml:space="preserve">as edited, </w:t>
      </w:r>
      <w:r w:rsidRPr="00AB640B">
        <w:t>March 2025) to incorporate a wider range of taxonomic groups.</w:t>
      </w:r>
    </w:p>
  </w:footnote>
  <w:footnote w:id="16">
    <w:p w14:paraId="3B52BF6F" w14:textId="685992E0" w:rsidR="00006CE4" w:rsidRDefault="00006CE4" w:rsidP="00AB640B">
      <w:pPr>
        <w:pStyle w:val="IPPFootnote"/>
      </w:pPr>
      <w:r w:rsidRPr="00AB640B">
        <w:rPr>
          <w:rStyle w:val="FootnoteReference"/>
        </w:rPr>
        <w:footnoteRef/>
      </w:r>
      <w:r w:rsidRPr="00AB640B">
        <w:t xml:space="preserve"> Example is from draft </w:t>
      </w:r>
      <w:r w:rsidRPr="00AB640B">
        <w:rPr>
          <w:i/>
        </w:rPr>
        <w:t xml:space="preserve">Musa </w:t>
      </w:r>
      <w:r w:rsidRPr="00AB640B">
        <w:t>standard (as edited, March 2025).</w:t>
      </w:r>
    </w:p>
  </w:footnote>
  <w:footnote w:id="17">
    <w:p w14:paraId="698F1821" w14:textId="2F082BD8" w:rsidR="00BD7930" w:rsidRDefault="00BD7930" w:rsidP="00AB640B">
      <w:pPr>
        <w:pStyle w:val="IPPFootnote"/>
      </w:pPr>
      <w:r>
        <w:rPr>
          <w:rStyle w:val="FootnoteReference"/>
        </w:rPr>
        <w:footnoteRef/>
      </w:r>
      <w:r>
        <w:t xml:space="preserve"> </w:t>
      </w:r>
      <w:r w:rsidR="00AF4C3F">
        <w:t xml:space="preserve">Approach </w:t>
      </w:r>
      <w:r w:rsidR="00550605">
        <w:t xml:space="preserve">used for draft </w:t>
      </w:r>
      <w:r w:rsidR="00550605">
        <w:rPr>
          <w:i/>
          <w:iCs/>
        </w:rPr>
        <w:t xml:space="preserve">Musa </w:t>
      </w:r>
      <w:r w:rsidR="00550605">
        <w:t>and taro standards (</w:t>
      </w:r>
      <w:r w:rsidR="005A25EE">
        <w:t xml:space="preserve">as edited, </w:t>
      </w:r>
      <w:r w:rsidR="00550605">
        <w:t>March 2025)</w:t>
      </w:r>
      <w:r w:rsidR="00AF4C3F">
        <w:t xml:space="preserve">: </w:t>
      </w:r>
      <w:r w:rsidR="001838F4">
        <w:t xml:space="preserve">subheadings used for </w:t>
      </w:r>
      <w:r w:rsidR="001838F4">
        <w:rPr>
          <w:i/>
          <w:iCs/>
        </w:rPr>
        <w:t xml:space="preserve">Musa </w:t>
      </w:r>
      <w:r w:rsidR="001838F4">
        <w:t>standard but not needed for taro standard</w:t>
      </w:r>
      <w:r w:rsidR="00550605">
        <w:t>.</w:t>
      </w:r>
    </w:p>
  </w:footnote>
  <w:footnote w:id="18">
    <w:p w14:paraId="5A978FAF" w14:textId="787C796C" w:rsidR="00D87CB4" w:rsidRDefault="00D87CB4" w:rsidP="00AB640B">
      <w:pPr>
        <w:pStyle w:val="IPPFootnote"/>
      </w:pPr>
      <w:r>
        <w:rPr>
          <w:rStyle w:val="FootnoteReference"/>
        </w:rPr>
        <w:footnoteRef/>
      </w:r>
      <w:r>
        <w:t xml:space="preserve"> Style used for draft </w:t>
      </w:r>
      <w:r>
        <w:rPr>
          <w:i/>
          <w:iCs/>
        </w:rPr>
        <w:t xml:space="preserve">Musa </w:t>
      </w:r>
      <w:r>
        <w:t>and taro standards as edited, May 2025.</w:t>
      </w:r>
    </w:p>
  </w:footnote>
  <w:footnote w:id="19">
    <w:p w14:paraId="2668B59A" w14:textId="77777777" w:rsidR="006A4B10" w:rsidRDefault="006A4B10" w:rsidP="006A4B10">
      <w:pPr>
        <w:pStyle w:val="FootnoteText"/>
      </w:pPr>
      <w:r>
        <w:rPr>
          <w:rStyle w:val="FootnoteReference"/>
        </w:rPr>
        <w:footnoteRef/>
      </w:r>
      <w:r>
        <w:t xml:space="preserve"> In case additional options in the category are added </w:t>
      </w:r>
      <w:proofErr w:type="gramStart"/>
      <w:r>
        <w:t>at a later date</w:t>
      </w:r>
      <w:proofErr w:type="gramEnd"/>
      <w:r>
        <w:t xml:space="preserve"> (TPCS 2025-02, agenda item 4.2).</w:t>
      </w:r>
    </w:p>
  </w:footnote>
  <w:footnote w:id="20">
    <w:p w14:paraId="1A0B971C" w14:textId="77777777" w:rsidR="006A4B10" w:rsidRDefault="006A4B10" w:rsidP="00AB640B">
      <w:pPr>
        <w:pStyle w:val="IPPFootnote"/>
      </w:pPr>
      <w:r>
        <w:rPr>
          <w:rStyle w:val="FootnoteReference"/>
        </w:rPr>
        <w:footnoteRef/>
      </w:r>
      <w:r>
        <w:t xml:space="preserve"> As in CS 1 (mango standard).</w:t>
      </w:r>
    </w:p>
  </w:footnote>
  <w:footnote w:id="21">
    <w:p w14:paraId="1AACC584" w14:textId="5A52A8EC" w:rsidR="0070046D" w:rsidRDefault="0070046D" w:rsidP="00AB640B">
      <w:pPr>
        <w:pStyle w:val="IPPFootnote"/>
      </w:pPr>
      <w:r>
        <w:rPr>
          <w:rStyle w:val="FootnoteReference"/>
        </w:rPr>
        <w:footnoteRef/>
      </w:r>
      <w:r>
        <w:t xml:space="preserve"> </w:t>
      </w:r>
      <w:r w:rsidR="005A25EE">
        <w:t xml:space="preserve">Style used for draft </w:t>
      </w:r>
      <w:r w:rsidR="005A25EE">
        <w:rPr>
          <w:i/>
          <w:iCs/>
        </w:rPr>
        <w:t xml:space="preserve">Musa </w:t>
      </w:r>
      <w:r w:rsidR="005A25EE">
        <w:t>and taro standards as edited</w:t>
      </w:r>
      <w:r w:rsidR="006427BB">
        <w:t xml:space="preserve"> in</w:t>
      </w:r>
      <w:r w:rsidR="005A25EE">
        <w:t xml:space="preserve"> March 2025. Modified from that used in CS 1 </w:t>
      </w:r>
      <w:bookmarkStart w:id="6" w:name="_Hlk193748206"/>
      <w:r w:rsidR="006427BB">
        <w:t xml:space="preserve">(and contrary to TPCS 2025-02, agenda item 4.2) </w:t>
      </w:r>
      <w:bookmarkEnd w:id="6"/>
      <w:r w:rsidR="005A25EE">
        <w:t xml:space="preserve">to allow for options that are </w:t>
      </w:r>
      <w:r>
        <w:t>acronyms (</w:t>
      </w:r>
      <w:r w:rsidR="005A25EE">
        <w:t>e.g. </w:t>
      </w:r>
      <w:r>
        <w:t xml:space="preserve">PFA, PFPP) </w:t>
      </w:r>
      <w:r w:rsidR="005A25EE">
        <w:t xml:space="preserve">or </w:t>
      </w:r>
      <w:r>
        <w:t>an acronym combined with words (</w:t>
      </w:r>
      <w:r w:rsidR="005A25EE">
        <w:t>e.g. “</w:t>
      </w:r>
      <w:r>
        <w:t>PFA or export inspection</w:t>
      </w:r>
      <w:r w:rsidR="005A25EE">
        <w:t>”</w:t>
      </w:r>
      <w:r>
        <w:t>).</w:t>
      </w:r>
    </w:p>
  </w:footnote>
  <w:footnote w:id="22">
    <w:p w14:paraId="319D93C0" w14:textId="1E9D91B2" w:rsidR="00BD7930" w:rsidRPr="000433C8" w:rsidRDefault="00BD7930" w:rsidP="00AB640B">
      <w:pPr>
        <w:pStyle w:val="IPPFootnote"/>
      </w:pPr>
      <w:r>
        <w:rPr>
          <w:rStyle w:val="FootnoteReference"/>
        </w:rPr>
        <w:footnoteRef/>
      </w:r>
      <w:r>
        <w:t xml:space="preserve"> Agreed by TPCS for draft </w:t>
      </w:r>
      <w:r w:rsidR="0015079C">
        <w:t>mango standard</w:t>
      </w:r>
      <w:r>
        <w:t>, 2023-02-28.</w:t>
      </w:r>
    </w:p>
  </w:footnote>
  <w:footnote w:id="23">
    <w:p w14:paraId="053A022C" w14:textId="758B2BF0" w:rsidR="00BD7930" w:rsidRDefault="00BD7930" w:rsidP="00AB640B">
      <w:pPr>
        <w:pStyle w:val="IPPFootnote"/>
      </w:pPr>
      <w:r>
        <w:rPr>
          <w:rStyle w:val="FootnoteReference"/>
        </w:rPr>
        <w:footnoteRef/>
      </w:r>
      <w:r>
        <w:t xml:space="preserve"> Style used for draft </w:t>
      </w:r>
      <w:r w:rsidR="0015079C">
        <w:t>mango standard</w:t>
      </w:r>
      <w:r>
        <w:t>, June 2024</w:t>
      </w:r>
      <w:r w:rsidR="009A4D89">
        <w:t xml:space="preserve"> and as adopted March 2025</w:t>
      </w:r>
      <w:r>
        <w:t>.</w:t>
      </w:r>
    </w:p>
  </w:footnote>
  <w:footnote w:id="24">
    <w:p w14:paraId="1D720829" w14:textId="20573B94" w:rsidR="00BD7930" w:rsidRPr="000433C8" w:rsidRDefault="00BD7930" w:rsidP="00AB640B">
      <w:pPr>
        <w:pStyle w:val="IPPFootnote"/>
      </w:pPr>
      <w:r>
        <w:rPr>
          <w:rStyle w:val="FootnoteReference"/>
        </w:rPr>
        <w:footnoteRef/>
      </w:r>
      <w:r>
        <w:t xml:space="preserve"> Agreed by </w:t>
      </w:r>
      <w:r w:rsidR="00B14B7B">
        <w:t>SC</w:t>
      </w:r>
      <w:r w:rsidR="008C5490">
        <w:t xml:space="preserve"> November 2024</w:t>
      </w:r>
      <w:r>
        <w:t xml:space="preserve"> for draft </w:t>
      </w:r>
      <w:r w:rsidR="0015079C">
        <w:t>mango standard</w:t>
      </w:r>
      <w:r>
        <w:t>.</w:t>
      </w:r>
    </w:p>
  </w:footnote>
  <w:footnote w:id="25">
    <w:p w14:paraId="0F364DFF" w14:textId="62D3EBB6" w:rsidR="00E06137" w:rsidRDefault="00E06137" w:rsidP="004E5EB5">
      <w:pPr>
        <w:pStyle w:val="IPPFootnote"/>
      </w:pPr>
      <w:r>
        <w:rPr>
          <w:rStyle w:val="FootnoteReference"/>
        </w:rPr>
        <w:footnoteRef/>
      </w:r>
      <w:r>
        <w:t xml:space="preserve"> </w:t>
      </w:r>
      <w:r w:rsidRPr="00E06137">
        <w:t>Editorial style used for draft mango standard, submitted to TPCS 2023-02-28</w:t>
      </w:r>
      <w:r>
        <w:t>.</w:t>
      </w:r>
    </w:p>
  </w:footnote>
  <w:footnote w:id="26">
    <w:p w14:paraId="0553D897" w14:textId="77777777" w:rsidR="00BD7930" w:rsidRDefault="00BD7930" w:rsidP="004E5EB5">
      <w:pPr>
        <w:pStyle w:val="IPPFootnote"/>
      </w:pPr>
      <w:r>
        <w:rPr>
          <w:rStyle w:val="FootnoteReference"/>
        </w:rPr>
        <w:footnoteRef/>
      </w:r>
      <w:r>
        <w:t xml:space="preserve"> A</w:t>
      </w:r>
      <w:r w:rsidRPr="00FD2C50">
        <w:t>greed by SC May 2023, because PTs are adopted by the CPM</w:t>
      </w:r>
      <w:r>
        <w:t>.</w:t>
      </w:r>
    </w:p>
  </w:footnote>
  <w:footnote w:id="27">
    <w:p w14:paraId="64FBFDF1" w14:textId="5889034F" w:rsidR="00501135" w:rsidRDefault="00501135" w:rsidP="002E08A6">
      <w:pPr>
        <w:pStyle w:val="IPPFootnote"/>
      </w:pPr>
      <w:r>
        <w:rPr>
          <w:rStyle w:val="FootnoteReference"/>
        </w:rPr>
        <w:footnoteRef/>
      </w:r>
      <w:r>
        <w:t xml:space="preserve"> TPCS 2025-06, agenda item 5.2.</w:t>
      </w:r>
    </w:p>
  </w:footnote>
  <w:footnote w:id="28">
    <w:p w14:paraId="44C2E17B" w14:textId="47C7B2F2" w:rsidR="002A34BA" w:rsidRDefault="002A34BA" w:rsidP="002E08A6">
      <w:pPr>
        <w:pStyle w:val="IPPFootnote"/>
      </w:pPr>
      <w:r>
        <w:rPr>
          <w:rStyle w:val="FootnoteReference"/>
        </w:rPr>
        <w:footnoteRef/>
      </w:r>
      <w:r>
        <w:t xml:space="preserve"> </w:t>
      </w:r>
      <w:r w:rsidR="00E32205">
        <w:t>SC 2025-</w:t>
      </w:r>
      <w:r w:rsidR="00A26D04">
        <w:t xml:space="preserve">05, agenda item 5.1 (draft </w:t>
      </w:r>
      <w:r w:rsidR="00A26D04">
        <w:rPr>
          <w:i/>
          <w:iCs/>
        </w:rPr>
        <w:t xml:space="preserve">Musa </w:t>
      </w:r>
      <w:r w:rsidR="00A26D04">
        <w:t>standard). Original c</w:t>
      </w:r>
      <w:r w:rsidR="0026136E">
        <w:t>hange to draft mango standard made by steward</w:t>
      </w:r>
      <w:r w:rsidR="00787D76">
        <w:t>,</w:t>
      </w:r>
      <w:r w:rsidR="0026136E">
        <w:t xml:space="preserve"> on recommendation from </w:t>
      </w:r>
      <w:r w:rsidR="005760F1">
        <w:t>editor</w:t>
      </w:r>
      <w:r w:rsidR="00787D76">
        <w:t>,</w:t>
      </w:r>
      <w:r w:rsidR="005760F1">
        <w:t xml:space="preserve"> in response to second consultation comment </w:t>
      </w:r>
      <w:r w:rsidR="003C1D9F">
        <w:t>#15</w:t>
      </w:r>
      <w:r w:rsidR="005905C3">
        <w:t>2</w:t>
      </w:r>
      <w:r w:rsidR="001F59CA">
        <w:t>.</w:t>
      </w:r>
    </w:p>
  </w:footnote>
  <w:footnote w:id="29">
    <w:p w14:paraId="7CA8CE33" w14:textId="77777777" w:rsidR="00BD7930" w:rsidRDefault="00BD7930" w:rsidP="004E5EB5">
      <w:pPr>
        <w:pStyle w:val="IPPFootnote"/>
      </w:pPr>
      <w:r>
        <w:rPr>
          <w:rStyle w:val="FootnoteReference"/>
        </w:rPr>
        <w:footnoteRef/>
      </w:r>
      <w:r>
        <w:t xml:space="preserve"> For consistency with DPs &amp; </w:t>
      </w:r>
      <w:proofErr w:type="spellStart"/>
      <w:r>
        <w:t>PTs.</w:t>
      </w:r>
      <w:proofErr w:type="spellEnd"/>
      <w:r>
        <w:t xml:space="preserve"> </w:t>
      </w:r>
    </w:p>
  </w:footnote>
  <w:footnote w:id="30">
    <w:p w14:paraId="72FB8751" w14:textId="37602D93" w:rsidR="00BD7930" w:rsidRDefault="00BD7930" w:rsidP="004E5EB5">
      <w:pPr>
        <w:pStyle w:val="IPPFootnote"/>
      </w:pPr>
      <w:r>
        <w:rPr>
          <w:rStyle w:val="FootnoteReference"/>
        </w:rPr>
        <w:footnoteRef/>
      </w:r>
      <w:r>
        <w:t xml:space="preserve"> Editorial comment on draft </w:t>
      </w:r>
      <w:r w:rsidR="005732BD">
        <w:t>mango standard</w:t>
      </w:r>
      <w:r>
        <w:t>, submitted to TPCS 2023-02-28</w:t>
      </w:r>
      <w:r w:rsidR="00D42149">
        <w:t>; amended following changes to draft standard by SC 2024-11</w:t>
      </w:r>
      <w:r>
        <w:t>.</w:t>
      </w:r>
    </w:p>
  </w:footnote>
  <w:footnote w:id="31">
    <w:p w14:paraId="54EE9AE7" w14:textId="3CE3F8B7" w:rsidR="00903ED4" w:rsidRDefault="00903ED4" w:rsidP="004E5EB5">
      <w:pPr>
        <w:pStyle w:val="IPPFootnote"/>
      </w:pPr>
      <w:r>
        <w:rPr>
          <w:rStyle w:val="FootnoteReference"/>
        </w:rPr>
        <w:footnoteRef/>
      </w:r>
      <w:r>
        <w:t xml:space="preserve"> SC 2024-11, agenda item 4.1 (because commodity standards will always refer to ISPM 46).</w:t>
      </w:r>
    </w:p>
  </w:footnote>
  <w:footnote w:id="32">
    <w:p w14:paraId="1E40EC68" w14:textId="6010F8B7" w:rsidR="0067167C" w:rsidRDefault="0067167C" w:rsidP="004E5EB5">
      <w:pPr>
        <w:pStyle w:val="IPPFootnote"/>
      </w:pPr>
      <w:r>
        <w:rPr>
          <w:rStyle w:val="FootnoteReference"/>
        </w:rPr>
        <w:footnoteRef/>
      </w:r>
      <w:r>
        <w:t xml:space="preserve"> Because Reference subsections not needed in table of contents.</w:t>
      </w:r>
      <w:r w:rsidR="005E6503">
        <w:t xml:space="preserve"> Style used for </w:t>
      </w:r>
      <w:r w:rsidR="00310341">
        <w:t>CS 1.</w:t>
      </w:r>
    </w:p>
  </w:footnote>
  <w:footnote w:id="33">
    <w:p w14:paraId="1827D24F" w14:textId="56663F08" w:rsidR="006A2767" w:rsidRDefault="006A2767" w:rsidP="004E5EB5">
      <w:pPr>
        <w:pStyle w:val="IPPFootnote"/>
      </w:pPr>
      <w:r>
        <w:rPr>
          <w:rStyle w:val="FootnoteReference"/>
        </w:rPr>
        <w:footnoteRef/>
      </w:r>
      <w:r>
        <w:t xml:space="preserve"> </w:t>
      </w:r>
      <w:r w:rsidR="00593FA8">
        <w:t>Because the tables form the main content of commodity standards. A</w:t>
      </w:r>
      <w:r>
        <w:t>greed by secretariat lead</w:t>
      </w:r>
      <w:r w:rsidR="00E171F9">
        <w:t xml:space="preserve"> and steward</w:t>
      </w:r>
      <w:r w:rsidR="00270280">
        <w:t>,</w:t>
      </w:r>
      <w:r w:rsidR="00593FA8">
        <w:t xml:space="preserve"> Nov 2024, for draft mango standard presented to CPM-19 (2025) for adoption</w:t>
      </w:r>
      <w:r w:rsidR="00E171F9">
        <w:t>.</w:t>
      </w:r>
    </w:p>
  </w:footnote>
  <w:footnote w:id="34">
    <w:p w14:paraId="047A7097" w14:textId="77777777" w:rsidR="001B011A" w:rsidRDefault="001B011A" w:rsidP="001B011A">
      <w:pPr>
        <w:pStyle w:val="IPPFootnote"/>
      </w:pPr>
      <w:r>
        <w:rPr>
          <w:rStyle w:val="FootnoteReference"/>
        </w:rPr>
        <w:footnoteRef/>
      </w:r>
      <w:r>
        <w:t xml:space="preserve"> TPCS 2023-01, agenda item 5.2.</w:t>
      </w:r>
    </w:p>
  </w:footnote>
  <w:footnote w:id="35">
    <w:p w14:paraId="683DF0D9" w14:textId="77777777" w:rsidR="001B011A" w:rsidRDefault="001B011A" w:rsidP="001B011A">
      <w:pPr>
        <w:pStyle w:val="IPPFootnote"/>
      </w:pPr>
      <w:r>
        <w:rPr>
          <w:rStyle w:val="FootnoteReference"/>
        </w:rPr>
        <w:footnoteRef/>
      </w:r>
      <w:r>
        <w:t xml:space="preserve"> SC-7 2024-05, agenda item 4.1.</w:t>
      </w:r>
    </w:p>
  </w:footnote>
  <w:footnote w:id="36">
    <w:p w14:paraId="0753448B" w14:textId="77777777" w:rsidR="001B011A" w:rsidRDefault="001B011A" w:rsidP="001B011A">
      <w:pPr>
        <w:pStyle w:val="IPPFootnote"/>
      </w:pPr>
      <w:r>
        <w:rPr>
          <w:rStyle w:val="FootnoteReference"/>
        </w:rPr>
        <w:footnoteRef/>
      </w:r>
      <w:r>
        <w:t xml:space="preserve"> SC 2024-11, agenda item 4.1.</w:t>
      </w:r>
    </w:p>
  </w:footnote>
  <w:footnote w:id="37">
    <w:p w14:paraId="3D0A6065" w14:textId="173979F3" w:rsidR="00D268F3" w:rsidRDefault="00D268F3" w:rsidP="004E5EB5">
      <w:pPr>
        <w:pStyle w:val="IPPFootnote"/>
      </w:pPr>
      <w:r>
        <w:rPr>
          <w:rStyle w:val="FootnoteReference"/>
        </w:rPr>
        <w:footnoteRef/>
      </w:r>
      <w:r>
        <w:t xml:space="preserve"> TPCS 2025-02, agenda item 4.1.</w:t>
      </w:r>
    </w:p>
  </w:footnote>
  <w:footnote w:id="38">
    <w:p w14:paraId="0844C759" w14:textId="7C85DE2D" w:rsidR="00F51FCF" w:rsidRDefault="00F51FCF" w:rsidP="002E08A6">
      <w:pPr>
        <w:pStyle w:val="IPPFootnote"/>
      </w:pPr>
      <w:r>
        <w:rPr>
          <w:rStyle w:val="FootnoteReference"/>
        </w:rPr>
        <w:footnoteRef/>
      </w:r>
      <w:r>
        <w:t xml:space="preserve"> SC 2025-05, agenda item 5.1.</w:t>
      </w:r>
    </w:p>
  </w:footnote>
  <w:footnote w:id="39">
    <w:p w14:paraId="31B486BB" w14:textId="08F1EC9B" w:rsidR="00F61946" w:rsidRDefault="00F61946" w:rsidP="002E08A6">
      <w:pPr>
        <w:pStyle w:val="IPPFootnote"/>
      </w:pPr>
      <w:r>
        <w:rPr>
          <w:rStyle w:val="FootnoteReference"/>
        </w:rPr>
        <w:footnoteRef/>
      </w:r>
      <w:r>
        <w:t xml:space="preserve"> SC 2025-05, agenda item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4FD1CACA" w:rsidR="0077142E" w:rsidRPr="0077142E" w:rsidRDefault="00391FC9" w:rsidP="00482D62">
    <w:pPr>
      <w:pStyle w:val="IPPHeader"/>
    </w:pPr>
    <w:r>
      <w:rPr>
        <w:rFonts w:cs="Arial"/>
        <w:szCs w:val="18"/>
        <w:lang w:eastAsia="zh-CN"/>
      </w:rPr>
      <w:t>07</w:t>
    </w:r>
    <w:r w:rsidRPr="00B37FBB">
      <w:rPr>
        <w:rFonts w:cs="Arial"/>
        <w:szCs w:val="18"/>
        <w:lang w:eastAsia="zh-CN"/>
      </w:rPr>
      <w:t>_TPCS_2025_Dec</w:t>
    </w:r>
    <w:r w:rsidR="00B86E84">
      <w:tab/>
    </w:r>
    <w:r w:rsidR="009F7479">
      <w:t>E</w:t>
    </w:r>
    <w:proofErr w:type="spellStart"/>
    <w:r w:rsidR="002270C2">
      <w:rPr>
        <w:bCs/>
        <w:szCs w:val="18"/>
        <w:lang w:val="en-GB"/>
      </w:rPr>
      <w:t>ditorial</w:t>
    </w:r>
    <w:proofErr w:type="spellEnd"/>
    <w:r w:rsidR="002270C2">
      <w:rPr>
        <w:bCs/>
        <w:szCs w:val="18"/>
        <w:lang w:val="en-GB"/>
      </w:rPr>
      <w:t xml:space="preserve"> style for commodity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4F506EF2" w:rsidR="002B4ADC" w:rsidRPr="002B4ADC" w:rsidRDefault="0050081C">
    <w:pPr>
      <w:pStyle w:val="IPPHeader"/>
    </w:pPr>
    <w:r>
      <w:t>E</w:t>
    </w:r>
    <w:proofErr w:type="spellStart"/>
    <w:r>
      <w:rPr>
        <w:bCs/>
        <w:szCs w:val="18"/>
        <w:lang w:val="en-GB"/>
      </w:rPr>
      <w:t>ditorial</w:t>
    </w:r>
    <w:proofErr w:type="spellEnd"/>
    <w:r>
      <w:rPr>
        <w:bCs/>
        <w:szCs w:val="18"/>
        <w:lang w:val="en-GB"/>
      </w:rPr>
      <w:t xml:space="preserve"> style for commodity standards</w:t>
    </w:r>
    <w:r w:rsidR="003027FF">
      <w:tab/>
    </w:r>
    <w:r w:rsidR="00391FC9">
      <w:rPr>
        <w:rFonts w:cs="Arial"/>
        <w:szCs w:val="18"/>
        <w:lang w:eastAsia="zh-CN"/>
      </w:rPr>
      <w:t>07</w:t>
    </w:r>
    <w:r w:rsidR="00391FC9" w:rsidRPr="00B37FBB">
      <w:rPr>
        <w:rFonts w:cs="Arial"/>
        <w:szCs w:val="18"/>
        <w:lang w:eastAsia="zh-CN"/>
      </w:rPr>
      <w:t>_TPCS_2025_Dec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D0C1" w14:textId="145D10A7" w:rsidR="002270C2" w:rsidRDefault="002270C2" w:rsidP="002270C2">
    <w:pPr>
      <w:pStyle w:val="IPPHeader"/>
      <w:tabs>
        <w:tab w:val="clear" w:pos="1134"/>
      </w:tabs>
      <w:spacing w:before="240" w:after="0"/>
    </w:pPr>
    <w:bookmarkStart w:id="7" w:name="_Hlk38796923"/>
    <w:bookmarkStart w:id="8" w:name="_Hlk38796924"/>
    <w:r>
      <w:rPr>
        <w:i/>
        <w:iCs/>
        <w:noProof/>
        <w14:ligatures w14:val="standardContextual"/>
      </w:rPr>
      <w:drawing>
        <wp:anchor distT="0" distB="0" distL="114300" distR="114300" simplePos="0" relativeHeight="251661312" behindDoc="0" locked="0" layoutInCell="1" allowOverlap="1" wp14:anchorId="2E79BC67" wp14:editId="0F3D93C3">
          <wp:simplePos x="0" y="0"/>
          <wp:positionH relativeFrom="page">
            <wp:posOffset>2520315</wp:posOffset>
          </wp:positionH>
          <wp:positionV relativeFrom="page">
            <wp:posOffset>558165</wp:posOffset>
          </wp:positionV>
          <wp:extent cx="1756800" cy="698400"/>
          <wp:effectExtent l="0" t="0" r="0" b="6985"/>
          <wp:wrapSquare wrapText="bothSides"/>
          <wp:docPr id="4290132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85A593C" wp14:editId="4D1E31E1">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6D6FCE"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9264" behindDoc="0" locked="0" layoutInCell="1" allowOverlap="1" wp14:anchorId="1A6C71D6" wp14:editId="4D57E433">
          <wp:simplePos x="0" y="0"/>
          <wp:positionH relativeFrom="page">
            <wp:posOffset>0</wp:posOffset>
          </wp:positionH>
          <wp:positionV relativeFrom="page">
            <wp:posOffset>0</wp:posOffset>
          </wp:positionV>
          <wp:extent cx="7617600" cy="558000"/>
          <wp:effectExtent l="0" t="0" r="2540" b="0"/>
          <wp:wrapTopAndBottom/>
          <wp:docPr id="19272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0288" behindDoc="0" locked="0" layoutInCell="1" allowOverlap="1" wp14:anchorId="3FDA60FA" wp14:editId="37C7389A">
          <wp:simplePos x="0" y="0"/>
          <wp:positionH relativeFrom="page">
            <wp:posOffset>742950</wp:posOffset>
          </wp:positionH>
          <wp:positionV relativeFrom="page">
            <wp:posOffset>558165</wp:posOffset>
          </wp:positionV>
          <wp:extent cx="1728000" cy="698400"/>
          <wp:effectExtent l="0" t="0" r="5715" b="6985"/>
          <wp:wrapSquare wrapText="bothSides"/>
          <wp:docPr id="154837502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sidR="00391FC9">
      <w:rPr>
        <w:rFonts w:cs="Arial"/>
        <w:szCs w:val="18"/>
        <w:lang w:eastAsia="zh-CN"/>
      </w:rPr>
      <w:t>07</w:t>
    </w:r>
    <w:r w:rsidR="00391FC9" w:rsidRPr="00B37FBB">
      <w:rPr>
        <w:rFonts w:cs="Arial"/>
        <w:szCs w:val="18"/>
        <w:lang w:eastAsia="zh-CN"/>
      </w:rPr>
      <w:t>_TPCS_2025_Dec</w:t>
    </w:r>
  </w:p>
  <w:p w14:paraId="1D7D70EE" w14:textId="68B60222" w:rsidR="002270C2" w:rsidRDefault="002270C2" w:rsidP="002270C2">
    <w:pPr>
      <w:pStyle w:val="IPPHeader"/>
      <w:tabs>
        <w:tab w:val="clear" w:pos="1134"/>
      </w:tabs>
      <w:spacing w:after="0"/>
    </w:pPr>
    <w:r w:rsidRPr="0076596B">
      <w:tab/>
      <w:t xml:space="preserve">Agenda item: </w:t>
    </w:r>
    <w:r w:rsidR="004763A7">
      <w:t>6.1</w:t>
    </w:r>
  </w:p>
  <w:p w14:paraId="706214D4" w14:textId="77777777" w:rsidR="002270C2" w:rsidRDefault="002270C2" w:rsidP="002270C2">
    <w:pPr>
      <w:pStyle w:val="IPPHeader"/>
      <w:tabs>
        <w:tab w:val="clear" w:pos="1134"/>
      </w:tabs>
      <w:spacing w:after="260"/>
    </w:pPr>
  </w:p>
  <w:p w14:paraId="7DC5F5F5" w14:textId="0C0A536C" w:rsidR="002270C2" w:rsidRPr="0076596B" w:rsidRDefault="009F7479" w:rsidP="002270C2">
    <w:pPr>
      <w:pStyle w:val="IPPHeader"/>
      <w:tabs>
        <w:tab w:val="clear" w:pos="1134"/>
      </w:tabs>
      <w:spacing w:after="0"/>
    </w:pPr>
    <w:r>
      <w:rPr>
        <w:bCs/>
        <w:szCs w:val="18"/>
        <w:lang w:val="en-GB"/>
      </w:rPr>
      <w:t>E</w:t>
    </w:r>
    <w:r w:rsidR="00FC5E63">
      <w:rPr>
        <w:bCs/>
        <w:szCs w:val="18"/>
        <w:lang w:val="en-GB"/>
      </w:rPr>
      <w:t>ditorial style for commodity standards</w:t>
    </w:r>
  </w:p>
  <w:bookmarkEnd w:id="7"/>
  <w:bookmarkEnd w:id="8"/>
  <w:p w14:paraId="28E073DB" w14:textId="77777777" w:rsidR="00F022D3" w:rsidRPr="00F022D3" w:rsidRDefault="00F022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C0A6C"/>
    <w:multiLevelType w:val="multilevel"/>
    <w:tmpl w:val="06E871E4"/>
    <w:numStyleLink w:val="IPPParagraphnumberedlist"/>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9"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8A0D38"/>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4"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776E5"/>
    <w:multiLevelType w:val="hybridMultilevel"/>
    <w:tmpl w:val="98D215B2"/>
    <w:lvl w:ilvl="0" w:tplc="A28ECC2E">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5F046D55"/>
    <w:multiLevelType w:val="hybridMultilevel"/>
    <w:tmpl w:val="3B8CBD18"/>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7"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9"/>
  </w:num>
  <w:num w:numId="2" w16cid:durableId="315455127">
    <w:abstractNumId w:val="2"/>
  </w:num>
  <w:num w:numId="3" w16cid:durableId="79520713">
    <w:abstractNumId w:val="5"/>
  </w:num>
  <w:num w:numId="4" w16cid:durableId="1577280186">
    <w:abstractNumId w:val="7"/>
  </w:num>
  <w:num w:numId="5" w16cid:durableId="280763718">
    <w:abstractNumId w:val="17"/>
  </w:num>
  <w:num w:numId="6" w16cid:durableId="1292903261">
    <w:abstractNumId w:val="4"/>
  </w:num>
  <w:num w:numId="7" w16cid:durableId="638847168">
    <w:abstractNumId w:val="3"/>
  </w:num>
  <w:num w:numId="8" w16cid:durableId="604775870">
    <w:abstractNumId w:val="8"/>
  </w:num>
  <w:num w:numId="9" w16cid:durableId="1256212346">
    <w:abstractNumId w:val="19"/>
  </w:num>
  <w:num w:numId="10" w16cid:durableId="1827739327">
    <w:abstractNumId w:val="15"/>
  </w:num>
  <w:num w:numId="11" w16cid:durableId="1137603254">
    <w:abstractNumId w:val="11"/>
  </w:num>
  <w:num w:numId="12" w16cid:durableId="292568007">
    <w:abstractNumId w:val="20"/>
  </w:num>
  <w:num w:numId="13" w16cid:durableId="1542935101">
    <w:abstractNumId w:val="6"/>
  </w:num>
  <w:num w:numId="14" w16cid:durableId="136724211">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1"/>
  </w:num>
  <w:num w:numId="21" w16cid:durableId="625546059">
    <w:abstractNumId w:val="12"/>
  </w:num>
  <w:num w:numId="22" w16cid:durableId="1200246193">
    <w:abstractNumId w:val="18"/>
  </w:num>
  <w:num w:numId="23" w16cid:durableId="1902210887">
    <w:abstractNumId w:val="14"/>
  </w:num>
  <w:num w:numId="24" w16cid:durableId="748574246">
    <w:abstractNumId w:val="10"/>
  </w:num>
  <w:num w:numId="25" w16cid:durableId="497959281">
    <w:abstractNumId w:val="16"/>
  </w:num>
  <w:num w:numId="26" w16cid:durableId="410543145">
    <w:abstractNumId w:val="0"/>
  </w:num>
  <w:num w:numId="27" w16cid:durableId="1977955482">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16cid:durableId="1353454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04B5"/>
    <w:rsid w:val="00003F94"/>
    <w:rsid w:val="00004E11"/>
    <w:rsid w:val="00006CE4"/>
    <w:rsid w:val="0001004A"/>
    <w:rsid w:val="00014866"/>
    <w:rsid w:val="00015867"/>
    <w:rsid w:val="0003319E"/>
    <w:rsid w:val="00040CAE"/>
    <w:rsid w:val="00041FE4"/>
    <w:rsid w:val="00045096"/>
    <w:rsid w:val="00061B64"/>
    <w:rsid w:val="00062697"/>
    <w:rsid w:val="00064C63"/>
    <w:rsid w:val="000667B9"/>
    <w:rsid w:val="00067E33"/>
    <w:rsid w:val="000729CB"/>
    <w:rsid w:val="000736E7"/>
    <w:rsid w:val="00075DDA"/>
    <w:rsid w:val="00076641"/>
    <w:rsid w:val="0007693F"/>
    <w:rsid w:val="00076A0C"/>
    <w:rsid w:val="00084A8E"/>
    <w:rsid w:val="00086EA0"/>
    <w:rsid w:val="000917B2"/>
    <w:rsid w:val="00091B7C"/>
    <w:rsid w:val="00096C75"/>
    <w:rsid w:val="000B0B93"/>
    <w:rsid w:val="000D4C87"/>
    <w:rsid w:val="000E13E8"/>
    <w:rsid w:val="000E2C04"/>
    <w:rsid w:val="000E482C"/>
    <w:rsid w:val="000F0FC1"/>
    <w:rsid w:val="000F1DAD"/>
    <w:rsid w:val="000F4448"/>
    <w:rsid w:val="000F5FA4"/>
    <w:rsid w:val="000F6B05"/>
    <w:rsid w:val="000F6B5A"/>
    <w:rsid w:val="0010283E"/>
    <w:rsid w:val="00103747"/>
    <w:rsid w:val="0010594E"/>
    <w:rsid w:val="00105BD6"/>
    <w:rsid w:val="00107941"/>
    <w:rsid w:val="001232F2"/>
    <w:rsid w:val="0012506D"/>
    <w:rsid w:val="00127741"/>
    <w:rsid w:val="00131678"/>
    <w:rsid w:val="00132B67"/>
    <w:rsid w:val="001354B7"/>
    <w:rsid w:val="0013610C"/>
    <w:rsid w:val="0013792A"/>
    <w:rsid w:val="001403CD"/>
    <w:rsid w:val="001448F3"/>
    <w:rsid w:val="0014637F"/>
    <w:rsid w:val="0015079C"/>
    <w:rsid w:val="00155371"/>
    <w:rsid w:val="0016300E"/>
    <w:rsid w:val="0016647C"/>
    <w:rsid w:val="00167102"/>
    <w:rsid w:val="001707B2"/>
    <w:rsid w:val="001774FE"/>
    <w:rsid w:val="00181C10"/>
    <w:rsid w:val="0018219B"/>
    <w:rsid w:val="001838F4"/>
    <w:rsid w:val="00191FC6"/>
    <w:rsid w:val="00193024"/>
    <w:rsid w:val="001949D1"/>
    <w:rsid w:val="00196E50"/>
    <w:rsid w:val="00197F0E"/>
    <w:rsid w:val="001A7299"/>
    <w:rsid w:val="001B011A"/>
    <w:rsid w:val="001C0140"/>
    <w:rsid w:val="001C63D0"/>
    <w:rsid w:val="001D0F62"/>
    <w:rsid w:val="001D2C99"/>
    <w:rsid w:val="001D4518"/>
    <w:rsid w:val="001D72E7"/>
    <w:rsid w:val="001E1212"/>
    <w:rsid w:val="001E38B9"/>
    <w:rsid w:val="001E6302"/>
    <w:rsid w:val="001E67CD"/>
    <w:rsid w:val="001F59CA"/>
    <w:rsid w:val="0021005C"/>
    <w:rsid w:val="00210BEF"/>
    <w:rsid w:val="00217FC0"/>
    <w:rsid w:val="0022233C"/>
    <w:rsid w:val="00226841"/>
    <w:rsid w:val="002270C2"/>
    <w:rsid w:val="00231FAB"/>
    <w:rsid w:val="002375A0"/>
    <w:rsid w:val="00242796"/>
    <w:rsid w:val="00244FE8"/>
    <w:rsid w:val="002475EE"/>
    <w:rsid w:val="002477F4"/>
    <w:rsid w:val="0025240E"/>
    <w:rsid w:val="00253029"/>
    <w:rsid w:val="0026136E"/>
    <w:rsid w:val="00267FD9"/>
    <w:rsid w:val="00270280"/>
    <w:rsid w:val="00273CD7"/>
    <w:rsid w:val="0028413E"/>
    <w:rsid w:val="00285635"/>
    <w:rsid w:val="00287053"/>
    <w:rsid w:val="00287312"/>
    <w:rsid w:val="00291929"/>
    <w:rsid w:val="002946B6"/>
    <w:rsid w:val="002953AA"/>
    <w:rsid w:val="002A0620"/>
    <w:rsid w:val="002A22CB"/>
    <w:rsid w:val="002A34BA"/>
    <w:rsid w:val="002A53DD"/>
    <w:rsid w:val="002A5E44"/>
    <w:rsid w:val="002B1464"/>
    <w:rsid w:val="002B3206"/>
    <w:rsid w:val="002B4ADC"/>
    <w:rsid w:val="002C265C"/>
    <w:rsid w:val="002C37F4"/>
    <w:rsid w:val="002D0488"/>
    <w:rsid w:val="002D1A23"/>
    <w:rsid w:val="002E08A6"/>
    <w:rsid w:val="002E0E85"/>
    <w:rsid w:val="002E3554"/>
    <w:rsid w:val="002F048C"/>
    <w:rsid w:val="002F0F07"/>
    <w:rsid w:val="002F310D"/>
    <w:rsid w:val="002F5BC5"/>
    <w:rsid w:val="003012C8"/>
    <w:rsid w:val="003027FF"/>
    <w:rsid w:val="00304DFA"/>
    <w:rsid w:val="003065A6"/>
    <w:rsid w:val="00310341"/>
    <w:rsid w:val="00310617"/>
    <w:rsid w:val="003137C0"/>
    <w:rsid w:val="00314F05"/>
    <w:rsid w:val="0033370B"/>
    <w:rsid w:val="0033372E"/>
    <w:rsid w:val="0035120A"/>
    <w:rsid w:val="003515FB"/>
    <w:rsid w:val="00353A28"/>
    <w:rsid w:val="00356E0B"/>
    <w:rsid w:val="00362E41"/>
    <w:rsid w:val="00364630"/>
    <w:rsid w:val="00370553"/>
    <w:rsid w:val="00370B29"/>
    <w:rsid w:val="0037216F"/>
    <w:rsid w:val="0037293C"/>
    <w:rsid w:val="0037317D"/>
    <w:rsid w:val="00373B16"/>
    <w:rsid w:val="00381321"/>
    <w:rsid w:val="00381D71"/>
    <w:rsid w:val="00385372"/>
    <w:rsid w:val="0038629A"/>
    <w:rsid w:val="00390CB7"/>
    <w:rsid w:val="00390FD7"/>
    <w:rsid w:val="00391F60"/>
    <w:rsid w:val="00391FC9"/>
    <w:rsid w:val="00392DB2"/>
    <w:rsid w:val="003953F9"/>
    <w:rsid w:val="00395F1F"/>
    <w:rsid w:val="00397B51"/>
    <w:rsid w:val="003A2C94"/>
    <w:rsid w:val="003A430C"/>
    <w:rsid w:val="003A56DF"/>
    <w:rsid w:val="003B019A"/>
    <w:rsid w:val="003B03DF"/>
    <w:rsid w:val="003B10F8"/>
    <w:rsid w:val="003B13B8"/>
    <w:rsid w:val="003B2063"/>
    <w:rsid w:val="003B2F23"/>
    <w:rsid w:val="003B3E19"/>
    <w:rsid w:val="003B48CA"/>
    <w:rsid w:val="003B5122"/>
    <w:rsid w:val="003B7C5E"/>
    <w:rsid w:val="003C0164"/>
    <w:rsid w:val="003C17EC"/>
    <w:rsid w:val="003C1A3F"/>
    <w:rsid w:val="003C1D9F"/>
    <w:rsid w:val="003C2559"/>
    <w:rsid w:val="003C2F0A"/>
    <w:rsid w:val="003C3A41"/>
    <w:rsid w:val="003D1633"/>
    <w:rsid w:val="003E15F6"/>
    <w:rsid w:val="003E28FF"/>
    <w:rsid w:val="003E3186"/>
    <w:rsid w:val="003F3380"/>
    <w:rsid w:val="003F75BF"/>
    <w:rsid w:val="00402F7B"/>
    <w:rsid w:val="0040366D"/>
    <w:rsid w:val="00403E33"/>
    <w:rsid w:val="00404923"/>
    <w:rsid w:val="0041317F"/>
    <w:rsid w:val="0041332A"/>
    <w:rsid w:val="00415851"/>
    <w:rsid w:val="00420170"/>
    <w:rsid w:val="004219B9"/>
    <w:rsid w:val="00421C3B"/>
    <w:rsid w:val="00423311"/>
    <w:rsid w:val="00426C3D"/>
    <w:rsid w:val="00432904"/>
    <w:rsid w:val="00434EB1"/>
    <w:rsid w:val="00434F31"/>
    <w:rsid w:val="0043543C"/>
    <w:rsid w:val="00436A50"/>
    <w:rsid w:val="00437305"/>
    <w:rsid w:val="0044265E"/>
    <w:rsid w:val="004434B7"/>
    <w:rsid w:val="00444A32"/>
    <w:rsid w:val="00445289"/>
    <w:rsid w:val="00454BF8"/>
    <w:rsid w:val="0046399C"/>
    <w:rsid w:val="0047484D"/>
    <w:rsid w:val="004763A7"/>
    <w:rsid w:val="004766E7"/>
    <w:rsid w:val="00482D62"/>
    <w:rsid w:val="004843E3"/>
    <w:rsid w:val="00486572"/>
    <w:rsid w:val="00491D11"/>
    <w:rsid w:val="00493CA5"/>
    <w:rsid w:val="004A0E5D"/>
    <w:rsid w:val="004A1888"/>
    <w:rsid w:val="004B42E2"/>
    <w:rsid w:val="004B5F82"/>
    <w:rsid w:val="004B6DAE"/>
    <w:rsid w:val="004C2C27"/>
    <w:rsid w:val="004D1051"/>
    <w:rsid w:val="004D4785"/>
    <w:rsid w:val="004D4B3D"/>
    <w:rsid w:val="004E4DFD"/>
    <w:rsid w:val="004E5122"/>
    <w:rsid w:val="004E5EB5"/>
    <w:rsid w:val="004F0882"/>
    <w:rsid w:val="004F0A8C"/>
    <w:rsid w:val="004F335C"/>
    <w:rsid w:val="004F4015"/>
    <w:rsid w:val="004F68D8"/>
    <w:rsid w:val="004F7A11"/>
    <w:rsid w:val="005003CB"/>
    <w:rsid w:val="0050081C"/>
    <w:rsid w:val="00501135"/>
    <w:rsid w:val="005060A8"/>
    <w:rsid w:val="005066FB"/>
    <w:rsid w:val="00512FDC"/>
    <w:rsid w:val="005147F2"/>
    <w:rsid w:val="00520FA0"/>
    <w:rsid w:val="005260C8"/>
    <w:rsid w:val="005264A9"/>
    <w:rsid w:val="00533145"/>
    <w:rsid w:val="00534611"/>
    <w:rsid w:val="00534AE3"/>
    <w:rsid w:val="00543AC7"/>
    <w:rsid w:val="00544F73"/>
    <w:rsid w:val="00550605"/>
    <w:rsid w:val="00550967"/>
    <w:rsid w:val="00557037"/>
    <w:rsid w:val="00564ABD"/>
    <w:rsid w:val="005659F7"/>
    <w:rsid w:val="005732BD"/>
    <w:rsid w:val="0057377B"/>
    <w:rsid w:val="00575464"/>
    <w:rsid w:val="005758F7"/>
    <w:rsid w:val="005760F1"/>
    <w:rsid w:val="00582BB1"/>
    <w:rsid w:val="005865D2"/>
    <w:rsid w:val="0058736D"/>
    <w:rsid w:val="005905C3"/>
    <w:rsid w:val="0059215E"/>
    <w:rsid w:val="00593FA8"/>
    <w:rsid w:val="00594711"/>
    <w:rsid w:val="00597E12"/>
    <w:rsid w:val="005A06E6"/>
    <w:rsid w:val="005A25EE"/>
    <w:rsid w:val="005A3928"/>
    <w:rsid w:val="005A4EF1"/>
    <w:rsid w:val="005B0C45"/>
    <w:rsid w:val="005B538D"/>
    <w:rsid w:val="005C013C"/>
    <w:rsid w:val="005C53B1"/>
    <w:rsid w:val="005E3BCC"/>
    <w:rsid w:val="005E53FD"/>
    <w:rsid w:val="005E5F52"/>
    <w:rsid w:val="005E6503"/>
    <w:rsid w:val="005F0371"/>
    <w:rsid w:val="005F22A8"/>
    <w:rsid w:val="005F2694"/>
    <w:rsid w:val="005F29F7"/>
    <w:rsid w:val="00602743"/>
    <w:rsid w:val="00603B9E"/>
    <w:rsid w:val="00607376"/>
    <w:rsid w:val="00610298"/>
    <w:rsid w:val="00615100"/>
    <w:rsid w:val="00617ACD"/>
    <w:rsid w:val="00620009"/>
    <w:rsid w:val="00621108"/>
    <w:rsid w:val="006227EB"/>
    <w:rsid w:val="00623D44"/>
    <w:rsid w:val="00624A6E"/>
    <w:rsid w:val="006324E4"/>
    <w:rsid w:val="00633F12"/>
    <w:rsid w:val="006361B3"/>
    <w:rsid w:val="006405CD"/>
    <w:rsid w:val="006427BB"/>
    <w:rsid w:val="00645242"/>
    <w:rsid w:val="0065026F"/>
    <w:rsid w:val="00651542"/>
    <w:rsid w:val="00654046"/>
    <w:rsid w:val="00654608"/>
    <w:rsid w:val="00655F8E"/>
    <w:rsid w:val="006600EC"/>
    <w:rsid w:val="00660228"/>
    <w:rsid w:val="00663A60"/>
    <w:rsid w:val="00665BBA"/>
    <w:rsid w:val="006713ED"/>
    <w:rsid w:val="0067167C"/>
    <w:rsid w:val="0067522A"/>
    <w:rsid w:val="00675269"/>
    <w:rsid w:val="00675D3F"/>
    <w:rsid w:val="006763D2"/>
    <w:rsid w:val="00676509"/>
    <w:rsid w:val="00691C60"/>
    <w:rsid w:val="006938AD"/>
    <w:rsid w:val="006A19B7"/>
    <w:rsid w:val="006A2767"/>
    <w:rsid w:val="006A4B10"/>
    <w:rsid w:val="006A56E7"/>
    <w:rsid w:val="006B1FCF"/>
    <w:rsid w:val="006B6EE7"/>
    <w:rsid w:val="006C0FA7"/>
    <w:rsid w:val="006C1755"/>
    <w:rsid w:val="006C6CDB"/>
    <w:rsid w:val="006D0900"/>
    <w:rsid w:val="006D1741"/>
    <w:rsid w:val="006D4D48"/>
    <w:rsid w:val="006D6F60"/>
    <w:rsid w:val="006E4A9E"/>
    <w:rsid w:val="006F56A9"/>
    <w:rsid w:val="006F60C7"/>
    <w:rsid w:val="0070046D"/>
    <w:rsid w:val="00701D4C"/>
    <w:rsid w:val="007027A0"/>
    <w:rsid w:val="00710380"/>
    <w:rsid w:val="00715BBB"/>
    <w:rsid w:val="007230F9"/>
    <w:rsid w:val="00727BF8"/>
    <w:rsid w:val="0073491C"/>
    <w:rsid w:val="00734BD2"/>
    <w:rsid w:val="00740DC0"/>
    <w:rsid w:val="007427A3"/>
    <w:rsid w:val="007439B1"/>
    <w:rsid w:val="00743BDE"/>
    <w:rsid w:val="00744B0A"/>
    <w:rsid w:val="00744BA6"/>
    <w:rsid w:val="007467C2"/>
    <w:rsid w:val="00750BA4"/>
    <w:rsid w:val="00751D88"/>
    <w:rsid w:val="00757EDC"/>
    <w:rsid w:val="00764B39"/>
    <w:rsid w:val="0076596B"/>
    <w:rsid w:val="0077142E"/>
    <w:rsid w:val="00773751"/>
    <w:rsid w:val="00773894"/>
    <w:rsid w:val="00774131"/>
    <w:rsid w:val="00776EF8"/>
    <w:rsid w:val="007832AC"/>
    <w:rsid w:val="0078350A"/>
    <w:rsid w:val="00785ACD"/>
    <w:rsid w:val="0078622C"/>
    <w:rsid w:val="00787D76"/>
    <w:rsid w:val="00787E7E"/>
    <w:rsid w:val="0079004B"/>
    <w:rsid w:val="007921CE"/>
    <w:rsid w:val="00793538"/>
    <w:rsid w:val="007944A9"/>
    <w:rsid w:val="00796978"/>
    <w:rsid w:val="007A319D"/>
    <w:rsid w:val="007A3727"/>
    <w:rsid w:val="007A3DAA"/>
    <w:rsid w:val="007A48D3"/>
    <w:rsid w:val="007B18C4"/>
    <w:rsid w:val="007B3668"/>
    <w:rsid w:val="007B7356"/>
    <w:rsid w:val="007D002C"/>
    <w:rsid w:val="007D22B6"/>
    <w:rsid w:val="007D470B"/>
    <w:rsid w:val="007F4518"/>
    <w:rsid w:val="007F79C8"/>
    <w:rsid w:val="008001E4"/>
    <w:rsid w:val="00800566"/>
    <w:rsid w:val="00800D05"/>
    <w:rsid w:val="00804566"/>
    <w:rsid w:val="00807934"/>
    <w:rsid w:val="0082103C"/>
    <w:rsid w:val="00824C82"/>
    <w:rsid w:val="008272A5"/>
    <w:rsid w:val="008311EC"/>
    <w:rsid w:val="00833427"/>
    <w:rsid w:val="00836DFD"/>
    <w:rsid w:val="00837A0A"/>
    <w:rsid w:val="008439F2"/>
    <w:rsid w:val="00843E67"/>
    <w:rsid w:val="00844081"/>
    <w:rsid w:val="00846BD0"/>
    <w:rsid w:val="008479B2"/>
    <w:rsid w:val="008513A7"/>
    <w:rsid w:val="00855B79"/>
    <w:rsid w:val="008615EA"/>
    <w:rsid w:val="008616CE"/>
    <w:rsid w:val="008769F0"/>
    <w:rsid w:val="00876BFA"/>
    <w:rsid w:val="008818A7"/>
    <w:rsid w:val="0088462D"/>
    <w:rsid w:val="00884821"/>
    <w:rsid w:val="00887A79"/>
    <w:rsid w:val="008916FB"/>
    <w:rsid w:val="00893A93"/>
    <w:rsid w:val="00894BE4"/>
    <w:rsid w:val="008B0587"/>
    <w:rsid w:val="008B3C05"/>
    <w:rsid w:val="008B4BC8"/>
    <w:rsid w:val="008B59BD"/>
    <w:rsid w:val="008B6876"/>
    <w:rsid w:val="008C0DE8"/>
    <w:rsid w:val="008C5490"/>
    <w:rsid w:val="008D087A"/>
    <w:rsid w:val="008D119D"/>
    <w:rsid w:val="008D3890"/>
    <w:rsid w:val="008E4D77"/>
    <w:rsid w:val="008E7422"/>
    <w:rsid w:val="008F238E"/>
    <w:rsid w:val="008F731D"/>
    <w:rsid w:val="00903ED4"/>
    <w:rsid w:val="00913B5C"/>
    <w:rsid w:val="00914598"/>
    <w:rsid w:val="00916811"/>
    <w:rsid w:val="00916D08"/>
    <w:rsid w:val="00920091"/>
    <w:rsid w:val="009234B2"/>
    <w:rsid w:val="0092623E"/>
    <w:rsid w:val="00931362"/>
    <w:rsid w:val="00935DEE"/>
    <w:rsid w:val="00942521"/>
    <w:rsid w:val="0094526C"/>
    <w:rsid w:val="00946589"/>
    <w:rsid w:val="00950763"/>
    <w:rsid w:val="0095377D"/>
    <w:rsid w:val="00955726"/>
    <w:rsid w:val="00955E4D"/>
    <w:rsid w:val="00956626"/>
    <w:rsid w:val="009579B2"/>
    <w:rsid w:val="009646B8"/>
    <w:rsid w:val="00966AAE"/>
    <w:rsid w:val="00975767"/>
    <w:rsid w:val="00977602"/>
    <w:rsid w:val="00981AC0"/>
    <w:rsid w:val="00981C55"/>
    <w:rsid w:val="00982E2C"/>
    <w:rsid w:val="0098416C"/>
    <w:rsid w:val="009879C6"/>
    <w:rsid w:val="00987CB3"/>
    <w:rsid w:val="009917B8"/>
    <w:rsid w:val="009947D1"/>
    <w:rsid w:val="00995110"/>
    <w:rsid w:val="00995148"/>
    <w:rsid w:val="009A3655"/>
    <w:rsid w:val="009A4B45"/>
    <w:rsid w:val="009A4D89"/>
    <w:rsid w:val="009B350D"/>
    <w:rsid w:val="009B7A67"/>
    <w:rsid w:val="009C0664"/>
    <w:rsid w:val="009C19AD"/>
    <w:rsid w:val="009C26E7"/>
    <w:rsid w:val="009C5328"/>
    <w:rsid w:val="009C69A0"/>
    <w:rsid w:val="009C795D"/>
    <w:rsid w:val="009D00FD"/>
    <w:rsid w:val="009D132C"/>
    <w:rsid w:val="009D1461"/>
    <w:rsid w:val="009D29A8"/>
    <w:rsid w:val="009E2BF9"/>
    <w:rsid w:val="009E6347"/>
    <w:rsid w:val="009F072B"/>
    <w:rsid w:val="009F0EE6"/>
    <w:rsid w:val="009F1BB3"/>
    <w:rsid w:val="009F3378"/>
    <w:rsid w:val="009F5C06"/>
    <w:rsid w:val="009F7479"/>
    <w:rsid w:val="00A04A6D"/>
    <w:rsid w:val="00A05970"/>
    <w:rsid w:val="00A06BE4"/>
    <w:rsid w:val="00A1729B"/>
    <w:rsid w:val="00A20AE9"/>
    <w:rsid w:val="00A22876"/>
    <w:rsid w:val="00A24005"/>
    <w:rsid w:val="00A26D04"/>
    <w:rsid w:val="00A40781"/>
    <w:rsid w:val="00A44846"/>
    <w:rsid w:val="00A45AB9"/>
    <w:rsid w:val="00A52993"/>
    <w:rsid w:val="00A62EC4"/>
    <w:rsid w:val="00A66045"/>
    <w:rsid w:val="00A7101C"/>
    <w:rsid w:val="00A732AA"/>
    <w:rsid w:val="00A73672"/>
    <w:rsid w:val="00A757A0"/>
    <w:rsid w:val="00A77658"/>
    <w:rsid w:val="00A81FD8"/>
    <w:rsid w:val="00A8305B"/>
    <w:rsid w:val="00A92944"/>
    <w:rsid w:val="00A94ED7"/>
    <w:rsid w:val="00A97197"/>
    <w:rsid w:val="00A97468"/>
    <w:rsid w:val="00AA0C62"/>
    <w:rsid w:val="00AA0E83"/>
    <w:rsid w:val="00AA0FC8"/>
    <w:rsid w:val="00AA0FEE"/>
    <w:rsid w:val="00AA3271"/>
    <w:rsid w:val="00AA4D7A"/>
    <w:rsid w:val="00AB3ADA"/>
    <w:rsid w:val="00AB3BA3"/>
    <w:rsid w:val="00AB640B"/>
    <w:rsid w:val="00AD2010"/>
    <w:rsid w:val="00AD4690"/>
    <w:rsid w:val="00AD7472"/>
    <w:rsid w:val="00AD7D36"/>
    <w:rsid w:val="00AE0233"/>
    <w:rsid w:val="00AE0CB3"/>
    <w:rsid w:val="00AE7C80"/>
    <w:rsid w:val="00AF1EBC"/>
    <w:rsid w:val="00AF46D3"/>
    <w:rsid w:val="00AF4C3F"/>
    <w:rsid w:val="00AF4E9F"/>
    <w:rsid w:val="00AF653C"/>
    <w:rsid w:val="00AF658E"/>
    <w:rsid w:val="00B0047E"/>
    <w:rsid w:val="00B01B79"/>
    <w:rsid w:val="00B046BB"/>
    <w:rsid w:val="00B05BA0"/>
    <w:rsid w:val="00B05CFF"/>
    <w:rsid w:val="00B12007"/>
    <w:rsid w:val="00B13B0E"/>
    <w:rsid w:val="00B14B7B"/>
    <w:rsid w:val="00B151C9"/>
    <w:rsid w:val="00B16749"/>
    <w:rsid w:val="00B22DFA"/>
    <w:rsid w:val="00B306EE"/>
    <w:rsid w:val="00B34721"/>
    <w:rsid w:val="00B363E0"/>
    <w:rsid w:val="00B379CB"/>
    <w:rsid w:val="00B42630"/>
    <w:rsid w:val="00B47B5C"/>
    <w:rsid w:val="00B52E89"/>
    <w:rsid w:val="00B56DBC"/>
    <w:rsid w:val="00B57E16"/>
    <w:rsid w:val="00B606D8"/>
    <w:rsid w:val="00B617F3"/>
    <w:rsid w:val="00B621A2"/>
    <w:rsid w:val="00B63EE8"/>
    <w:rsid w:val="00B65D16"/>
    <w:rsid w:val="00B67012"/>
    <w:rsid w:val="00B71CF2"/>
    <w:rsid w:val="00B73391"/>
    <w:rsid w:val="00B83007"/>
    <w:rsid w:val="00B8388A"/>
    <w:rsid w:val="00B84D81"/>
    <w:rsid w:val="00B86E84"/>
    <w:rsid w:val="00B87171"/>
    <w:rsid w:val="00B91A8D"/>
    <w:rsid w:val="00B91FAC"/>
    <w:rsid w:val="00B93292"/>
    <w:rsid w:val="00B93330"/>
    <w:rsid w:val="00B93839"/>
    <w:rsid w:val="00B955BA"/>
    <w:rsid w:val="00BA3077"/>
    <w:rsid w:val="00BA6A76"/>
    <w:rsid w:val="00BB2657"/>
    <w:rsid w:val="00BC169B"/>
    <w:rsid w:val="00BC260B"/>
    <w:rsid w:val="00BC29B0"/>
    <w:rsid w:val="00BC6B3B"/>
    <w:rsid w:val="00BD327D"/>
    <w:rsid w:val="00BD33C2"/>
    <w:rsid w:val="00BD591B"/>
    <w:rsid w:val="00BD6A48"/>
    <w:rsid w:val="00BD6E0C"/>
    <w:rsid w:val="00BD7930"/>
    <w:rsid w:val="00BE2460"/>
    <w:rsid w:val="00BE42AE"/>
    <w:rsid w:val="00BE49C8"/>
    <w:rsid w:val="00BF1620"/>
    <w:rsid w:val="00C012B7"/>
    <w:rsid w:val="00C041D2"/>
    <w:rsid w:val="00C140AE"/>
    <w:rsid w:val="00C20740"/>
    <w:rsid w:val="00C24288"/>
    <w:rsid w:val="00C3063D"/>
    <w:rsid w:val="00C32EF7"/>
    <w:rsid w:val="00C3393A"/>
    <w:rsid w:val="00C345C0"/>
    <w:rsid w:val="00C346E9"/>
    <w:rsid w:val="00C4072F"/>
    <w:rsid w:val="00C41FDB"/>
    <w:rsid w:val="00C41FEF"/>
    <w:rsid w:val="00C51084"/>
    <w:rsid w:val="00C64A47"/>
    <w:rsid w:val="00C64FBF"/>
    <w:rsid w:val="00C6538B"/>
    <w:rsid w:val="00C726A8"/>
    <w:rsid w:val="00C72B44"/>
    <w:rsid w:val="00C737AB"/>
    <w:rsid w:val="00C7451E"/>
    <w:rsid w:val="00C74B4E"/>
    <w:rsid w:val="00C76C46"/>
    <w:rsid w:val="00C77CB7"/>
    <w:rsid w:val="00C80ECD"/>
    <w:rsid w:val="00C83222"/>
    <w:rsid w:val="00C90C76"/>
    <w:rsid w:val="00C916BA"/>
    <w:rsid w:val="00C93DF7"/>
    <w:rsid w:val="00C97F75"/>
    <w:rsid w:val="00CA0889"/>
    <w:rsid w:val="00CA108E"/>
    <w:rsid w:val="00CA35EC"/>
    <w:rsid w:val="00CA3DB5"/>
    <w:rsid w:val="00CA6FF0"/>
    <w:rsid w:val="00CB00F6"/>
    <w:rsid w:val="00CB0FB6"/>
    <w:rsid w:val="00CB1BBC"/>
    <w:rsid w:val="00CB2AC5"/>
    <w:rsid w:val="00CB72E3"/>
    <w:rsid w:val="00CC21C3"/>
    <w:rsid w:val="00CC2AD6"/>
    <w:rsid w:val="00CC5300"/>
    <w:rsid w:val="00CD48F8"/>
    <w:rsid w:val="00CD79B7"/>
    <w:rsid w:val="00CE1A63"/>
    <w:rsid w:val="00CE280C"/>
    <w:rsid w:val="00CE3BA9"/>
    <w:rsid w:val="00CE5647"/>
    <w:rsid w:val="00CF260B"/>
    <w:rsid w:val="00CF39D2"/>
    <w:rsid w:val="00CF77AB"/>
    <w:rsid w:val="00D0103E"/>
    <w:rsid w:val="00D015F5"/>
    <w:rsid w:val="00D0605B"/>
    <w:rsid w:val="00D0778E"/>
    <w:rsid w:val="00D13594"/>
    <w:rsid w:val="00D13C0F"/>
    <w:rsid w:val="00D16B5F"/>
    <w:rsid w:val="00D16CDC"/>
    <w:rsid w:val="00D20335"/>
    <w:rsid w:val="00D22ABA"/>
    <w:rsid w:val="00D268F3"/>
    <w:rsid w:val="00D27D5E"/>
    <w:rsid w:val="00D33F6B"/>
    <w:rsid w:val="00D36AE8"/>
    <w:rsid w:val="00D42149"/>
    <w:rsid w:val="00D42214"/>
    <w:rsid w:val="00D4566F"/>
    <w:rsid w:val="00D45EF9"/>
    <w:rsid w:val="00D46BF8"/>
    <w:rsid w:val="00D51367"/>
    <w:rsid w:val="00D5376A"/>
    <w:rsid w:val="00D55865"/>
    <w:rsid w:val="00D55FD6"/>
    <w:rsid w:val="00D6012A"/>
    <w:rsid w:val="00D6074F"/>
    <w:rsid w:val="00D60D3F"/>
    <w:rsid w:val="00D66F0E"/>
    <w:rsid w:val="00D715BE"/>
    <w:rsid w:val="00D73C84"/>
    <w:rsid w:val="00D746C8"/>
    <w:rsid w:val="00D747A6"/>
    <w:rsid w:val="00D76CA0"/>
    <w:rsid w:val="00D80AC8"/>
    <w:rsid w:val="00D82182"/>
    <w:rsid w:val="00D84789"/>
    <w:rsid w:val="00D87CB4"/>
    <w:rsid w:val="00D93548"/>
    <w:rsid w:val="00D95F96"/>
    <w:rsid w:val="00DA3283"/>
    <w:rsid w:val="00DA349A"/>
    <w:rsid w:val="00DB167F"/>
    <w:rsid w:val="00DB4766"/>
    <w:rsid w:val="00DC11EF"/>
    <w:rsid w:val="00DC2FE0"/>
    <w:rsid w:val="00DD1536"/>
    <w:rsid w:val="00DD424E"/>
    <w:rsid w:val="00DD5CC8"/>
    <w:rsid w:val="00DE561D"/>
    <w:rsid w:val="00DF228A"/>
    <w:rsid w:val="00E01D1B"/>
    <w:rsid w:val="00E02A76"/>
    <w:rsid w:val="00E03CC1"/>
    <w:rsid w:val="00E0443E"/>
    <w:rsid w:val="00E06137"/>
    <w:rsid w:val="00E12269"/>
    <w:rsid w:val="00E1540E"/>
    <w:rsid w:val="00E171F9"/>
    <w:rsid w:val="00E2262B"/>
    <w:rsid w:val="00E262A0"/>
    <w:rsid w:val="00E302E8"/>
    <w:rsid w:val="00E30E29"/>
    <w:rsid w:val="00E32205"/>
    <w:rsid w:val="00E32415"/>
    <w:rsid w:val="00E41DF8"/>
    <w:rsid w:val="00E46ABF"/>
    <w:rsid w:val="00E46E4D"/>
    <w:rsid w:val="00E522DD"/>
    <w:rsid w:val="00E56EF2"/>
    <w:rsid w:val="00E617CC"/>
    <w:rsid w:val="00E63426"/>
    <w:rsid w:val="00E639CF"/>
    <w:rsid w:val="00E7020C"/>
    <w:rsid w:val="00E7536E"/>
    <w:rsid w:val="00E816C6"/>
    <w:rsid w:val="00E82D5E"/>
    <w:rsid w:val="00E85172"/>
    <w:rsid w:val="00E866AB"/>
    <w:rsid w:val="00E874EF"/>
    <w:rsid w:val="00E928EB"/>
    <w:rsid w:val="00EA0BDB"/>
    <w:rsid w:val="00EA0F11"/>
    <w:rsid w:val="00EA164B"/>
    <w:rsid w:val="00EA4FD6"/>
    <w:rsid w:val="00EA5FE8"/>
    <w:rsid w:val="00EA6A46"/>
    <w:rsid w:val="00EB0554"/>
    <w:rsid w:val="00EB16E4"/>
    <w:rsid w:val="00EB2D7A"/>
    <w:rsid w:val="00ED59AB"/>
    <w:rsid w:val="00ED684E"/>
    <w:rsid w:val="00EE0BCC"/>
    <w:rsid w:val="00EE44C0"/>
    <w:rsid w:val="00EE4792"/>
    <w:rsid w:val="00F00A1A"/>
    <w:rsid w:val="00F02291"/>
    <w:rsid w:val="00F022D3"/>
    <w:rsid w:val="00F02533"/>
    <w:rsid w:val="00F055F0"/>
    <w:rsid w:val="00F07092"/>
    <w:rsid w:val="00F1266E"/>
    <w:rsid w:val="00F135D7"/>
    <w:rsid w:val="00F139B9"/>
    <w:rsid w:val="00F14A9F"/>
    <w:rsid w:val="00F363AF"/>
    <w:rsid w:val="00F4298C"/>
    <w:rsid w:val="00F506D2"/>
    <w:rsid w:val="00F51FCF"/>
    <w:rsid w:val="00F54DCD"/>
    <w:rsid w:val="00F61946"/>
    <w:rsid w:val="00F62F68"/>
    <w:rsid w:val="00F72A81"/>
    <w:rsid w:val="00F75B26"/>
    <w:rsid w:val="00F75D70"/>
    <w:rsid w:val="00F805E9"/>
    <w:rsid w:val="00F8401C"/>
    <w:rsid w:val="00F874C9"/>
    <w:rsid w:val="00F95766"/>
    <w:rsid w:val="00FA29F2"/>
    <w:rsid w:val="00FA4C30"/>
    <w:rsid w:val="00FA5B40"/>
    <w:rsid w:val="00FA7056"/>
    <w:rsid w:val="00FB121F"/>
    <w:rsid w:val="00FB5249"/>
    <w:rsid w:val="00FC061E"/>
    <w:rsid w:val="00FC3AA5"/>
    <w:rsid w:val="00FC5CA9"/>
    <w:rsid w:val="00FC5E63"/>
    <w:rsid w:val="00FD42DD"/>
    <w:rsid w:val="00FD4CE6"/>
    <w:rsid w:val="00FD51BD"/>
    <w:rsid w:val="00FD5EA7"/>
    <w:rsid w:val="00FE0A89"/>
    <w:rsid w:val="00FE1C9F"/>
    <w:rsid w:val="00FE4838"/>
    <w:rsid w:val="00FE708C"/>
    <w:rsid w:val="00FF79AC"/>
    <w:rsid w:val="06BF157F"/>
    <w:rsid w:val="149F7DC6"/>
    <w:rsid w:val="4410B85B"/>
    <w:rsid w:val="6BDF2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FCC06945-9301-4DE7-ADA0-320047A7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basedOn w:val="DefaultParagraphFont"/>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501135"/>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iPriority w:val="99"/>
    <w:unhideWhenUsed/>
    <w:rsid w:val="003B2F23"/>
    <w:rPr>
      <w:color w:val="0563C1" w:themeColor="hyperlink"/>
      <w:u w:val="single"/>
    </w:rPr>
  </w:style>
  <w:style w:type="character" w:styleId="UnresolvedMention">
    <w:name w:val="Unresolved Mention"/>
    <w:basedOn w:val="DefaultParagraphFont"/>
    <w:uiPriority w:val="99"/>
    <w:semiHidden/>
    <w:unhideWhenUsed/>
    <w:rsid w:val="003B2F23"/>
    <w:rPr>
      <w:color w:val="605E5C"/>
      <w:shd w:val="clear" w:color="auto" w:fill="E1DFDD"/>
    </w:rPr>
  </w:style>
  <w:style w:type="character" w:styleId="FollowedHyperlink">
    <w:name w:val="FollowedHyperlink"/>
    <w:basedOn w:val="DefaultParagraphFont"/>
    <w:uiPriority w:val="99"/>
    <w:semiHidden/>
    <w:unhideWhenUsed/>
    <w:rsid w:val="00C90C76"/>
    <w:rPr>
      <w:color w:val="954F72" w:themeColor="followedHyperlink"/>
      <w:u w:val="single"/>
    </w:rPr>
  </w:style>
  <w:style w:type="paragraph" w:styleId="EndnoteText">
    <w:name w:val="endnote text"/>
    <w:basedOn w:val="Normal"/>
    <w:link w:val="EndnoteTextChar"/>
    <w:uiPriority w:val="99"/>
    <w:unhideWhenUsed/>
    <w:rsid w:val="0037293C"/>
    <w:pPr>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7293C"/>
    <w:rPr>
      <w:sz w:val="20"/>
      <w:szCs w:val="20"/>
    </w:rPr>
  </w:style>
  <w:style w:type="character" w:styleId="EndnoteReference">
    <w:name w:val="endnote reference"/>
    <w:basedOn w:val="DefaultParagraphFont"/>
    <w:uiPriority w:val="99"/>
    <w:unhideWhenUsed/>
    <w:rsid w:val="00372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exfungorum.org/" TargetMode="External"/><Relationship Id="rId18" Type="http://schemas.openxmlformats.org/officeDocument/2006/relationships/hyperlink" Target="https://www.catalogueoflife.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abidigitallibrary.org/journal/cabicompendium" TargetMode="External"/><Relationship Id="rId7" Type="http://schemas.openxmlformats.org/officeDocument/2006/relationships/settings" Target="settings.xml"/><Relationship Id="rId12" Type="http://schemas.openxmlformats.org/officeDocument/2006/relationships/hyperlink" Target="http://www.ipni.org" TargetMode="External"/><Relationship Id="rId17" Type="http://schemas.openxmlformats.org/officeDocument/2006/relationships/hyperlink" Target="https://ictv.glob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psn.dsmz.de/" TargetMode="External"/><Relationship Id="rId20" Type="http://schemas.openxmlformats.org/officeDocument/2006/relationships/hyperlink" Target="https://gd.eppo.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8361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oobank.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bi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cobank.org/"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a974486d38db9168f0ef3d5f5c670704">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4ee2d1f40b07c99bcda9b216f3b3c2c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2.xml><?xml version="1.0" encoding="utf-8"?>
<ds:datastoreItem xmlns:ds="http://schemas.openxmlformats.org/officeDocument/2006/customXml" ds:itemID="{104338CB-7120-4116-B111-55BCBE781594}">
  <ds:schemaRefs>
    <ds:schemaRef ds:uri="http://schemas.microsoft.com/office/2006/metadata/properties"/>
    <ds:schemaRef ds:uri="http://schemas.microsoft.com/office/infopath/2007/PartnerControls"/>
    <ds:schemaRef ds:uri="ea6feb38-a85a-45e8-92e9-814486bbe375"/>
    <ds:schemaRef ds:uri="a05d7f75-f42e-4288-8809-604fd4d9691f"/>
  </ds:schemaRefs>
</ds:datastoreItem>
</file>

<file path=customXml/itemProps3.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4.xml><?xml version="1.0" encoding="utf-8"?>
<ds:datastoreItem xmlns:ds="http://schemas.openxmlformats.org/officeDocument/2006/customXml" ds:itemID="{A37C9C5A-0085-44C4-9104-77F48BCE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12</TotalTime>
  <Pages>7</Pages>
  <Words>2444</Words>
  <Characters>13937</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FOR REFERENCE</vt:lpstr>
      <vt:lpstr>editorial style for commodity standards, MONTH 2025</vt:lpstr>
      <vt:lpstr>    Generic editorial style</vt:lpstr>
      <vt:lpstr>    APPENDIX 1: Discussions regarding approach to synonyms</vt:lpstr>
    </vt:vector>
  </TitlesOfParts>
  <Company>FAO of the UN</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Martino, Marina (NSPD)</cp:lastModifiedBy>
  <cp:revision>12</cp:revision>
  <cp:lastPrinted>2017-11-03T16:01:00Z</cp:lastPrinted>
  <dcterms:created xsi:type="dcterms:W3CDTF">2025-07-30T16:27:00Z</dcterms:created>
  <dcterms:modified xsi:type="dcterms:W3CDTF">2025-11-12T15:06:00Z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