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EB8B6" w14:textId="7526A2A3" w:rsidR="0096599A" w:rsidRPr="005C660F" w:rsidRDefault="0096599A" w:rsidP="0096599A">
      <w:pPr>
        <w:pStyle w:val="IPPHeading1"/>
      </w:pPr>
      <w:r>
        <w:t>1.</w:t>
      </w:r>
      <w:r>
        <w:tab/>
        <w:t xml:space="preserve">Opening of the </w:t>
      </w:r>
      <w:r w:rsidR="00620344">
        <w:t>session</w:t>
      </w:r>
    </w:p>
    <w:p w14:paraId="3243E095" w14:textId="235EB861" w:rsidR="00B2035B" w:rsidRDefault="00B2035B" w:rsidP="00B2035B">
      <w:pPr>
        <w:pStyle w:val="IPPParagraphnumbering"/>
        <w:rPr>
          <w:lang w:val="en-GB"/>
        </w:rPr>
      </w:pPr>
      <w:r w:rsidRPr="005C660F">
        <w:rPr>
          <w:lang w:val="en-GB"/>
        </w:rPr>
        <w:t>The Director of the FAO Plant Production and Protection Division, Yurdi YASMI, welcomed participants to the Twentieth Session of the Commission on Phytosanitary Measures (CPM)</w:t>
      </w:r>
      <w:r w:rsidR="00FF62B0">
        <w:rPr>
          <w:lang w:val="en-GB"/>
        </w:rPr>
        <w:t>, which was being held in hybrid mode (online and in-person)</w:t>
      </w:r>
      <w:r w:rsidRPr="005C660F">
        <w:rPr>
          <w:lang w:val="en-GB"/>
        </w:rPr>
        <w:t>.</w:t>
      </w:r>
      <w:r w:rsidRPr="005C660F">
        <w:rPr>
          <w:rStyle w:val="FootnoteReference"/>
          <w:lang w:val="en-GB"/>
        </w:rPr>
        <w:footnoteReference w:id="1"/>
      </w:r>
    </w:p>
    <w:p w14:paraId="666BF1F1" w14:textId="680EE5B4" w:rsidR="00B2035B" w:rsidRPr="005C660F" w:rsidRDefault="0043458E" w:rsidP="00B2035B">
      <w:pPr>
        <w:pStyle w:val="IPPParagraphnumbering"/>
        <w:rPr>
          <w:lang w:val="en-GB"/>
        </w:rPr>
      </w:pPr>
      <w:r w:rsidRPr="005C660F">
        <w:rPr>
          <w:lang w:val="en-GB"/>
        </w:rPr>
        <w:t xml:space="preserve">The CPM observed a one-minute silence in remembrance of </w:t>
      </w:r>
      <w:r w:rsidR="008E5382">
        <w:rPr>
          <w:lang w:val="en-GB"/>
        </w:rPr>
        <w:t>Ian SMITH (</w:t>
      </w:r>
      <w:r w:rsidR="00F32092">
        <w:rPr>
          <w:lang w:val="en-GB"/>
        </w:rPr>
        <w:t>former Director-General of the European and Mediterranean Plant Protection Organization)</w:t>
      </w:r>
      <w:r w:rsidR="00B2035B" w:rsidRPr="005C660F">
        <w:rPr>
          <w:lang w:val="en-GB"/>
        </w:rPr>
        <w:t>.</w:t>
      </w:r>
    </w:p>
    <w:p w14:paraId="15628C70" w14:textId="2C52C98B" w:rsidR="00BA506F" w:rsidRDefault="00F620D6" w:rsidP="0075343F">
      <w:pPr>
        <w:pStyle w:val="IPPParagraphnumbering"/>
        <w:rPr>
          <w:lang w:val="en-GB"/>
        </w:rPr>
      </w:pPr>
      <w:r w:rsidRPr="000A223C">
        <w:rPr>
          <w:lang w:val="en-GB"/>
        </w:rPr>
        <w:t xml:space="preserve">The FAO Director-General, QU Dongyu, welcomed everyone and referred to the </w:t>
      </w:r>
      <w:r w:rsidR="00BA506F" w:rsidRPr="000A223C">
        <w:rPr>
          <w:lang w:val="en-GB"/>
        </w:rPr>
        <w:t>work</w:t>
      </w:r>
      <w:r w:rsidRPr="000A223C">
        <w:rPr>
          <w:lang w:val="en-GB"/>
        </w:rPr>
        <w:t xml:space="preserve"> of </w:t>
      </w:r>
      <w:r w:rsidR="00BA506F" w:rsidRPr="000A223C">
        <w:rPr>
          <w:lang w:val="en-GB"/>
        </w:rPr>
        <w:t xml:space="preserve">the </w:t>
      </w:r>
      <w:r w:rsidRPr="000A223C">
        <w:rPr>
          <w:lang w:val="en-GB"/>
        </w:rPr>
        <w:t xml:space="preserve">CPM </w:t>
      </w:r>
      <w:r w:rsidR="00BA506F" w:rsidRPr="000A223C">
        <w:rPr>
          <w:lang w:val="en-GB"/>
        </w:rPr>
        <w:t xml:space="preserve">in adopting international standards to combat plant pests, </w:t>
      </w:r>
      <w:r w:rsidR="00733684">
        <w:rPr>
          <w:lang w:val="en-GB"/>
        </w:rPr>
        <w:t xml:space="preserve">developing </w:t>
      </w:r>
      <w:r w:rsidR="002B72F1">
        <w:rPr>
          <w:lang w:val="en-GB"/>
        </w:rPr>
        <w:t xml:space="preserve">the IPPC </w:t>
      </w:r>
      <w:proofErr w:type="spellStart"/>
      <w:r w:rsidR="002B72F1">
        <w:rPr>
          <w:lang w:val="en-GB"/>
        </w:rPr>
        <w:t>ePhyto</w:t>
      </w:r>
      <w:proofErr w:type="spellEnd"/>
      <w:r w:rsidR="002B72F1">
        <w:rPr>
          <w:lang w:val="en-GB"/>
        </w:rPr>
        <w:t xml:space="preserve"> Solution</w:t>
      </w:r>
      <w:r w:rsidR="00BA506F" w:rsidRPr="000A223C">
        <w:rPr>
          <w:lang w:val="en-GB"/>
        </w:rPr>
        <w:t>, and strengthening phytosanitary capacity</w:t>
      </w:r>
      <w:r w:rsidRPr="000A223C">
        <w:rPr>
          <w:lang w:val="en-GB"/>
        </w:rPr>
        <w:t xml:space="preserve">. </w:t>
      </w:r>
      <w:r w:rsidR="00FE7962" w:rsidRPr="000A223C">
        <w:rPr>
          <w:lang w:val="en-GB"/>
        </w:rPr>
        <w:t>H</w:t>
      </w:r>
      <w:r w:rsidRPr="000A223C">
        <w:rPr>
          <w:lang w:val="en-GB"/>
        </w:rPr>
        <w:t xml:space="preserve">e </w:t>
      </w:r>
      <w:r w:rsidR="00BA506F" w:rsidRPr="000A223C">
        <w:rPr>
          <w:lang w:val="en-GB"/>
        </w:rPr>
        <w:t xml:space="preserve">explained how the shared work of the CPM and FAO </w:t>
      </w:r>
      <w:r w:rsidR="00567006" w:rsidRPr="000A223C">
        <w:rPr>
          <w:lang w:val="en-GB"/>
        </w:rPr>
        <w:t>contribut</w:t>
      </w:r>
      <w:r w:rsidR="00BA506F" w:rsidRPr="000A223C">
        <w:rPr>
          <w:lang w:val="en-GB"/>
        </w:rPr>
        <w:t>ed</w:t>
      </w:r>
      <w:r w:rsidR="00567006" w:rsidRPr="000A223C">
        <w:rPr>
          <w:lang w:val="en-GB"/>
        </w:rPr>
        <w:t xml:space="preserve"> to the FAO “four betters” – better production, better nutrition, a better environment and a better life</w:t>
      </w:r>
      <w:r w:rsidR="00BA506F" w:rsidRPr="000A223C">
        <w:rPr>
          <w:lang w:val="en-GB"/>
        </w:rPr>
        <w:t>, leaving no one behind</w:t>
      </w:r>
      <w:r w:rsidRPr="000A223C">
        <w:rPr>
          <w:lang w:val="en-GB"/>
        </w:rPr>
        <w:t xml:space="preserve">. </w:t>
      </w:r>
      <w:r w:rsidR="00BA506F" w:rsidRPr="000A223C">
        <w:rPr>
          <w:lang w:val="en-GB"/>
        </w:rPr>
        <w:t>However, h</w:t>
      </w:r>
      <w:r w:rsidR="00567006" w:rsidRPr="000A223C">
        <w:rPr>
          <w:lang w:val="en-GB"/>
        </w:rPr>
        <w:t>e also emphasized</w:t>
      </w:r>
      <w:r w:rsidR="00364F07" w:rsidRPr="000A223C">
        <w:rPr>
          <w:lang w:val="en-GB"/>
        </w:rPr>
        <w:t xml:space="preserve"> the need </w:t>
      </w:r>
      <w:r w:rsidR="007C78CB" w:rsidRPr="000A223C">
        <w:rPr>
          <w:lang w:val="en-GB"/>
        </w:rPr>
        <w:t xml:space="preserve">for the CPM to remain </w:t>
      </w:r>
      <w:r w:rsidR="001C59FE">
        <w:rPr>
          <w:lang w:val="en-GB"/>
        </w:rPr>
        <w:t>vigilant</w:t>
      </w:r>
      <w:r w:rsidR="007C78CB" w:rsidRPr="000A223C">
        <w:rPr>
          <w:lang w:val="en-GB"/>
        </w:rPr>
        <w:t xml:space="preserve"> and innovative</w:t>
      </w:r>
      <w:r w:rsidR="001C59FE">
        <w:rPr>
          <w:lang w:val="en-GB"/>
        </w:rPr>
        <w:t xml:space="preserve"> in the face of </w:t>
      </w:r>
      <w:r w:rsidR="00D001AB">
        <w:rPr>
          <w:lang w:val="en-GB"/>
        </w:rPr>
        <w:t>expanding international trade and increasing risk of plant pests crossing borders</w:t>
      </w:r>
      <w:r w:rsidR="00364F07" w:rsidRPr="000A223C">
        <w:rPr>
          <w:lang w:val="en-GB"/>
        </w:rPr>
        <w:t xml:space="preserve">. </w:t>
      </w:r>
      <w:r w:rsidR="00E14613" w:rsidRPr="000A223C">
        <w:rPr>
          <w:lang w:val="en-GB"/>
        </w:rPr>
        <w:t>In this context, the director-general highlighted the Plant Health Innovation Fair and Scientific Poster Session</w:t>
      </w:r>
      <w:r w:rsidR="00811594">
        <w:rPr>
          <w:lang w:val="en-GB"/>
        </w:rPr>
        <w:t>s</w:t>
      </w:r>
      <w:r w:rsidR="00E14613" w:rsidRPr="000A223C">
        <w:rPr>
          <w:lang w:val="en-GB"/>
        </w:rPr>
        <w:t xml:space="preserve"> taking place during the CPM </w:t>
      </w:r>
      <w:r w:rsidR="00432848">
        <w:rPr>
          <w:lang w:val="en-GB"/>
        </w:rPr>
        <w:t>week</w:t>
      </w:r>
      <w:r w:rsidR="00E14613">
        <w:rPr>
          <w:lang w:val="en-GB"/>
        </w:rPr>
        <w:t>, which would serve as a real-time platform for sharing knowledge.</w:t>
      </w:r>
    </w:p>
    <w:p w14:paraId="3A906CDB" w14:textId="792DA445" w:rsidR="00E4306B" w:rsidRPr="00E4306B" w:rsidRDefault="00E4306B" w:rsidP="00E4306B">
      <w:pPr>
        <w:pStyle w:val="IPPParagraphnumbering"/>
        <w:rPr>
          <w:lang w:val="en-GB"/>
        </w:rPr>
      </w:pPr>
      <w:r w:rsidRPr="00E4306B">
        <w:rPr>
          <w:lang w:val="en-GB"/>
        </w:rPr>
        <w:t xml:space="preserve">Beth </w:t>
      </w:r>
      <w:r w:rsidR="00E25F3F" w:rsidRPr="00E4306B">
        <w:rPr>
          <w:lang w:val="en-GB"/>
        </w:rPr>
        <w:t>BECHDOL</w:t>
      </w:r>
      <w:r w:rsidRPr="00E4306B">
        <w:rPr>
          <w:lang w:val="en-GB"/>
        </w:rPr>
        <w:t xml:space="preserve">, FAO Deputy Director-General, emphasized </w:t>
      </w:r>
      <w:r>
        <w:rPr>
          <w:lang w:val="en-GB"/>
        </w:rPr>
        <w:t xml:space="preserve">the critical importance of the work of </w:t>
      </w:r>
      <w:r w:rsidR="003A1F77">
        <w:rPr>
          <w:lang w:val="en-GB"/>
        </w:rPr>
        <w:t xml:space="preserve">the </w:t>
      </w:r>
      <w:r>
        <w:rPr>
          <w:lang w:val="en-GB"/>
        </w:rPr>
        <w:t>CPM in strengthening phytosanitary systems, thereby protecting global crop production, food and livelihoods</w:t>
      </w:r>
      <w:r w:rsidRPr="00E4306B">
        <w:rPr>
          <w:lang w:val="en-GB"/>
        </w:rPr>
        <w:t xml:space="preserve">. She noted that plant health is a strategic policy issue, not a technical </w:t>
      </w:r>
      <w:r>
        <w:rPr>
          <w:lang w:val="en-GB"/>
        </w:rPr>
        <w:t>niche</w:t>
      </w:r>
      <w:r w:rsidRPr="00E4306B">
        <w:rPr>
          <w:lang w:val="en-GB"/>
        </w:rPr>
        <w:t xml:space="preserve">; that strong phytosanitary policies enable safe trade and protect economies and livelihoods; and that policy coherence facilitates innovation that reaches farmers. She also commented that the strength of the CPM lay not only in the standards it adopts, but in the spirit of cooperation </w:t>
      </w:r>
      <w:r w:rsidR="006369CD">
        <w:rPr>
          <w:lang w:val="en-GB"/>
        </w:rPr>
        <w:t>behind that work</w:t>
      </w:r>
      <w:r w:rsidRPr="00E4306B">
        <w:rPr>
          <w:lang w:val="en-GB"/>
        </w:rPr>
        <w:t>.</w:t>
      </w:r>
    </w:p>
    <w:p w14:paraId="56BD147B" w14:textId="7069B8C1" w:rsidR="00953AE0" w:rsidRDefault="00953AE0" w:rsidP="00953AE0">
      <w:pPr>
        <w:pStyle w:val="IPPParagraphnumbering"/>
        <w:rPr>
          <w:lang w:val="en-GB"/>
        </w:rPr>
      </w:pPr>
      <w:r w:rsidRPr="00953AE0">
        <w:rPr>
          <w:lang w:val="en-GB"/>
        </w:rPr>
        <w:t xml:space="preserve">The Secretary of the International Plant Protection Convention (IPPC), Enrico PEROTTI, highlighted how CPM sessions were instrumental in delivering systems and tools that prevent pests from entering borders, from destroying biodiversity, and from disrupting international trade. He referred to the business of the session – the adoption of International Standards for Phytosanitary Measures (ISPMs), progress on implementing the 2020–2030 IPPC Strategic Framework, and reports from IPPC bodies – and encouraged participants to use CPM-20 to reaffirm their shared commitment to the IPPC’s mission: to protect global plant resources from pests and ensure safe trade for a food-secure world. </w:t>
      </w:r>
    </w:p>
    <w:p w14:paraId="7F437005" w14:textId="77777777" w:rsidR="004F0226" w:rsidRPr="005C660F" w:rsidRDefault="004F0226" w:rsidP="004F0226">
      <w:pPr>
        <w:pStyle w:val="IPPHeading1"/>
      </w:pPr>
      <w:r>
        <w:t>2.</w:t>
      </w:r>
      <w:r>
        <w:tab/>
        <w:t>Keynote address</w:t>
      </w:r>
    </w:p>
    <w:p w14:paraId="592D745D" w14:textId="77777777" w:rsidR="004F0226" w:rsidRDefault="004F0226" w:rsidP="004F0226">
      <w:pPr>
        <w:pStyle w:val="IPPHeading2"/>
        <w:ind w:left="0" w:firstLine="0"/>
      </w:pPr>
      <w:r>
        <w:t>2.1</w:t>
      </w:r>
      <w:r>
        <w:tab/>
        <w:t>Keynote address by the United Kingdom’s m</w:t>
      </w:r>
      <w:r w:rsidRPr="004F1797">
        <w:t xml:space="preserve">inister for </w:t>
      </w:r>
      <w:r>
        <w:t>b</w:t>
      </w:r>
      <w:r w:rsidRPr="004F1797">
        <w:t xml:space="preserve">iosecurity, </w:t>
      </w:r>
      <w:r>
        <w:t>b</w:t>
      </w:r>
      <w:r w:rsidRPr="004F1797">
        <w:t xml:space="preserve">orders and </w:t>
      </w:r>
      <w:r>
        <w:t>a</w:t>
      </w:r>
      <w:r w:rsidRPr="004F1797">
        <w:t>nimals</w:t>
      </w:r>
    </w:p>
    <w:p w14:paraId="3FD5FA10" w14:textId="77777777" w:rsidR="004F0226" w:rsidRPr="000079EC" w:rsidRDefault="004F0226" w:rsidP="004F0226">
      <w:pPr>
        <w:pStyle w:val="IPPParagraphnumbering"/>
        <w:rPr>
          <w:lang w:val="en-GB"/>
        </w:rPr>
      </w:pPr>
      <w:r w:rsidRPr="6B6F0652">
        <w:rPr>
          <w:lang w:val="en-GB"/>
        </w:rPr>
        <w:t xml:space="preserve">Baroness HAYMAN of </w:t>
      </w:r>
      <w:proofErr w:type="spellStart"/>
      <w:r w:rsidRPr="6B6F0652">
        <w:rPr>
          <w:lang w:val="en-GB"/>
        </w:rPr>
        <w:t>Ullock</w:t>
      </w:r>
      <w:proofErr w:type="spellEnd"/>
      <w:r w:rsidRPr="6B6F0652">
        <w:rPr>
          <w:lang w:val="en-GB"/>
        </w:rPr>
        <w:t xml:space="preserve">, the Minister for Biosecurity, Borders and Animals in the United Kingdom of Great Britain and Northern Ireland, expressed her appreciation for the work of the CPM in protecting and promoting global plant health and biosecurity, which is at the core of the FAO mandate. She emphasized how shared standards and effective stewardship of an increasingly global food system benefit us all, across countries and across regions. She explained that this was why the United Kingdom continued to strongly support the IPPC and its One Health approach, including through its financial support to the Africa Phytosanitary Programme (APP). The </w:t>
      </w:r>
      <w:r>
        <w:rPr>
          <w:lang w:val="en-GB"/>
        </w:rPr>
        <w:t>m</w:t>
      </w:r>
      <w:r w:rsidRPr="6B6F0652">
        <w:rPr>
          <w:lang w:val="en-GB"/>
        </w:rPr>
        <w:t xml:space="preserve">inister wished the CPM participants the best for their discussions during the week and looked forward to the United Kingdom’s continued work with the CPM. </w:t>
      </w:r>
    </w:p>
    <w:p w14:paraId="0EE70F55" w14:textId="77777777" w:rsidR="004F0226" w:rsidRPr="00875635" w:rsidRDefault="004F0226" w:rsidP="004F0226">
      <w:pPr>
        <w:pStyle w:val="IPPHeading2"/>
        <w:ind w:left="0" w:firstLine="0"/>
        <w:rPr>
          <w:bCs/>
        </w:rPr>
      </w:pPr>
      <w:r>
        <w:t>2.2</w:t>
      </w:r>
      <w:r>
        <w:tab/>
        <w:t xml:space="preserve">Keynote address by the minister of the </w:t>
      </w:r>
      <w:r w:rsidRPr="00156F92">
        <w:t>Indonesian Quarantine Authority</w:t>
      </w:r>
    </w:p>
    <w:p w14:paraId="5143E959" w14:textId="77777777" w:rsidR="004F0226" w:rsidRPr="00E956B9" w:rsidRDefault="004F0226" w:rsidP="004F0226">
      <w:pPr>
        <w:pStyle w:val="IPPParagraphnumbering"/>
        <w:rPr>
          <w:lang w:val="en-GB"/>
        </w:rPr>
      </w:pPr>
      <w:r w:rsidRPr="00F62F4C">
        <w:rPr>
          <w:lang w:val="en-GB"/>
        </w:rPr>
        <w:t xml:space="preserve">The Ambassador of Indonesia to FAO presented this keynote address on behalf of Sahat </w:t>
      </w:r>
      <w:proofErr w:type="spellStart"/>
      <w:r w:rsidRPr="00F62F4C">
        <w:rPr>
          <w:lang w:val="en-GB"/>
        </w:rPr>
        <w:t>Manaor</w:t>
      </w:r>
      <w:proofErr w:type="spellEnd"/>
      <w:r w:rsidRPr="00F62F4C">
        <w:rPr>
          <w:lang w:val="en-GB"/>
        </w:rPr>
        <w:t xml:space="preserve"> PANGGABEAN, Minister of the Indonesian Quarantine Authority. He shared with the CPM the long history of plant quarantine in Indonesia and emphasized the importance of food security and the threats </w:t>
      </w:r>
      <w:r w:rsidRPr="00F62F4C">
        <w:rPr>
          <w:lang w:val="en-GB"/>
        </w:rPr>
        <w:lastRenderedPageBreak/>
        <w:t xml:space="preserve">posed by pests such as fall armyworm and Fusarium TR4. He noted the need to remain alert to the effects of climate change and referred to the use of biological control </w:t>
      </w:r>
      <w:r w:rsidRPr="00E956B9">
        <w:rPr>
          <w:lang w:val="en-GB"/>
        </w:rPr>
        <w:t xml:space="preserve">agents, integrated pest management, and One Health approaches. He also highlighted the need for stocks of healthy seeds after flooding and new adaptive technology for surveillance. The ambassador reflected on the benefits of the IPPC </w:t>
      </w:r>
      <w:proofErr w:type="spellStart"/>
      <w:r w:rsidRPr="00E956B9">
        <w:rPr>
          <w:lang w:val="en-GB"/>
        </w:rPr>
        <w:t>ePhyto</w:t>
      </w:r>
      <w:proofErr w:type="spellEnd"/>
      <w:r w:rsidRPr="00E956B9">
        <w:rPr>
          <w:lang w:val="en-GB"/>
        </w:rPr>
        <w:t xml:space="preserve"> Solution and pre-border biosecurity measures, but noted the challenges presented by e-commerce. He finished by expressing appreciation to other contracting parties and the IPPC Secretariat (hereafter referred to as “the secretariat”).</w:t>
      </w:r>
    </w:p>
    <w:p w14:paraId="355BE163" w14:textId="77777777" w:rsidR="004F0226" w:rsidRPr="003A1E70" w:rsidRDefault="004F0226" w:rsidP="004F0226">
      <w:pPr>
        <w:pStyle w:val="IPPParagraphnumbering"/>
        <w:rPr>
          <w:lang w:val="en-GB"/>
        </w:rPr>
      </w:pPr>
      <w:r>
        <w:rPr>
          <w:lang w:val="en-GB"/>
        </w:rPr>
        <w:t>T</w:t>
      </w:r>
      <w:r w:rsidRPr="003A1E70">
        <w:rPr>
          <w:lang w:val="en-GB"/>
        </w:rPr>
        <w:t xml:space="preserve">he CPM chairperson </w:t>
      </w:r>
      <w:r>
        <w:rPr>
          <w:lang w:val="en-GB"/>
        </w:rPr>
        <w:t xml:space="preserve">then </w:t>
      </w:r>
      <w:r w:rsidRPr="003A1E70">
        <w:rPr>
          <w:lang w:val="en-GB"/>
        </w:rPr>
        <w:t>gave some opening remarks</w:t>
      </w:r>
      <w:r>
        <w:rPr>
          <w:lang w:val="en-GB"/>
        </w:rPr>
        <w:t>. He</w:t>
      </w:r>
      <w:r w:rsidRPr="003A1E70">
        <w:rPr>
          <w:lang w:val="en-GB"/>
        </w:rPr>
        <w:t xml:space="preserve"> look</w:t>
      </w:r>
      <w:r>
        <w:rPr>
          <w:lang w:val="en-GB"/>
        </w:rPr>
        <w:t>ed</w:t>
      </w:r>
      <w:r w:rsidRPr="003A1E70">
        <w:rPr>
          <w:lang w:val="en-GB"/>
        </w:rPr>
        <w:t xml:space="preserve"> forward to the business on the agenda and welcom</w:t>
      </w:r>
      <w:r>
        <w:rPr>
          <w:lang w:val="en-GB"/>
        </w:rPr>
        <w:t>ed</w:t>
      </w:r>
      <w:r w:rsidRPr="003A1E70">
        <w:rPr>
          <w:lang w:val="en-GB"/>
        </w:rPr>
        <w:t xml:space="preserve"> all participants, particularly those joining online. </w:t>
      </w:r>
    </w:p>
    <w:p w14:paraId="78734ED9" w14:textId="77777777" w:rsidR="001A2904" w:rsidRPr="005C660F" w:rsidRDefault="001A2904" w:rsidP="001A2904">
      <w:pPr>
        <w:pStyle w:val="IPPHeading1"/>
      </w:pPr>
      <w:r w:rsidRPr="005C660F">
        <w:t>3.</w:t>
      </w:r>
      <w:r w:rsidRPr="005C660F">
        <w:tab/>
        <w:t>Adoption of the agenda</w:t>
      </w:r>
    </w:p>
    <w:p w14:paraId="7AA4E2C0" w14:textId="77777777" w:rsidR="001A2904" w:rsidRPr="005C660F" w:rsidRDefault="001A2904" w:rsidP="001A2904">
      <w:pPr>
        <w:pStyle w:val="IPPParagraphnumberingclose"/>
        <w:rPr>
          <w:lang w:val="en-GB"/>
        </w:rPr>
      </w:pPr>
      <w:r w:rsidRPr="005C660F">
        <w:rPr>
          <w:lang w:val="en-GB"/>
        </w:rPr>
        <w:t>The CPM:</w:t>
      </w:r>
    </w:p>
    <w:p w14:paraId="229BCCC6" w14:textId="77777777" w:rsidR="001A2904" w:rsidRPr="005C660F" w:rsidRDefault="001A2904" w:rsidP="001A2904">
      <w:pPr>
        <w:pStyle w:val="IPPNumberedList"/>
        <w:spacing w:after="180"/>
      </w:pPr>
      <w:r w:rsidRPr="005C660F">
        <w:rPr>
          <w:i/>
          <w:iCs/>
        </w:rPr>
        <w:t>adopted</w:t>
      </w:r>
      <w:r w:rsidRPr="005C660F">
        <w:t xml:space="preserve"> the agenda (Appendix 1) and </w:t>
      </w:r>
      <w:r w:rsidRPr="005C660F">
        <w:rPr>
          <w:i/>
          <w:iCs/>
        </w:rPr>
        <w:t>noted</w:t>
      </w:r>
      <w:r w:rsidRPr="005C660F">
        <w:t xml:space="preserve"> the list of documents (Appendix 2).</w:t>
      </w:r>
    </w:p>
    <w:p w14:paraId="4E0B867F" w14:textId="77777777" w:rsidR="001A2904" w:rsidRPr="005C660F" w:rsidRDefault="001A2904" w:rsidP="001A2904">
      <w:pPr>
        <w:pStyle w:val="IPPHeading2"/>
      </w:pPr>
      <w:r w:rsidRPr="005C660F">
        <w:t>3.1</w:t>
      </w:r>
      <w:r w:rsidRPr="005C660F">
        <w:tab/>
        <w:t>European Union statement of competence</w:t>
      </w:r>
    </w:p>
    <w:p w14:paraId="2B338351" w14:textId="77777777" w:rsidR="001A2904" w:rsidRPr="005C660F" w:rsidRDefault="001A2904" w:rsidP="001A2904">
      <w:pPr>
        <w:pStyle w:val="IPPParagraphnumberingclose"/>
        <w:rPr>
          <w:lang w:val="en-GB"/>
        </w:rPr>
      </w:pPr>
      <w:r w:rsidRPr="005C660F">
        <w:rPr>
          <w:lang w:val="en-GB"/>
        </w:rPr>
        <w:t>The CPM:</w:t>
      </w:r>
    </w:p>
    <w:p w14:paraId="72417158" w14:textId="77777777" w:rsidR="001A2904" w:rsidRPr="005C660F" w:rsidRDefault="001A2904" w:rsidP="001A2904">
      <w:pPr>
        <w:pStyle w:val="IPPNumberedList"/>
        <w:numPr>
          <w:ilvl w:val="0"/>
          <w:numId w:val="10"/>
        </w:numPr>
        <w:spacing w:after="180"/>
        <w:rPr>
          <w:lang w:val="en-GB"/>
        </w:rPr>
      </w:pPr>
      <w:r w:rsidRPr="005C660F">
        <w:rPr>
          <w:i/>
          <w:iCs/>
          <w:lang w:val="en-GB"/>
        </w:rPr>
        <w:t>noted</w:t>
      </w:r>
      <w:r w:rsidRPr="005C660F">
        <w:rPr>
          <w:lang w:val="en-GB"/>
        </w:rPr>
        <w:t xml:space="preserve"> the Declaration of Competences and Voting Rights submitted by the European Union and its 27 member states.</w:t>
      </w:r>
      <w:r w:rsidRPr="005C660F">
        <w:rPr>
          <w:rStyle w:val="FootnoteReference"/>
          <w:lang w:val="en-GB"/>
        </w:rPr>
        <w:footnoteReference w:id="2"/>
      </w:r>
    </w:p>
    <w:p w14:paraId="7508ABF7" w14:textId="77777777" w:rsidR="001A2904" w:rsidRPr="005C660F" w:rsidRDefault="001A2904" w:rsidP="001A2904">
      <w:pPr>
        <w:pStyle w:val="IPPHeading1"/>
      </w:pPr>
      <w:r w:rsidRPr="005C660F">
        <w:t>4.</w:t>
      </w:r>
      <w:r w:rsidRPr="005C660F">
        <w:tab/>
        <w:t>Election of the rapporteur</w:t>
      </w:r>
    </w:p>
    <w:p w14:paraId="68BA2B53" w14:textId="77777777" w:rsidR="001A2904" w:rsidRPr="005C660F" w:rsidRDefault="001A2904" w:rsidP="001A2904">
      <w:pPr>
        <w:pStyle w:val="IPPParagraphnumberingclose"/>
        <w:rPr>
          <w:lang w:val="en-GB"/>
        </w:rPr>
      </w:pPr>
      <w:r w:rsidRPr="005C660F">
        <w:rPr>
          <w:lang w:val="en-GB"/>
        </w:rPr>
        <w:t>The CPM:</w:t>
      </w:r>
    </w:p>
    <w:p w14:paraId="491CEE16" w14:textId="77777777" w:rsidR="001A2904" w:rsidRPr="008A40A5" w:rsidRDefault="001A2904" w:rsidP="008A40A5">
      <w:pPr>
        <w:pStyle w:val="IPPNumberedList"/>
        <w:numPr>
          <w:ilvl w:val="0"/>
          <w:numId w:val="60"/>
        </w:numPr>
        <w:spacing w:after="180"/>
        <w:rPr>
          <w:lang w:val="en-GB"/>
        </w:rPr>
      </w:pPr>
      <w:r w:rsidRPr="008A40A5">
        <w:rPr>
          <w:i/>
          <w:iCs/>
          <w:lang w:val="en-GB"/>
        </w:rPr>
        <w:t>elected</w:t>
      </w:r>
      <w:r w:rsidRPr="008A40A5">
        <w:rPr>
          <w:lang w:val="en-GB"/>
        </w:rPr>
        <w:t xml:space="preserve"> Steve </w:t>
      </w:r>
      <w:r>
        <w:t xml:space="preserve">CÔTÉ </w:t>
      </w:r>
      <w:r w:rsidRPr="008A40A5">
        <w:rPr>
          <w:lang w:val="en-GB"/>
        </w:rPr>
        <w:t>(Canada) as rapporteur.</w:t>
      </w:r>
    </w:p>
    <w:p w14:paraId="244F8FB1" w14:textId="77777777" w:rsidR="000E6892" w:rsidRPr="005C660F" w:rsidRDefault="000E6892" w:rsidP="000E6892">
      <w:pPr>
        <w:pStyle w:val="IPPHeading1"/>
      </w:pPr>
      <w:r>
        <w:t>6.</w:t>
      </w:r>
      <w:r>
        <w:tab/>
        <w:t>Report from the CPM chairperson</w:t>
      </w:r>
    </w:p>
    <w:p w14:paraId="1B484FC5" w14:textId="77777777" w:rsidR="000E6892" w:rsidRPr="0018121F" w:rsidRDefault="000E6892" w:rsidP="000E6892">
      <w:pPr>
        <w:pStyle w:val="IPPParagraphnumbering"/>
      </w:pPr>
      <w:r w:rsidRPr="00EB77B5">
        <w:rPr>
          <w:lang w:val="en-GB"/>
        </w:rPr>
        <w:t xml:space="preserve">The CPM chairperson </w:t>
      </w:r>
      <w:r>
        <w:rPr>
          <w:lang w:val="en-GB"/>
        </w:rPr>
        <w:t xml:space="preserve">referred the CPM to his </w:t>
      </w:r>
      <w:r w:rsidRPr="0018121F">
        <w:rPr>
          <w:lang w:val="en-GB"/>
        </w:rPr>
        <w:t>report.</w:t>
      </w:r>
      <w:r w:rsidRPr="0018121F">
        <w:rPr>
          <w:rStyle w:val="FootnoteReference"/>
          <w:lang w:val="en-GB"/>
        </w:rPr>
        <w:footnoteReference w:id="3"/>
      </w:r>
      <w:r w:rsidRPr="0018121F">
        <w:rPr>
          <w:lang w:val="en-GB"/>
        </w:rPr>
        <w:t xml:space="preserve"> He commented that much of the bureau’s focus had been on finance and governance, together with some of the flagship programmes of the secretariat, and he referred to the productive meeting of the Strategic Planning Group (SPG) held in October</w:t>
      </w:r>
      <w:r>
        <w:rPr>
          <w:lang w:val="en-GB"/>
        </w:rPr>
        <w:t xml:space="preserve"> and the </w:t>
      </w:r>
      <w:r w:rsidRPr="001209D1">
        <w:rPr>
          <w:i/>
          <w:iCs/>
          <w:lang w:val="en-GB"/>
        </w:rPr>
        <w:t>IPPC global workshop on systems approaches</w:t>
      </w:r>
      <w:r>
        <w:rPr>
          <w:lang w:val="en-GB"/>
        </w:rPr>
        <w:t xml:space="preserve"> held in December</w:t>
      </w:r>
      <w:r w:rsidRPr="0018121F">
        <w:rPr>
          <w:lang w:val="en-GB"/>
        </w:rPr>
        <w:t>. The CPM chairperson highlighted some of the key achievements of 2025 and emphasized that the key challenges continued to be insufficient funding and a lack of staff</w:t>
      </w:r>
      <w:r>
        <w:rPr>
          <w:lang w:val="en-GB"/>
        </w:rPr>
        <w:t>ing</w:t>
      </w:r>
      <w:r w:rsidRPr="0018121F">
        <w:rPr>
          <w:lang w:val="en-GB"/>
        </w:rPr>
        <w:t xml:space="preserve"> resources within the secretariat. </w:t>
      </w:r>
    </w:p>
    <w:p w14:paraId="40290392" w14:textId="77777777" w:rsidR="000E6892" w:rsidRDefault="000E6892" w:rsidP="000E6892">
      <w:pPr>
        <w:pStyle w:val="IPPParagraphnumbering"/>
      </w:pPr>
      <w:r>
        <w:t>Contracting parties acknowledged the support from donors and through in-kind contributions and expressed their appreciation for the support of the secretariat.</w:t>
      </w:r>
    </w:p>
    <w:p w14:paraId="007ACB10" w14:textId="77777777" w:rsidR="000E6892" w:rsidRPr="00005E85" w:rsidRDefault="000E6892" w:rsidP="000E6892">
      <w:pPr>
        <w:pStyle w:val="IPPParagraphnumberingclose"/>
      </w:pPr>
      <w:r w:rsidRPr="00005E85">
        <w:t>The CPM:</w:t>
      </w:r>
    </w:p>
    <w:p w14:paraId="01CCE22F" w14:textId="77777777" w:rsidR="000E6892" w:rsidRDefault="000E6892" w:rsidP="000E6892">
      <w:pPr>
        <w:pStyle w:val="IPPNumberedList"/>
        <w:numPr>
          <w:ilvl w:val="0"/>
          <w:numId w:val="55"/>
        </w:numPr>
        <w:spacing w:after="180"/>
      </w:pPr>
      <w:r>
        <w:rPr>
          <w:i/>
          <w:iCs/>
        </w:rPr>
        <w:t xml:space="preserve">noted </w:t>
      </w:r>
      <w:r>
        <w:t>the report from the CPM chairperson</w:t>
      </w:r>
      <w:r w:rsidRPr="00005E85">
        <w:t>.</w:t>
      </w:r>
      <w:r>
        <w:t xml:space="preserve"> </w:t>
      </w:r>
    </w:p>
    <w:p w14:paraId="4D4B912D" w14:textId="77777777" w:rsidR="00CC42CC" w:rsidRDefault="00CC42CC" w:rsidP="00CC42CC">
      <w:pPr>
        <w:pStyle w:val="IPPHeading2"/>
      </w:pPr>
      <w:r w:rsidRPr="005C660F">
        <w:t>6.1</w:t>
      </w:r>
      <w:r w:rsidRPr="005C660F">
        <w:tab/>
        <w:t>Rethinking ISPMs</w:t>
      </w:r>
    </w:p>
    <w:p w14:paraId="670D53A5" w14:textId="77777777" w:rsidR="00CC42CC" w:rsidRDefault="00CC42CC" w:rsidP="00CC42CC">
      <w:pPr>
        <w:pStyle w:val="IPPParagraphnumbering"/>
      </w:pPr>
      <w:r w:rsidRPr="3BA7D772">
        <w:t>The CPM chairperson presented a paper</w:t>
      </w:r>
      <w:r>
        <w:t>,</w:t>
      </w:r>
      <w:r w:rsidRPr="3BA7D772">
        <w:t xml:space="preserve"> prepared</w:t>
      </w:r>
      <w:r>
        <w:t xml:space="preserve"> by himself and reviewed by the bureau</w:t>
      </w:r>
      <w:r w:rsidRPr="3BA7D772">
        <w:t>, following the discussions of the SPG on “rethinking ISPMs”.</w:t>
      </w:r>
      <w:r w:rsidRPr="3BA7D772">
        <w:rPr>
          <w:rStyle w:val="FootnoteReference"/>
        </w:rPr>
        <w:footnoteReference w:id="4"/>
      </w:r>
      <w:r w:rsidRPr="3BA7D772">
        <w:t xml:space="preserve"> He also referred to the various written interventions received in response to it.</w:t>
      </w:r>
      <w:r w:rsidRPr="3BA7D772">
        <w:rPr>
          <w:rStyle w:val="FootnoteReference"/>
        </w:rPr>
        <w:footnoteReference w:id="5"/>
      </w:r>
    </w:p>
    <w:p w14:paraId="054EDB27" w14:textId="77777777" w:rsidR="00CC42CC" w:rsidRDefault="00CC42CC" w:rsidP="00CC42CC">
      <w:pPr>
        <w:pStyle w:val="IPPParagraphnumbering"/>
        <w:rPr>
          <w:lang w:val="en-GB"/>
        </w:rPr>
      </w:pPr>
      <w:r w:rsidRPr="00806FC3">
        <w:rPr>
          <w:lang w:val="en-GB"/>
        </w:rPr>
        <w:t xml:space="preserve">Contracting parties expressed broad support for improving how standards are </w:t>
      </w:r>
      <w:r w:rsidRPr="0095217E">
        <w:rPr>
          <w:lang w:val="en-GB"/>
        </w:rPr>
        <w:t>written, recognizing that the process should not be rushed, consideration should be given to exactly what</w:t>
      </w:r>
      <w:r>
        <w:rPr>
          <w:lang w:val="en-GB"/>
        </w:rPr>
        <w:t xml:space="preserve"> is needed and the implications of the changes, and </w:t>
      </w:r>
      <w:r w:rsidRPr="005A1333">
        <w:rPr>
          <w:lang w:val="en-GB"/>
        </w:rPr>
        <w:t xml:space="preserve">there should be no erosion of the scientific or technical </w:t>
      </w:r>
      <w:r>
        <w:rPr>
          <w:lang w:val="en-GB"/>
        </w:rPr>
        <w:t>integrity</w:t>
      </w:r>
      <w:r w:rsidRPr="005A1333">
        <w:rPr>
          <w:lang w:val="en-GB"/>
        </w:rPr>
        <w:t xml:space="preserve"> of </w:t>
      </w:r>
      <w:r w:rsidRPr="005A1333">
        <w:rPr>
          <w:lang w:val="en-GB"/>
        </w:rPr>
        <w:lastRenderedPageBreak/>
        <w:t xml:space="preserve">ISPMs. The CPM </w:t>
      </w:r>
      <w:r>
        <w:rPr>
          <w:lang w:val="en-GB"/>
        </w:rPr>
        <w:t>noted</w:t>
      </w:r>
      <w:r w:rsidRPr="005A1333">
        <w:rPr>
          <w:lang w:val="en-GB"/>
        </w:rPr>
        <w:t xml:space="preserve"> the potential value of engaging a plain‑language specialist</w:t>
      </w:r>
      <w:r>
        <w:rPr>
          <w:lang w:val="en-GB"/>
        </w:rPr>
        <w:t xml:space="preserve"> to support the transition to plain language </w:t>
      </w:r>
      <w:r w:rsidRPr="005A1333">
        <w:rPr>
          <w:lang w:val="en-GB"/>
        </w:rPr>
        <w:t xml:space="preserve">but preferred to limit the level </w:t>
      </w:r>
      <w:r>
        <w:rPr>
          <w:lang w:val="en-GB"/>
        </w:rPr>
        <w:t xml:space="preserve">of involvement to </w:t>
      </w:r>
      <w:r w:rsidRPr="00493F8D">
        <w:rPr>
          <w:lang w:val="en-GB"/>
        </w:rPr>
        <w:t>observ</w:t>
      </w:r>
      <w:r>
        <w:rPr>
          <w:lang w:val="en-GB"/>
        </w:rPr>
        <w:t>ation</w:t>
      </w:r>
      <w:r w:rsidRPr="00493F8D">
        <w:rPr>
          <w:lang w:val="en-GB"/>
        </w:rPr>
        <w:t xml:space="preserve"> </w:t>
      </w:r>
      <w:r>
        <w:rPr>
          <w:lang w:val="en-GB"/>
        </w:rPr>
        <w:t xml:space="preserve">of EWGs </w:t>
      </w:r>
      <w:r w:rsidRPr="00493F8D">
        <w:rPr>
          <w:lang w:val="en-GB"/>
        </w:rPr>
        <w:t xml:space="preserve">and </w:t>
      </w:r>
      <w:r>
        <w:rPr>
          <w:lang w:val="en-GB"/>
        </w:rPr>
        <w:t xml:space="preserve">the provision of </w:t>
      </w:r>
      <w:r w:rsidRPr="00493F8D">
        <w:rPr>
          <w:lang w:val="en-GB"/>
        </w:rPr>
        <w:t xml:space="preserve">recommendations </w:t>
      </w:r>
      <w:r>
        <w:rPr>
          <w:lang w:val="en-GB"/>
        </w:rPr>
        <w:t xml:space="preserve">in the first instance, </w:t>
      </w:r>
      <w:r w:rsidRPr="00493F8D">
        <w:rPr>
          <w:lang w:val="en-GB"/>
        </w:rPr>
        <w:t>rather than participati</w:t>
      </w:r>
      <w:r>
        <w:rPr>
          <w:lang w:val="en-GB"/>
        </w:rPr>
        <w:t>o</w:t>
      </w:r>
      <w:r w:rsidRPr="00493F8D">
        <w:rPr>
          <w:lang w:val="en-GB"/>
        </w:rPr>
        <w:t>n in the drafting itself.</w:t>
      </w:r>
      <w:r>
        <w:rPr>
          <w:lang w:val="en-GB"/>
        </w:rPr>
        <w:t xml:space="preserve"> The </w:t>
      </w:r>
      <w:r w:rsidRPr="0095217E">
        <w:rPr>
          <w:lang w:val="en-GB"/>
        </w:rPr>
        <w:t xml:space="preserve">outcome could inform the next steps. </w:t>
      </w:r>
      <w:r w:rsidRPr="00A42E1A">
        <w:rPr>
          <w:lang w:val="en-GB"/>
        </w:rPr>
        <w:t xml:space="preserve">While the CPM recognized the potential usefulness of a targeted IPPC Observatory survey to understand the needs of CPs with regards to the use of plain language in ISPMs, diverging views were expressed about the timing of this survey. </w:t>
      </w:r>
      <w:r w:rsidRPr="001D7BB0">
        <w:rPr>
          <w:lang w:val="en-GB"/>
        </w:rPr>
        <w:t xml:space="preserve">The </w:t>
      </w:r>
      <w:r>
        <w:rPr>
          <w:lang w:val="en-GB"/>
        </w:rPr>
        <w:t xml:space="preserve">CPM considered the development of plain-language guidelines but considered that this would be premature. </w:t>
      </w:r>
    </w:p>
    <w:p w14:paraId="3D3A2476" w14:textId="77777777" w:rsidR="00CC42CC" w:rsidRDefault="00CC42CC" w:rsidP="00CC42CC">
      <w:pPr>
        <w:pStyle w:val="IPPParagraphnumberingclose"/>
      </w:pPr>
      <w:r>
        <w:t>The CPM:</w:t>
      </w:r>
    </w:p>
    <w:p w14:paraId="7A958CAB" w14:textId="77777777" w:rsidR="00CC42CC" w:rsidRPr="00065613" w:rsidRDefault="00CC42CC" w:rsidP="008A40A5">
      <w:pPr>
        <w:pStyle w:val="IPPNumberedList"/>
        <w:numPr>
          <w:ilvl w:val="0"/>
          <w:numId w:val="61"/>
        </w:numPr>
      </w:pPr>
      <w:r w:rsidRPr="008A40A5">
        <w:rPr>
          <w:i/>
          <w:iCs/>
        </w:rPr>
        <w:t>agreed</w:t>
      </w:r>
      <w:r w:rsidRPr="00065613">
        <w:t xml:space="preserve"> to invite a plain English specialist to observe the EWGs for the draft ISPM on </w:t>
      </w:r>
      <w:r w:rsidRPr="008A40A5">
        <w:rPr>
          <w:i/>
          <w:iCs/>
        </w:rPr>
        <w:t xml:space="preserve">Safe provision of humanitarian aid in the phytosanitary context </w:t>
      </w:r>
      <w:r w:rsidRPr="00065613">
        <w:t xml:space="preserve">(2021-020) </w:t>
      </w:r>
      <w:r>
        <w:t xml:space="preserve">and </w:t>
      </w:r>
      <w:r w:rsidRPr="008A40A5">
        <w:rPr>
          <w:i/>
          <w:iCs/>
        </w:rPr>
        <w:t>Revision of the draft reorganized pest risk analysis standard</w:t>
      </w:r>
      <w:r w:rsidRPr="00065613">
        <w:t xml:space="preserve"> (2023-037) and provide a report to the SPG on their observations and suggestions for </w:t>
      </w:r>
      <w:proofErr w:type="gramStart"/>
      <w:r w:rsidRPr="00065613">
        <w:t>improvements;</w:t>
      </w:r>
      <w:proofErr w:type="gramEnd"/>
      <w:r w:rsidRPr="00065613">
        <w:t xml:space="preserve"> </w:t>
      </w:r>
    </w:p>
    <w:p w14:paraId="5642791A" w14:textId="77777777" w:rsidR="00CC42CC" w:rsidRDefault="00CC42CC" w:rsidP="00CC42CC">
      <w:pPr>
        <w:pStyle w:val="IPPNumberedList"/>
      </w:pPr>
      <w:r w:rsidRPr="00065613">
        <w:rPr>
          <w:i/>
          <w:iCs/>
        </w:rPr>
        <w:t>requested</w:t>
      </w:r>
      <w:r w:rsidRPr="00065613">
        <w:t xml:space="preserve"> that the secretariat and the </w:t>
      </w:r>
      <w:r>
        <w:t>b</w:t>
      </w:r>
      <w:r w:rsidRPr="00065613">
        <w:t>ureau appoint the plain English specialist, referred to in the decision above, setting out expectations</w:t>
      </w:r>
      <w:r>
        <w:t>; and</w:t>
      </w:r>
    </w:p>
    <w:p w14:paraId="4F2CB362" w14:textId="77777777" w:rsidR="00CC42CC" w:rsidRDefault="00CC42CC" w:rsidP="00CC42CC">
      <w:pPr>
        <w:pStyle w:val="IPPNumberedListLast"/>
      </w:pPr>
      <w:r w:rsidRPr="00065613">
        <w:rPr>
          <w:i/>
          <w:iCs/>
        </w:rPr>
        <w:t>requested</w:t>
      </w:r>
      <w:r>
        <w:t xml:space="preserve"> that, following the SPG, the secretariat work with the IC to structure an IPPC Observatory survey, based on the SPG’s recommendations and the papers submitted by the SC and the IC to CPM-20 (2026), to understand the needs of CPs, and then launch the survey in early 2027.</w:t>
      </w:r>
    </w:p>
    <w:p w14:paraId="78FB0475" w14:textId="77777777" w:rsidR="000E6892" w:rsidRPr="005C660F" w:rsidRDefault="000E6892" w:rsidP="000E6892">
      <w:pPr>
        <w:pStyle w:val="IPPHeading2"/>
      </w:pPr>
      <w:r>
        <w:t>6.2</w:t>
      </w:r>
      <w:r>
        <w:tab/>
        <w:t>Future status of the IPPC Financial Committee</w:t>
      </w:r>
    </w:p>
    <w:p w14:paraId="50E6FE5B" w14:textId="77777777" w:rsidR="000E6892" w:rsidRPr="00137CCE" w:rsidRDefault="000E6892" w:rsidP="000E6892">
      <w:pPr>
        <w:pStyle w:val="IPPParagraphnumbering"/>
        <w:rPr>
          <w:lang w:val="en-GB"/>
        </w:rPr>
      </w:pPr>
      <w:r w:rsidRPr="005C660F">
        <w:rPr>
          <w:lang w:val="en-GB"/>
        </w:rPr>
        <w:t>The CPM chairperson presented a proposal from the bureau to disestablish the IPPC Financial Committee and transfer its responsibilities to the bureau</w:t>
      </w:r>
      <w:r>
        <w:rPr>
          <w:lang w:val="en-GB"/>
        </w:rPr>
        <w:t xml:space="preserve">, for the sake </w:t>
      </w:r>
      <w:r w:rsidRPr="00137CCE">
        <w:rPr>
          <w:lang w:val="en-GB"/>
        </w:rPr>
        <w:t>of efficiency.</w:t>
      </w:r>
      <w:r w:rsidRPr="00137CCE">
        <w:rPr>
          <w:rStyle w:val="FootnoteReference"/>
          <w:lang w:val="en-GB"/>
        </w:rPr>
        <w:footnoteReference w:id="6"/>
      </w:r>
      <w:r w:rsidRPr="00137CCE">
        <w:rPr>
          <w:lang w:val="en-GB"/>
        </w:rPr>
        <w:t xml:space="preserve"> He explained that the current rules of procedure for the bureau</w:t>
      </w:r>
      <w:r w:rsidRPr="00137CCE">
        <w:rPr>
          <w:rStyle w:val="FootnoteReference"/>
          <w:lang w:val="en-GB"/>
        </w:rPr>
        <w:footnoteReference w:id="7"/>
      </w:r>
      <w:r w:rsidRPr="00137CCE">
        <w:rPr>
          <w:lang w:val="en-GB"/>
        </w:rPr>
        <w:t xml:space="preserve"> had a provision for financial planning and management.</w:t>
      </w:r>
    </w:p>
    <w:p w14:paraId="48B8C632" w14:textId="77777777" w:rsidR="000E6892" w:rsidRDefault="000E6892" w:rsidP="000E6892">
      <w:pPr>
        <w:pStyle w:val="IPPParagraphnumbering"/>
        <w:rPr>
          <w:lang w:val="en-GB"/>
        </w:rPr>
      </w:pPr>
      <w:r>
        <w:rPr>
          <w:lang w:val="en-GB"/>
        </w:rPr>
        <w:t>In response to a query, the secretariat reassured the CPM that the secretariat’s finance officer supports the bureau in its discussions on finance.</w:t>
      </w:r>
    </w:p>
    <w:p w14:paraId="73983D89" w14:textId="77777777" w:rsidR="000E6892" w:rsidRPr="005C660F" w:rsidRDefault="000E6892" w:rsidP="000E6892">
      <w:pPr>
        <w:pStyle w:val="IPPParagraphnumberingclose"/>
        <w:rPr>
          <w:lang w:val="en-GB"/>
        </w:rPr>
      </w:pPr>
      <w:r w:rsidRPr="005C660F">
        <w:rPr>
          <w:lang w:val="en-GB"/>
        </w:rPr>
        <w:t>The CPM:</w:t>
      </w:r>
      <w:r>
        <w:rPr>
          <w:lang w:val="en-GB"/>
        </w:rPr>
        <w:t xml:space="preserve"> </w:t>
      </w:r>
    </w:p>
    <w:p w14:paraId="327D94A6" w14:textId="77777777" w:rsidR="000E6892" w:rsidRDefault="000E6892" w:rsidP="000E6892">
      <w:pPr>
        <w:pStyle w:val="IPPNumberedList"/>
        <w:numPr>
          <w:ilvl w:val="0"/>
          <w:numId w:val="52"/>
        </w:numPr>
        <w:rPr>
          <w:lang w:val="en-GB"/>
        </w:rPr>
      </w:pPr>
      <w:r w:rsidRPr="001D26B3">
        <w:rPr>
          <w:i/>
          <w:iCs/>
          <w:lang w:val="en-GB"/>
        </w:rPr>
        <w:t xml:space="preserve">agreed </w:t>
      </w:r>
      <w:r w:rsidRPr="001D26B3">
        <w:rPr>
          <w:lang w:val="en-GB"/>
        </w:rPr>
        <w:t xml:space="preserve">to disestablish the IPPC Financial </w:t>
      </w:r>
      <w:proofErr w:type="gramStart"/>
      <w:r w:rsidRPr="001D26B3">
        <w:rPr>
          <w:lang w:val="en-GB"/>
        </w:rPr>
        <w:t>Committee</w:t>
      </w:r>
      <w:r>
        <w:rPr>
          <w:lang w:val="en-GB"/>
        </w:rPr>
        <w:t>;</w:t>
      </w:r>
      <w:proofErr w:type="gramEnd"/>
      <w:r>
        <w:rPr>
          <w:lang w:val="en-GB"/>
        </w:rPr>
        <w:t xml:space="preserve"> </w:t>
      </w:r>
    </w:p>
    <w:p w14:paraId="16BC8318" w14:textId="77777777" w:rsidR="000E6892" w:rsidRPr="00BD362D" w:rsidRDefault="000E6892" w:rsidP="000E6892">
      <w:pPr>
        <w:pStyle w:val="IPPNumberedList"/>
        <w:numPr>
          <w:ilvl w:val="0"/>
          <w:numId w:val="52"/>
        </w:numPr>
        <w:rPr>
          <w:lang w:val="en-GB"/>
        </w:rPr>
      </w:pPr>
      <w:r w:rsidRPr="00295917">
        <w:rPr>
          <w:i/>
          <w:iCs/>
          <w:lang w:val="en-GB"/>
        </w:rPr>
        <w:t>agreed</w:t>
      </w:r>
      <w:r w:rsidRPr="00BD362D">
        <w:rPr>
          <w:lang w:val="en-GB"/>
        </w:rPr>
        <w:t xml:space="preserve"> to transfer the responsibilities of the </w:t>
      </w:r>
      <w:r>
        <w:rPr>
          <w:lang w:val="en-GB"/>
        </w:rPr>
        <w:t xml:space="preserve">IPPC </w:t>
      </w:r>
      <w:r w:rsidRPr="00BD362D">
        <w:rPr>
          <w:lang w:val="en-GB"/>
        </w:rPr>
        <w:t xml:space="preserve">Financial Committee to the </w:t>
      </w:r>
      <w:r>
        <w:rPr>
          <w:lang w:val="en-GB"/>
        </w:rPr>
        <w:t>b</w:t>
      </w:r>
      <w:r w:rsidRPr="00BD362D">
        <w:rPr>
          <w:lang w:val="en-GB"/>
        </w:rPr>
        <w:t xml:space="preserve">ureau to guarantee both financial transparency and </w:t>
      </w:r>
      <w:proofErr w:type="gramStart"/>
      <w:r w:rsidRPr="00BD362D">
        <w:rPr>
          <w:lang w:val="en-GB"/>
        </w:rPr>
        <w:t>oversight</w:t>
      </w:r>
      <w:r>
        <w:rPr>
          <w:lang w:val="en-GB"/>
        </w:rPr>
        <w:t>;</w:t>
      </w:r>
      <w:proofErr w:type="gramEnd"/>
      <w:r>
        <w:rPr>
          <w:lang w:val="en-GB"/>
        </w:rPr>
        <w:t xml:space="preserve"> </w:t>
      </w:r>
    </w:p>
    <w:p w14:paraId="58FDDA94" w14:textId="77777777" w:rsidR="000E6892" w:rsidRDefault="000E6892" w:rsidP="000E6892">
      <w:pPr>
        <w:pStyle w:val="IPPNumberedList"/>
        <w:numPr>
          <w:ilvl w:val="0"/>
          <w:numId w:val="52"/>
        </w:numPr>
        <w:rPr>
          <w:lang w:val="en-GB"/>
        </w:rPr>
      </w:pPr>
      <w:r w:rsidRPr="00295917">
        <w:rPr>
          <w:i/>
          <w:iCs/>
          <w:lang w:val="en-GB"/>
        </w:rPr>
        <w:t>agreed</w:t>
      </w:r>
      <w:r w:rsidRPr="00BD362D">
        <w:rPr>
          <w:lang w:val="en-GB"/>
        </w:rPr>
        <w:t xml:space="preserve"> to add a standing item to the agenda of each </w:t>
      </w:r>
      <w:r>
        <w:rPr>
          <w:lang w:val="en-GB"/>
        </w:rPr>
        <w:t>b</w:t>
      </w:r>
      <w:r w:rsidRPr="00BD362D">
        <w:rPr>
          <w:lang w:val="en-GB"/>
        </w:rPr>
        <w:t xml:space="preserve">ureau meeting concerning financial planning, financial reporting, resource solicitation and the development of procedures </w:t>
      </w:r>
      <w:proofErr w:type="gramStart"/>
      <w:r w:rsidRPr="00BD362D">
        <w:rPr>
          <w:lang w:val="en-GB"/>
        </w:rPr>
        <w:t xml:space="preserve">with regard </w:t>
      </w:r>
      <w:r>
        <w:rPr>
          <w:lang w:val="en-GB"/>
        </w:rPr>
        <w:t>to</w:t>
      </w:r>
      <w:proofErr w:type="gramEnd"/>
      <w:r w:rsidRPr="00BD362D">
        <w:rPr>
          <w:lang w:val="en-GB"/>
        </w:rPr>
        <w:t xml:space="preserve"> financial transparency and resource mobilization</w:t>
      </w:r>
      <w:r>
        <w:rPr>
          <w:lang w:val="en-GB"/>
        </w:rPr>
        <w:t>; and</w:t>
      </w:r>
    </w:p>
    <w:p w14:paraId="1DB735B6" w14:textId="77777777" w:rsidR="000E6892" w:rsidRPr="00FA4201" w:rsidRDefault="000E6892" w:rsidP="000E6892">
      <w:pPr>
        <w:pStyle w:val="IPPNumberedList"/>
        <w:numPr>
          <w:ilvl w:val="0"/>
          <w:numId w:val="52"/>
        </w:numPr>
        <w:rPr>
          <w:lang w:val="en-GB"/>
        </w:rPr>
      </w:pPr>
      <w:r w:rsidRPr="00FA4201">
        <w:rPr>
          <w:i/>
          <w:iCs/>
          <w:lang w:val="en-GB"/>
        </w:rPr>
        <w:t xml:space="preserve">requested </w:t>
      </w:r>
      <w:r w:rsidRPr="00FA4201">
        <w:rPr>
          <w:lang w:val="en-GB"/>
        </w:rPr>
        <w:t xml:space="preserve">that the secretariat amend the rules of procedure of the bureau to clarify that financial planning and management </w:t>
      </w:r>
      <w:r>
        <w:rPr>
          <w:lang w:val="en-GB"/>
        </w:rPr>
        <w:t>are aligned with</w:t>
      </w:r>
      <w:r w:rsidRPr="00FA4201">
        <w:rPr>
          <w:lang w:val="en-GB"/>
        </w:rPr>
        <w:t xml:space="preserve"> FAO financial governance </w:t>
      </w:r>
      <w:proofErr w:type="gramStart"/>
      <w:r w:rsidRPr="00FA4201">
        <w:rPr>
          <w:lang w:val="en-GB"/>
        </w:rPr>
        <w:t>processes,</w:t>
      </w:r>
      <w:r>
        <w:rPr>
          <w:lang w:val="en-GB"/>
        </w:rPr>
        <w:t xml:space="preserve"> </w:t>
      </w:r>
      <w:r w:rsidRPr="00FA4201">
        <w:rPr>
          <w:lang w:val="en-GB"/>
        </w:rPr>
        <w:t>and</w:t>
      </w:r>
      <w:proofErr w:type="gramEnd"/>
      <w:r w:rsidRPr="00FA4201">
        <w:rPr>
          <w:lang w:val="en-GB"/>
        </w:rPr>
        <w:t xml:space="preserve"> present th</w:t>
      </w:r>
      <w:r>
        <w:rPr>
          <w:lang w:val="en-GB"/>
        </w:rPr>
        <w:t>e</w:t>
      </w:r>
      <w:r w:rsidRPr="00FA4201">
        <w:rPr>
          <w:lang w:val="en-GB"/>
        </w:rPr>
        <w:t>s</w:t>
      </w:r>
      <w:r>
        <w:rPr>
          <w:lang w:val="en-GB"/>
        </w:rPr>
        <w:t>e amendments</w:t>
      </w:r>
      <w:r w:rsidRPr="00FA4201">
        <w:rPr>
          <w:lang w:val="en-GB"/>
        </w:rPr>
        <w:t xml:space="preserve"> to the bureau </w:t>
      </w:r>
      <w:r>
        <w:rPr>
          <w:lang w:val="en-GB"/>
        </w:rPr>
        <w:t>to recommend to CPM-21 (2027) for final adoption</w:t>
      </w:r>
      <w:r w:rsidRPr="00FA4201">
        <w:rPr>
          <w:lang w:val="en-GB"/>
        </w:rPr>
        <w:t>.</w:t>
      </w:r>
    </w:p>
    <w:p w14:paraId="2BC73EDA" w14:textId="77777777" w:rsidR="001A2904" w:rsidRPr="005C660F" w:rsidRDefault="001A2904" w:rsidP="001A2904">
      <w:pPr>
        <w:pStyle w:val="IPPHeading1"/>
      </w:pPr>
      <w:r>
        <w:t>7.</w:t>
      </w:r>
      <w:r>
        <w:tab/>
        <w:t>Report from the IPPC Secretariat</w:t>
      </w:r>
    </w:p>
    <w:p w14:paraId="15C2F8FB" w14:textId="77777777" w:rsidR="001A2904" w:rsidRPr="00827E10" w:rsidRDefault="001A2904" w:rsidP="001A2904">
      <w:pPr>
        <w:pStyle w:val="IPPParagraphnumbering"/>
        <w:rPr>
          <w:lang w:val="en-GB"/>
        </w:rPr>
      </w:pPr>
      <w:r w:rsidRPr="0057241D">
        <w:rPr>
          <w:lang w:val="en-GB"/>
        </w:rPr>
        <w:t xml:space="preserve">The IPPC secretary </w:t>
      </w:r>
      <w:r>
        <w:rPr>
          <w:lang w:val="en-GB"/>
        </w:rPr>
        <w:t xml:space="preserve">referred the CPM to </w:t>
      </w:r>
      <w:r w:rsidRPr="0057241D">
        <w:rPr>
          <w:lang w:val="en-GB"/>
        </w:rPr>
        <w:t xml:space="preserve">the 2025 annual report of the </w:t>
      </w:r>
      <w:r>
        <w:rPr>
          <w:lang w:val="en-GB"/>
        </w:rPr>
        <w:t>s</w:t>
      </w:r>
      <w:r w:rsidRPr="0057241D">
        <w:rPr>
          <w:lang w:val="en-GB"/>
        </w:rPr>
        <w:t>ecretariat.</w:t>
      </w:r>
      <w:r w:rsidRPr="005C660F">
        <w:rPr>
          <w:rStyle w:val="FootnoteReference"/>
          <w:lang w:val="en-GB"/>
        </w:rPr>
        <w:footnoteReference w:id="8"/>
      </w:r>
      <w:r w:rsidRPr="0057241D">
        <w:rPr>
          <w:lang w:val="en-GB"/>
        </w:rPr>
        <w:t xml:space="preserve"> </w:t>
      </w:r>
      <w:r w:rsidRPr="00A0623F">
        <w:rPr>
          <w:lang w:val="en-GB"/>
        </w:rPr>
        <w:t>He explained that the secretariat had advanced on all the major pillars of the secretariat’s work programme</w:t>
      </w:r>
      <w:r>
        <w:rPr>
          <w:lang w:val="en-GB"/>
        </w:rPr>
        <w:t xml:space="preserve">, including </w:t>
      </w:r>
      <w:r>
        <w:t>strengthening digital capacity, facilitating capacity building in countries and the adoption of the first commodity standard by CPM-19 (2025).</w:t>
      </w:r>
    </w:p>
    <w:p w14:paraId="73D6691B" w14:textId="77777777" w:rsidR="001A2904" w:rsidRDefault="001A2904" w:rsidP="001A2904">
      <w:pPr>
        <w:pStyle w:val="IPPParagraphnumbering"/>
      </w:pPr>
      <w:r>
        <w:lastRenderedPageBreak/>
        <w:t>The CPM noted a request that the CPM report be published in a timely manner, with some suggestions for future improvements.</w:t>
      </w:r>
      <w:r>
        <w:rPr>
          <w:rStyle w:val="FootnoteReference"/>
        </w:rPr>
        <w:footnoteReference w:id="9"/>
      </w:r>
      <w:r>
        <w:t xml:space="preserve"> The secretariat assured the CPM that they would follow the established deadlines and procedures and would consider these suggestions and other lessons learned.</w:t>
      </w:r>
    </w:p>
    <w:p w14:paraId="038B2C4B" w14:textId="77777777" w:rsidR="001A2904" w:rsidRPr="005C660F" w:rsidRDefault="001A2904" w:rsidP="001A2904">
      <w:pPr>
        <w:pStyle w:val="IPPParagraphnumberingclose"/>
        <w:rPr>
          <w:lang w:val="en-GB"/>
        </w:rPr>
      </w:pPr>
      <w:r w:rsidRPr="005C660F">
        <w:rPr>
          <w:lang w:val="en-GB"/>
        </w:rPr>
        <w:t>The CPM:</w:t>
      </w:r>
    </w:p>
    <w:p w14:paraId="0D2EF9EA" w14:textId="77777777" w:rsidR="001A2904" w:rsidRPr="005C660F" w:rsidRDefault="001A2904" w:rsidP="001A2904">
      <w:pPr>
        <w:pStyle w:val="IPPNumberedList"/>
        <w:numPr>
          <w:ilvl w:val="0"/>
          <w:numId w:val="13"/>
        </w:numPr>
        <w:spacing w:after="180"/>
        <w:rPr>
          <w:lang w:val="en-GB"/>
        </w:rPr>
      </w:pPr>
      <w:r w:rsidRPr="005C660F">
        <w:rPr>
          <w:i/>
          <w:iCs/>
          <w:lang w:val="en-GB"/>
        </w:rPr>
        <w:t>noted</w:t>
      </w:r>
      <w:r w:rsidRPr="005C660F">
        <w:rPr>
          <w:lang w:val="en-GB"/>
        </w:rPr>
        <w:t xml:space="preserve"> the 2025 annual report </w:t>
      </w:r>
      <w:r>
        <w:rPr>
          <w:lang w:val="en-GB"/>
        </w:rPr>
        <w:t>from</w:t>
      </w:r>
      <w:r w:rsidRPr="005C660F">
        <w:rPr>
          <w:lang w:val="en-GB"/>
        </w:rPr>
        <w:t xml:space="preserve"> the IPPC Secretariat.</w:t>
      </w:r>
    </w:p>
    <w:p w14:paraId="07579DC1" w14:textId="77777777" w:rsidR="001A2904" w:rsidRPr="005C660F" w:rsidRDefault="001A2904" w:rsidP="001A2904">
      <w:pPr>
        <w:pStyle w:val="IPPHeading1"/>
      </w:pPr>
      <w:r>
        <w:t>8.</w:t>
      </w:r>
      <w:r>
        <w:tab/>
        <w:t>Report from the Strategic Planning Group</w:t>
      </w:r>
    </w:p>
    <w:p w14:paraId="474B9D33" w14:textId="77777777" w:rsidR="001A2904" w:rsidRDefault="001A2904" w:rsidP="001A2904">
      <w:pPr>
        <w:pStyle w:val="IPPParagraphnumbering"/>
        <w:rPr>
          <w:lang w:val="en-GB"/>
        </w:rPr>
      </w:pPr>
      <w:r w:rsidRPr="00F21F31">
        <w:rPr>
          <w:lang w:val="en-GB"/>
        </w:rPr>
        <w:t xml:space="preserve">The chairperson of the </w:t>
      </w:r>
      <w:r>
        <w:rPr>
          <w:lang w:val="en-GB"/>
        </w:rPr>
        <w:t>Strategic Planning Group (</w:t>
      </w:r>
      <w:r w:rsidRPr="00F21F31">
        <w:rPr>
          <w:lang w:val="en-GB"/>
        </w:rPr>
        <w:t>SPG</w:t>
      </w:r>
      <w:r>
        <w:rPr>
          <w:lang w:val="en-GB"/>
        </w:rPr>
        <w:t>), and vice-chairperson of the CPM,</w:t>
      </w:r>
      <w:r w:rsidRPr="00F21F31">
        <w:rPr>
          <w:lang w:val="en-GB"/>
        </w:rPr>
        <w:t xml:space="preserve"> presented a summary report </w:t>
      </w:r>
      <w:r>
        <w:rPr>
          <w:lang w:val="en-GB"/>
        </w:rPr>
        <w:t xml:space="preserve">of the </w:t>
      </w:r>
      <w:r w:rsidRPr="00F21F31">
        <w:rPr>
          <w:lang w:val="en-GB"/>
        </w:rPr>
        <w:t>SPG meeting</w:t>
      </w:r>
      <w:r>
        <w:rPr>
          <w:lang w:val="en-GB"/>
        </w:rPr>
        <w:t xml:space="preserve"> that had been held</w:t>
      </w:r>
      <w:r w:rsidRPr="00F21F31">
        <w:rPr>
          <w:lang w:val="en-GB"/>
        </w:rPr>
        <w:t xml:space="preserve"> in October 2025.</w:t>
      </w:r>
      <w:r w:rsidRPr="00F21F31">
        <w:rPr>
          <w:rStyle w:val="FootnoteReference"/>
          <w:lang w:val="en-GB"/>
        </w:rPr>
        <w:footnoteReference w:id="10"/>
      </w:r>
      <w:r w:rsidRPr="00F21F31">
        <w:rPr>
          <w:lang w:val="en-GB"/>
        </w:rPr>
        <w:t xml:space="preserve"> </w:t>
      </w:r>
      <w:r>
        <w:rPr>
          <w:lang w:val="en-GB"/>
        </w:rPr>
        <w:t>He emphasized the importance of the SPG meetings as a strategic forum for discussion and explained that the main topic of discussion at the 2025 meeting had been rethinking ISPMs.</w:t>
      </w:r>
    </w:p>
    <w:p w14:paraId="3ADA99B0" w14:textId="765AB772" w:rsidR="001A2904" w:rsidRDefault="001A2904" w:rsidP="001A2904">
      <w:pPr>
        <w:pStyle w:val="IPPParagraphnumbering"/>
        <w:rPr>
          <w:lang w:val="en-GB"/>
        </w:rPr>
      </w:pPr>
      <w:r w:rsidRPr="00F21F31">
        <w:rPr>
          <w:lang w:val="en-GB"/>
        </w:rPr>
        <w:t xml:space="preserve">The CPM noted a proposal </w:t>
      </w:r>
      <w:r>
        <w:rPr>
          <w:lang w:val="en-GB"/>
        </w:rPr>
        <w:t>that an SPG meeting be held outside of Rome, for example at the FAO building in Bangkok, as a trial</w:t>
      </w:r>
      <w:r w:rsidRPr="00F21F31">
        <w:rPr>
          <w:lang w:val="en-GB"/>
        </w:rPr>
        <w:t>.</w:t>
      </w:r>
      <w:r w:rsidRPr="00F21F31">
        <w:rPr>
          <w:rStyle w:val="FootnoteReference"/>
          <w:lang w:val="en-GB"/>
        </w:rPr>
        <w:footnoteReference w:id="11"/>
      </w:r>
      <w:r w:rsidR="00ED7E15">
        <w:rPr>
          <w:lang w:val="en-GB"/>
        </w:rPr>
        <w:t xml:space="preserve"> The CPM also noted an offer from Brazil to hold a meeting of an IPPC body, such as the SPG or bureau.</w:t>
      </w:r>
    </w:p>
    <w:p w14:paraId="6F46C329" w14:textId="77777777" w:rsidR="001A2904" w:rsidRPr="005C660F" w:rsidRDefault="001A2904" w:rsidP="001A2904">
      <w:pPr>
        <w:pStyle w:val="IPPParagraphnumberingclose"/>
        <w:rPr>
          <w:lang w:val="en-GB"/>
        </w:rPr>
      </w:pPr>
      <w:r w:rsidRPr="005C660F">
        <w:rPr>
          <w:lang w:val="en-GB"/>
        </w:rPr>
        <w:t>The CPM:</w:t>
      </w:r>
    </w:p>
    <w:p w14:paraId="08B9EE04" w14:textId="77777777" w:rsidR="001A2904" w:rsidRDefault="001A2904" w:rsidP="001A2904">
      <w:pPr>
        <w:pStyle w:val="IPPNumberedList"/>
        <w:numPr>
          <w:ilvl w:val="0"/>
          <w:numId w:val="14"/>
        </w:numPr>
        <w:rPr>
          <w:lang w:val="en-GB"/>
        </w:rPr>
      </w:pPr>
      <w:r w:rsidRPr="005C660F">
        <w:rPr>
          <w:i/>
          <w:iCs/>
          <w:lang w:val="en-GB"/>
        </w:rPr>
        <w:t>noted</w:t>
      </w:r>
      <w:r w:rsidRPr="005C660F">
        <w:rPr>
          <w:lang w:val="en-GB"/>
        </w:rPr>
        <w:t xml:space="preserve"> the report from the SPG</w:t>
      </w:r>
      <w:r>
        <w:rPr>
          <w:lang w:val="en-GB"/>
        </w:rPr>
        <w:t xml:space="preserve">; and </w:t>
      </w:r>
    </w:p>
    <w:p w14:paraId="5FECB524" w14:textId="77777777" w:rsidR="001A2904" w:rsidRPr="005C660F" w:rsidRDefault="001A2904" w:rsidP="001A2904">
      <w:pPr>
        <w:pStyle w:val="IPPNumberedList"/>
        <w:numPr>
          <w:ilvl w:val="0"/>
          <w:numId w:val="14"/>
        </w:numPr>
        <w:rPr>
          <w:lang w:val="en-GB"/>
        </w:rPr>
      </w:pPr>
      <w:r>
        <w:rPr>
          <w:i/>
          <w:iCs/>
          <w:lang w:val="en-GB"/>
        </w:rPr>
        <w:t xml:space="preserve">requested </w:t>
      </w:r>
      <w:r>
        <w:rPr>
          <w:lang w:val="en-GB"/>
        </w:rPr>
        <w:t xml:space="preserve">that the secretariat analyse, within the next three weeks, the costs and benefits of holding SPG meetings outside of Rome, for consideration by the bureau in a virtual meeting. </w:t>
      </w:r>
    </w:p>
    <w:p w14:paraId="3AFDAB8A" w14:textId="77777777" w:rsidR="001A2904" w:rsidRPr="004A5365" w:rsidRDefault="001A2904" w:rsidP="001A2904">
      <w:pPr>
        <w:pStyle w:val="IPPHeading1"/>
      </w:pPr>
      <w:r>
        <w:t>9.</w:t>
      </w:r>
      <w:r>
        <w:tab/>
        <w:t>Report from CPM subsidiary bodies</w:t>
      </w:r>
    </w:p>
    <w:p w14:paraId="30AAA673" w14:textId="77777777" w:rsidR="001A2904" w:rsidRPr="004A5365" w:rsidRDefault="001A2904" w:rsidP="001A2904">
      <w:pPr>
        <w:pStyle w:val="IPPHeading2"/>
      </w:pPr>
      <w:r w:rsidRPr="004A5365">
        <w:t>9.1</w:t>
      </w:r>
      <w:r w:rsidRPr="004A5365">
        <w:tab/>
        <w:t>Report from the Standards Committee</w:t>
      </w:r>
    </w:p>
    <w:p w14:paraId="1DC05109" w14:textId="77777777" w:rsidR="001A2904" w:rsidRPr="006B5DB5" w:rsidRDefault="001A2904" w:rsidP="001A2904">
      <w:pPr>
        <w:pStyle w:val="IPPParagraphnumbering"/>
        <w:rPr>
          <w:lang w:val="en-GB"/>
        </w:rPr>
      </w:pPr>
      <w:r w:rsidRPr="006B5DB5">
        <w:rPr>
          <w:lang w:val="en-GB"/>
        </w:rPr>
        <w:t>The SC chairperson presented the report of the SC’s activities during 2025.</w:t>
      </w:r>
      <w:r w:rsidRPr="006B5DB5">
        <w:rPr>
          <w:rStyle w:val="FootnoteReference"/>
          <w:lang w:val="en-GB"/>
        </w:rPr>
        <w:footnoteReference w:id="12"/>
      </w:r>
      <w:r w:rsidRPr="006B5DB5">
        <w:rPr>
          <w:lang w:val="en-GB"/>
        </w:rPr>
        <w:t xml:space="preserve"> </w:t>
      </w:r>
      <w:r>
        <w:rPr>
          <w:lang w:val="en-GB"/>
        </w:rPr>
        <w:t xml:space="preserve">These had included the revision and approval of draft specifications and draft ISPMs for </w:t>
      </w:r>
      <w:r w:rsidRPr="006B5DB5">
        <w:rPr>
          <w:lang w:val="en-GB"/>
        </w:rPr>
        <w:t>consultation</w:t>
      </w:r>
      <w:r>
        <w:rPr>
          <w:lang w:val="en-GB"/>
        </w:rPr>
        <w:t xml:space="preserve"> or for adoption by the CPM, and discussions about potential ways forward for longer standing draft ISPMs and issues raised during drafting. The SC had also begun </w:t>
      </w:r>
      <w:r w:rsidRPr="006B5DB5">
        <w:rPr>
          <w:lang w:val="en-GB"/>
        </w:rPr>
        <w:t xml:space="preserve">to review </w:t>
      </w:r>
      <w:r>
        <w:rPr>
          <w:lang w:val="en-GB"/>
        </w:rPr>
        <w:t xml:space="preserve">the </w:t>
      </w:r>
      <w:r w:rsidRPr="69C95ECE">
        <w:rPr>
          <w:i/>
          <w:iCs/>
          <w:lang w:val="en-GB"/>
        </w:rPr>
        <w:t>IPPC procedure manual for standard setting</w:t>
      </w:r>
      <w:r>
        <w:rPr>
          <w:lang w:val="en-GB"/>
        </w:rPr>
        <w:t xml:space="preserve">, particularly </w:t>
      </w:r>
      <w:r w:rsidRPr="006B5DB5">
        <w:rPr>
          <w:lang w:val="en-GB"/>
        </w:rPr>
        <w:t>the guidelines on the role of lead and assistant stewards</w:t>
      </w:r>
      <w:r>
        <w:rPr>
          <w:lang w:val="en-GB"/>
        </w:rPr>
        <w:t>. The SC chairperson reported that the SC had considered interim options for maintaining information removed from ISPMs,</w:t>
      </w:r>
      <w:r w:rsidRPr="006B5DB5">
        <w:rPr>
          <w:lang w:val="en-GB"/>
        </w:rPr>
        <w:t xml:space="preserve"> prepared a position paper to contribute to the SPG discussion on </w:t>
      </w:r>
      <w:r>
        <w:rPr>
          <w:lang w:val="en-GB"/>
        </w:rPr>
        <w:t>“</w:t>
      </w:r>
      <w:r w:rsidRPr="006B5DB5">
        <w:rPr>
          <w:lang w:val="en-GB"/>
        </w:rPr>
        <w:t>rethinking ISPMs</w:t>
      </w:r>
      <w:r>
        <w:rPr>
          <w:lang w:val="en-GB"/>
        </w:rPr>
        <w:t xml:space="preserve">”, and reviewed and recommended submissions from the open call for topics. The SC had also </w:t>
      </w:r>
      <w:r w:rsidRPr="006B5DB5">
        <w:rPr>
          <w:lang w:val="en-GB"/>
        </w:rPr>
        <w:t>supported the delivery of the 2025 IPPC regional workshops and provided oversight of all four IPPC technical panels.</w:t>
      </w:r>
    </w:p>
    <w:p w14:paraId="75F19624" w14:textId="77777777" w:rsidR="001A2904" w:rsidRPr="005C660F" w:rsidRDefault="001A2904" w:rsidP="001A2904">
      <w:pPr>
        <w:pStyle w:val="IPPParagraphnumbering"/>
        <w:rPr>
          <w:lang w:val="en-GB"/>
        </w:rPr>
      </w:pPr>
      <w:r w:rsidRPr="69C95ECE">
        <w:rPr>
          <w:lang w:val="en-GB"/>
        </w:rPr>
        <w:t>The CPM highlighted the importance of contracting parties (CPs) actively participating in the development of draft commodity standards by responding to the calls for information.</w:t>
      </w:r>
    </w:p>
    <w:p w14:paraId="5019D50B" w14:textId="77777777" w:rsidR="001A2904" w:rsidRPr="004A5365" w:rsidRDefault="001A2904" w:rsidP="001A2904">
      <w:pPr>
        <w:pStyle w:val="IPPParagraphnumberingclose"/>
        <w:rPr>
          <w:lang w:val="en-GB"/>
        </w:rPr>
      </w:pPr>
      <w:r w:rsidRPr="004A5365">
        <w:rPr>
          <w:lang w:val="en-GB"/>
        </w:rPr>
        <w:t>The CPM:</w:t>
      </w:r>
    </w:p>
    <w:p w14:paraId="0A0EEB7B" w14:textId="77777777" w:rsidR="001A2904" w:rsidRPr="004A5365" w:rsidRDefault="001A2904" w:rsidP="001A2904">
      <w:pPr>
        <w:pStyle w:val="IPPNumberedList"/>
        <w:numPr>
          <w:ilvl w:val="0"/>
          <w:numId w:val="33"/>
        </w:numPr>
        <w:rPr>
          <w:lang w:val="en-GB"/>
        </w:rPr>
      </w:pPr>
      <w:r w:rsidRPr="004A5365">
        <w:rPr>
          <w:i/>
          <w:iCs/>
          <w:lang w:val="en-GB"/>
        </w:rPr>
        <w:t>noted</w:t>
      </w:r>
      <w:r w:rsidRPr="004A5365">
        <w:rPr>
          <w:lang w:val="en-GB"/>
        </w:rPr>
        <w:t xml:space="preserve"> the report on the activities of the SC in </w:t>
      </w:r>
      <w:proofErr w:type="gramStart"/>
      <w:r w:rsidRPr="004A5365">
        <w:rPr>
          <w:lang w:val="en-GB"/>
        </w:rPr>
        <w:t>2025;</w:t>
      </w:r>
      <w:proofErr w:type="gramEnd"/>
    </w:p>
    <w:p w14:paraId="796C710C" w14:textId="77777777" w:rsidR="001A2904" w:rsidRPr="004A5365" w:rsidRDefault="001A2904" w:rsidP="001A2904">
      <w:pPr>
        <w:pStyle w:val="IPPNumberedList"/>
        <w:rPr>
          <w:lang w:val="en-GB"/>
        </w:rPr>
      </w:pPr>
      <w:r w:rsidRPr="004A5365">
        <w:rPr>
          <w:i/>
          <w:iCs/>
          <w:lang w:val="en-GB"/>
        </w:rPr>
        <w:t>thanked</w:t>
      </w:r>
      <w:r w:rsidRPr="004A5365">
        <w:rPr>
          <w:lang w:val="en-GB"/>
        </w:rPr>
        <w:t xml:space="preserve"> CPs and members of the SC, both past and present, for their support of the standard setting </w:t>
      </w:r>
      <w:proofErr w:type="gramStart"/>
      <w:r w:rsidRPr="004A5365">
        <w:rPr>
          <w:lang w:val="en-GB"/>
        </w:rPr>
        <w:t>process;</w:t>
      </w:r>
      <w:proofErr w:type="gramEnd"/>
    </w:p>
    <w:p w14:paraId="5039CF5F" w14:textId="77777777" w:rsidR="001A2904" w:rsidRPr="004A5365" w:rsidRDefault="001A2904" w:rsidP="001A2904">
      <w:pPr>
        <w:pStyle w:val="IPPNumberedList"/>
        <w:rPr>
          <w:lang w:val="en-GB"/>
        </w:rPr>
      </w:pPr>
      <w:r w:rsidRPr="004A5365">
        <w:rPr>
          <w:i/>
          <w:iCs/>
          <w:lang w:val="en-GB"/>
        </w:rPr>
        <w:t>acknowledged</w:t>
      </w:r>
      <w:r w:rsidRPr="004A5365">
        <w:rPr>
          <w:lang w:val="en-GB"/>
        </w:rPr>
        <w:t xml:space="preserve"> the contributions of the Technical Panel on Diagnostic Protocols members who had left in 2025:</w:t>
      </w:r>
    </w:p>
    <w:p w14:paraId="54D54CA6" w14:textId="77777777" w:rsidR="001A2904" w:rsidRPr="004A5365" w:rsidRDefault="001A2904" w:rsidP="001A2904">
      <w:pPr>
        <w:pStyle w:val="IPPBullet2"/>
      </w:pPr>
      <w:r w:rsidRPr="004A5365">
        <w:t>Vessela MAVRODIEVA (United States of America), and</w:t>
      </w:r>
    </w:p>
    <w:p w14:paraId="15EA4DAE" w14:textId="77777777" w:rsidR="001A2904" w:rsidRPr="004A5365" w:rsidRDefault="001A2904" w:rsidP="001A2904">
      <w:pPr>
        <w:pStyle w:val="IPPBullet2"/>
      </w:pPr>
      <w:r w:rsidRPr="004A5365">
        <w:t>Yazmin RIVERA (United States of America</w:t>
      </w:r>
      <w:proofErr w:type="gramStart"/>
      <w:r w:rsidRPr="004A5365">
        <w:t>);</w:t>
      </w:r>
      <w:proofErr w:type="gramEnd"/>
    </w:p>
    <w:p w14:paraId="58B2C9BA" w14:textId="77777777" w:rsidR="001A2904" w:rsidRPr="004A5365" w:rsidRDefault="001A2904" w:rsidP="001A2904">
      <w:pPr>
        <w:pStyle w:val="IPPNumberedList"/>
        <w:rPr>
          <w:lang w:val="en-GB"/>
        </w:rPr>
      </w:pPr>
      <w:r w:rsidRPr="004A5365">
        <w:rPr>
          <w:i/>
          <w:iCs/>
          <w:lang w:val="en-GB"/>
        </w:rPr>
        <w:lastRenderedPageBreak/>
        <w:t>acknowledged</w:t>
      </w:r>
      <w:r w:rsidRPr="004A5365">
        <w:rPr>
          <w:lang w:val="en-GB"/>
        </w:rPr>
        <w:t xml:space="preserve"> the contributions of the Technical Panel on Commodity Standards member who had left in 2025:</w:t>
      </w:r>
    </w:p>
    <w:p w14:paraId="5DF1C347" w14:textId="77777777" w:rsidR="001A2904" w:rsidRPr="004A5365" w:rsidRDefault="001A2904" w:rsidP="001A2904">
      <w:pPr>
        <w:pStyle w:val="IPPBullet2"/>
      </w:pPr>
      <w:r w:rsidRPr="004A5365">
        <w:t>Douglas KERRUISH (Australia</w:t>
      </w:r>
      <w:proofErr w:type="gramStart"/>
      <w:r w:rsidRPr="004A5365">
        <w:t>);</w:t>
      </w:r>
      <w:proofErr w:type="gramEnd"/>
    </w:p>
    <w:p w14:paraId="1EDD6B6A" w14:textId="77777777" w:rsidR="001A2904" w:rsidRPr="004A5365" w:rsidRDefault="001A2904" w:rsidP="001A2904">
      <w:pPr>
        <w:pStyle w:val="IPPNumberedList"/>
        <w:rPr>
          <w:lang w:val="en-GB"/>
        </w:rPr>
      </w:pPr>
      <w:r w:rsidRPr="004A5365">
        <w:rPr>
          <w:i/>
          <w:iCs/>
          <w:lang w:val="en-GB"/>
        </w:rPr>
        <w:t>acknowledged</w:t>
      </w:r>
      <w:r w:rsidRPr="004A5365">
        <w:rPr>
          <w:lang w:val="en-GB"/>
        </w:rPr>
        <w:t xml:space="preserve"> the contributions of the Technical Panel for the Glossary members who had left in 2025:</w:t>
      </w:r>
    </w:p>
    <w:p w14:paraId="2F6E7536" w14:textId="77777777" w:rsidR="001A2904" w:rsidRPr="004A5365" w:rsidRDefault="001A2904" w:rsidP="001A2904">
      <w:pPr>
        <w:pStyle w:val="IPPBullet2"/>
      </w:pPr>
      <w:r w:rsidRPr="004A5365">
        <w:t>Ebbe NORDBO (Denmark), and</w:t>
      </w:r>
    </w:p>
    <w:p w14:paraId="3B9358D5" w14:textId="77777777" w:rsidR="001A2904" w:rsidRPr="004A5365" w:rsidRDefault="001A2904" w:rsidP="001A2904">
      <w:pPr>
        <w:pStyle w:val="IPPBullet2"/>
      </w:pPr>
      <w:r w:rsidRPr="004A5365">
        <w:t>Shaza Roshdy OMAR (Egypt</w:t>
      </w:r>
      <w:proofErr w:type="gramStart"/>
      <w:r w:rsidRPr="004A5365">
        <w:t>);</w:t>
      </w:r>
      <w:proofErr w:type="gramEnd"/>
    </w:p>
    <w:p w14:paraId="1EC3B068" w14:textId="77777777" w:rsidR="001A2904" w:rsidRPr="004A5365" w:rsidRDefault="001A2904" w:rsidP="001A2904">
      <w:pPr>
        <w:pStyle w:val="IPPNumberedList"/>
        <w:rPr>
          <w:lang w:val="en-GB"/>
        </w:rPr>
      </w:pPr>
      <w:r w:rsidRPr="004A5365">
        <w:rPr>
          <w:i/>
          <w:iCs/>
          <w:lang w:val="en-GB"/>
        </w:rPr>
        <w:t>acknowledged</w:t>
      </w:r>
      <w:r w:rsidRPr="004A5365">
        <w:rPr>
          <w:lang w:val="en-GB"/>
        </w:rPr>
        <w:t xml:space="preserve"> the contributions of the Technical Panel on Phytosanitary Treatments members who had left in 2025:</w:t>
      </w:r>
    </w:p>
    <w:p w14:paraId="54535521" w14:textId="77777777" w:rsidR="001A2904" w:rsidRPr="004A5365" w:rsidRDefault="001A2904" w:rsidP="001A2904">
      <w:pPr>
        <w:pStyle w:val="IPPBullet2"/>
      </w:pPr>
      <w:r w:rsidRPr="004A5365">
        <w:t>Toshiyuki DOHINO (Japan), and</w:t>
      </w:r>
    </w:p>
    <w:p w14:paraId="1BF5BA8B" w14:textId="77777777" w:rsidR="001A2904" w:rsidRPr="004A5365" w:rsidRDefault="001A2904" w:rsidP="001A2904">
      <w:pPr>
        <w:pStyle w:val="IPPBullet2"/>
      </w:pPr>
      <w:r w:rsidRPr="004A5365">
        <w:t>Eduardo WILLINK (Argentina</w:t>
      </w:r>
      <w:proofErr w:type="gramStart"/>
      <w:r w:rsidRPr="004A5365">
        <w:t>);</w:t>
      </w:r>
      <w:proofErr w:type="gramEnd"/>
    </w:p>
    <w:p w14:paraId="3D021B05" w14:textId="77777777" w:rsidR="001A2904" w:rsidRPr="004A5365" w:rsidRDefault="001A2904" w:rsidP="001A2904">
      <w:pPr>
        <w:pStyle w:val="IPPNumberedList"/>
        <w:rPr>
          <w:lang w:val="en-GB"/>
        </w:rPr>
      </w:pPr>
      <w:r w:rsidRPr="004A5365">
        <w:rPr>
          <w:i/>
          <w:iCs/>
          <w:lang w:val="en-GB"/>
        </w:rPr>
        <w:t>approved</w:t>
      </w:r>
      <w:r w:rsidRPr="004A5365">
        <w:rPr>
          <w:lang w:val="en-GB"/>
        </w:rPr>
        <w:t xml:space="preserve"> the revision of the SC terms of reference to change “IC member may attend as an observer” to “IC representative attends as an observer”; and</w:t>
      </w:r>
    </w:p>
    <w:p w14:paraId="14D37552" w14:textId="77777777" w:rsidR="001A2904" w:rsidRPr="004A5365" w:rsidRDefault="001A2904" w:rsidP="001A2904">
      <w:pPr>
        <w:pStyle w:val="IPPNumberedListLast"/>
      </w:pPr>
      <w:r w:rsidRPr="004A5365">
        <w:rPr>
          <w:i/>
          <w:iCs/>
        </w:rPr>
        <w:t>encouraged</w:t>
      </w:r>
      <w:r w:rsidRPr="004A5365">
        <w:t xml:space="preserve"> contracting parties to submit pests and measures for inclusion in draft annexes to ISPM 46 (</w:t>
      </w:r>
      <w:r w:rsidRPr="004A5365">
        <w:rPr>
          <w:i/>
          <w:iCs/>
        </w:rPr>
        <w:t>Commodity-specific standards for phytosanitary measures</w:t>
      </w:r>
      <w:r w:rsidRPr="004A5365">
        <w:t>) during the call for information, with any additional pests and measures being proposed during the first consultation.</w:t>
      </w:r>
    </w:p>
    <w:p w14:paraId="0F4890DA" w14:textId="77777777" w:rsidR="001A2904" w:rsidRDefault="001A2904" w:rsidP="001A2904">
      <w:pPr>
        <w:pStyle w:val="IPPParagraphnumbering"/>
      </w:pPr>
      <w:r w:rsidRPr="004A5365">
        <w:rPr>
          <w:highlight w:val="yellow"/>
        </w:rPr>
        <w:t>[</w:t>
      </w:r>
      <w:r w:rsidRPr="004A5365">
        <w:rPr>
          <w:i/>
          <w:iCs/>
          <w:highlight w:val="yellow"/>
        </w:rPr>
        <w:t>Note (to be deleted upon adoption of report): decision acknowledging SC members who left in 2025 is under agenda item 23 for consistency with decision acknowledging IC members.</w:t>
      </w:r>
      <w:r w:rsidRPr="004A5365">
        <w:rPr>
          <w:highlight w:val="yellow"/>
        </w:rPr>
        <w:t>]</w:t>
      </w:r>
      <w:r w:rsidRPr="00F07279">
        <w:t xml:space="preserve"> </w:t>
      </w:r>
    </w:p>
    <w:p w14:paraId="6DE9A84D" w14:textId="77777777" w:rsidR="001A2904" w:rsidRPr="004A5365" w:rsidRDefault="001A2904" w:rsidP="001A2904">
      <w:pPr>
        <w:pStyle w:val="IPPHeading3"/>
      </w:pPr>
      <w:r w:rsidRPr="004A5365">
        <w:t>9.1.1</w:t>
      </w:r>
      <w:r w:rsidRPr="004A5365">
        <w:tab/>
        <w:t>List of topics for IPPC standards</w:t>
      </w:r>
    </w:p>
    <w:p w14:paraId="37EA7926" w14:textId="77777777" w:rsidR="001A2904" w:rsidRPr="00E26B1C" w:rsidRDefault="001A2904" w:rsidP="001A2904">
      <w:pPr>
        <w:pStyle w:val="IPPParagraphnumbering"/>
        <w:rPr>
          <w:lang w:val="en-GB"/>
        </w:rPr>
      </w:pPr>
      <w:r w:rsidRPr="00934CCD">
        <w:rPr>
          <w:lang w:val="en-GB"/>
        </w:rPr>
        <w:t xml:space="preserve">The SC chairperson presented a paper on changes to the </w:t>
      </w:r>
      <w:r w:rsidRPr="00934CCD">
        <w:rPr>
          <w:i/>
          <w:iCs/>
          <w:lang w:val="en-GB"/>
        </w:rPr>
        <w:t>List of topics for IPPC standards</w:t>
      </w:r>
      <w:r w:rsidRPr="00934CCD">
        <w:rPr>
          <w:lang w:val="en-GB"/>
        </w:rPr>
        <w:t>.</w:t>
      </w:r>
      <w:r w:rsidRPr="00934CCD">
        <w:rPr>
          <w:rStyle w:val="FootnoteReference"/>
          <w:lang w:val="en-GB"/>
        </w:rPr>
        <w:footnoteReference w:id="13"/>
      </w:r>
      <w:r w:rsidRPr="00934CCD">
        <w:rPr>
          <w:lang w:val="en-GB"/>
        </w:rPr>
        <w:t xml:space="preserve"> </w:t>
      </w:r>
      <w:r w:rsidRPr="00E26B1C">
        <w:rPr>
          <w:lang w:val="en-GB"/>
        </w:rPr>
        <w:t xml:space="preserve">This listed the modifications to subjects (glossary terms, DPs and phytosanitary treatments (PTs)) that had been made by the SC. It also outlined further changes to the </w:t>
      </w:r>
      <w:r w:rsidRPr="00E26B1C">
        <w:rPr>
          <w:i/>
          <w:iCs/>
          <w:lang w:val="en-GB"/>
        </w:rPr>
        <w:t>List of topics for IPPC standards</w:t>
      </w:r>
      <w:r w:rsidRPr="00E26B1C">
        <w:rPr>
          <w:lang w:val="en-GB"/>
        </w:rPr>
        <w:t xml:space="preserve"> recommended by the SC, including the SC’s recommendations on submissions from the ongoing Call for Topics: Standards and Implementation.</w:t>
      </w:r>
    </w:p>
    <w:p w14:paraId="3936854A" w14:textId="77777777" w:rsidR="001A2904" w:rsidRPr="00934CCD" w:rsidRDefault="001A2904" w:rsidP="001A2904">
      <w:pPr>
        <w:pStyle w:val="IPPParagraphnumbering"/>
        <w:rPr>
          <w:lang w:val="en-GB"/>
        </w:rPr>
      </w:pPr>
      <w:r>
        <w:rPr>
          <w:lang w:val="en-GB"/>
        </w:rPr>
        <w:t xml:space="preserve">The CPM considered the SC’s proposal to </w:t>
      </w:r>
      <w:r w:rsidRPr="00934CCD">
        <w:rPr>
          <w:lang w:val="en-GB"/>
        </w:rPr>
        <w:t xml:space="preserve">remove the pending status of the topic </w:t>
      </w:r>
      <w:r w:rsidRPr="00934CCD">
        <w:rPr>
          <w:i/>
          <w:iCs/>
          <w:lang w:val="en-GB"/>
        </w:rPr>
        <w:t>Minimizing pest movement by air containers and aircraft</w:t>
      </w:r>
      <w:r w:rsidRPr="00934CCD">
        <w:rPr>
          <w:lang w:val="en-GB"/>
        </w:rPr>
        <w:t xml:space="preserve"> (2008-002) and assign it priority 2</w:t>
      </w:r>
      <w:r>
        <w:rPr>
          <w:lang w:val="en-GB"/>
        </w:rPr>
        <w:t>. However, the CPM agreed to leave the status unchanged until the work on sea containers was more advanced, as development of the two topics was linked.</w:t>
      </w:r>
      <w:r w:rsidRPr="00934CCD">
        <w:rPr>
          <w:rStyle w:val="FootnoteReference"/>
          <w:lang w:val="en-GB"/>
        </w:rPr>
        <w:footnoteReference w:id="14"/>
      </w:r>
      <w:r w:rsidRPr="00934CCD">
        <w:rPr>
          <w:lang w:val="en-GB"/>
        </w:rPr>
        <w:t xml:space="preserve"> </w:t>
      </w:r>
    </w:p>
    <w:p w14:paraId="7BA44397" w14:textId="77777777" w:rsidR="001A2904" w:rsidRPr="004A5365" w:rsidRDefault="001A2904" w:rsidP="001A2904">
      <w:pPr>
        <w:pStyle w:val="IPPParagraphnumberingclose"/>
        <w:rPr>
          <w:lang w:val="en-GB"/>
        </w:rPr>
      </w:pPr>
      <w:r w:rsidRPr="004A5365">
        <w:rPr>
          <w:lang w:val="en-GB"/>
        </w:rPr>
        <w:t>The CPM:</w:t>
      </w:r>
      <w:r>
        <w:rPr>
          <w:lang w:val="en-GB"/>
        </w:rPr>
        <w:t xml:space="preserve"> </w:t>
      </w:r>
    </w:p>
    <w:p w14:paraId="67C204A5" w14:textId="75377315" w:rsidR="001A2904" w:rsidRPr="004A5365" w:rsidRDefault="001A2904" w:rsidP="001A2904">
      <w:pPr>
        <w:pStyle w:val="IPPNumberedList"/>
        <w:numPr>
          <w:ilvl w:val="0"/>
          <w:numId w:val="34"/>
        </w:numPr>
        <w:rPr>
          <w:lang w:val="en-GB"/>
        </w:rPr>
      </w:pPr>
      <w:r w:rsidRPr="004A5365">
        <w:rPr>
          <w:i/>
          <w:iCs/>
          <w:lang w:val="en-GB"/>
        </w:rPr>
        <w:t>noted</w:t>
      </w:r>
      <w:r w:rsidRPr="004A5365">
        <w:rPr>
          <w:lang w:val="en-GB"/>
        </w:rPr>
        <w:t xml:space="preserve"> the adjustments to subjects made by the SC in the </w:t>
      </w:r>
      <w:r w:rsidRPr="004A5365">
        <w:rPr>
          <w:i/>
          <w:iCs/>
          <w:lang w:val="en-GB"/>
        </w:rPr>
        <w:t>List of topics for IPPC standards</w:t>
      </w:r>
      <w:r>
        <w:rPr>
          <w:i/>
          <w:iCs/>
          <w:lang w:val="en-GB"/>
        </w:rPr>
        <w:t xml:space="preserve"> </w:t>
      </w:r>
      <w:r>
        <w:rPr>
          <w:lang w:val="en-GB"/>
        </w:rPr>
        <w:t>(as presented in CPM 2026/</w:t>
      </w:r>
      <w:r w:rsidR="00CC5B30">
        <w:rPr>
          <w:lang w:val="en-GB"/>
        </w:rPr>
        <w:t>0</w:t>
      </w:r>
      <w:r>
        <w:rPr>
          <w:lang w:val="en-GB"/>
        </w:rPr>
        <w:t>7</w:t>
      </w:r>
      <w:proofErr w:type="gramStart"/>
      <w:r>
        <w:rPr>
          <w:lang w:val="en-GB"/>
        </w:rPr>
        <w:t>);</w:t>
      </w:r>
      <w:proofErr w:type="gramEnd"/>
    </w:p>
    <w:p w14:paraId="19391379" w14:textId="77777777" w:rsidR="001A2904" w:rsidRPr="00147AAE" w:rsidRDefault="001A2904" w:rsidP="001A2904">
      <w:pPr>
        <w:pStyle w:val="IPPNumberedList"/>
        <w:rPr>
          <w:lang w:val="en-GB"/>
        </w:rPr>
      </w:pPr>
      <w:r w:rsidRPr="00147AAE">
        <w:rPr>
          <w:i/>
          <w:iCs/>
          <w:lang w:val="en-GB"/>
        </w:rPr>
        <w:t>added</w:t>
      </w:r>
      <w:r w:rsidRPr="00147AAE">
        <w:rPr>
          <w:lang w:val="en-GB"/>
        </w:rPr>
        <w:t xml:space="preserve"> the focused revision of ISPM 8 (</w:t>
      </w:r>
      <w:r w:rsidRPr="00147AAE">
        <w:rPr>
          <w:i/>
          <w:iCs/>
          <w:lang w:val="en-GB"/>
        </w:rPr>
        <w:t>Determination of pest status in an area</w:t>
      </w:r>
      <w:r w:rsidRPr="00147AAE">
        <w:rPr>
          <w:lang w:val="en-GB"/>
        </w:rPr>
        <w:t xml:space="preserve">) regarding the “pest absent” descriptions to the </w:t>
      </w:r>
      <w:r w:rsidRPr="00147AAE">
        <w:rPr>
          <w:i/>
          <w:iCs/>
          <w:lang w:val="en-GB"/>
        </w:rPr>
        <w:t>List of topics for IPPC standards</w:t>
      </w:r>
      <w:r w:rsidRPr="00147AAE">
        <w:rPr>
          <w:lang w:val="en-GB"/>
        </w:rPr>
        <w:t>, with priority 1, to resolve ambiguity with ISPM 5 (</w:t>
      </w:r>
      <w:r w:rsidRPr="00147AAE">
        <w:rPr>
          <w:i/>
          <w:iCs/>
          <w:lang w:val="en-GB"/>
        </w:rPr>
        <w:t>Glossary of phytosanitary terms</w:t>
      </w:r>
      <w:proofErr w:type="gramStart"/>
      <w:r w:rsidRPr="00147AAE">
        <w:rPr>
          <w:lang w:val="en-GB"/>
        </w:rPr>
        <w:t>);</w:t>
      </w:r>
      <w:proofErr w:type="gramEnd"/>
    </w:p>
    <w:p w14:paraId="3DACC127" w14:textId="77777777" w:rsidR="001A2904" w:rsidRPr="004A5365" w:rsidRDefault="001A2904" w:rsidP="001A2904">
      <w:pPr>
        <w:pStyle w:val="IPPNumberedList"/>
        <w:rPr>
          <w:lang w:val="en-GB"/>
        </w:rPr>
      </w:pPr>
      <w:r w:rsidRPr="004A5365">
        <w:rPr>
          <w:i/>
          <w:iCs/>
          <w:lang w:val="en-GB"/>
        </w:rPr>
        <w:t>changed</w:t>
      </w:r>
      <w:r w:rsidRPr="004A5365">
        <w:rPr>
          <w:lang w:val="en-GB"/>
        </w:rPr>
        <w:t xml:space="preserve"> the priority for the revision of ISPM 23 (</w:t>
      </w:r>
      <w:r w:rsidRPr="004A5365">
        <w:rPr>
          <w:i/>
          <w:iCs/>
          <w:lang w:val="en-GB"/>
        </w:rPr>
        <w:t>Guidelines for inspection</w:t>
      </w:r>
      <w:r w:rsidRPr="004A5365">
        <w:rPr>
          <w:lang w:val="en-GB"/>
        </w:rPr>
        <w:t>) (2023-014) from priority 2 to priority </w:t>
      </w:r>
      <w:proofErr w:type="gramStart"/>
      <w:r w:rsidRPr="004A5365">
        <w:rPr>
          <w:lang w:val="en-GB"/>
        </w:rPr>
        <w:t>1;</w:t>
      </w:r>
      <w:proofErr w:type="gramEnd"/>
    </w:p>
    <w:p w14:paraId="277AD7DA" w14:textId="77777777" w:rsidR="001A2904" w:rsidRPr="004A5365" w:rsidRDefault="001A2904" w:rsidP="001A2904">
      <w:pPr>
        <w:pStyle w:val="IPPNumberedList"/>
        <w:rPr>
          <w:lang w:val="en-GB"/>
        </w:rPr>
      </w:pPr>
      <w:r w:rsidRPr="004A5365">
        <w:rPr>
          <w:i/>
          <w:iCs/>
          <w:lang w:val="en-GB"/>
        </w:rPr>
        <w:t>added</w:t>
      </w:r>
      <w:r w:rsidRPr="004A5365">
        <w:rPr>
          <w:lang w:val="en-GB"/>
        </w:rPr>
        <w:t xml:space="preserve"> the topic Revision of ISPM 3 (</w:t>
      </w:r>
      <w:r w:rsidRPr="004A5365">
        <w:rPr>
          <w:i/>
          <w:iCs/>
          <w:lang w:val="en-GB"/>
        </w:rPr>
        <w:t>Guidelines for the export, shipment, import and release of biological control agents and other beneficial organisms</w:t>
      </w:r>
      <w:r w:rsidRPr="004A5365">
        <w:rPr>
          <w:lang w:val="en-GB"/>
        </w:rPr>
        <w:t xml:space="preserve">) (2025-010), priority 1, to the </w:t>
      </w:r>
      <w:r w:rsidRPr="004A5365">
        <w:rPr>
          <w:i/>
          <w:iCs/>
          <w:lang w:val="en-GB"/>
        </w:rPr>
        <w:t xml:space="preserve">List of topics for IPPC </w:t>
      </w:r>
      <w:proofErr w:type="gramStart"/>
      <w:r w:rsidRPr="004A5365">
        <w:rPr>
          <w:i/>
          <w:iCs/>
          <w:lang w:val="en-GB"/>
        </w:rPr>
        <w:t>standards</w:t>
      </w:r>
      <w:r w:rsidRPr="004A5365">
        <w:rPr>
          <w:lang w:val="en-GB"/>
        </w:rPr>
        <w:t>;</w:t>
      </w:r>
      <w:proofErr w:type="gramEnd"/>
    </w:p>
    <w:p w14:paraId="2EB78224" w14:textId="77777777" w:rsidR="001A2904" w:rsidRPr="004A5365" w:rsidRDefault="001A2904" w:rsidP="001A2904">
      <w:pPr>
        <w:pStyle w:val="IPPNumberedList"/>
        <w:rPr>
          <w:lang w:val="en-GB"/>
        </w:rPr>
      </w:pPr>
      <w:r w:rsidRPr="004A5365">
        <w:rPr>
          <w:i/>
          <w:iCs/>
          <w:lang w:val="en-GB"/>
        </w:rPr>
        <w:t>adopted</w:t>
      </w:r>
      <w:r w:rsidRPr="004A5365">
        <w:rPr>
          <w:lang w:val="en-GB"/>
        </w:rPr>
        <w:t xml:space="preserve"> the </w:t>
      </w:r>
      <w:r w:rsidRPr="004A5365">
        <w:rPr>
          <w:i/>
          <w:iCs/>
          <w:lang w:val="en-GB"/>
        </w:rPr>
        <w:t>List of topics for IPPC standards</w:t>
      </w:r>
      <w:r w:rsidRPr="004A5365">
        <w:rPr>
          <w:lang w:val="en-GB"/>
        </w:rPr>
        <w:t>, with the above adjustments; and</w:t>
      </w:r>
    </w:p>
    <w:p w14:paraId="51085E8B" w14:textId="77777777" w:rsidR="001A2904" w:rsidRPr="004A5365" w:rsidRDefault="001A2904" w:rsidP="001A2904">
      <w:pPr>
        <w:pStyle w:val="IPPNumberedListLast"/>
      </w:pPr>
      <w:r w:rsidRPr="004A5365">
        <w:rPr>
          <w:i/>
          <w:iCs/>
        </w:rPr>
        <w:t>requested</w:t>
      </w:r>
      <w:r w:rsidRPr="004A5365">
        <w:t xml:space="preserve"> that the secretariat update the list of topics database on the International Phytosanitary Portal (IPP), according to the decisions made by CPM-20 (2026).</w:t>
      </w:r>
    </w:p>
    <w:p w14:paraId="2E879FE5" w14:textId="77777777" w:rsidR="001A2904" w:rsidRPr="004A5365" w:rsidRDefault="001A2904" w:rsidP="001A2904">
      <w:pPr>
        <w:pStyle w:val="IPPHeading2"/>
      </w:pPr>
      <w:r>
        <w:lastRenderedPageBreak/>
        <w:t>9.2</w:t>
      </w:r>
      <w:r>
        <w:tab/>
        <w:t>Report from the Implementation and Capacity Development Committee</w:t>
      </w:r>
    </w:p>
    <w:p w14:paraId="240DDF7F" w14:textId="77777777" w:rsidR="001A2904" w:rsidRPr="00B8039B" w:rsidRDefault="001A2904" w:rsidP="001A2904">
      <w:pPr>
        <w:pStyle w:val="IPPParagraphnumbering"/>
        <w:rPr>
          <w:lang w:val="en-GB"/>
        </w:rPr>
      </w:pPr>
      <w:r w:rsidRPr="00B8039B">
        <w:rPr>
          <w:lang w:val="en-GB"/>
        </w:rPr>
        <w:t xml:space="preserve">The </w:t>
      </w:r>
      <w:r>
        <w:rPr>
          <w:lang w:val="en-GB"/>
        </w:rPr>
        <w:t xml:space="preserve">IC </w:t>
      </w:r>
      <w:r w:rsidRPr="00B8039B">
        <w:rPr>
          <w:lang w:val="en-GB"/>
        </w:rPr>
        <w:t>chairperson presented an overview of implementation and capacity development activities during 2025</w:t>
      </w:r>
      <w:r>
        <w:rPr>
          <w:lang w:val="en-GB"/>
        </w:rPr>
        <w:t>.</w:t>
      </w:r>
      <w:r w:rsidRPr="00B8039B">
        <w:rPr>
          <w:rStyle w:val="FootnoteReference"/>
          <w:lang w:val="en-GB"/>
        </w:rPr>
        <w:footnoteReference w:id="15"/>
      </w:r>
      <w:r w:rsidRPr="00B8039B">
        <w:rPr>
          <w:lang w:val="en-GB"/>
        </w:rPr>
        <w:t xml:space="preserve"> He explained that the IC </w:t>
      </w:r>
      <w:r>
        <w:rPr>
          <w:lang w:val="en-GB"/>
        </w:rPr>
        <w:t xml:space="preserve">and the Implementation and Facilitation Unit of the secretariat </w:t>
      </w:r>
      <w:r w:rsidRPr="00B8039B">
        <w:rPr>
          <w:lang w:val="en-GB"/>
        </w:rPr>
        <w:t xml:space="preserve">had contributed to the advancement of five </w:t>
      </w:r>
      <w:r>
        <w:rPr>
          <w:lang w:val="en-GB"/>
        </w:rPr>
        <w:t>development-agenda items (</w:t>
      </w:r>
      <w:r w:rsidRPr="00B8039B">
        <w:rPr>
          <w:lang w:val="en-GB"/>
        </w:rPr>
        <w:t>DAIs</w:t>
      </w:r>
      <w:r>
        <w:rPr>
          <w:lang w:val="en-GB"/>
        </w:rPr>
        <w:t xml:space="preserve">) of the IPPC Strategic Framework 2020–2030, held an </w:t>
      </w:r>
      <w:r w:rsidRPr="00B8039B">
        <w:rPr>
          <w:lang w:val="en-GB"/>
        </w:rPr>
        <w:t xml:space="preserve">open webinar </w:t>
      </w:r>
      <w:r>
        <w:rPr>
          <w:lang w:val="en-GB"/>
        </w:rPr>
        <w:t xml:space="preserve">dedicated to the use of new technology in plant protection, and </w:t>
      </w:r>
      <w:r w:rsidRPr="00C55B7B">
        <w:rPr>
          <w:lang w:val="en-GB"/>
        </w:rPr>
        <w:t>consolidat</w:t>
      </w:r>
      <w:r>
        <w:rPr>
          <w:lang w:val="en-GB"/>
        </w:rPr>
        <w:t xml:space="preserve">ed </w:t>
      </w:r>
      <w:r w:rsidRPr="00C55B7B">
        <w:rPr>
          <w:lang w:val="en-GB"/>
        </w:rPr>
        <w:t>phytosanitary capacity evaluation (PCE) as a driver of investment and institutional strengthening</w:t>
      </w:r>
      <w:r>
        <w:rPr>
          <w:lang w:val="en-GB"/>
        </w:rPr>
        <w:t xml:space="preserve">. They had also expanded the </w:t>
      </w:r>
      <w:r w:rsidRPr="00B8039B">
        <w:rPr>
          <w:lang w:val="en-GB"/>
        </w:rPr>
        <w:t>IPPC Observatory</w:t>
      </w:r>
      <w:r>
        <w:rPr>
          <w:lang w:val="en-GB"/>
        </w:rPr>
        <w:t>’s</w:t>
      </w:r>
      <w:r w:rsidRPr="00B8039B">
        <w:rPr>
          <w:lang w:val="en-GB"/>
        </w:rPr>
        <w:t xml:space="preserve"> </w:t>
      </w:r>
      <w:r>
        <w:rPr>
          <w:lang w:val="en-GB"/>
        </w:rPr>
        <w:t xml:space="preserve">work programme and added new online courses to the Plant Health Campus. The IC chairperson reported that the IC </w:t>
      </w:r>
      <w:r w:rsidRPr="00B8039B">
        <w:rPr>
          <w:lang w:val="en-GB"/>
        </w:rPr>
        <w:t>had contributed to the SPG discussions on rethinking ISPMs</w:t>
      </w:r>
      <w:r>
        <w:rPr>
          <w:lang w:val="en-GB"/>
        </w:rPr>
        <w:t xml:space="preserve"> and had worked with the SC to ensure that implementation materials were more accessible on the International Phytosanitary Portal (IPP)</w:t>
      </w:r>
      <w:r w:rsidRPr="00B8039B">
        <w:rPr>
          <w:lang w:val="en-GB"/>
        </w:rPr>
        <w:t xml:space="preserve">. He also highlighted two key recommendations from the IC to the CPM: to secure predictable and sustainable funding for essential implementation activities that are underfunded (as recommended by CPM-19 (2025)) and to create three additional regular-funded positions within the secretariat. </w:t>
      </w:r>
    </w:p>
    <w:p w14:paraId="4343D3AB" w14:textId="77777777" w:rsidR="001A2904" w:rsidRPr="00732723" w:rsidRDefault="001A2904" w:rsidP="001A2904">
      <w:pPr>
        <w:pStyle w:val="IPPParagraphnumbering"/>
        <w:rPr>
          <w:lang w:val="en-GB"/>
        </w:rPr>
      </w:pPr>
      <w:r w:rsidRPr="00732723">
        <w:rPr>
          <w:lang w:val="en-GB"/>
        </w:rPr>
        <w:t>The CPM noted suggestions made about ways to improve collaboration between the SC and IC</w:t>
      </w:r>
      <w:r>
        <w:rPr>
          <w:lang w:val="en-GB"/>
        </w:rPr>
        <w:t xml:space="preserve">, ensuring </w:t>
      </w:r>
      <w:r w:rsidRPr="00732723">
        <w:rPr>
          <w:lang w:val="en-GB"/>
        </w:rPr>
        <w:t>that standards and supporting guidance material are developed in tandem.</w:t>
      </w:r>
      <w:r w:rsidRPr="004A0CEF">
        <w:rPr>
          <w:rStyle w:val="FootnoteReference"/>
          <w:lang w:val="en-GB"/>
        </w:rPr>
        <w:footnoteReference w:id="16"/>
      </w:r>
      <w:r w:rsidRPr="00732723">
        <w:rPr>
          <w:lang w:val="en-GB"/>
        </w:rPr>
        <w:t xml:space="preserve"> The CPM also noted a request for more simulation exercises for emergencies responses and </w:t>
      </w:r>
      <w:r>
        <w:rPr>
          <w:lang w:val="en-GB"/>
        </w:rPr>
        <w:t xml:space="preserve">recognized </w:t>
      </w:r>
      <w:r w:rsidRPr="00732723">
        <w:rPr>
          <w:lang w:val="en-GB"/>
        </w:rPr>
        <w:t xml:space="preserve">that any changes to regular-funded positions </w:t>
      </w:r>
      <w:r>
        <w:rPr>
          <w:lang w:val="en-GB"/>
        </w:rPr>
        <w:t xml:space="preserve">within the secretariat </w:t>
      </w:r>
      <w:r w:rsidRPr="00732723">
        <w:rPr>
          <w:lang w:val="en-GB"/>
        </w:rPr>
        <w:t>would need careful consideration</w:t>
      </w:r>
      <w:r>
        <w:rPr>
          <w:lang w:val="en-GB"/>
        </w:rPr>
        <w:t xml:space="preserve"> of the implications for other areas of the secretariat’s work</w:t>
      </w:r>
      <w:r w:rsidRPr="00732723">
        <w:rPr>
          <w:lang w:val="en-GB"/>
        </w:rPr>
        <w:t>.</w:t>
      </w:r>
    </w:p>
    <w:p w14:paraId="1C1C1A5E" w14:textId="77777777" w:rsidR="001A2904" w:rsidRPr="004A5365" w:rsidRDefault="001A2904" w:rsidP="001A2904">
      <w:pPr>
        <w:pStyle w:val="IPPParagraphnumberingclose"/>
        <w:rPr>
          <w:lang w:val="en-GB"/>
        </w:rPr>
      </w:pPr>
      <w:r w:rsidRPr="004A5365">
        <w:rPr>
          <w:lang w:val="en-GB"/>
        </w:rPr>
        <w:t xml:space="preserve">The CPM: </w:t>
      </w:r>
    </w:p>
    <w:p w14:paraId="7D2C5A6B" w14:textId="77777777" w:rsidR="001A2904" w:rsidRPr="004A5365" w:rsidRDefault="001A2904" w:rsidP="001A2904">
      <w:pPr>
        <w:pStyle w:val="IPPNumberedList"/>
        <w:numPr>
          <w:ilvl w:val="0"/>
          <w:numId w:val="35"/>
        </w:numPr>
        <w:rPr>
          <w:lang w:val="en-GB"/>
        </w:rPr>
      </w:pPr>
      <w:r w:rsidRPr="004A5365">
        <w:rPr>
          <w:i/>
          <w:iCs/>
          <w:lang w:val="en-GB"/>
        </w:rPr>
        <w:t>noted</w:t>
      </w:r>
      <w:r w:rsidRPr="004A5365">
        <w:rPr>
          <w:lang w:val="en-GB"/>
        </w:rPr>
        <w:t xml:space="preserve"> the work of the IC in 2025, the activities of the IC Subgroup on the IPPC Observatory, and the activities of the IC teams on e-commerce, Fusarium TR4, authorization of third-party entities, review of implementation topics, national reporting obligations (NROs), PCE, projects, and contributed </w:t>
      </w:r>
      <w:proofErr w:type="gramStart"/>
      <w:r w:rsidRPr="004A5365">
        <w:rPr>
          <w:lang w:val="en-GB"/>
        </w:rPr>
        <w:t>resources;</w:t>
      </w:r>
      <w:proofErr w:type="gramEnd"/>
    </w:p>
    <w:p w14:paraId="2995A5A5" w14:textId="77777777" w:rsidR="001A2904" w:rsidRPr="004A5365" w:rsidRDefault="001A2904" w:rsidP="001A2904">
      <w:pPr>
        <w:pStyle w:val="IPPNumberedList"/>
        <w:rPr>
          <w:lang w:val="en-GB"/>
        </w:rPr>
      </w:pPr>
      <w:r w:rsidRPr="004A5365">
        <w:rPr>
          <w:i/>
          <w:iCs/>
          <w:lang w:val="en-GB"/>
        </w:rPr>
        <w:t>noted</w:t>
      </w:r>
      <w:r w:rsidRPr="004A5365">
        <w:rPr>
          <w:lang w:val="en-GB"/>
        </w:rPr>
        <w:t xml:space="preserve"> the CPM-19 (2025) decision </w:t>
      </w:r>
      <w:r w:rsidRPr="004A5365">
        <w:rPr>
          <w:i/>
          <w:iCs/>
          <w:lang w:val="en-GB"/>
        </w:rPr>
        <w:t>requesting</w:t>
      </w:r>
      <w:r w:rsidRPr="004A5365">
        <w:rPr>
          <w:lang w:val="en-GB"/>
        </w:rPr>
        <w:t xml:space="preserve"> that the IPPC secretary, with the advice and guidance of the Financial Committee or bureau, consider the establishment of three additional regular-funded positions for the Implementation and Facilitation Unit, especially for the development of guides and training materials, in order for the team to deliver its core mandate, as recommended in the 2014 IPPC Secretariat enhancement evaluation;</w:t>
      </w:r>
    </w:p>
    <w:p w14:paraId="6D007EA2" w14:textId="77777777" w:rsidR="001A2904" w:rsidRPr="004A5365" w:rsidRDefault="001A2904" w:rsidP="001A2904">
      <w:pPr>
        <w:pStyle w:val="IPPNumberedList"/>
        <w:rPr>
          <w:lang w:val="en-GB"/>
        </w:rPr>
      </w:pPr>
      <w:r w:rsidRPr="004A5365">
        <w:rPr>
          <w:i/>
          <w:iCs/>
          <w:lang w:val="en-GB"/>
        </w:rPr>
        <w:t>noted</w:t>
      </w:r>
      <w:r w:rsidRPr="004A5365">
        <w:rPr>
          <w:lang w:val="en-GB"/>
        </w:rPr>
        <w:t xml:space="preserve"> the CPM-19 (2025) decision </w:t>
      </w:r>
      <w:r w:rsidRPr="004A5365">
        <w:rPr>
          <w:i/>
          <w:iCs/>
          <w:lang w:val="en-GB"/>
        </w:rPr>
        <w:t>requesting</w:t>
      </w:r>
      <w:r w:rsidRPr="004A5365">
        <w:rPr>
          <w:lang w:val="en-GB"/>
        </w:rPr>
        <w:t xml:space="preserve"> that the IPPC secretary, with the advice and guidance of the Financial Committee or bureau, consider the proposed provision of adequate financial resources for core and priority IPPC activities that are unfunded or underfunded – USD 50 000 per year for NROs, USD 50 000 per year for PCE, USD 50 000 per year for the Pest Outbreak Alert and Response System (POARS), USD 50 000 per year for the IPPC Observatory, and USD 50 000 per year for the development of guides and training materials;</w:t>
      </w:r>
    </w:p>
    <w:p w14:paraId="470708EF" w14:textId="77777777" w:rsidR="001A2904" w:rsidRPr="004A5365" w:rsidRDefault="001A2904" w:rsidP="001A2904">
      <w:pPr>
        <w:pStyle w:val="IPPNumberedList"/>
        <w:rPr>
          <w:lang w:val="en-GB"/>
        </w:rPr>
      </w:pPr>
      <w:r w:rsidRPr="004A5365">
        <w:rPr>
          <w:i/>
          <w:iCs/>
          <w:lang w:val="en-GB"/>
        </w:rPr>
        <w:t>requested</w:t>
      </w:r>
      <w:r w:rsidRPr="004A5365">
        <w:rPr>
          <w:lang w:val="en-GB"/>
        </w:rPr>
        <w:t xml:space="preserve"> that the IPPC secretary collaborate with the bureau to prioritize the </w:t>
      </w:r>
      <w:proofErr w:type="gramStart"/>
      <w:r w:rsidRPr="004A5365">
        <w:rPr>
          <w:lang w:val="en-GB"/>
        </w:rPr>
        <w:t>aforementioned actions</w:t>
      </w:r>
      <w:proofErr w:type="gramEnd"/>
      <w:r w:rsidRPr="004A5365">
        <w:rPr>
          <w:lang w:val="en-GB"/>
        </w:rPr>
        <w:t xml:space="preserve"> and activities in 2026, and </w:t>
      </w:r>
      <w:r w:rsidRPr="004A5365">
        <w:rPr>
          <w:i/>
          <w:iCs/>
          <w:lang w:val="en-GB"/>
        </w:rPr>
        <w:t>encouraged</w:t>
      </w:r>
      <w:r w:rsidRPr="004A5365">
        <w:rPr>
          <w:lang w:val="en-GB"/>
        </w:rPr>
        <w:t xml:space="preserve"> contracting parties and partners to provide financial support and in-kind contributions to support implementation and capacity development </w:t>
      </w:r>
      <w:proofErr w:type="gramStart"/>
      <w:r w:rsidRPr="004A5365">
        <w:rPr>
          <w:lang w:val="en-GB"/>
        </w:rPr>
        <w:t>activities;</w:t>
      </w:r>
      <w:proofErr w:type="gramEnd"/>
    </w:p>
    <w:p w14:paraId="73EE8ADE" w14:textId="77777777" w:rsidR="001A2904" w:rsidRPr="004A5365" w:rsidRDefault="001A2904" w:rsidP="001A2904">
      <w:pPr>
        <w:pStyle w:val="IPPNumberedList"/>
        <w:rPr>
          <w:lang w:val="en-GB"/>
        </w:rPr>
      </w:pPr>
      <w:r w:rsidRPr="004A5365">
        <w:rPr>
          <w:i/>
          <w:iCs/>
          <w:lang w:val="en-GB"/>
        </w:rPr>
        <w:t>thanked</w:t>
      </w:r>
      <w:r w:rsidRPr="004A5365">
        <w:rPr>
          <w:lang w:val="en-GB"/>
        </w:rPr>
        <w:t xml:space="preserve"> the experts involved in the development of the IPPC guides and training materials (Appendix X) following their outstanding contributions; and</w:t>
      </w:r>
    </w:p>
    <w:p w14:paraId="215262E2" w14:textId="77777777" w:rsidR="001A2904" w:rsidRPr="004A5365" w:rsidRDefault="001A2904" w:rsidP="001A2904">
      <w:pPr>
        <w:pStyle w:val="IPPNumberedListLast"/>
      </w:pPr>
      <w:r w:rsidRPr="004A5365">
        <w:rPr>
          <w:i/>
          <w:iCs/>
        </w:rPr>
        <w:t>acknowledged</w:t>
      </w:r>
      <w:r w:rsidRPr="004A5365">
        <w:t xml:space="preserve"> the invaluable support provided by partners and proofreaders (Appendix X) in translating the IPPC guides and training materials and verifying the accuracy of the translations.</w:t>
      </w:r>
    </w:p>
    <w:p w14:paraId="70A831DE" w14:textId="77777777" w:rsidR="001A2904" w:rsidRPr="004A5365" w:rsidRDefault="001A2904" w:rsidP="001A2904">
      <w:pPr>
        <w:pStyle w:val="IPPHeading3"/>
      </w:pPr>
      <w:r w:rsidRPr="004A5365">
        <w:lastRenderedPageBreak/>
        <w:t>9.2.1</w:t>
      </w:r>
      <w:r w:rsidRPr="004A5365">
        <w:tab/>
        <w:t>List of topics for Implementation and Capacity Development</w:t>
      </w:r>
    </w:p>
    <w:p w14:paraId="7F8E1392" w14:textId="77777777" w:rsidR="001A2904" w:rsidRPr="00732723" w:rsidRDefault="001A2904" w:rsidP="001A2904">
      <w:pPr>
        <w:pStyle w:val="IPPParagraphnumbering"/>
        <w:rPr>
          <w:lang w:val="en-GB"/>
        </w:rPr>
      </w:pPr>
      <w:r w:rsidRPr="00732723">
        <w:rPr>
          <w:lang w:val="en-GB"/>
        </w:rPr>
        <w:t xml:space="preserve">The IC chairperson presented a paper on the changes made by the IC to the </w:t>
      </w:r>
      <w:r w:rsidRPr="4D369F81">
        <w:rPr>
          <w:i/>
          <w:iCs/>
          <w:lang w:val="en-GB"/>
        </w:rPr>
        <w:t>List of topics for implementation and capacity development</w:t>
      </w:r>
      <w:r w:rsidRPr="00732723">
        <w:rPr>
          <w:lang w:val="en-GB"/>
        </w:rPr>
        <w:t>, including from the IC’s review of submissions and from the ongoing Call for Topics: Standards and Implementation.</w:t>
      </w:r>
      <w:r w:rsidRPr="00732723">
        <w:rPr>
          <w:rStyle w:val="FootnoteReference"/>
          <w:lang w:val="en-GB"/>
        </w:rPr>
        <w:footnoteReference w:id="17"/>
      </w:r>
      <w:r w:rsidRPr="00732723">
        <w:rPr>
          <w:lang w:val="en-GB"/>
        </w:rPr>
        <w:t xml:space="preserve"> </w:t>
      </w:r>
    </w:p>
    <w:p w14:paraId="0891C70C" w14:textId="77777777" w:rsidR="001A2904" w:rsidRDefault="001A2904" w:rsidP="001A2904">
      <w:pPr>
        <w:pStyle w:val="IPPParagraphnumbering"/>
        <w:rPr>
          <w:lang w:val="en-GB"/>
        </w:rPr>
      </w:pPr>
      <w:r w:rsidRPr="4D369F81">
        <w:rPr>
          <w:lang w:val="en-GB"/>
        </w:rPr>
        <w:t xml:space="preserve">The CPM noted that the topic </w:t>
      </w:r>
      <w:r w:rsidRPr="4D369F81">
        <w:rPr>
          <w:i/>
          <w:iCs/>
        </w:rPr>
        <w:t>Fusarium TR4 training courses</w:t>
      </w:r>
      <w:r>
        <w:t xml:space="preserve"> (2023-002) had been removed from the list of topics</w:t>
      </w:r>
      <w:r w:rsidRPr="4D369F81">
        <w:rPr>
          <w:lang w:val="en-GB"/>
        </w:rPr>
        <w:t xml:space="preserve"> because it had been completed, but the materials themselves would remain available.</w:t>
      </w:r>
    </w:p>
    <w:p w14:paraId="5B8DC657" w14:textId="77777777" w:rsidR="001A2904" w:rsidRPr="004A5365" w:rsidRDefault="001A2904" w:rsidP="001A2904">
      <w:pPr>
        <w:pStyle w:val="IPPParagraphnumberingclose"/>
        <w:rPr>
          <w:lang w:val="en-GB"/>
        </w:rPr>
      </w:pPr>
      <w:r w:rsidRPr="004A5365">
        <w:rPr>
          <w:lang w:val="en-GB"/>
        </w:rPr>
        <w:t>The CPM:</w:t>
      </w:r>
      <w:r>
        <w:rPr>
          <w:lang w:val="en-GB"/>
        </w:rPr>
        <w:t xml:space="preserve"> </w:t>
      </w:r>
    </w:p>
    <w:p w14:paraId="68FECD2C" w14:textId="77777777" w:rsidR="001A2904" w:rsidRPr="004A5365" w:rsidRDefault="001A2904" w:rsidP="001A2904">
      <w:pPr>
        <w:pStyle w:val="IPPNumberedList"/>
        <w:numPr>
          <w:ilvl w:val="0"/>
          <w:numId w:val="36"/>
        </w:numPr>
        <w:rPr>
          <w:lang w:val="en-GB"/>
        </w:rPr>
      </w:pPr>
      <w:r w:rsidRPr="004A5365">
        <w:rPr>
          <w:i/>
          <w:iCs/>
          <w:lang w:val="en-GB"/>
        </w:rPr>
        <w:t>noted</w:t>
      </w:r>
      <w:r w:rsidRPr="004A5365">
        <w:rPr>
          <w:lang w:val="en-GB"/>
        </w:rPr>
        <w:t xml:space="preserve"> the update on the IPPC guides and training </w:t>
      </w:r>
      <w:proofErr w:type="gramStart"/>
      <w:r w:rsidRPr="004A5365">
        <w:rPr>
          <w:lang w:val="en-GB"/>
        </w:rPr>
        <w:t>materials;</w:t>
      </w:r>
      <w:proofErr w:type="gramEnd"/>
    </w:p>
    <w:p w14:paraId="1211FB76" w14:textId="77777777" w:rsidR="001A2904" w:rsidRPr="004A5365" w:rsidRDefault="001A2904" w:rsidP="001A2904">
      <w:pPr>
        <w:pStyle w:val="IPPNumberedList"/>
        <w:rPr>
          <w:lang w:val="en-GB"/>
        </w:rPr>
      </w:pPr>
      <w:r w:rsidRPr="56B53E27">
        <w:rPr>
          <w:i/>
          <w:iCs/>
          <w:lang w:val="en-GB"/>
        </w:rPr>
        <w:t>noted</w:t>
      </w:r>
      <w:r w:rsidRPr="56B53E27">
        <w:rPr>
          <w:lang w:val="en-GB"/>
        </w:rPr>
        <w:t xml:space="preserve"> the adjustments made by the IC to the </w:t>
      </w:r>
      <w:r w:rsidRPr="56B53E27">
        <w:rPr>
          <w:i/>
          <w:iCs/>
          <w:lang w:val="en-GB"/>
        </w:rPr>
        <w:t xml:space="preserve">List of implementation and capacity development topics </w:t>
      </w:r>
      <w:r w:rsidRPr="56B53E27">
        <w:rPr>
          <w:lang w:val="en-GB"/>
        </w:rPr>
        <w:t xml:space="preserve">(as presented in CPM 2026/28), </w:t>
      </w:r>
      <w:r w:rsidRPr="56B53E27">
        <w:rPr>
          <w:i/>
          <w:iCs/>
          <w:lang w:val="en-GB"/>
        </w:rPr>
        <w:t>agreeing</w:t>
      </w:r>
      <w:r w:rsidRPr="56B53E27">
        <w:rPr>
          <w:lang w:val="en-GB"/>
        </w:rPr>
        <w:t xml:space="preserve"> to further adjust the priority of </w:t>
      </w:r>
      <w:r>
        <w:t xml:space="preserve">the e-learning course on </w:t>
      </w:r>
      <w:r w:rsidRPr="56B53E27">
        <w:rPr>
          <w:i/>
          <w:iCs/>
        </w:rPr>
        <w:t xml:space="preserve">IPPC </w:t>
      </w:r>
      <w:proofErr w:type="spellStart"/>
      <w:r w:rsidRPr="56B53E27">
        <w:rPr>
          <w:i/>
          <w:iCs/>
        </w:rPr>
        <w:t>ePhyto</w:t>
      </w:r>
      <w:proofErr w:type="spellEnd"/>
      <w:r w:rsidRPr="56B53E27">
        <w:rPr>
          <w:i/>
          <w:iCs/>
        </w:rPr>
        <w:t xml:space="preserve"> Solution implementation training package </w:t>
      </w:r>
      <w:r>
        <w:t>(2026-005)</w:t>
      </w:r>
      <w:r w:rsidRPr="56B53E27">
        <w:rPr>
          <w:rFonts w:eastAsia="Times New Roman"/>
          <w:color w:val="000000" w:themeColor="text1"/>
          <w:szCs w:val="22"/>
        </w:rPr>
        <w:t xml:space="preserve"> </w:t>
      </w:r>
      <w:r>
        <w:t>to priority 1</w:t>
      </w:r>
      <w:r w:rsidRPr="56B53E27">
        <w:rPr>
          <w:lang w:val="en-GB"/>
        </w:rPr>
        <w:t>; and</w:t>
      </w:r>
    </w:p>
    <w:p w14:paraId="56E8959D" w14:textId="77777777" w:rsidR="001A2904" w:rsidRPr="004A5365" w:rsidRDefault="001A2904" w:rsidP="001A2904">
      <w:pPr>
        <w:pStyle w:val="IPPNumberedListLast"/>
      </w:pPr>
      <w:r w:rsidRPr="004A5365">
        <w:t xml:space="preserve">adopted </w:t>
      </w:r>
      <w:r w:rsidRPr="000A4187">
        <w:t>the</w:t>
      </w:r>
      <w:r w:rsidRPr="004A5365">
        <w:t xml:space="preserve"> </w:t>
      </w:r>
      <w:r w:rsidRPr="4D369F81">
        <w:rPr>
          <w:i/>
          <w:iCs/>
          <w:lang w:val="en-GB"/>
        </w:rPr>
        <w:t>List of topics for implementation and capacity development</w:t>
      </w:r>
      <w:r w:rsidRPr="004A5365">
        <w:t xml:space="preserve"> as amended.</w:t>
      </w:r>
    </w:p>
    <w:p w14:paraId="02EDE16F" w14:textId="77777777" w:rsidR="001A2904" w:rsidRPr="004A5365" w:rsidRDefault="001A2904" w:rsidP="001A2904">
      <w:pPr>
        <w:pStyle w:val="IPPHeading2"/>
      </w:pPr>
      <w:r>
        <w:t>9.3</w:t>
      </w:r>
      <w:r>
        <w:tab/>
        <w:t>Recommendations from the SC and IC from the IPPC Call for Topics: Standards and Implementation</w:t>
      </w:r>
    </w:p>
    <w:p w14:paraId="7AEE0A08" w14:textId="77777777" w:rsidR="001A2904" w:rsidRPr="009226FB" w:rsidRDefault="001A2904" w:rsidP="001A2904">
      <w:pPr>
        <w:pStyle w:val="IPPParagraphnumbering"/>
        <w:rPr>
          <w:lang w:val="en-GB"/>
        </w:rPr>
      </w:pPr>
      <w:r w:rsidRPr="009226FB">
        <w:rPr>
          <w:lang w:val="en-GB"/>
        </w:rPr>
        <w:t>The IC chairperson presented a paper</w:t>
      </w:r>
      <w:r>
        <w:rPr>
          <w:lang w:val="en-GB"/>
        </w:rPr>
        <w:t>,</w:t>
      </w:r>
      <w:r w:rsidRPr="009226FB">
        <w:rPr>
          <w:lang w:val="en-GB"/>
        </w:rPr>
        <w:t xml:space="preserve"> on </w:t>
      </w:r>
      <w:r>
        <w:rPr>
          <w:lang w:val="en-GB"/>
        </w:rPr>
        <w:t xml:space="preserve">behalf of himself and the SC chairperson, on </w:t>
      </w:r>
      <w:r w:rsidRPr="009226FB">
        <w:rPr>
          <w:lang w:val="en-GB"/>
        </w:rPr>
        <w:t xml:space="preserve">the ongoing Call for Topics: Standards and </w:t>
      </w:r>
      <w:r w:rsidRPr="009226FB">
        <w:t>Implementation</w:t>
      </w:r>
      <w:r w:rsidRPr="009226FB">
        <w:rPr>
          <w:lang w:val="en-GB"/>
        </w:rPr>
        <w:t>.</w:t>
      </w:r>
      <w:r w:rsidRPr="009226FB">
        <w:rPr>
          <w:rStyle w:val="FootnoteReference"/>
          <w:lang w:val="en-GB"/>
        </w:rPr>
        <w:footnoteReference w:id="18"/>
      </w:r>
      <w:r w:rsidRPr="009226FB">
        <w:rPr>
          <w:lang w:val="en-GB"/>
        </w:rPr>
        <w:t xml:space="preserve"> </w:t>
      </w:r>
      <w:r>
        <w:rPr>
          <w:lang w:val="en-GB"/>
        </w:rPr>
        <w:t xml:space="preserve">He summarized the outcome of the SC’s and IC’s review of the </w:t>
      </w:r>
      <w:r w:rsidRPr="009226FB">
        <w:rPr>
          <w:lang w:val="en-GB"/>
        </w:rPr>
        <w:t xml:space="preserve">submissions received, </w:t>
      </w:r>
      <w:r>
        <w:rPr>
          <w:lang w:val="en-GB"/>
        </w:rPr>
        <w:t xml:space="preserve">the </w:t>
      </w:r>
      <w:r w:rsidRPr="009226FB">
        <w:rPr>
          <w:lang w:val="en-GB"/>
        </w:rPr>
        <w:t xml:space="preserve">outcome </w:t>
      </w:r>
      <w:r>
        <w:rPr>
          <w:lang w:val="en-GB"/>
        </w:rPr>
        <w:t xml:space="preserve">of which is </w:t>
      </w:r>
      <w:r w:rsidRPr="009226FB">
        <w:rPr>
          <w:lang w:val="en-GB"/>
        </w:rPr>
        <w:t>reported under agenda items 9.1 and 9.2 of this meeting.</w:t>
      </w:r>
      <w:r>
        <w:rPr>
          <w:lang w:val="en-GB"/>
        </w:rPr>
        <w:t xml:space="preserve"> He also remarked on the SC’s and IC’s experience of the open call.</w:t>
      </w:r>
    </w:p>
    <w:p w14:paraId="1903C348" w14:textId="77777777" w:rsidR="001A2904" w:rsidRPr="004A5365" w:rsidRDefault="001A2904" w:rsidP="001A2904">
      <w:pPr>
        <w:pStyle w:val="IPPParagraphnumberingclose"/>
        <w:rPr>
          <w:lang w:val="en-GB"/>
        </w:rPr>
      </w:pPr>
      <w:r w:rsidRPr="004A5365">
        <w:rPr>
          <w:lang w:val="en-GB"/>
        </w:rPr>
        <w:t>The CPM:</w:t>
      </w:r>
      <w:r>
        <w:rPr>
          <w:lang w:val="en-GB"/>
        </w:rPr>
        <w:t xml:space="preserve"> </w:t>
      </w:r>
    </w:p>
    <w:p w14:paraId="40675AA0" w14:textId="77777777" w:rsidR="001A2904" w:rsidRPr="004A5365" w:rsidRDefault="001A2904" w:rsidP="001A2904">
      <w:pPr>
        <w:pStyle w:val="IPPNumberedList"/>
        <w:numPr>
          <w:ilvl w:val="0"/>
          <w:numId w:val="37"/>
        </w:numPr>
        <w:rPr>
          <w:lang w:val="en-GB"/>
        </w:rPr>
      </w:pPr>
      <w:r w:rsidRPr="004A5365">
        <w:rPr>
          <w:i/>
          <w:iCs/>
          <w:lang w:val="en-GB"/>
        </w:rPr>
        <w:t>noted</w:t>
      </w:r>
      <w:r w:rsidRPr="004A5365">
        <w:rPr>
          <w:lang w:val="en-GB"/>
        </w:rPr>
        <w:t xml:space="preserve"> the submissions received in response to the ongoing Call for topics: Standards and Implementation up to and including September </w:t>
      </w:r>
      <w:proofErr w:type="gramStart"/>
      <w:r w:rsidRPr="004A5365">
        <w:rPr>
          <w:lang w:val="en-GB"/>
        </w:rPr>
        <w:t>2025;</w:t>
      </w:r>
      <w:proofErr w:type="gramEnd"/>
    </w:p>
    <w:p w14:paraId="580C922D" w14:textId="77777777" w:rsidR="001A2904" w:rsidRPr="004A5365" w:rsidRDefault="001A2904" w:rsidP="001A2904">
      <w:pPr>
        <w:pStyle w:val="IPPNumberedList"/>
        <w:rPr>
          <w:lang w:val="en-GB"/>
        </w:rPr>
      </w:pPr>
      <w:r w:rsidRPr="004A5365">
        <w:rPr>
          <w:i/>
          <w:iCs/>
          <w:lang w:val="en-GB"/>
        </w:rPr>
        <w:t>noted</w:t>
      </w:r>
      <w:r w:rsidRPr="004A5365">
        <w:rPr>
          <w:lang w:val="en-GB"/>
        </w:rPr>
        <w:t xml:space="preserve"> the outcome of the SC’s and IC’s review of the submissions and the resulting decisions taken by the CPM at this meeting under agenda items 9.1 and 9.2; and</w:t>
      </w:r>
    </w:p>
    <w:p w14:paraId="7550B152" w14:textId="77777777" w:rsidR="001A2904" w:rsidRDefault="001A2904" w:rsidP="001A2904">
      <w:pPr>
        <w:pStyle w:val="IPPNumberedListLast"/>
      </w:pPr>
      <w:r w:rsidRPr="004A5365">
        <w:rPr>
          <w:i/>
          <w:iCs/>
        </w:rPr>
        <w:t>encouraged</w:t>
      </w:r>
      <w:r w:rsidRPr="004A5365">
        <w:t xml:space="preserve"> contracting parties and regional plant protection organizations (RPPOs) to actively participate in the ongoing Call for Topics: Standards and Implementation by submitting well-prepared and globally relevant proposals for standards, implementation resources, and IPPC Observatory studies.</w:t>
      </w:r>
    </w:p>
    <w:p w14:paraId="45684EE5" w14:textId="77777777" w:rsidR="000E6892" w:rsidRPr="004A5365" w:rsidRDefault="000E6892" w:rsidP="000E6892">
      <w:pPr>
        <w:pStyle w:val="IPPHeading1"/>
      </w:pPr>
      <w:r>
        <w:t>10.</w:t>
      </w:r>
      <w:r>
        <w:tab/>
        <w:t>Financial report and budget</w:t>
      </w:r>
    </w:p>
    <w:p w14:paraId="4DA78048" w14:textId="77777777" w:rsidR="000E6892" w:rsidRPr="005C660F" w:rsidRDefault="000E6892" w:rsidP="000E6892">
      <w:pPr>
        <w:pStyle w:val="IPPHeading2"/>
      </w:pPr>
      <w:r w:rsidRPr="004A5365">
        <w:t>10.1</w:t>
      </w:r>
      <w:r w:rsidRPr="004A5365">
        <w:tab/>
        <w:t>IPPC Secretariat financial report 2025</w:t>
      </w:r>
    </w:p>
    <w:p w14:paraId="2DF139E0" w14:textId="77777777" w:rsidR="000E6892" w:rsidRPr="00643DDF" w:rsidRDefault="000E6892" w:rsidP="000E6892">
      <w:pPr>
        <w:pStyle w:val="IPPParagraphnumbering"/>
        <w:rPr>
          <w:lang w:val="en-GB"/>
        </w:rPr>
      </w:pPr>
      <w:r w:rsidRPr="00B34060">
        <w:rPr>
          <w:lang w:val="en-GB"/>
        </w:rPr>
        <w:t>The</w:t>
      </w:r>
      <w:r w:rsidRPr="004A5365">
        <w:rPr>
          <w:lang w:val="en-GB"/>
        </w:rPr>
        <w:t xml:space="preserve"> </w:t>
      </w:r>
      <w:r>
        <w:rPr>
          <w:lang w:val="en-GB"/>
        </w:rPr>
        <w:t xml:space="preserve">IPPC </w:t>
      </w:r>
      <w:r w:rsidRPr="004A5365">
        <w:rPr>
          <w:lang w:val="en-GB"/>
        </w:rPr>
        <w:t>secretar</w:t>
      </w:r>
      <w:r>
        <w:rPr>
          <w:lang w:val="en-GB"/>
        </w:rPr>
        <w:t>y</w:t>
      </w:r>
      <w:r w:rsidRPr="004A5365">
        <w:rPr>
          <w:lang w:val="en-GB"/>
        </w:rPr>
        <w:t xml:space="preserve"> presented </w:t>
      </w:r>
      <w:r>
        <w:rPr>
          <w:lang w:val="en-GB"/>
        </w:rPr>
        <w:t>the secretariat’s</w:t>
      </w:r>
      <w:r w:rsidRPr="004A5365">
        <w:rPr>
          <w:lang w:val="en-GB"/>
        </w:rPr>
        <w:t xml:space="preserve"> financial report, detailing the resources that were available in 2025 from the FAO regular-programme </w:t>
      </w:r>
      <w:r w:rsidRPr="004A5365">
        <w:t>budget</w:t>
      </w:r>
      <w:r w:rsidRPr="004A5365">
        <w:rPr>
          <w:lang w:val="en-GB"/>
        </w:rPr>
        <w:t>, extra-budgetary sources and in-kind (non-financial) sources.</w:t>
      </w:r>
      <w:r w:rsidRPr="004A5365">
        <w:rPr>
          <w:rStyle w:val="FootnoteReference"/>
          <w:lang w:val="en-GB"/>
        </w:rPr>
        <w:footnoteReference w:id="19"/>
      </w:r>
      <w:r>
        <w:rPr>
          <w:lang w:val="en-GB"/>
        </w:rPr>
        <w:t xml:space="preserve"> He clarified that </w:t>
      </w:r>
      <w:r w:rsidRPr="00033E7A">
        <w:t xml:space="preserve">some </w:t>
      </w:r>
      <w:r>
        <w:t xml:space="preserve">of the </w:t>
      </w:r>
      <w:r w:rsidRPr="00033E7A">
        <w:t xml:space="preserve">contributions </w:t>
      </w:r>
      <w:r>
        <w:t xml:space="preserve">made </w:t>
      </w:r>
      <w:r w:rsidRPr="00033E7A">
        <w:t>within 2025</w:t>
      </w:r>
      <w:r>
        <w:t xml:space="preserve">, for example for the IPPC </w:t>
      </w:r>
      <w:proofErr w:type="spellStart"/>
      <w:r>
        <w:t>ePhyto</w:t>
      </w:r>
      <w:proofErr w:type="spellEnd"/>
      <w:r>
        <w:t xml:space="preserve"> Solution,</w:t>
      </w:r>
      <w:r w:rsidRPr="00033E7A">
        <w:t xml:space="preserve"> </w:t>
      </w:r>
      <w:r>
        <w:t>we</w:t>
      </w:r>
      <w:r w:rsidRPr="00033E7A">
        <w:t>re not just for 2025 or 2026</w:t>
      </w:r>
      <w:r>
        <w:t xml:space="preserve"> but</w:t>
      </w:r>
      <w:r w:rsidRPr="00033E7A">
        <w:t xml:space="preserve"> </w:t>
      </w:r>
      <w:r>
        <w:t>for a longer period</w:t>
      </w:r>
      <w:r w:rsidRPr="00033E7A">
        <w:t>.</w:t>
      </w:r>
      <w:r>
        <w:t xml:space="preserve"> </w:t>
      </w:r>
      <w:r w:rsidRPr="004E0F06">
        <w:rPr>
          <w:lang w:val="en-GB"/>
        </w:rPr>
        <w:t xml:space="preserve">The secretary acknowledged the increased regular-programme funding from FAO for the 2026–2027 biennium, thanked everyone for their </w:t>
      </w:r>
      <w:r w:rsidRPr="004E0F06">
        <w:t>generosity</w:t>
      </w:r>
      <w:r w:rsidRPr="004E0F06">
        <w:rPr>
          <w:lang w:val="en-GB"/>
        </w:rPr>
        <w:t xml:space="preserve">, and encouraged CPs and other donors to continue contributing. </w:t>
      </w:r>
    </w:p>
    <w:p w14:paraId="1A46198C" w14:textId="77777777" w:rsidR="000E6892" w:rsidRDefault="000E6892" w:rsidP="000E6892">
      <w:pPr>
        <w:pStyle w:val="IPPParagraphnumbering"/>
        <w:rPr>
          <w:lang w:val="en-GB"/>
        </w:rPr>
      </w:pPr>
      <w:r>
        <w:rPr>
          <w:lang w:val="en-GB"/>
        </w:rPr>
        <w:t>Contracting parties pledged financial contributions for 2026.</w:t>
      </w:r>
      <w:r>
        <w:rPr>
          <w:rStyle w:val="FootnoteReference"/>
          <w:lang w:val="en-GB"/>
        </w:rPr>
        <w:footnoteReference w:id="20"/>
      </w:r>
    </w:p>
    <w:p w14:paraId="0E4EDB2A" w14:textId="77777777" w:rsidR="000E6892" w:rsidRDefault="000E6892" w:rsidP="000E6892">
      <w:pPr>
        <w:pStyle w:val="IPPParagraphnumbering"/>
        <w:rPr>
          <w:lang w:val="en-GB"/>
        </w:rPr>
      </w:pPr>
      <w:r>
        <w:rPr>
          <w:lang w:val="en-GB"/>
        </w:rPr>
        <w:t>The CPM noted suggestions that the secretariat continue to develop their financial reporting processes to ensure transparency in how funds have been allocated;</w:t>
      </w:r>
      <w:r>
        <w:rPr>
          <w:rStyle w:val="FootnoteReference"/>
          <w:lang w:val="en-GB"/>
        </w:rPr>
        <w:footnoteReference w:id="21"/>
      </w:r>
      <w:r>
        <w:rPr>
          <w:lang w:val="en-GB"/>
        </w:rPr>
        <w:t xml:space="preserve"> and that an appeal be launched for donations </w:t>
      </w:r>
      <w:r>
        <w:rPr>
          <w:lang w:val="en-GB"/>
        </w:rPr>
        <w:lastRenderedPageBreak/>
        <w:t xml:space="preserve">to the APP. The CPM also noted the importance of improving practical obstacles to implementation of the IPPC </w:t>
      </w:r>
      <w:proofErr w:type="spellStart"/>
      <w:r>
        <w:rPr>
          <w:lang w:val="en-GB"/>
        </w:rPr>
        <w:t>ePhyto</w:t>
      </w:r>
      <w:proofErr w:type="spellEnd"/>
      <w:r>
        <w:rPr>
          <w:lang w:val="en-GB"/>
        </w:rPr>
        <w:t xml:space="preserve"> Solution in countries, such as the lack of a stable internet connection.</w:t>
      </w:r>
    </w:p>
    <w:p w14:paraId="023AA2CB" w14:textId="77777777" w:rsidR="000E6892" w:rsidRPr="004A5365" w:rsidRDefault="000E6892" w:rsidP="000E6892">
      <w:pPr>
        <w:pStyle w:val="IPPParagraphnumberingclose"/>
        <w:rPr>
          <w:lang w:val="en-GB"/>
        </w:rPr>
      </w:pPr>
      <w:r w:rsidRPr="004A5365">
        <w:rPr>
          <w:lang w:val="en-GB"/>
        </w:rPr>
        <w:t>The CPM:</w:t>
      </w:r>
      <w:r>
        <w:rPr>
          <w:lang w:val="en-GB"/>
        </w:rPr>
        <w:t xml:space="preserve"> </w:t>
      </w:r>
    </w:p>
    <w:p w14:paraId="1E83F2A1" w14:textId="77777777" w:rsidR="000E6892" w:rsidRPr="004A5365" w:rsidRDefault="000E6892" w:rsidP="000E6892">
      <w:pPr>
        <w:pStyle w:val="IPPNumberedList"/>
        <w:numPr>
          <w:ilvl w:val="0"/>
          <w:numId w:val="22"/>
        </w:numPr>
        <w:rPr>
          <w:lang w:val="en-GB"/>
        </w:rPr>
      </w:pPr>
      <w:r w:rsidRPr="004A5365">
        <w:rPr>
          <w:i/>
          <w:iCs/>
          <w:lang w:val="en-GB"/>
        </w:rPr>
        <w:t>noted</w:t>
      </w:r>
      <w:r w:rsidRPr="004A5365">
        <w:rPr>
          <w:lang w:val="en-GB"/>
        </w:rPr>
        <w:t xml:space="preserve"> the financial report of the IPPC Secretariat for </w:t>
      </w:r>
      <w:proofErr w:type="gramStart"/>
      <w:r w:rsidRPr="004A5365">
        <w:rPr>
          <w:lang w:val="en-GB"/>
        </w:rPr>
        <w:t>2025;</w:t>
      </w:r>
      <w:proofErr w:type="gramEnd"/>
    </w:p>
    <w:p w14:paraId="46FFDCC3" w14:textId="77777777" w:rsidR="000E6892" w:rsidRPr="004A5365" w:rsidRDefault="000E6892" w:rsidP="000E6892">
      <w:pPr>
        <w:pStyle w:val="IPPNumberedList"/>
        <w:rPr>
          <w:lang w:val="en-GB"/>
        </w:rPr>
      </w:pPr>
      <w:r w:rsidRPr="004A5365">
        <w:rPr>
          <w:i/>
          <w:iCs/>
          <w:lang w:val="en-GB"/>
        </w:rPr>
        <w:t>adopted</w:t>
      </w:r>
      <w:r w:rsidRPr="004A5365">
        <w:rPr>
          <w:lang w:val="en-GB"/>
        </w:rPr>
        <w:t xml:space="preserve"> the financial report for 2025 of the IPPC </w:t>
      </w:r>
      <w:proofErr w:type="spellStart"/>
      <w:r w:rsidRPr="004A5365">
        <w:rPr>
          <w:lang w:val="en-GB"/>
        </w:rPr>
        <w:t>Multidonor</w:t>
      </w:r>
      <w:proofErr w:type="spellEnd"/>
      <w:r w:rsidRPr="004A5365">
        <w:rPr>
          <w:lang w:val="en-GB"/>
        </w:rPr>
        <w:t xml:space="preserve"> Trust Fund (Special Trust Fund of the IPPC) </w:t>
      </w:r>
      <w:r w:rsidRPr="004A5365">
        <w:rPr>
          <w:rFonts w:eastAsia="Times New Roman"/>
          <w:szCs w:val="22"/>
          <w:lang w:val="en-GB"/>
        </w:rPr>
        <w:t xml:space="preserve">and the IPPC </w:t>
      </w:r>
      <w:proofErr w:type="spellStart"/>
      <w:r w:rsidRPr="004A5365">
        <w:rPr>
          <w:rFonts w:eastAsia="Times New Roman"/>
          <w:szCs w:val="22"/>
          <w:lang w:val="en-GB"/>
        </w:rPr>
        <w:t>ePhyto</w:t>
      </w:r>
      <w:proofErr w:type="spellEnd"/>
      <w:r w:rsidRPr="004A5365">
        <w:rPr>
          <w:rFonts w:eastAsia="Times New Roman"/>
          <w:szCs w:val="22"/>
          <w:lang w:val="en-GB"/>
        </w:rPr>
        <w:t xml:space="preserve"> Multi-Donor Trust Fund </w:t>
      </w:r>
      <w:r w:rsidRPr="004A5365">
        <w:rPr>
          <w:lang w:val="en-GB"/>
        </w:rPr>
        <w:t xml:space="preserve">as presented in Table 3 and Table 5 of CPM 2026/42, </w:t>
      </w:r>
      <w:proofErr w:type="gramStart"/>
      <w:r w:rsidRPr="004A5365">
        <w:rPr>
          <w:lang w:val="en-GB"/>
        </w:rPr>
        <w:t>respectively</w:t>
      </w:r>
      <w:r w:rsidRPr="004A5365">
        <w:rPr>
          <w:rFonts w:eastAsia="Times New Roman"/>
          <w:szCs w:val="22"/>
          <w:lang w:val="en-GB"/>
        </w:rPr>
        <w:t>;</w:t>
      </w:r>
      <w:proofErr w:type="gramEnd"/>
    </w:p>
    <w:p w14:paraId="60C50040" w14:textId="77777777" w:rsidR="000E6892" w:rsidRPr="004A5365" w:rsidRDefault="000E6892" w:rsidP="000E6892">
      <w:pPr>
        <w:pStyle w:val="IPPNumberedList"/>
        <w:rPr>
          <w:lang w:val="en-GB"/>
        </w:rPr>
      </w:pPr>
      <w:r w:rsidRPr="004A5365">
        <w:rPr>
          <w:i/>
          <w:iCs/>
          <w:lang w:val="en-GB"/>
        </w:rPr>
        <w:t>encouraged</w:t>
      </w:r>
      <w:r w:rsidRPr="004A5365">
        <w:rPr>
          <w:lang w:val="en-GB"/>
        </w:rPr>
        <w:t xml:space="preserve"> contracting parties to contribute to the IPPC </w:t>
      </w:r>
      <w:proofErr w:type="spellStart"/>
      <w:r w:rsidRPr="004A5365">
        <w:rPr>
          <w:lang w:val="en-GB"/>
        </w:rPr>
        <w:t>Multidonor</w:t>
      </w:r>
      <w:proofErr w:type="spellEnd"/>
      <w:r w:rsidRPr="004A5365">
        <w:rPr>
          <w:lang w:val="en-GB"/>
        </w:rPr>
        <w:t xml:space="preserve"> Trust Fund (MDTF) (Special Trust Fund of the IPPC), the IPPC </w:t>
      </w:r>
      <w:proofErr w:type="spellStart"/>
      <w:r w:rsidRPr="004A5365">
        <w:rPr>
          <w:lang w:val="en-GB"/>
        </w:rPr>
        <w:t>ePhyto</w:t>
      </w:r>
      <w:proofErr w:type="spellEnd"/>
      <w:r w:rsidRPr="004A5365">
        <w:rPr>
          <w:lang w:val="en-GB"/>
        </w:rPr>
        <w:t xml:space="preserve"> MDTF, the IPPC APP MDTF and IPPC projects, preferably on an ongoing basis; and </w:t>
      </w:r>
    </w:p>
    <w:p w14:paraId="00A7882C" w14:textId="77777777" w:rsidR="000E6892" w:rsidRPr="004A5365" w:rsidRDefault="000E6892" w:rsidP="000E6892">
      <w:pPr>
        <w:pStyle w:val="IPPNumberedListLast"/>
        <w:rPr>
          <w:lang w:val="en-GB"/>
        </w:rPr>
      </w:pPr>
      <w:r w:rsidRPr="004A5365">
        <w:rPr>
          <w:i/>
          <w:iCs/>
          <w:lang w:val="en-GB"/>
        </w:rPr>
        <w:t>thanked</w:t>
      </w:r>
      <w:r w:rsidRPr="004A5365">
        <w:rPr>
          <w:lang w:val="en-GB"/>
        </w:rPr>
        <w:t xml:space="preserve"> contracting </w:t>
      </w:r>
      <w:r w:rsidRPr="007F772A">
        <w:t>parties</w:t>
      </w:r>
      <w:r w:rsidRPr="004A5365">
        <w:rPr>
          <w:lang w:val="en-GB"/>
        </w:rPr>
        <w:t xml:space="preserve"> that had contributed to the secretariat’s programme of work in 2025.</w:t>
      </w:r>
    </w:p>
    <w:p w14:paraId="361FA932" w14:textId="77777777" w:rsidR="000E6892" w:rsidRPr="004A5365" w:rsidRDefault="000E6892" w:rsidP="000E6892">
      <w:pPr>
        <w:pStyle w:val="IPPHeading2"/>
      </w:pPr>
      <w:r w:rsidRPr="004A5365">
        <w:t>10.2</w:t>
      </w:r>
      <w:r w:rsidRPr="004A5365">
        <w:tab/>
        <w:t>2026 IPPC Secretariat workplan and budget</w:t>
      </w:r>
    </w:p>
    <w:p w14:paraId="77AAB941" w14:textId="77777777" w:rsidR="000E6892" w:rsidRPr="00C07023" w:rsidRDefault="000E6892" w:rsidP="000E6892">
      <w:pPr>
        <w:pStyle w:val="IPPParagraphnumbering"/>
        <w:rPr>
          <w:lang w:val="en-GB"/>
        </w:rPr>
      </w:pPr>
      <w:r w:rsidRPr="00C07023">
        <w:rPr>
          <w:lang w:val="en-GB"/>
        </w:rPr>
        <w:t xml:space="preserve">The </w:t>
      </w:r>
      <w:r w:rsidRPr="00C07023">
        <w:t>secretariat</w:t>
      </w:r>
      <w:r w:rsidRPr="00C07023">
        <w:rPr>
          <w:lang w:val="en-GB"/>
        </w:rPr>
        <w:t xml:space="preserve"> presented the workplan and budget of the secretariat for 2026, explaining that these </w:t>
      </w:r>
      <w:r>
        <w:rPr>
          <w:lang w:val="en-GB"/>
        </w:rPr>
        <w:t xml:space="preserve">operationalized </w:t>
      </w:r>
      <w:r w:rsidRPr="00C07023">
        <w:rPr>
          <w:lang w:val="en-GB"/>
        </w:rPr>
        <w:t>the IPPC Strategic Framework 2020–2030</w:t>
      </w:r>
      <w:r>
        <w:rPr>
          <w:lang w:val="en-GB"/>
        </w:rPr>
        <w:t>, advanced the IPPC mission</w:t>
      </w:r>
      <w:r w:rsidRPr="00C07023">
        <w:rPr>
          <w:lang w:val="en-GB"/>
        </w:rPr>
        <w:t xml:space="preserve"> and covered all parts of the secretariat.</w:t>
      </w:r>
      <w:r w:rsidRPr="00C07023">
        <w:rPr>
          <w:rStyle w:val="FootnoteReference"/>
          <w:lang w:val="en-GB"/>
        </w:rPr>
        <w:footnoteReference w:id="22"/>
      </w:r>
    </w:p>
    <w:p w14:paraId="6B91F2F7" w14:textId="77777777" w:rsidR="000E6892" w:rsidRDefault="000E6892" w:rsidP="000E6892">
      <w:pPr>
        <w:pStyle w:val="IPPParagraphnumbering"/>
        <w:rPr>
          <w:lang w:val="en-GB"/>
        </w:rPr>
      </w:pPr>
      <w:r>
        <w:rPr>
          <w:lang w:val="en-GB"/>
        </w:rPr>
        <w:t xml:space="preserve">The CPM noted the need to set appropriate priorities to protect the funding of the IPPC </w:t>
      </w:r>
      <w:proofErr w:type="spellStart"/>
      <w:r>
        <w:rPr>
          <w:lang w:val="en-GB"/>
        </w:rPr>
        <w:t>ePhyto</w:t>
      </w:r>
      <w:proofErr w:type="spellEnd"/>
      <w:r>
        <w:rPr>
          <w:lang w:val="en-GB"/>
        </w:rPr>
        <w:t xml:space="preserve"> Solution, and a plea for a doubling of the funding to purchase tablets for use in APP countries.</w:t>
      </w:r>
    </w:p>
    <w:p w14:paraId="5922CD6A" w14:textId="77777777" w:rsidR="000E6892" w:rsidRDefault="000E6892" w:rsidP="000E6892">
      <w:pPr>
        <w:pStyle w:val="IPPParagraphnumbering"/>
        <w:rPr>
          <w:lang w:val="en-GB"/>
        </w:rPr>
      </w:pPr>
      <w:r>
        <w:rPr>
          <w:lang w:val="en-GB"/>
        </w:rPr>
        <w:t xml:space="preserve">The CPM welcomed offers by Japan and Greece to host EWGs, for </w:t>
      </w:r>
      <w:r w:rsidRPr="00812F54">
        <w:rPr>
          <w:i/>
          <w:iCs/>
        </w:rPr>
        <w:t>Revision of the draft reorganized pest risk analysis standard</w:t>
      </w:r>
      <w:r w:rsidRPr="00812F54">
        <w:t xml:space="preserve"> (2023-037)</w:t>
      </w:r>
      <w:r>
        <w:t xml:space="preserve"> and the revision of ISPM 12 (</w:t>
      </w:r>
      <w:r>
        <w:rPr>
          <w:i/>
          <w:iCs/>
        </w:rPr>
        <w:t xml:space="preserve">Phytosanitary </w:t>
      </w:r>
      <w:r w:rsidRPr="00564DFC">
        <w:rPr>
          <w:i/>
          <w:iCs/>
        </w:rPr>
        <w:t>certificates</w:t>
      </w:r>
      <w:r>
        <w:t xml:space="preserve">) (2023-020), respectively. </w:t>
      </w:r>
    </w:p>
    <w:p w14:paraId="272F33B3" w14:textId="77777777" w:rsidR="000E6892" w:rsidRDefault="000E6892" w:rsidP="000E6892">
      <w:pPr>
        <w:pStyle w:val="IPPParagraphnumbering"/>
        <w:rPr>
          <w:lang w:val="en-GB"/>
        </w:rPr>
      </w:pPr>
      <w:r>
        <w:rPr>
          <w:lang w:val="en-GB"/>
        </w:rPr>
        <w:t>The CPM considered a proposal that EWGs be hosted in Rome for logistical and cost reasons.</w:t>
      </w:r>
    </w:p>
    <w:p w14:paraId="58DF2BD9" w14:textId="77777777" w:rsidR="000E6892" w:rsidRPr="004A5365" w:rsidRDefault="000E6892" w:rsidP="000E6892">
      <w:pPr>
        <w:pStyle w:val="IPPParagraphnumberingclose"/>
        <w:rPr>
          <w:lang w:val="en-GB"/>
        </w:rPr>
      </w:pPr>
      <w:r w:rsidRPr="004A5365">
        <w:rPr>
          <w:lang w:val="en-GB"/>
        </w:rPr>
        <w:t xml:space="preserve">The CPM: </w:t>
      </w:r>
    </w:p>
    <w:p w14:paraId="04A20B29" w14:textId="77777777" w:rsidR="000E6892" w:rsidRDefault="000E6892" w:rsidP="000E6892">
      <w:pPr>
        <w:pStyle w:val="IPPNumberedList"/>
        <w:numPr>
          <w:ilvl w:val="0"/>
          <w:numId w:val="26"/>
        </w:numPr>
        <w:rPr>
          <w:lang w:val="en-GB"/>
        </w:rPr>
      </w:pPr>
      <w:r w:rsidRPr="004A5365">
        <w:rPr>
          <w:i/>
          <w:iCs/>
          <w:lang w:val="en-GB"/>
        </w:rPr>
        <w:t>approved</w:t>
      </w:r>
      <w:r w:rsidRPr="004A5365">
        <w:rPr>
          <w:lang w:val="en-GB"/>
        </w:rPr>
        <w:t xml:space="preserve"> the workplan and budget of the IPPC Secretariat for </w:t>
      </w:r>
      <w:proofErr w:type="gramStart"/>
      <w:r w:rsidRPr="004A5365">
        <w:rPr>
          <w:lang w:val="en-GB"/>
        </w:rPr>
        <w:t>2026</w:t>
      </w:r>
      <w:r w:rsidRPr="00D74497">
        <w:rPr>
          <w:lang w:val="en-GB"/>
        </w:rPr>
        <w:t>;</w:t>
      </w:r>
      <w:proofErr w:type="gramEnd"/>
      <w:r w:rsidRPr="004A5365">
        <w:rPr>
          <w:lang w:val="en-GB"/>
        </w:rPr>
        <w:t xml:space="preserve"> </w:t>
      </w:r>
    </w:p>
    <w:p w14:paraId="5792E9E0" w14:textId="77777777" w:rsidR="000E6892" w:rsidRDefault="000E6892" w:rsidP="000E6892">
      <w:pPr>
        <w:pStyle w:val="IPPNumberedList"/>
        <w:numPr>
          <w:ilvl w:val="0"/>
          <w:numId w:val="26"/>
        </w:numPr>
        <w:rPr>
          <w:lang w:val="en-GB"/>
        </w:rPr>
      </w:pPr>
      <w:r w:rsidRPr="00B54EFF">
        <w:rPr>
          <w:i/>
          <w:iCs/>
          <w:lang w:val="en-GB"/>
        </w:rPr>
        <w:t>requested</w:t>
      </w:r>
      <w:r w:rsidRPr="00B54EFF">
        <w:rPr>
          <w:lang w:val="en-GB"/>
        </w:rPr>
        <w:t xml:space="preserve"> that the secretariat aim to arrange four EWGs per year for the development of draft ISPMs;</w:t>
      </w:r>
      <w:r>
        <w:rPr>
          <w:lang w:val="en-GB"/>
        </w:rPr>
        <w:t xml:space="preserve"> and</w:t>
      </w:r>
    </w:p>
    <w:p w14:paraId="3A23293E" w14:textId="77777777" w:rsidR="000E6892" w:rsidRDefault="000E6892" w:rsidP="000E6892">
      <w:pPr>
        <w:pStyle w:val="IPPNumberedList"/>
        <w:numPr>
          <w:ilvl w:val="0"/>
          <w:numId w:val="26"/>
        </w:numPr>
        <w:rPr>
          <w:lang w:val="en-GB"/>
        </w:rPr>
      </w:pPr>
      <w:r w:rsidRPr="00B54EFF">
        <w:rPr>
          <w:i/>
          <w:iCs/>
          <w:lang w:val="en-GB"/>
        </w:rPr>
        <w:t xml:space="preserve">invited </w:t>
      </w:r>
      <w:r w:rsidRPr="00B54EFF">
        <w:rPr>
          <w:lang w:val="en-GB"/>
        </w:rPr>
        <w:t xml:space="preserve">the SC to </w:t>
      </w:r>
      <w:proofErr w:type="gramStart"/>
      <w:r>
        <w:rPr>
          <w:lang w:val="en-GB"/>
        </w:rPr>
        <w:t xml:space="preserve">give further </w:t>
      </w:r>
      <w:r w:rsidRPr="00B54EFF">
        <w:rPr>
          <w:lang w:val="en-GB"/>
        </w:rPr>
        <w:t>consider</w:t>
      </w:r>
      <w:r>
        <w:rPr>
          <w:lang w:val="en-GB"/>
        </w:rPr>
        <w:t>ation to</w:t>
      </w:r>
      <w:proofErr w:type="gramEnd"/>
      <w:r w:rsidRPr="00B54EFF">
        <w:rPr>
          <w:lang w:val="en-GB"/>
        </w:rPr>
        <w:t xml:space="preserve"> the proposals in </w:t>
      </w:r>
      <w:r>
        <w:rPr>
          <w:lang w:val="en-GB"/>
        </w:rPr>
        <w:t>CPM 2026/</w:t>
      </w:r>
      <w:r w:rsidRPr="00B54EFF">
        <w:rPr>
          <w:lang w:val="en-GB"/>
        </w:rPr>
        <w:t>INF</w:t>
      </w:r>
      <w:r>
        <w:rPr>
          <w:lang w:val="en-GB"/>
        </w:rPr>
        <w:t>/</w:t>
      </w:r>
      <w:r w:rsidRPr="00B54EFF">
        <w:rPr>
          <w:lang w:val="en-GB"/>
        </w:rPr>
        <w:t>36</w:t>
      </w:r>
      <w:r>
        <w:rPr>
          <w:lang w:val="en-GB"/>
        </w:rPr>
        <w:t xml:space="preserve"> regarding this agenda item, including the proposal to host EWGs in Rome.</w:t>
      </w:r>
      <w:r w:rsidRPr="00B54EFF">
        <w:rPr>
          <w:lang w:val="en-GB"/>
        </w:rPr>
        <w:t xml:space="preserve"> </w:t>
      </w:r>
    </w:p>
    <w:p w14:paraId="3B4D9462" w14:textId="77777777" w:rsidR="00CC42CC" w:rsidRPr="004A5365" w:rsidRDefault="00CC42CC" w:rsidP="00CC42CC">
      <w:pPr>
        <w:pStyle w:val="IPPHeading1"/>
      </w:pPr>
      <w:r w:rsidRPr="004A5365">
        <w:t>11.</w:t>
      </w:r>
      <w:r w:rsidRPr="004A5365">
        <w:tab/>
        <w:t>Adoption of international standards for phytosanitary measures</w:t>
      </w:r>
    </w:p>
    <w:p w14:paraId="2A42370A" w14:textId="77777777" w:rsidR="00CC42CC" w:rsidRDefault="00CC42CC" w:rsidP="00CC42CC">
      <w:pPr>
        <w:pStyle w:val="IPPParagraphnumbering"/>
        <w:rPr>
          <w:lang w:val="en-GB"/>
        </w:rPr>
      </w:pPr>
      <w:r w:rsidRPr="001A73D9">
        <w:rPr>
          <w:lang w:val="en-GB"/>
        </w:rPr>
        <w:t xml:space="preserve">The secretariat introduced the papers for this agenda item, which presented the draft ISPMs proposed by the SC for </w:t>
      </w:r>
      <w:r w:rsidRPr="001A73D9">
        <w:t>adoption</w:t>
      </w:r>
      <w:r w:rsidRPr="001A73D9">
        <w:rPr>
          <w:lang w:val="en-GB"/>
        </w:rPr>
        <w:t xml:space="preserve"> by the CPM and activities related to translation of adopted standards.</w:t>
      </w:r>
      <w:r w:rsidRPr="001A73D9">
        <w:rPr>
          <w:rStyle w:val="FootnoteReference"/>
          <w:lang w:val="en-GB"/>
        </w:rPr>
        <w:footnoteReference w:id="23"/>
      </w:r>
      <w:r w:rsidRPr="001A73D9">
        <w:rPr>
          <w:lang w:val="en-GB"/>
        </w:rPr>
        <w:t xml:space="preserve"> </w:t>
      </w:r>
    </w:p>
    <w:p w14:paraId="49464064" w14:textId="77777777" w:rsidR="00CC42CC" w:rsidRDefault="00CC42CC" w:rsidP="00CC42CC">
      <w:pPr>
        <w:pStyle w:val="IPPParagraphnumberingclose"/>
      </w:pPr>
      <w:r w:rsidRPr="001A73D9">
        <w:t>The secretariat informed the CPM that</w:t>
      </w:r>
      <w:r>
        <w:t xml:space="preserve"> two objections had been received by</w:t>
      </w:r>
      <w:r w:rsidRPr="001A73D9">
        <w:t xml:space="preserve"> the deadline for objections specified in the Standard Setting Procedure </w:t>
      </w:r>
      <w:r>
        <w:t>(</w:t>
      </w:r>
      <w:r w:rsidRPr="001A73D9">
        <w:t xml:space="preserve">three weeks before </w:t>
      </w:r>
      <w:r>
        <w:t xml:space="preserve">the </w:t>
      </w:r>
      <w:r w:rsidRPr="001A73D9">
        <w:t>CPM</w:t>
      </w:r>
      <w:r>
        <w:t xml:space="preserve"> session</w:t>
      </w:r>
      <w:r w:rsidRPr="001A73D9">
        <w:t>)</w:t>
      </w:r>
      <w:r>
        <w:t>:</w:t>
      </w:r>
      <w:r w:rsidRPr="001A73D9">
        <w:rPr>
          <w:rStyle w:val="FootnoteReference"/>
          <w:lang w:val="en-GB"/>
        </w:rPr>
        <w:footnoteReference w:id="24"/>
      </w:r>
    </w:p>
    <w:p w14:paraId="27211A4A" w14:textId="77777777" w:rsidR="00CC42CC" w:rsidRPr="002F59BA" w:rsidRDefault="00CC42CC" w:rsidP="00CC42CC">
      <w:pPr>
        <w:pStyle w:val="IPPBullet1"/>
      </w:pPr>
      <w:r w:rsidRPr="001A73D9">
        <w:t>One of these related to the draft revision of ISPM 26 (</w:t>
      </w:r>
      <w:r w:rsidRPr="001A73D9">
        <w:rPr>
          <w:i/>
          <w:iCs/>
        </w:rPr>
        <w:t xml:space="preserve">Establishment and maintenance of pest free areas for </w:t>
      </w:r>
      <w:proofErr w:type="spellStart"/>
      <w:r w:rsidRPr="001A73D9">
        <w:rPr>
          <w:i/>
          <w:iCs/>
        </w:rPr>
        <w:t>tephritid</w:t>
      </w:r>
      <w:proofErr w:type="spellEnd"/>
      <w:r w:rsidRPr="001A73D9">
        <w:rPr>
          <w:i/>
          <w:iCs/>
        </w:rPr>
        <w:t xml:space="preserve"> fruit flies</w:t>
      </w:r>
      <w:r w:rsidRPr="001A73D9">
        <w:t>) (2021-010)</w:t>
      </w:r>
      <w:r>
        <w:t>. It</w:t>
      </w:r>
      <w:r w:rsidRPr="001A73D9">
        <w:t xml:space="preserve"> did not object to the adoption of the ISPM but suggested technical improvements to the text, questioning the inclusion of definitions for some terms.</w:t>
      </w:r>
      <w:r>
        <w:t xml:space="preserve"> </w:t>
      </w:r>
      <w:r w:rsidRPr="002F59BA">
        <w:rPr>
          <w:lang w:val="en-GB"/>
        </w:rPr>
        <w:t xml:space="preserve">One CP had submitted a written response, </w:t>
      </w:r>
      <w:r>
        <w:rPr>
          <w:lang w:val="en-GB"/>
        </w:rPr>
        <w:t>proposing the text amendments needed to address the concerns expressed in the objection</w:t>
      </w:r>
      <w:r w:rsidRPr="002F59BA">
        <w:rPr>
          <w:lang w:val="en-GB"/>
        </w:rPr>
        <w:t>.</w:t>
      </w:r>
      <w:r w:rsidRPr="002F59BA">
        <w:rPr>
          <w:rStyle w:val="FootnoteReference"/>
          <w:lang w:val="en-GB"/>
        </w:rPr>
        <w:footnoteReference w:id="25"/>
      </w:r>
    </w:p>
    <w:p w14:paraId="3BFA5A2E" w14:textId="77777777" w:rsidR="00CC42CC" w:rsidRDefault="00CC42CC" w:rsidP="00CC42CC">
      <w:pPr>
        <w:pStyle w:val="IPPBullet1Last"/>
      </w:pPr>
      <w:r w:rsidRPr="001A73D9">
        <w:t xml:space="preserve">The other objected to the adoption of the draft annex </w:t>
      </w:r>
      <w:r w:rsidRPr="18203E95">
        <w:rPr>
          <w:i/>
          <w:iCs/>
        </w:rPr>
        <w:t>Field inspection</w:t>
      </w:r>
      <w:r w:rsidRPr="001A73D9">
        <w:t xml:space="preserve"> (2021-018) to ISPM 23 (</w:t>
      </w:r>
      <w:r w:rsidRPr="18203E95">
        <w:rPr>
          <w:i/>
          <w:iCs/>
        </w:rPr>
        <w:t>Guidelines for inspection</w:t>
      </w:r>
      <w:r w:rsidRPr="001A73D9">
        <w:t xml:space="preserve">) </w:t>
      </w:r>
      <w:r>
        <w:t xml:space="preserve">and concerned timing and coherence across standards. </w:t>
      </w:r>
      <w:r w:rsidRPr="001A73D9">
        <w:t xml:space="preserve">This submission </w:t>
      </w:r>
      <w:r>
        <w:t xml:space="preserve">aimed </w:t>
      </w:r>
      <w:r w:rsidRPr="001A73D9">
        <w:t xml:space="preserve">to avoid creating conceptual and operational inconsistencies between the annex </w:t>
      </w:r>
      <w:r w:rsidRPr="001A73D9">
        <w:lastRenderedPageBreak/>
        <w:t xml:space="preserve">and the core text of ISPM 23, which was already on the IPPC workplan for revision. </w:t>
      </w:r>
      <w:r>
        <w:t xml:space="preserve">It </w:t>
      </w:r>
      <w:r w:rsidRPr="001A73D9">
        <w:t xml:space="preserve">recommended that the annex be developed as a stand-alone ISPM </w:t>
      </w:r>
      <w:proofErr w:type="gramStart"/>
      <w:r w:rsidRPr="001A73D9">
        <w:t xml:space="preserve">and </w:t>
      </w:r>
      <w:r>
        <w:t>also</w:t>
      </w:r>
      <w:proofErr w:type="gramEnd"/>
      <w:r>
        <w:t xml:space="preserve"> </w:t>
      </w:r>
      <w:r w:rsidRPr="001A73D9">
        <w:t>provided two alternative options.</w:t>
      </w:r>
      <w:r>
        <w:t xml:space="preserve"> Some CPs had submitted a written response, </w:t>
      </w:r>
      <w:r w:rsidRPr="001841DD">
        <w:t>suggest</w:t>
      </w:r>
      <w:r>
        <w:t>ing</w:t>
      </w:r>
      <w:r w:rsidRPr="001841DD">
        <w:t xml:space="preserve"> some minimal necessary revisions that would allow the CPM to adopt the draft annex as a stand-alone ISPM, with ISPM 23 renamed as </w:t>
      </w:r>
      <w:r w:rsidRPr="18203E95">
        <w:rPr>
          <w:i/>
          <w:iCs/>
        </w:rPr>
        <w:t>Inspection of consignments</w:t>
      </w:r>
      <w:r w:rsidRPr="001841DD">
        <w:t xml:space="preserve"> when it proceeded to revision.</w:t>
      </w:r>
      <w:r w:rsidRPr="001841DD">
        <w:rPr>
          <w:rStyle w:val="FootnoteReference"/>
        </w:rPr>
        <w:footnoteReference w:id="26"/>
      </w:r>
    </w:p>
    <w:p w14:paraId="0E6273A0" w14:textId="77777777" w:rsidR="00CC42CC" w:rsidRDefault="00CC42CC" w:rsidP="00CC42CC">
      <w:pPr>
        <w:pStyle w:val="IPPParagraphnumbering"/>
      </w:pPr>
      <w:r>
        <w:t>The contracting parties who had submitted the objection to the revised ISPM 26 accepted the amendments proposed in the written response referred to above.</w:t>
      </w:r>
    </w:p>
    <w:p w14:paraId="71FA7D97" w14:textId="77777777" w:rsidR="00CC42CC" w:rsidRDefault="00CC42CC" w:rsidP="00CC42CC">
      <w:pPr>
        <w:pStyle w:val="IPPParagraphnumbering"/>
      </w:pPr>
      <w:r>
        <w:t xml:space="preserve">Regarding the annex to ISPM 23, </w:t>
      </w:r>
      <w:r w:rsidRPr="0021531E">
        <w:t>the CPM chairperson suggested that interested CPs participate in a Friends of the Chair meeting, which took place outside of the session. This resulted in a modified text for consideration</w:t>
      </w:r>
      <w:r>
        <w:t>,</w:t>
      </w:r>
      <w:r w:rsidRPr="0021531E">
        <w:rPr>
          <w:rStyle w:val="FootnoteReference"/>
        </w:rPr>
        <w:footnoteReference w:id="27"/>
      </w:r>
      <w:r w:rsidRPr="0021531E">
        <w:t xml:space="preserve"> </w:t>
      </w:r>
      <w:r>
        <w:t>which was then reviewed by the CPM. One CP suggested that the statement “t</w:t>
      </w:r>
      <w:r w:rsidRPr="0095599D">
        <w:t>he standard does not cover testing of sample</w:t>
      </w:r>
      <w:r>
        <w:t>s” be removed from the Scope section. The CPM noted, however, that this sentence was simply clarifying that requirements for testing were not included in the standard; it was not saying that testing is unimportant.</w:t>
      </w:r>
    </w:p>
    <w:p w14:paraId="31B0FA19" w14:textId="77777777" w:rsidR="00CC42CC" w:rsidRPr="004A5365" w:rsidRDefault="00CC42CC" w:rsidP="00CC42CC">
      <w:pPr>
        <w:pStyle w:val="IPPParagraphnumberingclose"/>
        <w:rPr>
          <w:lang w:val="en-GB"/>
        </w:rPr>
      </w:pPr>
      <w:r w:rsidRPr="004A5365">
        <w:rPr>
          <w:lang w:val="en-GB"/>
        </w:rPr>
        <w:t>The CPM:</w:t>
      </w:r>
      <w:r>
        <w:rPr>
          <w:lang w:val="en-GB"/>
        </w:rPr>
        <w:t xml:space="preserve"> </w:t>
      </w:r>
    </w:p>
    <w:p w14:paraId="6D776ED1" w14:textId="77777777" w:rsidR="00CC42CC" w:rsidRPr="00AF0798" w:rsidRDefault="00CC42CC" w:rsidP="00CC42CC">
      <w:pPr>
        <w:pStyle w:val="IPPNumberedList"/>
        <w:numPr>
          <w:ilvl w:val="0"/>
          <w:numId w:val="38"/>
        </w:numPr>
        <w:rPr>
          <w:lang w:val="en-GB"/>
        </w:rPr>
      </w:pPr>
      <w:r w:rsidRPr="002A1452">
        <w:rPr>
          <w:i/>
          <w:iCs/>
          <w:lang w:val="en-GB"/>
        </w:rPr>
        <w:t>adopted</w:t>
      </w:r>
      <w:r w:rsidRPr="002A1452">
        <w:rPr>
          <w:lang w:val="en-GB"/>
        </w:rPr>
        <w:t xml:space="preserve"> the revision of ISPM 26 (</w:t>
      </w:r>
      <w:r w:rsidRPr="002A1452">
        <w:rPr>
          <w:i/>
          <w:iCs/>
          <w:lang w:val="en-GB"/>
        </w:rPr>
        <w:t xml:space="preserve">Establishment and </w:t>
      </w:r>
      <w:r w:rsidRPr="00695B97">
        <w:rPr>
          <w:i/>
          <w:iCs/>
          <w:lang w:val="en-GB"/>
        </w:rPr>
        <w:t xml:space="preserve">maintenance of pest free areas for </w:t>
      </w:r>
      <w:proofErr w:type="spellStart"/>
      <w:r w:rsidRPr="00695B97">
        <w:rPr>
          <w:i/>
          <w:iCs/>
          <w:lang w:val="en-GB"/>
        </w:rPr>
        <w:t>tephritid</w:t>
      </w:r>
      <w:proofErr w:type="spellEnd"/>
      <w:r w:rsidRPr="00695B97">
        <w:rPr>
          <w:i/>
          <w:iCs/>
          <w:lang w:val="en-GB"/>
        </w:rPr>
        <w:t xml:space="preserve"> fruit flies</w:t>
      </w:r>
      <w:r w:rsidRPr="00695B97">
        <w:rPr>
          <w:lang w:val="en-GB"/>
        </w:rPr>
        <w:t>) (2021-010)</w:t>
      </w:r>
      <w:r>
        <w:rPr>
          <w:lang w:val="en-GB"/>
        </w:rPr>
        <w:t xml:space="preserve">, incorporating the modifications presented in Appendix 1 of </w:t>
      </w:r>
      <w:r w:rsidRPr="00AF0798">
        <w:rPr>
          <w:lang w:val="en-GB"/>
        </w:rPr>
        <w:t xml:space="preserve">CPM 2026/INF/32, and </w:t>
      </w:r>
      <w:r w:rsidRPr="00AF0798">
        <w:rPr>
          <w:i/>
          <w:iCs/>
          <w:lang w:val="en-GB"/>
        </w:rPr>
        <w:t>revoked</w:t>
      </w:r>
      <w:r w:rsidRPr="00AF0798">
        <w:rPr>
          <w:lang w:val="en-GB"/>
        </w:rPr>
        <w:t xml:space="preserve"> the previously adopted </w:t>
      </w:r>
      <w:proofErr w:type="gramStart"/>
      <w:r w:rsidRPr="00AF0798">
        <w:rPr>
          <w:lang w:val="en-GB"/>
        </w:rPr>
        <w:t>version;</w:t>
      </w:r>
      <w:proofErr w:type="gramEnd"/>
    </w:p>
    <w:p w14:paraId="19E32AAF" w14:textId="77777777" w:rsidR="00CC42CC" w:rsidRPr="00A52502" w:rsidRDefault="00CC42CC" w:rsidP="00CC42CC">
      <w:pPr>
        <w:pStyle w:val="IPPNumberedList"/>
        <w:rPr>
          <w:lang w:val="en-GB"/>
        </w:rPr>
      </w:pPr>
      <w:r w:rsidRPr="002A1452">
        <w:rPr>
          <w:i/>
          <w:iCs/>
          <w:lang w:val="en-GB"/>
        </w:rPr>
        <w:t>adopted</w:t>
      </w:r>
      <w:r w:rsidRPr="002A1452">
        <w:rPr>
          <w:lang w:val="en-GB"/>
        </w:rPr>
        <w:t xml:space="preserve"> </w:t>
      </w:r>
      <w:r w:rsidRPr="00B535E9">
        <w:rPr>
          <w:lang w:val="en-GB"/>
        </w:rPr>
        <w:t>ISPM 48 (</w:t>
      </w:r>
      <w:r w:rsidRPr="00B535E9">
        <w:rPr>
          <w:i/>
          <w:iCs/>
          <w:lang w:val="en-GB"/>
        </w:rPr>
        <w:t>Field inspection</w:t>
      </w:r>
      <w:r w:rsidRPr="00B535E9">
        <w:rPr>
          <w:lang w:val="en-GB"/>
        </w:rPr>
        <w:t>) (2021-018) as presented in CPM 2026/CRP/</w:t>
      </w:r>
      <w:proofErr w:type="gramStart"/>
      <w:r w:rsidRPr="00B535E9">
        <w:rPr>
          <w:lang w:val="en-GB"/>
        </w:rPr>
        <w:t>10;</w:t>
      </w:r>
      <w:proofErr w:type="gramEnd"/>
    </w:p>
    <w:p w14:paraId="3AE93EA3" w14:textId="77777777" w:rsidR="00CC42CC" w:rsidRPr="004A5365" w:rsidRDefault="00CC42CC" w:rsidP="00CC42CC">
      <w:pPr>
        <w:pStyle w:val="IPPNumberedList"/>
        <w:rPr>
          <w:lang w:val="en-GB"/>
        </w:rPr>
      </w:pPr>
      <w:r w:rsidRPr="004A5365">
        <w:rPr>
          <w:i/>
          <w:iCs/>
          <w:lang w:val="en-GB"/>
        </w:rPr>
        <w:t>adopted</w:t>
      </w:r>
      <w:r w:rsidRPr="004A5365">
        <w:rPr>
          <w:lang w:val="en-GB"/>
        </w:rPr>
        <w:t xml:space="preserve"> PT 47 (Irradiation treatment for </w:t>
      </w:r>
      <w:proofErr w:type="spellStart"/>
      <w:r w:rsidRPr="004A5365">
        <w:rPr>
          <w:i/>
          <w:iCs/>
          <w:lang w:val="en-GB"/>
        </w:rPr>
        <w:t>Planococcus</w:t>
      </w:r>
      <w:proofErr w:type="spellEnd"/>
      <w:r w:rsidRPr="004A5365">
        <w:rPr>
          <w:i/>
          <w:iCs/>
          <w:lang w:val="en-GB"/>
        </w:rPr>
        <w:t xml:space="preserve"> </w:t>
      </w:r>
      <w:proofErr w:type="spellStart"/>
      <w:r w:rsidRPr="004A5365">
        <w:rPr>
          <w:i/>
          <w:iCs/>
          <w:lang w:val="en-GB"/>
        </w:rPr>
        <w:t>lilacinus</w:t>
      </w:r>
      <w:proofErr w:type="spellEnd"/>
      <w:r w:rsidRPr="004A5365">
        <w:rPr>
          <w:lang w:val="en-GB"/>
        </w:rPr>
        <w:t>) (2023-035), as presented in CPM 2026/10_03, as Annex 47 to ISPM 28 (</w:t>
      </w:r>
      <w:r w:rsidRPr="004A5365">
        <w:rPr>
          <w:i/>
          <w:iCs/>
          <w:lang w:val="en-GB"/>
        </w:rPr>
        <w:t>Phytosanitary treatments for regulated pests</w:t>
      </w:r>
      <w:proofErr w:type="gramStart"/>
      <w:r w:rsidRPr="004A5365">
        <w:rPr>
          <w:lang w:val="en-GB"/>
        </w:rPr>
        <w:t>);</w:t>
      </w:r>
      <w:proofErr w:type="gramEnd"/>
      <w:r>
        <w:rPr>
          <w:lang w:val="en-GB"/>
        </w:rPr>
        <w:t xml:space="preserve"> </w:t>
      </w:r>
    </w:p>
    <w:p w14:paraId="2114BC7F" w14:textId="77777777" w:rsidR="00CC42CC" w:rsidRPr="004A5365" w:rsidRDefault="00CC42CC" w:rsidP="00CC42CC">
      <w:pPr>
        <w:pStyle w:val="IPPNumberedList"/>
        <w:rPr>
          <w:lang w:val="en-GB"/>
        </w:rPr>
      </w:pPr>
      <w:r w:rsidRPr="004A5365">
        <w:rPr>
          <w:i/>
          <w:iCs/>
          <w:lang w:val="en-GB"/>
        </w:rPr>
        <w:t>adopted</w:t>
      </w:r>
      <w:r w:rsidRPr="004A5365">
        <w:rPr>
          <w:lang w:val="en-GB"/>
        </w:rPr>
        <w:t xml:space="preserve"> PT 48 (Irradiation treatment for </w:t>
      </w:r>
      <w:proofErr w:type="spellStart"/>
      <w:r w:rsidRPr="004A5365">
        <w:rPr>
          <w:i/>
          <w:iCs/>
          <w:lang w:val="en-GB"/>
        </w:rPr>
        <w:t>Paracoccus</w:t>
      </w:r>
      <w:proofErr w:type="spellEnd"/>
      <w:r w:rsidRPr="004A5365">
        <w:rPr>
          <w:i/>
          <w:iCs/>
          <w:lang w:val="en-GB"/>
        </w:rPr>
        <w:t xml:space="preserve"> marginatus</w:t>
      </w:r>
      <w:r w:rsidRPr="004A5365">
        <w:rPr>
          <w:lang w:val="en-GB"/>
        </w:rPr>
        <w:t xml:space="preserve"> (2023-034), as presented in CPM 2026/10_04, as Annex 48 to ISPM 28 (</w:t>
      </w:r>
      <w:r w:rsidRPr="004A5365">
        <w:rPr>
          <w:i/>
          <w:iCs/>
          <w:lang w:val="en-GB"/>
        </w:rPr>
        <w:t>Phytosanitary treatments for regulated pests</w:t>
      </w:r>
      <w:proofErr w:type="gramStart"/>
      <w:r w:rsidRPr="004A5365">
        <w:rPr>
          <w:lang w:val="en-GB"/>
        </w:rPr>
        <w:t>);</w:t>
      </w:r>
      <w:proofErr w:type="gramEnd"/>
    </w:p>
    <w:p w14:paraId="33902057" w14:textId="77777777" w:rsidR="00CC42CC" w:rsidRPr="004A5365" w:rsidRDefault="00CC42CC" w:rsidP="00CC42CC">
      <w:pPr>
        <w:pStyle w:val="IPPNumberedList"/>
        <w:rPr>
          <w:lang w:val="en-GB"/>
        </w:rPr>
      </w:pPr>
      <w:r w:rsidRPr="004A5365">
        <w:rPr>
          <w:i/>
          <w:iCs/>
          <w:lang w:val="en-GB"/>
        </w:rPr>
        <w:t>adopted</w:t>
      </w:r>
      <w:r w:rsidRPr="004A5365">
        <w:rPr>
          <w:lang w:val="en-GB"/>
        </w:rPr>
        <w:t xml:space="preserve"> PT 49 (Irradiation treatment for </w:t>
      </w:r>
      <w:proofErr w:type="spellStart"/>
      <w:r w:rsidRPr="004A5365">
        <w:rPr>
          <w:i/>
          <w:iCs/>
          <w:lang w:val="en-GB"/>
        </w:rPr>
        <w:t>Pseudococcus</w:t>
      </w:r>
      <w:proofErr w:type="spellEnd"/>
      <w:r w:rsidRPr="004A5365">
        <w:rPr>
          <w:i/>
          <w:iCs/>
          <w:lang w:val="en-GB"/>
        </w:rPr>
        <w:t xml:space="preserve"> </w:t>
      </w:r>
      <w:proofErr w:type="spellStart"/>
      <w:r w:rsidRPr="004A5365">
        <w:rPr>
          <w:i/>
          <w:iCs/>
          <w:lang w:val="en-GB"/>
        </w:rPr>
        <w:t>baliteus</w:t>
      </w:r>
      <w:proofErr w:type="spellEnd"/>
      <w:r w:rsidRPr="004A5365">
        <w:rPr>
          <w:lang w:val="en-GB"/>
        </w:rPr>
        <w:t xml:space="preserve"> (2023-033), as presented in CPM 2026/10_05, as Annex 49 to ISPM 28 (</w:t>
      </w:r>
      <w:r w:rsidRPr="004A5365">
        <w:rPr>
          <w:i/>
          <w:iCs/>
          <w:lang w:val="en-GB"/>
        </w:rPr>
        <w:t>Phytosanitary treatments for regulated pests</w:t>
      </w:r>
      <w:proofErr w:type="gramStart"/>
      <w:r w:rsidRPr="004A5365">
        <w:rPr>
          <w:lang w:val="en-GB"/>
        </w:rPr>
        <w:t>);</w:t>
      </w:r>
      <w:proofErr w:type="gramEnd"/>
    </w:p>
    <w:p w14:paraId="3B357908" w14:textId="77777777" w:rsidR="00CC42CC" w:rsidRPr="004A5365" w:rsidRDefault="00CC42CC" w:rsidP="00CC42CC">
      <w:pPr>
        <w:pStyle w:val="IPPNumberedList"/>
        <w:rPr>
          <w:lang w:val="en-GB"/>
        </w:rPr>
      </w:pPr>
      <w:r w:rsidRPr="004A5365">
        <w:rPr>
          <w:i/>
          <w:iCs/>
          <w:lang w:val="en-GB"/>
        </w:rPr>
        <w:t>noted</w:t>
      </w:r>
      <w:r w:rsidRPr="004A5365">
        <w:rPr>
          <w:lang w:val="en-GB"/>
        </w:rPr>
        <w:t xml:space="preserve"> the adoption by the SC of the following two DPs (annexes to ISPM 27 (</w:t>
      </w:r>
      <w:r w:rsidRPr="004A5365">
        <w:rPr>
          <w:i/>
          <w:iCs/>
          <w:lang w:val="en-GB"/>
        </w:rPr>
        <w:t>Diagnostic protocols for regulated pests</w:t>
      </w:r>
      <w:r w:rsidRPr="004A5365">
        <w:rPr>
          <w:lang w:val="en-GB"/>
        </w:rPr>
        <w:t>)) on behalf of the CPM in 2025:</w:t>
      </w:r>
    </w:p>
    <w:p w14:paraId="0D70F011" w14:textId="77777777" w:rsidR="00CC42CC" w:rsidRPr="004A5365" w:rsidRDefault="00CC42CC" w:rsidP="00CC42CC">
      <w:pPr>
        <w:pStyle w:val="IPPBullet2"/>
      </w:pPr>
      <w:r w:rsidRPr="004A5365">
        <w:t>DP 35 (</w:t>
      </w:r>
      <w:r w:rsidRPr="004A5365">
        <w:rPr>
          <w:i/>
          <w:iCs/>
        </w:rPr>
        <w:t xml:space="preserve">Meloidogyne </w:t>
      </w:r>
      <w:proofErr w:type="spellStart"/>
      <w:r w:rsidRPr="004A5365">
        <w:rPr>
          <w:i/>
          <w:iCs/>
        </w:rPr>
        <w:t>mali</w:t>
      </w:r>
      <w:proofErr w:type="spellEnd"/>
      <w:r w:rsidRPr="004A5365">
        <w:t>) (2018-019), and</w:t>
      </w:r>
    </w:p>
    <w:p w14:paraId="40B66C94" w14:textId="77777777" w:rsidR="00CC42CC" w:rsidRPr="004A5365" w:rsidRDefault="00CC42CC" w:rsidP="00CC42CC">
      <w:pPr>
        <w:pStyle w:val="IPPBullet2"/>
      </w:pPr>
      <w:r w:rsidRPr="004A5365">
        <w:t xml:space="preserve">DP 36 (Genus </w:t>
      </w:r>
      <w:proofErr w:type="spellStart"/>
      <w:r w:rsidRPr="004A5365">
        <w:rPr>
          <w:i/>
          <w:iCs/>
        </w:rPr>
        <w:t>Pospiviroid</w:t>
      </w:r>
      <w:proofErr w:type="spellEnd"/>
      <w:r w:rsidRPr="004A5365">
        <w:t>) (2018-031</w:t>
      </w:r>
      <w:proofErr w:type="gramStart"/>
      <w:r w:rsidRPr="004A5365">
        <w:t>);</w:t>
      </w:r>
      <w:proofErr w:type="gramEnd"/>
    </w:p>
    <w:p w14:paraId="317050A5" w14:textId="77777777" w:rsidR="00CC42CC" w:rsidRPr="004A5365" w:rsidRDefault="00CC42CC" w:rsidP="00CC42CC">
      <w:pPr>
        <w:pStyle w:val="IPPNumberedList"/>
        <w:rPr>
          <w:lang w:val="en-GB"/>
        </w:rPr>
      </w:pPr>
      <w:r w:rsidRPr="004A5365">
        <w:rPr>
          <w:i/>
          <w:iCs/>
          <w:lang w:val="en-GB"/>
        </w:rPr>
        <w:t>thanked</w:t>
      </w:r>
      <w:r w:rsidRPr="004A5365">
        <w:rPr>
          <w:lang w:val="en-GB"/>
        </w:rPr>
        <w:t xml:space="preserve"> the experts of the groups who drafted the adopted standards and their contracting parties or international organizations (Appendix X) for their active contribution to the development of these </w:t>
      </w:r>
      <w:proofErr w:type="gramStart"/>
      <w:r w:rsidRPr="004A5365">
        <w:rPr>
          <w:lang w:val="en-GB"/>
        </w:rPr>
        <w:t>standards;</w:t>
      </w:r>
      <w:proofErr w:type="gramEnd"/>
    </w:p>
    <w:p w14:paraId="3CD28C7A" w14:textId="77777777" w:rsidR="00CC42CC" w:rsidRPr="004A5365" w:rsidRDefault="00CC42CC" w:rsidP="00CC42CC">
      <w:pPr>
        <w:pStyle w:val="IPPNumberedList"/>
        <w:rPr>
          <w:lang w:val="en-GB"/>
        </w:rPr>
      </w:pPr>
      <w:r w:rsidRPr="004A5365">
        <w:rPr>
          <w:i/>
          <w:iCs/>
          <w:lang w:val="en-GB"/>
        </w:rPr>
        <w:t>noted</w:t>
      </w:r>
      <w:r w:rsidRPr="004A5365">
        <w:rPr>
          <w:lang w:val="en-GB"/>
        </w:rPr>
        <w:t xml:space="preserve"> that the following ISPMs (including annexes) and CPM recommendation had been reviewed by the Arabic, Chinese and Spanish language review groups and the FAO translation service, and the secretariat had incorporated the modifications accordingly and replaced the previously adopted versions on the IPP:</w:t>
      </w:r>
    </w:p>
    <w:p w14:paraId="7464098C" w14:textId="77777777" w:rsidR="00CC42CC" w:rsidRPr="004A5365" w:rsidRDefault="00CC42CC" w:rsidP="00CC42CC">
      <w:pPr>
        <w:pStyle w:val="IPPBullet2"/>
      </w:pPr>
      <w:r w:rsidRPr="004A5365">
        <w:t>ISPM 4 (</w:t>
      </w:r>
      <w:r w:rsidRPr="004A5365">
        <w:rPr>
          <w:i/>
          <w:iCs/>
        </w:rPr>
        <w:t>Requirements for the establishment of pest free areas</w:t>
      </w:r>
      <w:r w:rsidRPr="004A5365">
        <w:t>),</w:t>
      </w:r>
    </w:p>
    <w:p w14:paraId="3CCF28E9" w14:textId="77777777" w:rsidR="00CC42CC" w:rsidRPr="004A5365" w:rsidRDefault="00CC42CC" w:rsidP="00CC42CC">
      <w:pPr>
        <w:pStyle w:val="IPPBullet2"/>
      </w:pPr>
      <w:r w:rsidRPr="004A5365">
        <w:t xml:space="preserve">2022 amendments to ISPM 5, </w:t>
      </w:r>
    </w:p>
    <w:p w14:paraId="72613F98" w14:textId="77777777" w:rsidR="00CC42CC" w:rsidRPr="004A5365" w:rsidRDefault="00CC42CC" w:rsidP="00CC42CC">
      <w:pPr>
        <w:pStyle w:val="IPPBullet2"/>
      </w:pPr>
      <w:r w:rsidRPr="004A5365">
        <w:t xml:space="preserve">Annex 1 (Criteria for evaluation of available information for determining host status of </w:t>
      </w:r>
      <w:proofErr w:type="gramStart"/>
      <w:r w:rsidRPr="004A5365">
        <w:t>fruit to fruit</w:t>
      </w:r>
      <w:proofErr w:type="gramEnd"/>
      <w:r w:rsidRPr="004A5365">
        <w:t xml:space="preserve"> flies) to ISPM 37 (</w:t>
      </w:r>
      <w:r w:rsidRPr="004A5365">
        <w:rPr>
          <w:i/>
          <w:iCs/>
        </w:rPr>
        <w:t xml:space="preserve">Determination of host status of </w:t>
      </w:r>
      <w:proofErr w:type="gramStart"/>
      <w:r w:rsidRPr="004A5365">
        <w:rPr>
          <w:i/>
          <w:iCs/>
        </w:rPr>
        <w:t>fruit to fruit</w:t>
      </w:r>
      <w:proofErr w:type="gramEnd"/>
      <w:r w:rsidRPr="004A5365">
        <w:rPr>
          <w:i/>
          <w:iCs/>
        </w:rPr>
        <w:t xml:space="preserve"> flies ((</w:t>
      </w:r>
      <w:proofErr w:type="spellStart"/>
      <w:r w:rsidRPr="004A5365">
        <w:rPr>
          <w:i/>
          <w:iCs/>
        </w:rPr>
        <w:t>Tephritidae</w:t>
      </w:r>
      <w:proofErr w:type="spellEnd"/>
      <w:r w:rsidRPr="004A5365">
        <w:rPr>
          <w:i/>
          <w:iCs/>
        </w:rPr>
        <w:t>)</w:t>
      </w:r>
      <w:r w:rsidRPr="004A5365">
        <w:t>),</w:t>
      </w:r>
    </w:p>
    <w:p w14:paraId="17D198F7" w14:textId="77777777" w:rsidR="00CC42CC" w:rsidRPr="004A5365" w:rsidRDefault="00CC42CC" w:rsidP="00CC42CC">
      <w:pPr>
        <w:pStyle w:val="IPPBullet2"/>
      </w:pPr>
      <w:r w:rsidRPr="004A5365">
        <w:t>Annex 1 (Use of systems approaches in managing the pest risk associated with the movement of wood) to ISPM 39 (</w:t>
      </w:r>
      <w:r w:rsidRPr="004A5365">
        <w:rPr>
          <w:i/>
          <w:iCs/>
        </w:rPr>
        <w:t>International movement of wood</w:t>
      </w:r>
      <w:r w:rsidRPr="004A5365">
        <w:t>),</w:t>
      </w:r>
    </w:p>
    <w:p w14:paraId="5EE60130" w14:textId="77777777" w:rsidR="00CC42CC" w:rsidRPr="004A5365" w:rsidRDefault="00CC42CC" w:rsidP="00CC42CC">
      <w:pPr>
        <w:pStyle w:val="IPPBullet2"/>
      </w:pPr>
      <w:r w:rsidRPr="004A5365">
        <w:t>Annex to ISPM 28 (</w:t>
      </w:r>
      <w:r w:rsidRPr="004A5365">
        <w:rPr>
          <w:i/>
          <w:iCs/>
        </w:rPr>
        <w:t>Phytosanitary treatments for regulated pests</w:t>
      </w:r>
      <w:r w:rsidRPr="004A5365">
        <w:t xml:space="preserve">): PT 46 (Cold treatment for </w:t>
      </w:r>
      <w:proofErr w:type="spellStart"/>
      <w:r w:rsidRPr="004A5365">
        <w:rPr>
          <w:i/>
          <w:iCs/>
        </w:rPr>
        <w:t>Thaumatotibia</w:t>
      </w:r>
      <w:proofErr w:type="spellEnd"/>
      <w:r w:rsidRPr="004A5365">
        <w:rPr>
          <w:i/>
          <w:iCs/>
        </w:rPr>
        <w:t xml:space="preserve"> </w:t>
      </w:r>
      <w:proofErr w:type="spellStart"/>
      <w:r w:rsidRPr="004A5365">
        <w:rPr>
          <w:i/>
          <w:iCs/>
        </w:rPr>
        <w:t>leucotreta</w:t>
      </w:r>
      <w:proofErr w:type="spellEnd"/>
      <w:r w:rsidRPr="004A5365">
        <w:t xml:space="preserve"> on </w:t>
      </w:r>
      <w:r w:rsidRPr="004A5365">
        <w:rPr>
          <w:i/>
          <w:iCs/>
        </w:rPr>
        <w:t>Citrus sinensis</w:t>
      </w:r>
      <w:r w:rsidRPr="004A5365">
        <w:t>),</w:t>
      </w:r>
    </w:p>
    <w:p w14:paraId="38C876E3" w14:textId="77777777" w:rsidR="00CC42CC" w:rsidRPr="004A5365" w:rsidRDefault="00CC42CC" w:rsidP="00CC42CC">
      <w:pPr>
        <w:pStyle w:val="IPPBullet2"/>
      </w:pPr>
      <w:r w:rsidRPr="004A5365">
        <w:lastRenderedPageBreak/>
        <w:t>Annex to ISPM 46 (</w:t>
      </w:r>
      <w:r w:rsidRPr="004A5365">
        <w:rPr>
          <w:i/>
          <w:iCs/>
        </w:rPr>
        <w:t>Commodity-specific standards for phytosanitary measures</w:t>
      </w:r>
      <w:r w:rsidRPr="004A5365">
        <w:t>): CS 1 (International movement of fresh Mangifera indica fruit), and</w:t>
      </w:r>
    </w:p>
    <w:p w14:paraId="7D85C43E" w14:textId="77777777" w:rsidR="00CC42CC" w:rsidRPr="004A5365" w:rsidRDefault="00CC42CC" w:rsidP="00CC42CC">
      <w:pPr>
        <w:pStyle w:val="IPPBullet2"/>
      </w:pPr>
      <w:r w:rsidRPr="004A5365">
        <w:t xml:space="preserve">CPM Recommendation on </w:t>
      </w:r>
      <w:r w:rsidRPr="004A5365">
        <w:rPr>
          <w:i/>
          <w:iCs/>
        </w:rPr>
        <w:t>Minimizing the pest risk associated with the sea-container pathway</w:t>
      </w:r>
      <w:r w:rsidRPr="004A5365">
        <w:t xml:space="preserve"> (R-06); and</w:t>
      </w:r>
    </w:p>
    <w:p w14:paraId="0FC6804D" w14:textId="77777777" w:rsidR="00CC42CC" w:rsidRDefault="00CC42CC" w:rsidP="00CC42CC">
      <w:pPr>
        <w:pStyle w:val="IPPNumberedListLast"/>
      </w:pPr>
      <w:r w:rsidRPr="004A5365">
        <w:rPr>
          <w:i/>
          <w:iCs/>
        </w:rPr>
        <w:t>thanked</w:t>
      </w:r>
      <w:r w:rsidRPr="004A5365">
        <w:t xml:space="preserve"> contracting parties and RPPOs involved in the language review groups, as well as the FAO translation service, for their efforts and hard work to improve the language versions of ISPMs (including annexes) and CPM recommendations.</w:t>
      </w:r>
    </w:p>
    <w:p w14:paraId="6B3A812C" w14:textId="77777777" w:rsidR="00B44466" w:rsidRPr="004A5365" w:rsidRDefault="00B44466" w:rsidP="00B44466">
      <w:pPr>
        <w:pStyle w:val="IPPHeading2"/>
      </w:pPr>
      <w:r w:rsidRPr="004A5365">
        <w:t>11.1</w:t>
      </w:r>
      <w:r w:rsidRPr="004A5365">
        <w:tab/>
        <w:t>Ink amendments to adopted ISPMs</w:t>
      </w:r>
    </w:p>
    <w:p w14:paraId="3E7A57BE" w14:textId="77777777" w:rsidR="00B44466" w:rsidRPr="000145D4" w:rsidRDefault="00B44466" w:rsidP="00B44466">
      <w:pPr>
        <w:pStyle w:val="IPPParagraphnumbering"/>
        <w:rPr>
          <w:lang w:val="en-GB"/>
        </w:rPr>
      </w:pPr>
      <w:r w:rsidRPr="000145D4">
        <w:rPr>
          <w:lang w:val="en-GB"/>
        </w:rPr>
        <w:t xml:space="preserve">The </w:t>
      </w:r>
      <w:r w:rsidRPr="000145D4">
        <w:t>secretariat</w:t>
      </w:r>
      <w:r w:rsidRPr="000145D4">
        <w:rPr>
          <w:lang w:val="en-GB"/>
        </w:rPr>
        <w:t xml:space="preserve"> presented a paper on proposed ink amendments to adopted ISPMs arising from consistency reviews.</w:t>
      </w:r>
      <w:r w:rsidRPr="000145D4">
        <w:rPr>
          <w:rStyle w:val="FootnoteReference"/>
          <w:lang w:val="en-GB"/>
        </w:rPr>
        <w:footnoteReference w:id="28"/>
      </w:r>
    </w:p>
    <w:p w14:paraId="7684D715" w14:textId="77777777" w:rsidR="00B44466" w:rsidRPr="004A5365" w:rsidRDefault="00B44466" w:rsidP="00B44466">
      <w:pPr>
        <w:pStyle w:val="IPPParagraphnumberingclose"/>
        <w:rPr>
          <w:lang w:val="en-GB"/>
        </w:rPr>
      </w:pPr>
      <w:r w:rsidRPr="004A5365">
        <w:rPr>
          <w:lang w:val="en-GB"/>
        </w:rPr>
        <w:t>The CPM:</w:t>
      </w:r>
    </w:p>
    <w:p w14:paraId="613C3045" w14:textId="77777777" w:rsidR="00B44466" w:rsidRPr="004A5365" w:rsidRDefault="00B44466" w:rsidP="00B44466">
      <w:pPr>
        <w:pStyle w:val="IPPNumberedList"/>
        <w:numPr>
          <w:ilvl w:val="0"/>
          <w:numId w:val="42"/>
        </w:numPr>
        <w:rPr>
          <w:lang w:val="en-GB"/>
        </w:rPr>
      </w:pPr>
      <w:r w:rsidRPr="004A5365">
        <w:rPr>
          <w:i/>
          <w:iCs/>
          <w:lang w:val="en-GB"/>
        </w:rPr>
        <w:t>noted</w:t>
      </w:r>
      <w:r w:rsidRPr="004A5365">
        <w:rPr>
          <w:lang w:val="en-GB"/>
        </w:rPr>
        <w:t xml:space="preserve"> the deletion of the term “plant protection organization (national)” from ISPM 5 as an ink amendment, this term being simply a cross-reference to the term “national plant protection organization” (Attachment 01 of CPM 2026/28, in English</w:t>
      </w:r>
      <w:proofErr w:type="gramStart"/>
      <w:r w:rsidRPr="004A5365">
        <w:rPr>
          <w:lang w:val="en-GB"/>
        </w:rPr>
        <w:t>);</w:t>
      </w:r>
      <w:proofErr w:type="gramEnd"/>
    </w:p>
    <w:p w14:paraId="5D14B9C8" w14:textId="77777777" w:rsidR="00B44466" w:rsidRPr="004A5365" w:rsidRDefault="00B44466" w:rsidP="00B44466">
      <w:pPr>
        <w:pStyle w:val="IPPNumberedList"/>
        <w:rPr>
          <w:lang w:val="en-GB"/>
        </w:rPr>
      </w:pPr>
      <w:r w:rsidRPr="004A5365">
        <w:rPr>
          <w:i/>
          <w:iCs/>
          <w:lang w:val="en-GB"/>
        </w:rPr>
        <w:t>noted</w:t>
      </w:r>
      <w:r w:rsidRPr="004A5365">
        <w:rPr>
          <w:lang w:val="en-GB"/>
        </w:rPr>
        <w:t xml:space="preserve"> the ink amendments to the Spanish version of ISPM 15 (</w:t>
      </w:r>
      <w:r w:rsidRPr="004A5365">
        <w:rPr>
          <w:i/>
          <w:iCs/>
          <w:lang w:val="en-GB"/>
        </w:rPr>
        <w:t>Regulation of wood packaging material in international trade</w:t>
      </w:r>
      <w:r w:rsidRPr="004A5365">
        <w:rPr>
          <w:lang w:val="en-GB"/>
        </w:rPr>
        <w:t>) for translation consistency of the English word “remanufactured” and the ISPM 5 term “point of entry” (Attachment 02 of CPM 2026/28, in English</w:t>
      </w:r>
      <w:proofErr w:type="gramStart"/>
      <w:r w:rsidRPr="004A5365">
        <w:rPr>
          <w:lang w:val="en-GB"/>
        </w:rPr>
        <w:t>);</w:t>
      </w:r>
      <w:proofErr w:type="gramEnd"/>
    </w:p>
    <w:p w14:paraId="7F280B03" w14:textId="77777777" w:rsidR="00B44466" w:rsidRPr="004A5365" w:rsidRDefault="00B44466" w:rsidP="00B44466">
      <w:pPr>
        <w:pStyle w:val="IPPNumberedList"/>
        <w:rPr>
          <w:lang w:val="en-GB"/>
        </w:rPr>
      </w:pPr>
      <w:r w:rsidRPr="004A5365">
        <w:rPr>
          <w:i/>
          <w:iCs/>
          <w:lang w:val="en-GB"/>
        </w:rPr>
        <w:t>noted</w:t>
      </w:r>
      <w:r w:rsidRPr="004A5365">
        <w:rPr>
          <w:lang w:val="en-GB"/>
        </w:rPr>
        <w:t xml:space="preserve"> that the ink amendments would be implemented into all FAO language versions of the standards concerned as resources permitted;</w:t>
      </w:r>
      <w:r>
        <w:rPr>
          <w:lang w:val="en-GB"/>
        </w:rPr>
        <w:t xml:space="preserve"> </w:t>
      </w:r>
      <w:r w:rsidRPr="004A5365">
        <w:rPr>
          <w:lang w:val="en-GB"/>
        </w:rPr>
        <w:t>and</w:t>
      </w:r>
    </w:p>
    <w:p w14:paraId="3E3B7EBB" w14:textId="77777777" w:rsidR="00B44466" w:rsidRDefault="00B44466" w:rsidP="00B44466">
      <w:pPr>
        <w:pStyle w:val="IPPNumberedListLast"/>
      </w:pPr>
      <w:r w:rsidRPr="004A5365">
        <w:rPr>
          <w:i/>
          <w:iCs/>
        </w:rPr>
        <w:t>noted</w:t>
      </w:r>
      <w:r w:rsidRPr="004A5365">
        <w:t xml:space="preserve"> that, once the secretariat had applied the ink amendments, the previous versions of the standards would be replaced by the newly implemented versions.</w:t>
      </w:r>
    </w:p>
    <w:p w14:paraId="06679061" w14:textId="5B987055" w:rsidR="001A2904" w:rsidRPr="005C660F" w:rsidRDefault="001A2904" w:rsidP="001A2904">
      <w:pPr>
        <w:pStyle w:val="IPPHeading1"/>
      </w:pPr>
      <w:r>
        <w:t>12.</w:t>
      </w:r>
      <w:r>
        <w:tab/>
        <w:t>CPM recommendations</w:t>
      </w:r>
    </w:p>
    <w:p w14:paraId="4E1A93E8" w14:textId="77777777" w:rsidR="001A2904" w:rsidRPr="005C660F" w:rsidRDefault="001A2904" w:rsidP="001A2904">
      <w:pPr>
        <w:pStyle w:val="IPPParagraphnumbering"/>
        <w:rPr>
          <w:lang w:val="en-GB"/>
        </w:rPr>
      </w:pPr>
      <w:r w:rsidRPr="005C660F">
        <w:rPr>
          <w:lang w:val="en-GB"/>
        </w:rPr>
        <w:t>The CPM chairperson referred to the paper for this agenda item, which outlined the background to the development of CPM recommendations.</w:t>
      </w:r>
      <w:r w:rsidRPr="005C660F">
        <w:rPr>
          <w:rStyle w:val="FootnoteReference"/>
          <w:lang w:val="en-GB"/>
        </w:rPr>
        <w:footnoteReference w:id="29"/>
      </w:r>
    </w:p>
    <w:p w14:paraId="6CA90DBC" w14:textId="77777777" w:rsidR="001A2904" w:rsidRPr="005C660F" w:rsidRDefault="001A2904" w:rsidP="001A2904">
      <w:pPr>
        <w:pStyle w:val="IPPParagraphnumberingclose"/>
        <w:rPr>
          <w:lang w:val="en-GB"/>
        </w:rPr>
      </w:pPr>
      <w:r w:rsidRPr="005C660F">
        <w:rPr>
          <w:lang w:val="en-GB"/>
        </w:rPr>
        <w:t>The CPM:</w:t>
      </w:r>
      <w:r>
        <w:rPr>
          <w:lang w:val="en-GB"/>
        </w:rPr>
        <w:t xml:space="preserve"> </w:t>
      </w:r>
    </w:p>
    <w:p w14:paraId="2C80D910" w14:textId="77777777" w:rsidR="001A2904" w:rsidRPr="005C660F" w:rsidRDefault="001A2904" w:rsidP="001A2904">
      <w:pPr>
        <w:pStyle w:val="IPPNumberedList"/>
        <w:numPr>
          <w:ilvl w:val="0"/>
          <w:numId w:val="41"/>
        </w:numPr>
        <w:rPr>
          <w:lang w:val="en-GB"/>
        </w:rPr>
      </w:pPr>
      <w:r w:rsidRPr="005C660F">
        <w:rPr>
          <w:i/>
          <w:iCs/>
          <w:lang w:val="en-GB"/>
        </w:rPr>
        <w:t>noted</w:t>
      </w:r>
      <w:r w:rsidRPr="005C660F">
        <w:rPr>
          <w:lang w:val="en-GB"/>
        </w:rPr>
        <w:t xml:space="preserve"> that no proposals for CPM </w:t>
      </w:r>
      <w:r>
        <w:rPr>
          <w:lang w:val="en-GB"/>
        </w:rPr>
        <w:t>r</w:t>
      </w:r>
      <w:r w:rsidRPr="005C660F">
        <w:rPr>
          <w:lang w:val="en-GB"/>
        </w:rPr>
        <w:t>ecommendations had been submitted to the secretariat since CPM-19 (2025); and</w:t>
      </w:r>
    </w:p>
    <w:p w14:paraId="661406B6" w14:textId="77777777" w:rsidR="001A2904" w:rsidRDefault="001A2904" w:rsidP="001A2904">
      <w:pPr>
        <w:pStyle w:val="IPPNumberedListLast"/>
      </w:pPr>
      <w:r w:rsidRPr="01A4282E">
        <w:rPr>
          <w:i/>
          <w:iCs/>
        </w:rPr>
        <w:t>encouraged</w:t>
      </w:r>
      <w:r>
        <w:t xml:space="preserve"> </w:t>
      </w:r>
      <w:r w:rsidRPr="00B97BE3">
        <w:t>contracting</w:t>
      </w:r>
      <w:r>
        <w:t xml:space="preserve"> parties, RPPOs, CPM focus groups, other subsidiary bodies and the secretariat to consider submitting new proposals for CPM recommendations to the secretariat for presentation to the CPM.</w:t>
      </w:r>
    </w:p>
    <w:p w14:paraId="1EFC0E9C" w14:textId="77777777" w:rsidR="00B44466" w:rsidRPr="005C660F" w:rsidRDefault="00B44466" w:rsidP="00B44466">
      <w:pPr>
        <w:pStyle w:val="IPPHeading2"/>
      </w:pPr>
      <w:r w:rsidRPr="005C660F">
        <w:t>13.2</w:t>
      </w:r>
      <w:r w:rsidRPr="005C660F">
        <w:tab/>
        <w:t>Commodity- and pathway-specific ISPMs</w:t>
      </w:r>
    </w:p>
    <w:p w14:paraId="46C933BD" w14:textId="1788AB93" w:rsidR="00B44466" w:rsidRPr="00120F0A" w:rsidRDefault="00B44466" w:rsidP="00B44466">
      <w:pPr>
        <w:pStyle w:val="IPPParagraphnumbering"/>
        <w:rPr>
          <w:lang w:val="en-GB"/>
        </w:rPr>
      </w:pPr>
      <w:r w:rsidRPr="003709AD">
        <w:rPr>
          <w:lang w:val="en-GB"/>
        </w:rPr>
        <w:t xml:space="preserve">The secretariat presented an update on the DAI “Commodity- and Pathway-Specific </w:t>
      </w:r>
      <w:r w:rsidRPr="00484320">
        <w:rPr>
          <w:lang w:val="en-GB"/>
        </w:rPr>
        <w:t>ISPMs”,</w:t>
      </w:r>
      <w:r w:rsidRPr="00484320">
        <w:rPr>
          <w:rStyle w:val="FootnoteReference"/>
          <w:lang w:val="en-GB"/>
        </w:rPr>
        <w:footnoteReference w:id="30"/>
      </w:r>
      <w:r w:rsidRPr="00484320">
        <w:rPr>
          <w:lang w:val="en-GB"/>
        </w:rPr>
        <w:t xml:space="preserve"> outlining progress with the development of draft commodity standards (annexes to ISPM 46) and reporting on discussions within IPPC bodies about concerns that had been expressed about the potential misuse of commodity standards and the criteria for </w:t>
      </w:r>
      <w:r w:rsidRPr="00484320">
        <w:t>determining</w:t>
      </w:r>
      <w:r w:rsidRPr="00484320">
        <w:rPr>
          <w:lang w:val="en-GB"/>
        </w:rPr>
        <w:t xml:space="preserve"> which pests to include in them. In response these concerns, the SC had discussed the use of terminology regarding pest absence and confirmed that the Technical Panel on Commodity Standards (TPCS) could fully exercise its authority to </w:t>
      </w:r>
      <w:r w:rsidRPr="00484320">
        <w:t xml:space="preserve">excludes pests if the evidence provided did not demonstrate that the commodity is a pathway for the pest. The </w:t>
      </w:r>
      <w:r>
        <w:t xml:space="preserve">secretariat also referred to a proposal to hold </w:t>
      </w:r>
      <w:r w:rsidRPr="00120F0A">
        <w:t>a joint IPPC–APP</w:t>
      </w:r>
      <w:r w:rsidR="00ED7E15">
        <w:t>P</w:t>
      </w:r>
      <w:r w:rsidRPr="00120F0A">
        <w:t>C workshop on commodity standards.</w:t>
      </w:r>
      <w:r w:rsidRPr="00120F0A">
        <w:rPr>
          <w:rStyle w:val="FootnoteReference"/>
        </w:rPr>
        <w:footnoteReference w:id="31"/>
      </w:r>
    </w:p>
    <w:p w14:paraId="2FD2B4ED" w14:textId="77777777" w:rsidR="00B44466" w:rsidRPr="0066799F" w:rsidRDefault="00B44466" w:rsidP="00B44466">
      <w:pPr>
        <w:pStyle w:val="IPPParagraphnumbering"/>
        <w:rPr>
          <w:lang w:val="en-GB"/>
        </w:rPr>
      </w:pPr>
      <w:r w:rsidRPr="00D2742A">
        <w:lastRenderedPageBreak/>
        <w:t>The</w:t>
      </w:r>
      <w:r>
        <w:t xml:space="preserve"> CPM recognized that, although the subject </w:t>
      </w:r>
      <w:r w:rsidRPr="00070EB4">
        <w:rPr>
          <w:i/>
          <w:iCs/>
        </w:rPr>
        <w:t>International movement of fresh orange</w:t>
      </w:r>
      <w:r w:rsidRPr="00070EB4">
        <w:t xml:space="preserve"> </w:t>
      </w:r>
      <w:r w:rsidRPr="00070EB4">
        <w:rPr>
          <w:i/>
          <w:iCs/>
        </w:rPr>
        <w:t>(</w:t>
      </w:r>
      <w:r w:rsidRPr="00070EB4">
        <w:t>Citrus sinensis</w:t>
      </w:r>
      <w:r w:rsidRPr="00070EB4">
        <w:rPr>
          <w:i/>
          <w:iCs/>
        </w:rPr>
        <w:t>) fruit</w:t>
      </w:r>
      <w:r w:rsidRPr="00070EB4">
        <w:t xml:space="preserve"> (2023-027)</w:t>
      </w:r>
      <w:r>
        <w:t xml:space="preserve"> (priority 2) was covered within the scope of the subject </w:t>
      </w:r>
      <w:r w:rsidRPr="00070EB4">
        <w:rPr>
          <w:i/>
          <w:iCs/>
        </w:rPr>
        <w:t xml:space="preserve">International movement of </w:t>
      </w:r>
      <w:r w:rsidRPr="00070EB4">
        <w:t>Citrus</w:t>
      </w:r>
      <w:r w:rsidRPr="00070EB4">
        <w:rPr>
          <w:i/>
          <w:iCs/>
        </w:rPr>
        <w:t xml:space="preserve"> fruit</w:t>
      </w:r>
      <w:r w:rsidRPr="00070EB4">
        <w:t xml:space="preserve"> (2023-019)</w:t>
      </w:r>
      <w:r>
        <w:t xml:space="preserve"> (priority 1), it would be prudent to keep it in the work </w:t>
      </w:r>
      <w:proofErr w:type="spellStart"/>
      <w:r>
        <w:t>programme</w:t>
      </w:r>
      <w:proofErr w:type="spellEnd"/>
      <w:r>
        <w:t xml:space="preserve"> until the </w:t>
      </w:r>
      <w:r>
        <w:rPr>
          <w:i/>
          <w:iCs/>
        </w:rPr>
        <w:t xml:space="preserve">Citrus </w:t>
      </w:r>
      <w:r>
        <w:t xml:space="preserve">fruit standard was adopted, in case the latter proved not to be feasible. </w:t>
      </w:r>
    </w:p>
    <w:p w14:paraId="4173A4B7" w14:textId="77777777" w:rsidR="00B44466" w:rsidRPr="0066799F" w:rsidRDefault="00B44466" w:rsidP="00B44466">
      <w:pPr>
        <w:pStyle w:val="IPPParagraphnumbering"/>
        <w:rPr>
          <w:lang w:val="en-GB"/>
        </w:rPr>
      </w:pPr>
      <w:r>
        <w:rPr>
          <w:lang w:val="en-GB"/>
        </w:rPr>
        <w:t xml:space="preserve">The CPM noted concerns </w:t>
      </w:r>
      <w:r w:rsidRPr="0066799F">
        <w:rPr>
          <w:lang w:val="en-GB"/>
        </w:rPr>
        <w:t xml:space="preserve">that pests with low mobility and pests whose association with the pathway has a high degree of uncertainty </w:t>
      </w:r>
      <w:r w:rsidRPr="0066799F">
        <w:t>continued</w:t>
      </w:r>
      <w:r w:rsidRPr="0066799F">
        <w:rPr>
          <w:lang w:val="en-GB"/>
        </w:rPr>
        <w:t xml:space="preserve"> to appear in draft commodity standards</w:t>
      </w:r>
      <w:r>
        <w:rPr>
          <w:lang w:val="en-GB"/>
        </w:rPr>
        <w:t>,</w:t>
      </w:r>
      <w:r w:rsidRPr="0066799F">
        <w:rPr>
          <w:rStyle w:val="FootnoteReference"/>
          <w:lang w:val="en-GB"/>
        </w:rPr>
        <w:footnoteReference w:id="32"/>
      </w:r>
      <w:r w:rsidRPr="0066799F">
        <w:rPr>
          <w:lang w:val="en-GB"/>
        </w:rPr>
        <w:t xml:space="preserve"> </w:t>
      </w:r>
      <w:r>
        <w:rPr>
          <w:lang w:val="en-GB"/>
        </w:rPr>
        <w:t xml:space="preserve">and they recognized the importance of CPs providing </w:t>
      </w:r>
      <w:r w:rsidRPr="0066799F">
        <w:rPr>
          <w:lang w:val="en-GB"/>
        </w:rPr>
        <w:t>technical justification when proposing pests to be added to draft commodity standards.</w:t>
      </w:r>
      <w:r w:rsidRPr="0066799F">
        <w:rPr>
          <w:rStyle w:val="FootnoteReference"/>
          <w:lang w:val="en-GB"/>
        </w:rPr>
        <w:footnoteReference w:id="33"/>
      </w:r>
      <w:r>
        <w:rPr>
          <w:lang w:val="en-GB"/>
        </w:rPr>
        <w:t xml:space="preserve"> The CPM noted that ISPM 46 included safeguards against misuse or misinterpretation of its annexes and the SC and TPCS were also giving further consideration to the criteria for excluding pests from draft commodity standards.</w:t>
      </w:r>
      <w:r w:rsidRPr="0066799F">
        <w:t xml:space="preserve"> The CPM </w:t>
      </w:r>
      <w:r>
        <w:t xml:space="preserve">noted </w:t>
      </w:r>
      <w:r w:rsidRPr="0066799F">
        <w:t xml:space="preserve">a call for </w:t>
      </w:r>
      <w:r w:rsidRPr="0066799F">
        <w:rPr>
          <w:lang w:val="en-GB"/>
        </w:rPr>
        <w:t xml:space="preserve">the IPPC community and the SC to </w:t>
      </w:r>
      <w:r>
        <w:rPr>
          <w:lang w:val="en-GB"/>
        </w:rPr>
        <w:t xml:space="preserve">continue to </w:t>
      </w:r>
      <w:r w:rsidRPr="0066799F">
        <w:rPr>
          <w:lang w:val="en-GB"/>
        </w:rPr>
        <w:t xml:space="preserve">devote </w:t>
      </w:r>
      <w:r>
        <w:rPr>
          <w:lang w:val="en-GB"/>
        </w:rPr>
        <w:t xml:space="preserve">sufficient </w:t>
      </w:r>
      <w:r w:rsidRPr="0066799F">
        <w:rPr>
          <w:lang w:val="en-GB"/>
        </w:rPr>
        <w:t>time to the development of this first set of standards to build a solid basis for the subsequent standards.</w:t>
      </w:r>
      <w:r w:rsidRPr="0066799F">
        <w:rPr>
          <w:rStyle w:val="FootnoteReference"/>
          <w:lang w:val="en-GB"/>
        </w:rPr>
        <w:footnoteReference w:id="34"/>
      </w:r>
    </w:p>
    <w:p w14:paraId="12B0B0F5" w14:textId="77777777" w:rsidR="00B44466" w:rsidRPr="0066799F" w:rsidRDefault="00B44466" w:rsidP="00B44466">
      <w:pPr>
        <w:pStyle w:val="IPPParagraphnumbering"/>
        <w:rPr>
          <w:lang w:val="en-GB"/>
        </w:rPr>
      </w:pPr>
      <w:r w:rsidRPr="0066799F">
        <w:t>The CPM considered a proposal from the Asia and Pacific Plant Protection Commission (APPC), New Zealand and the Republic of Korea to hold a joint IPPC–APPC workshop on commodity standards.</w:t>
      </w:r>
      <w:r w:rsidRPr="0066799F">
        <w:rPr>
          <w:rStyle w:val="FootnoteReference"/>
        </w:rPr>
        <w:footnoteReference w:id="35"/>
      </w:r>
      <w:r w:rsidRPr="0066799F">
        <w:t xml:space="preserve"> This included the offer of potential funding </w:t>
      </w:r>
      <w:r>
        <w:t>from all three parties</w:t>
      </w:r>
      <w:r w:rsidRPr="0066799F">
        <w:t>.</w:t>
      </w:r>
      <w:r>
        <w:t xml:space="preserve"> New Zealand and the Philippines both offered to serve on the organizing committee for the workshop. </w:t>
      </w:r>
    </w:p>
    <w:p w14:paraId="1F815636" w14:textId="77777777" w:rsidR="00B44466" w:rsidRPr="005C660F" w:rsidRDefault="00B44466" w:rsidP="00B44466">
      <w:pPr>
        <w:pStyle w:val="IPPParagraphnumberingclose"/>
        <w:rPr>
          <w:lang w:val="en-GB"/>
        </w:rPr>
      </w:pPr>
      <w:r w:rsidRPr="005C660F">
        <w:rPr>
          <w:lang w:val="en-GB"/>
        </w:rPr>
        <w:t>The CPM:</w:t>
      </w:r>
    </w:p>
    <w:p w14:paraId="3FD519BA" w14:textId="77777777" w:rsidR="00B44466" w:rsidRPr="005C660F" w:rsidRDefault="00B44466" w:rsidP="00B44466">
      <w:pPr>
        <w:pStyle w:val="IPPNumberedList"/>
        <w:numPr>
          <w:ilvl w:val="0"/>
          <w:numId w:val="58"/>
        </w:numPr>
      </w:pPr>
      <w:r w:rsidRPr="00522467">
        <w:rPr>
          <w:i/>
          <w:iCs/>
        </w:rPr>
        <w:t xml:space="preserve">noted </w:t>
      </w:r>
      <w:r w:rsidRPr="638808F0">
        <w:t>the update on the DAI “Commodity- and Pathway-Specific ISPMs</w:t>
      </w:r>
      <w:proofErr w:type="gramStart"/>
      <w:r w:rsidRPr="638808F0">
        <w:t>”;</w:t>
      </w:r>
      <w:proofErr w:type="gramEnd"/>
    </w:p>
    <w:p w14:paraId="6D48D2AE" w14:textId="77777777" w:rsidR="00B44466" w:rsidRPr="001104B6" w:rsidRDefault="00B44466" w:rsidP="00B44466">
      <w:pPr>
        <w:pStyle w:val="IPPNumberedList"/>
        <w:rPr>
          <w:lang w:val="en-GB"/>
        </w:rPr>
      </w:pPr>
      <w:r>
        <w:rPr>
          <w:i/>
          <w:iCs/>
          <w:lang w:val="en-GB"/>
        </w:rPr>
        <w:t xml:space="preserve">endorsed </w:t>
      </w:r>
      <w:r>
        <w:rPr>
          <w:lang w:val="en-GB"/>
        </w:rPr>
        <w:t xml:space="preserve">the proposal to </w:t>
      </w:r>
      <w:r w:rsidRPr="001104B6">
        <w:rPr>
          <w:lang w:val="en-GB"/>
        </w:rPr>
        <w:t xml:space="preserve">organize a </w:t>
      </w:r>
      <w:r w:rsidRPr="00356DC5">
        <w:rPr>
          <w:lang w:val="en-GB"/>
        </w:rPr>
        <w:t>joint IPPC</w:t>
      </w:r>
      <w:r>
        <w:rPr>
          <w:lang w:val="en-GB"/>
        </w:rPr>
        <w:t>–</w:t>
      </w:r>
      <w:r w:rsidRPr="00356DC5">
        <w:rPr>
          <w:lang w:val="en-GB"/>
        </w:rPr>
        <w:t xml:space="preserve">APPPC global workshop on commodity standards in June 2027 and </w:t>
      </w:r>
      <w:r w:rsidRPr="00F17769">
        <w:rPr>
          <w:i/>
          <w:iCs/>
          <w:lang w:val="en-GB"/>
        </w:rPr>
        <w:t>requested</w:t>
      </w:r>
      <w:r w:rsidRPr="00356DC5">
        <w:rPr>
          <w:lang w:val="en-GB"/>
        </w:rPr>
        <w:t xml:space="preserve"> </w:t>
      </w:r>
      <w:r>
        <w:rPr>
          <w:lang w:val="en-GB"/>
        </w:rPr>
        <w:t xml:space="preserve">that </w:t>
      </w:r>
      <w:r w:rsidRPr="00356DC5">
        <w:rPr>
          <w:lang w:val="en-GB"/>
        </w:rPr>
        <w:t xml:space="preserve">the IPPC Secretariat, in collaboration with APPPC, establish an </w:t>
      </w:r>
      <w:r>
        <w:rPr>
          <w:lang w:val="en-GB"/>
        </w:rPr>
        <w:t>o</w:t>
      </w:r>
      <w:r w:rsidRPr="00356DC5">
        <w:rPr>
          <w:lang w:val="en-GB"/>
        </w:rPr>
        <w:t xml:space="preserve">rganizing </w:t>
      </w:r>
      <w:r>
        <w:rPr>
          <w:lang w:val="en-GB"/>
        </w:rPr>
        <w:t>c</w:t>
      </w:r>
      <w:r w:rsidRPr="00356DC5">
        <w:rPr>
          <w:lang w:val="en-GB"/>
        </w:rPr>
        <w:t>ommittee under the oversight of the CPM Bureau</w:t>
      </w:r>
      <w:r w:rsidRPr="001104B6">
        <w:rPr>
          <w:lang w:val="en-GB"/>
        </w:rPr>
        <w:t>;</w:t>
      </w:r>
      <w:r>
        <w:rPr>
          <w:lang w:val="en-GB"/>
        </w:rPr>
        <w:t xml:space="preserve"> and</w:t>
      </w:r>
    </w:p>
    <w:p w14:paraId="1DC73C72" w14:textId="77777777" w:rsidR="00B44466" w:rsidRPr="005C660F" w:rsidRDefault="00B44466" w:rsidP="00B44466">
      <w:pPr>
        <w:pStyle w:val="IPPNumberedListLast"/>
      </w:pPr>
      <w:r w:rsidRPr="005C660F">
        <w:rPr>
          <w:i/>
          <w:iCs/>
        </w:rPr>
        <w:t xml:space="preserve">encouraged </w:t>
      </w:r>
      <w:r w:rsidRPr="005C660F">
        <w:t>contracting parties to participate actively in the current IPPC Call for Topics: Standards and Implementation and any future IPPC calls for information material for the development of specific commodity standards.</w:t>
      </w:r>
    </w:p>
    <w:p w14:paraId="36C3B1BF" w14:textId="77777777" w:rsidR="008C2C23" w:rsidRPr="002A1452" w:rsidRDefault="008C2C23" w:rsidP="008C2C23">
      <w:pPr>
        <w:pStyle w:val="IPPHeading2"/>
      </w:pPr>
      <w:r w:rsidRPr="002A1452">
        <w:t>13.3</w:t>
      </w:r>
      <w:r w:rsidRPr="002A1452">
        <w:tab/>
        <w:t>Management of e-commerce and postal and courier pathways</w:t>
      </w:r>
    </w:p>
    <w:p w14:paraId="0C86B093" w14:textId="77777777" w:rsidR="008C2C23" w:rsidRDefault="008C2C23" w:rsidP="008C2C23">
      <w:pPr>
        <w:pStyle w:val="IPPParagraphnumbering"/>
        <w:rPr>
          <w:lang w:val="en-GB"/>
        </w:rPr>
      </w:pPr>
      <w:r w:rsidRPr="002A1452">
        <w:rPr>
          <w:lang w:val="en-GB"/>
        </w:rPr>
        <w:t xml:space="preserve">The </w:t>
      </w:r>
      <w:r w:rsidRPr="5564F8E8">
        <w:rPr>
          <w:lang w:val="en-GB"/>
        </w:rPr>
        <w:t>lead for the IC Team on E-commerce</w:t>
      </w:r>
      <w:r w:rsidRPr="00533D00">
        <w:rPr>
          <w:lang w:val="en-GB"/>
        </w:rPr>
        <w:t xml:space="preserve"> presented an update on the DAI “Management of E-commerce and Postal and Courier Pathways”.</w:t>
      </w:r>
      <w:r w:rsidRPr="00FE5C86">
        <w:rPr>
          <w:rStyle w:val="FootnoteReference"/>
          <w:lang w:val="en-GB"/>
        </w:rPr>
        <w:footnoteReference w:id="36"/>
      </w:r>
      <w:r w:rsidRPr="00533D00">
        <w:rPr>
          <w:lang w:val="en-GB"/>
        </w:rPr>
        <w:t xml:space="preserve"> </w:t>
      </w:r>
      <w:r>
        <w:rPr>
          <w:lang w:val="en-GB"/>
        </w:rPr>
        <w:t>He</w:t>
      </w:r>
      <w:r w:rsidRPr="00533D00">
        <w:rPr>
          <w:lang w:val="en-GB"/>
        </w:rPr>
        <w:t xml:space="preserve"> reported that Phase 1 of the work </w:t>
      </w:r>
      <w:r>
        <w:rPr>
          <w:lang w:val="en-GB"/>
        </w:rPr>
        <w:t>had been completed</w:t>
      </w:r>
      <w:r w:rsidRPr="00533D00">
        <w:rPr>
          <w:lang w:val="en-GB"/>
        </w:rPr>
        <w:t xml:space="preserve"> and </w:t>
      </w:r>
      <w:r>
        <w:rPr>
          <w:lang w:val="en-GB"/>
        </w:rPr>
        <w:t>the CPM needed to decide w</w:t>
      </w:r>
      <w:r w:rsidRPr="000D2094">
        <w:rPr>
          <w:lang w:val="en-GB"/>
        </w:rPr>
        <w:t xml:space="preserve">hether to initiate </w:t>
      </w:r>
      <w:r>
        <w:rPr>
          <w:lang w:val="en-GB"/>
        </w:rPr>
        <w:t>P</w:t>
      </w:r>
      <w:r w:rsidRPr="000D2094">
        <w:rPr>
          <w:lang w:val="en-GB"/>
        </w:rPr>
        <w:t>hase</w:t>
      </w:r>
      <w:r>
        <w:rPr>
          <w:lang w:val="en-GB"/>
        </w:rPr>
        <w:t> </w:t>
      </w:r>
      <w:r w:rsidRPr="000D2094">
        <w:rPr>
          <w:lang w:val="en-GB"/>
        </w:rPr>
        <w:t xml:space="preserve">2 (2026–2030), building on the achievements of </w:t>
      </w:r>
      <w:r>
        <w:rPr>
          <w:lang w:val="en-GB"/>
        </w:rPr>
        <w:t>P</w:t>
      </w:r>
      <w:r w:rsidRPr="000D2094">
        <w:rPr>
          <w:lang w:val="en-GB"/>
        </w:rPr>
        <w:t>hase</w:t>
      </w:r>
      <w:r>
        <w:rPr>
          <w:lang w:val="en-GB"/>
        </w:rPr>
        <w:t> </w:t>
      </w:r>
      <w:r w:rsidRPr="000D2094">
        <w:rPr>
          <w:lang w:val="en-GB"/>
        </w:rPr>
        <w:t xml:space="preserve">1 and the findings and recommendations </w:t>
      </w:r>
      <w:r>
        <w:rPr>
          <w:lang w:val="en-GB"/>
        </w:rPr>
        <w:t xml:space="preserve">of </w:t>
      </w:r>
      <w:r w:rsidRPr="00533D00">
        <w:rPr>
          <w:lang w:val="en-GB"/>
        </w:rPr>
        <w:t xml:space="preserve">the </w:t>
      </w:r>
      <w:r w:rsidRPr="1DE7290A">
        <w:rPr>
          <w:i/>
          <w:iCs/>
          <w:lang w:val="en-GB"/>
        </w:rPr>
        <w:t>IPPC Observatory study on e-commerce</w:t>
      </w:r>
      <w:r w:rsidRPr="00533D00">
        <w:rPr>
          <w:lang w:val="en-GB"/>
        </w:rPr>
        <w:t xml:space="preserve">. The IC lead </w:t>
      </w:r>
      <w:r>
        <w:rPr>
          <w:lang w:val="en-GB"/>
        </w:rPr>
        <w:t>referred the CPM to the proposed</w:t>
      </w:r>
      <w:r w:rsidRPr="002A1452">
        <w:rPr>
          <w:lang w:val="en-GB"/>
        </w:rPr>
        <w:t xml:space="preserve"> roadmap for potential Phase 2 </w:t>
      </w:r>
      <w:r>
        <w:rPr>
          <w:lang w:val="en-GB"/>
        </w:rPr>
        <w:t xml:space="preserve">and </w:t>
      </w:r>
      <w:r w:rsidRPr="00FE5C86">
        <w:rPr>
          <w:lang w:val="en-GB"/>
        </w:rPr>
        <w:t>the financial resources required to deliver it.</w:t>
      </w:r>
    </w:p>
    <w:p w14:paraId="2630B61F" w14:textId="77777777" w:rsidR="008C2C23" w:rsidRDefault="008C2C23" w:rsidP="008C2C23">
      <w:pPr>
        <w:pStyle w:val="IPPParagraphnumbering"/>
        <w:rPr>
          <w:lang w:val="en-GB"/>
        </w:rPr>
      </w:pPr>
      <w:r w:rsidRPr="1DE7290A">
        <w:rPr>
          <w:lang w:val="en-GB"/>
        </w:rPr>
        <w:t xml:space="preserve">The CPM noted </w:t>
      </w:r>
      <w:r>
        <w:rPr>
          <w:lang w:val="en-GB"/>
        </w:rPr>
        <w:t xml:space="preserve">a suggestion </w:t>
      </w:r>
      <w:r w:rsidRPr="1DE7290A">
        <w:rPr>
          <w:lang w:val="en-GB"/>
        </w:rPr>
        <w:t>that, ideally, the report from the observatory study would be published before progressing to Phase 2, so that CPs could fully understand the findings of Phase 1 before agreeing to progress to Phase 2. However, given the urgency of this DAI, the CPM agreed to proceed, noting for future CPMs the importance of having full reports available</w:t>
      </w:r>
      <w:r>
        <w:rPr>
          <w:lang w:val="en-GB"/>
        </w:rPr>
        <w:t xml:space="preserve"> where possible</w:t>
      </w:r>
      <w:r w:rsidRPr="1DE7290A">
        <w:rPr>
          <w:lang w:val="en-GB"/>
        </w:rPr>
        <w:t xml:space="preserve">. </w:t>
      </w:r>
    </w:p>
    <w:p w14:paraId="35C77803" w14:textId="77777777" w:rsidR="008C2C23" w:rsidRPr="002A1452" w:rsidRDefault="008C2C23" w:rsidP="008C2C23">
      <w:pPr>
        <w:pStyle w:val="IPPParagraphnumberingclose"/>
        <w:rPr>
          <w:lang w:val="en-GB"/>
        </w:rPr>
      </w:pPr>
      <w:r w:rsidRPr="002A1452">
        <w:rPr>
          <w:lang w:val="en-GB"/>
        </w:rPr>
        <w:t>The CPM:</w:t>
      </w:r>
    </w:p>
    <w:p w14:paraId="4053E022" w14:textId="77777777" w:rsidR="008C2C23" w:rsidRPr="002A1452" w:rsidRDefault="008C2C23" w:rsidP="008C2C23">
      <w:pPr>
        <w:pStyle w:val="IPPNumberedList"/>
        <w:numPr>
          <w:ilvl w:val="0"/>
          <w:numId w:val="16"/>
        </w:numPr>
        <w:rPr>
          <w:lang w:val="en-GB"/>
        </w:rPr>
      </w:pPr>
      <w:r w:rsidRPr="002A1452">
        <w:rPr>
          <w:i/>
          <w:iCs/>
          <w:lang w:val="en-GB"/>
        </w:rPr>
        <w:t xml:space="preserve">noted </w:t>
      </w:r>
      <w:r w:rsidRPr="002A1452">
        <w:rPr>
          <w:lang w:val="en-GB"/>
        </w:rPr>
        <w:t xml:space="preserve">the </w:t>
      </w:r>
      <w:r>
        <w:rPr>
          <w:lang w:val="en-GB"/>
        </w:rPr>
        <w:t xml:space="preserve">forthcoming publication of the </w:t>
      </w:r>
      <w:r w:rsidRPr="002A1452">
        <w:rPr>
          <w:lang w:val="en-GB"/>
        </w:rPr>
        <w:t xml:space="preserve">IPPC Observatory </w:t>
      </w:r>
      <w:r>
        <w:rPr>
          <w:lang w:val="en-GB"/>
        </w:rPr>
        <w:t xml:space="preserve">study on </w:t>
      </w:r>
      <w:proofErr w:type="gramStart"/>
      <w:r>
        <w:rPr>
          <w:lang w:val="en-GB"/>
        </w:rPr>
        <w:t>e</w:t>
      </w:r>
      <w:r w:rsidRPr="002A1452">
        <w:rPr>
          <w:lang w:val="en-GB"/>
        </w:rPr>
        <w:t>-commerce;</w:t>
      </w:r>
      <w:proofErr w:type="gramEnd"/>
    </w:p>
    <w:p w14:paraId="6CCA5868" w14:textId="77777777" w:rsidR="008C2C23" w:rsidRPr="002A1452" w:rsidRDefault="008C2C23" w:rsidP="008C2C23">
      <w:pPr>
        <w:pStyle w:val="IPPNumberedList"/>
        <w:rPr>
          <w:lang w:val="en-GB"/>
        </w:rPr>
      </w:pPr>
      <w:r w:rsidRPr="002A1452">
        <w:rPr>
          <w:i/>
          <w:iCs/>
          <w:lang w:val="en-GB"/>
        </w:rPr>
        <w:t>invited</w:t>
      </w:r>
      <w:r w:rsidRPr="002A1452">
        <w:rPr>
          <w:lang w:val="en-GB"/>
        </w:rPr>
        <w:t xml:space="preserve"> contracting parties and RPPOs to </w:t>
      </w:r>
      <w:proofErr w:type="gramStart"/>
      <w:r w:rsidRPr="002A1452">
        <w:rPr>
          <w:lang w:val="en-GB"/>
        </w:rPr>
        <w:t>take action</w:t>
      </w:r>
      <w:proofErr w:type="gramEnd"/>
      <w:r w:rsidRPr="002A1452">
        <w:rPr>
          <w:lang w:val="en-GB"/>
        </w:rPr>
        <w:t xml:space="preserve"> at national and regional levels based on the recommendations from the </w:t>
      </w:r>
      <w:r w:rsidRPr="002A1452">
        <w:rPr>
          <w:i/>
          <w:iCs/>
          <w:lang w:val="en-GB"/>
        </w:rPr>
        <w:t>IPPC Observatory study on e-commerce</w:t>
      </w:r>
      <w:r w:rsidRPr="002A1452">
        <w:rPr>
          <w:lang w:val="en-GB"/>
        </w:rPr>
        <w:t>, as presented in Appendix 1 of CPM </w:t>
      </w:r>
      <w:proofErr w:type="gramStart"/>
      <w:r w:rsidRPr="002A1452">
        <w:rPr>
          <w:lang w:val="en-GB"/>
        </w:rPr>
        <w:t>2026/15;</w:t>
      </w:r>
      <w:proofErr w:type="gramEnd"/>
    </w:p>
    <w:p w14:paraId="29AE88BE" w14:textId="77777777" w:rsidR="008C2C23" w:rsidRPr="0046644B" w:rsidRDefault="008C2C23" w:rsidP="008C2C23">
      <w:pPr>
        <w:pStyle w:val="IPPNumberedList"/>
        <w:rPr>
          <w:lang w:val="en-GB"/>
        </w:rPr>
      </w:pPr>
      <w:r w:rsidRPr="0046644B">
        <w:rPr>
          <w:i/>
          <w:iCs/>
          <w:lang w:val="en-GB"/>
        </w:rPr>
        <w:lastRenderedPageBreak/>
        <w:t>approved</w:t>
      </w:r>
      <w:r w:rsidRPr="0046644B">
        <w:rPr>
          <w:lang w:val="en-GB"/>
        </w:rPr>
        <w:t xml:space="preserve"> the proposed roadmap for Phase 2 of the DAI “Management of E-commerce and Postal and Courier Pathways” (2026-2030) and </w:t>
      </w:r>
      <w:r w:rsidRPr="0046644B">
        <w:rPr>
          <w:i/>
          <w:iCs/>
          <w:lang w:val="en-GB"/>
        </w:rPr>
        <w:t>agreed</w:t>
      </w:r>
      <w:r w:rsidRPr="0046644B">
        <w:rPr>
          <w:lang w:val="en-GB"/>
        </w:rPr>
        <w:t xml:space="preserve"> that Phase 2 should commence, </w:t>
      </w:r>
      <w:r w:rsidRPr="0046644B">
        <w:rPr>
          <w:i/>
          <w:iCs/>
          <w:lang w:val="en-GB"/>
        </w:rPr>
        <w:t>noting</w:t>
      </w:r>
      <w:r w:rsidRPr="0046644B">
        <w:rPr>
          <w:lang w:val="en-GB"/>
        </w:rPr>
        <w:t xml:space="preserve"> the financial resources required to deliver this phase as presented in Appendix 2 of CPM 2026/15; and </w:t>
      </w:r>
    </w:p>
    <w:p w14:paraId="27C09759" w14:textId="77777777" w:rsidR="008C2C23" w:rsidRPr="005C660F" w:rsidRDefault="008C2C23" w:rsidP="008C2C23">
      <w:pPr>
        <w:pStyle w:val="IPPNumberedListLast"/>
        <w:rPr>
          <w:lang w:val="en-GB"/>
        </w:rPr>
      </w:pPr>
      <w:r w:rsidRPr="005C660F">
        <w:rPr>
          <w:i/>
          <w:iCs/>
          <w:lang w:val="en-GB"/>
        </w:rPr>
        <w:t>acknowledged</w:t>
      </w:r>
      <w:r w:rsidRPr="005C660F">
        <w:rPr>
          <w:lang w:val="en-GB"/>
        </w:rPr>
        <w:t xml:space="preserve"> that implementation of Phase 2 </w:t>
      </w:r>
      <w:r>
        <w:rPr>
          <w:lang w:val="en-GB"/>
        </w:rPr>
        <w:t>i</w:t>
      </w:r>
      <w:r w:rsidRPr="005C660F">
        <w:rPr>
          <w:lang w:val="en-GB"/>
        </w:rPr>
        <w:t xml:space="preserve">s contingent upon the availability of adequate financial resources and </w:t>
      </w:r>
      <w:r w:rsidRPr="005C660F">
        <w:rPr>
          <w:i/>
          <w:iCs/>
          <w:lang w:val="en-GB"/>
        </w:rPr>
        <w:t>requested</w:t>
      </w:r>
      <w:r w:rsidRPr="005C660F">
        <w:rPr>
          <w:lang w:val="en-GB"/>
        </w:rPr>
        <w:t xml:space="preserve"> that the necessary funding be secured to enable its commencement.</w:t>
      </w:r>
    </w:p>
    <w:p w14:paraId="0096425E" w14:textId="77777777" w:rsidR="008C2C23" w:rsidRPr="004A5365" w:rsidRDefault="008C2C23" w:rsidP="008C2C23">
      <w:pPr>
        <w:pStyle w:val="IPPHeading2"/>
      </w:pPr>
      <w:r w:rsidRPr="004A5365">
        <w:t>13.4</w:t>
      </w:r>
      <w:r w:rsidRPr="004A5365">
        <w:tab/>
        <w:t>Enabling the use of third-party entities</w:t>
      </w:r>
    </w:p>
    <w:p w14:paraId="1F7CD2B0" w14:textId="77777777" w:rsidR="008C2C23" w:rsidRPr="00CB7AB6" w:rsidRDefault="008C2C23" w:rsidP="008C2C23">
      <w:pPr>
        <w:pStyle w:val="IPPParagraphnumbering"/>
        <w:rPr>
          <w:color w:val="000000" w:themeColor="text1"/>
          <w:lang w:val="en-GB"/>
        </w:rPr>
      </w:pPr>
      <w:r w:rsidRPr="004A5365">
        <w:rPr>
          <w:lang w:val="en-GB"/>
        </w:rPr>
        <w:t>The secretariat presented an update on the DAI “Developing Guidance for the Use of Third-Party Entities”,</w:t>
      </w:r>
      <w:r w:rsidRPr="004A5365">
        <w:rPr>
          <w:rStyle w:val="FootnoteReference"/>
          <w:lang w:val="en-GB"/>
        </w:rPr>
        <w:footnoteReference w:id="37"/>
      </w:r>
      <w:r w:rsidRPr="004A5365">
        <w:rPr>
          <w:lang w:val="en-GB"/>
        </w:rPr>
        <w:t xml:space="preserve"> the focus of which was to develop two IPPC guides: one on authorization of third-party entities and the other on audit in a phytosanitary context</w:t>
      </w:r>
      <w:r w:rsidRPr="00CB7AB6">
        <w:rPr>
          <w:color w:val="000000" w:themeColor="text1"/>
          <w:lang w:val="en-GB"/>
        </w:rPr>
        <w:t>. The secretariat reported that a call for experts and technical material had been launched in relation to the audit guide, and the IC had agreed that work on the authorization guide would start once an initial draft of the audit guide was available.</w:t>
      </w:r>
    </w:p>
    <w:p w14:paraId="12AB68CE" w14:textId="77777777" w:rsidR="008C2C23" w:rsidRPr="004A5365" w:rsidRDefault="008C2C23" w:rsidP="008C2C23">
      <w:pPr>
        <w:pStyle w:val="IPPParagraphnumberingclose"/>
        <w:rPr>
          <w:lang w:val="en-GB"/>
        </w:rPr>
      </w:pPr>
      <w:r w:rsidRPr="004A5365">
        <w:rPr>
          <w:lang w:val="en-GB"/>
        </w:rPr>
        <w:t>The CPM:</w:t>
      </w:r>
    </w:p>
    <w:p w14:paraId="54E07506" w14:textId="77777777" w:rsidR="008C2C23" w:rsidRPr="004A5365" w:rsidRDefault="008C2C23" w:rsidP="008C2C23">
      <w:pPr>
        <w:pStyle w:val="IPPNumberedList"/>
        <w:numPr>
          <w:ilvl w:val="0"/>
          <w:numId w:val="44"/>
        </w:numPr>
        <w:rPr>
          <w:lang w:val="en-GB"/>
        </w:rPr>
      </w:pPr>
      <w:r w:rsidRPr="004A5365">
        <w:rPr>
          <w:i/>
          <w:iCs/>
          <w:lang w:val="en-GB"/>
        </w:rPr>
        <w:t>thanked</w:t>
      </w:r>
      <w:r w:rsidRPr="004A5365">
        <w:rPr>
          <w:lang w:val="en-GB"/>
        </w:rPr>
        <w:t xml:space="preserve"> Australia and Canada for the provision of funds for the development of the guides </w:t>
      </w:r>
      <w:r w:rsidRPr="004A5365">
        <w:rPr>
          <w:i/>
          <w:iCs/>
          <w:lang w:val="en-GB"/>
        </w:rPr>
        <w:t>Authorization of entities to perform phytosanitary actions (</w:t>
      </w:r>
      <w:r w:rsidRPr="004A5365">
        <w:rPr>
          <w:lang w:val="en-GB"/>
        </w:rPr>
        <w:t xml:space="preserve">2018-040) and </w:t>
      </w:r>
      <w:r w:rsidRPr="004A5365">
        <w:rPr>
          <w:i/>
          <w:iCs/>
          <w:lang w:val="en-GB"/>
        </w:rPr>
        <w:t>Audit in the phytosanitary context</w:t>
      </w:r>
      <w:r w:rsidRPr="004A5365">
        <w:rPr>
          <w:lang w:val="en-GB"/>
        </w:rPr>
        <w:t xml:space="preserve"> (2021-009</w:t>
      </w:r>
      <w:proofErr w:type="gramStart"/>
      <w:r w:rsidRPr="004A5365">
        <w:rPr>
          <w:lang w:val="en-GB"/>
        </w:rPr>
        <w:t>);</w:t>
      </w:r>
      <w:proofErr w:type="gramEnd"/>
    </w:p>
    <w:p w14:paraId="41F642A1" w14:textId="77777777" w:rsidR="008C2C23" w:rsidRPr="004A5365" w:rsidRDefault="008C2C23" w:rsidP="008C2C23">
      <w:pPr>
        <w:pStyle w:val="IPPNumberedList"/>
        <w:rPr>
          <w:lang w:val="en-GB"/>
        </w:rPr>
      </w:pPr>
      <w:r w:rsidRPr="004A5365">
        <w:rPr>
          <w:i/>
          <w:iCs/>
          <w:lang w:val="en-GB"/>
        </w:rPr>
        <w:t>noted</w:t>
      </w:r>
      <w:r w:rsidRPr="004A5365">
        <w:rPr>
          <w:lang w:val="en-GB"/>
        </w:rPr>
        <w:t xml:space="preserve"> that work on the DAI “Developing Guidance on the Use of Third-Party Entities” had been initiated; and</w:t>
      </w:r>
    </w:p>
    <w:p w14:paraId="1F66FBBF" w14:textId="77777777" w:rsidR="008C2C23" w:rsidRPr="004A5365" w:rsidRDefault="008C2C23" w:rsidP="008C2C23">
      <w:pPr>
        <w:pStyle w:val="IPPNumberedListLast"/>
      </w:pPr>
      <w:r w:rsidRPr="004A5365">
        <w:rPr>
          <w:i/>
          <w:iCs/>
        </w:rPr>
        <w:t>encouraged</w:t>
      </w:r>
      <w:r w:rsidRPr="004A5365">
        <w:t xml:space="preserve"> contracting parties to respond to the call for experts for the guide on </w:t>
      </w:r>
      <w:r w:rsidRPr="004A5365">
        <w:rPr>
          <w:i/>
          <w:iCs/>
        </w:rPr>
        <w:t>Authorization of entities to perform phytosanitary actions</w:t>
      </w:r>
      <w:r w:rsidRPr="004A5365">
        <w:t xml:space="preserve"> when it is launched in 2026.</w:t>
      </w:r>
    </w:p>
    <w:p w14:paraId="676157B3" w14:textId="77777777" w:rsidR="008C2C23" w:rsidRPr="004A5365" w:rsidRDefault="008C2C23" w:rsidP="008C2C23">
      <w:pPr>
        <w:pStyle w:val="IPPHeading2"/>
      </w:pPr>
      <w:r w:rsidRPr="004A5365">
        <w:t>13.5</w:t>
      </w:r>
      <w:r w:rsidRPr="004A5365">
        <w:tab/>
        <w:t>Strengthening pest outbreak alert and response systems – update from the steering group</w:t>
      </w:r>
    </w:p>
    <w:p w14:paraId="1C6E5FEC" w14:textId="77777777" w:rsidR="008C2C23" w:rsidRDefault="008C2C23" w:rsidP="008C2C23">
      <w:pPr>
        <w:pStyle w:val="IPPParagraphnumbering"/>
        <w:rPr>
          <w:lang w:val="en-GB"/>
        </w:rPr>
      </w:pPr>
      <w:r w:rsidRPr="00C3439B">
        <w:rPr>
          <w:lang w:val="en-GB"/>
        </w:rPr>
        <w:t>The chairperson of the POARS Steering Group presented an update, outlining the purpose of POARS, the assessment process for identifying emerging pests of global concern, and the results of the 2025 assessment cycle.</w:t>
      </w:r>
      <w:r w:rsidRPr="004A5365">
        <w:rPr>
          <w:rStyle w:val="FootnoteReference"/>
          <w:lang w:val="en-GB"/>
        </w:rPr>
        <w:footnoteReference w:id="38"/>
      </w:r>
      <w:r w:rsidRPr="00C3439B">
        <w:rPr>
          <w:lang w:val="en-GB"/>
        </w:rPr>
        <w:t xml:space="preserve"> She also highlighted the synergies between POARS, the APP and the Plant Health Innovation Fair at CPM-20 (2026). Continuing with the presentation, the secretariat explained that POARS was transitioning from its pilot phase towards operational implementation. The mandate of the steering group had recently ended</w:t>
      </w:r>
      <w:r>
        <w:rPr>
          <w:lang w:val="en-GB"/>
        </w:rPr>
        <w:t>,</w:t>
      </w:r>
      <w:r w:rsidRPr="00C3439B">
        <w:rPr>
          <w:lang w:val="en-GB"/>
        </w:rPr>
        <w:t xml:space="preserve"> and the bureau had approved the terms of a reference for a new steering group as requested by CPM-19 (2025).</w:t>
      </w:r>
      <w:r w:rsidRPr="00C3439B">
        <w:rPr>
          <w:color w:val="00B050"/>
          <w:lang w:val="en-GB"/>
        </w:rPr>
        <w:t xml:space="preserve"> </w:t>
      </w:r>
      <w:r w:rsidRPr="00C3439B">
        <w:rPr>
          <w:lang w:val="en-GB"/>
        </w:rPr>
        <w:t>The secretariat had also begun publishing Global Pest Alerts and IPPC Monthly Pest Reporting Summaries; however, future POARS activities would depend on funding.</w:t>
      </w:r>
      <w:r>
        <w:rPr>
          <w:rStyle w:val="FootnoteReference"/>
          <w:lang w:val="en-GB"/>
        </w:rPr>
        <w:footnoteReference w:id="39"/>
      </w:r>
    </w:p>
    <w:p w14:paraId="5162A631" w14:textId="77777777" w:rsidR="008C2C23" w:rsidRDefault="008C2C23" w:rsidP="008C2C23">
      <w:pPr>
        <w:pStyle w:val="IPPParagraphnumbering"/>
        <w:rPr>
          <w:lang w:val="en-GB"/>
        </w:rPr>
      </w:pPr>
      <w:r w:rsidRPr="00C3439B">
        <w:rPr>
          <w:lang w:val="en-GB"/>
        </w:rPr>
        <w:t>The CPM expressed its appreciation to the POARS Steering Group for the update and for the tremendous progress it had made.</w:t>
      </w:r>
      <w:r w:rsidRPr="00C3439B">
        <w:rPr>
          <w:rStyle w:val="FootnoteReference"/>
          <w:lang w:val="en-GB"/>
        </w:rPr>
        <w:footnoteReference w:id="40"/>
      </w:r>
    </w:p>
    <w:p w14:paraId="508E8E40" w14:textId="77777777" w:rsidR="008C2C23" w:rsidRPr="00C3439B" w:rsidRDefault="008C2C23" w:rsidP="008C2C23">
      <w:pPr>
        <w:pStyle w:val="IPPParagraphnumbering"/>
        <w:rPr>
          <w:lang w:val="en-GB"/>
        </w:rPr>
      </w:pPr>
      <w:r>
        <w:rPr>
          <w:lang w:val="en-GB"/>
        </w:rPr>
        <w:t xml:space="preserve">The CPM recognized that it would be helpful </w:t>
      </w:r>
      <w:r w:rsidRPr="00C3439B">
        <w:rPr>
          <w:lang w:val="en-GB"/>
        </w:rPr>
        <w:t xml:space="preserve">to evaluate what other regions and </w:t>
      </w:r>
      <w:r>
        <w:rPr>
          <w:lang w:val="en-GB"/>
        </w:rPr>
        <w:t xml:space="preserve">CPs </w:t>
      </w:r>
      <w:r w:rsidRPr="00C3439B">
        <w:rPr>
          <w:lang w:val="en-GB"/>
        </w:rPr>
        <w:t xml:space="preserve">are pursuing in relation to </w:t>
      </w:r>
      <w:r>
        <w:rPr>
          <w:lang w:val="en-GB"/>
        </w:rPr>
        <w:t>h</w:t>
      </w:r>
      <w:r w:rsidRPr="00C3439B">
        <w:rPr>
          <w:lang w:val="en-GB"/>
        </w:rPr>
        <w:t>orizon scanning</w:t>
      </w:r>
      <w:r>
        <w:rPr>
          <w:lang w:val="en-GB"/>
        </w:rPr>
        <w:t xml:space="preserve"> (e.g. </w:t>
      </w:r>
      <w:r w:rsidRPr="00C3439B">
        <w:rPr>
          <w:lang w:val="en-GB"/>
        </w:rPr>
        <w:t>the EUPHRESCO project</w:t>
      </w:r>
      <w:r>
        <w:rPr>
          <w:lang w:val="en-GB"/>
        </w:rPr>
        <w:t xml:space="preserve"> “</w:t>
      </w:r>
      <w:r w:rsidRPr="00C3439B">
        <w:rPr>
          <w:lang w:val="en-GB"/>
        </w:rPr>
        <w:t>Quantitative Horizon Scanning Using Climatic Modelling to Identify Species with the Potential to Become Plant Pests</w:t>
      </w:r>
      <w:r>
        <w:rPr>
          <w:lang w:val="en-GB"/>
        </w:rPr>
        <w:t>”)</w:t>
      </w:r>
      <w:r w:rsidRPr="00C3439B">
        <w:rPr>
          <w:lang w:val="en-GB"/>
        </w:rPr>
        <w:t xml:space="preserve">. </w:t>
      </w:r>
      <w:r>
        <w:rPr>
          <w:lang w:val="en-GB"/>
        </w:rPr>
        <w:t xml:space="preserve">The secretariat confirmed that the terms of reference of the new POARS steering group were sufficiently broad to encompass this. </w:t>
      </w:r>
    </w:p>
    <w:p w14:paraId="07F40F09" w14:textId="77777777" w:rsidR="008C2C23" w:rsidRDefault="008C2C23" w:rsidP="008C2C23">
      <w:pPr>
        <w:pStyle w:val="IPPParagraphnumbering"/>
        <w:rPr>
          <w:lang w:val="en-GB"/>
        </w:rPr>
      </w:pPr>
      <w:r>
        <w:rPr>
          <w:lang w:val="en-GB"/>
        </w:rPr>
        <w:t xml:space="preserve">In response to queries about why certain pests were not included in the list of emerging pests of global concern, the secretariat explained that the criteria and the rationale are available on the IPP and </w:t>
      </w:r>
      <w:r>
        <w:rPr>
          <w:lang w:val="en-GB"/>
        </w:rPr>
        <w:lastRenderedPageBreak/>
        <w:t>encouraged CPs to nominate pests for assessment, as the list was dynamic and could be reviewed at any time if new information became available.</w:t>
      </w:r>
    </w:p>
    <w:p w14:paraId="38F18152" w14:textId="77777777" w:rsidR="008C2C23" w:rsidRPr="00E8385B" w:rsidRDefault="008C2C23" w:rsidP="008C2C23">
      <w:pPr>
        <w:pStyle w:val="IPPParagraphnumberingclose"/>
        <w:rPr>
          <w:lang w:val="en-GB"/>
        </w:rPr>
      </w:pPr>
      <w:r w:rsidRPr="004A5365">
        <w:rPr>
          <w:lang w:val="en-GB"/>
        </w:rPr>
        <w:t>The CPM:</w:t>
      </w:r>
      <w:r>
        <w:rPr>
          <w:lang w:val="en-GB"/>
        </w:rPr>
        <w:t xml:space="preserve"> </w:t>
      </w:r>
    </w:p>
    <w:p w14:paraId="23FAF158" w14:textId="77777777" w:rsidR="008C2C23" w:rsidRPr="004A5365" w:rsidRDefault="008C2C23" w:rsidP="008C2C23">
      <w:pPr>
        <w:pStyle w:val="IPPNumberedList"/>
        <w:numPr>
          <w:ilvl w:val="0"/>
          <w:numId w:val="45"/>
        </w:numPr>
        <w:rPr>
          <w:lang w:val="en-GB"/>
        </w:rPr>
      </w:pPr>
      <w:r w:rsidRPr="004A5365">
        <w:rPr>
          <w:i/>
          <w:iCs/>
          <w:lang w:val="en-GB"/>
        </w:rPr>
        <w:t>noted</w:t>
      </w:r>
      <w:r w:rsidRPr="004A5365">
        <w:rPr>
          <w:lang w:val="en-GB"/>
        </w:rPr>
        <w:t xml:space="preserve"> the progress achieved in implementing POARS since CPM-19 (2025</w:t>
      </w:r>
      <w:proofErr w:type="gramStart"/>
      <w:r w:rsidRPr="004A5365">
        <w:rPr>
          <w:lang w:val="en-GB"/>
        </w:rPr>
        <w:t>);</w:t>
      </w:r>
      <w:proofErr w:type="gramEnd"/>
    </w:p>
    <w:p w14:paraId="6D098C8A" w14:textId="77777777" w:rsidR="008C2C23" w:rsidRPr="004A5365" w:rsidRDefault="008C2C23" w:rsidP="008C2C23">
      <w:pPr>
        <w:pStyle w:val="IPPNumberedList"/>
        <w:rPr>
          <w:lang w:val="en-GB"/>
        </w:rPr>
      </w:pPr>
      <w:r w:rsidRPr="004A5365">
        <w:rPr>
          <w:i/>
          <w:iCs/>
          <w:lang w:val="en-GB"/>
        </w:rPr>
        <w:t>noted</w:t>
      </w:r>
      <w:r w:rsidRPr="004A5365">
        <w:rPr>
          <w:lang w:val="en-GB"/>
        </w:rPr>
        <w:t xml:space="preserve"> the conclusion of the mandate of the current POARS Steering Group and the initiation of the governance transition towards the establishment of a new steering group, in accordance with the terms of reference approved by the bureau, as requested by CPM-</w:t>
      </w:r>
      <w:proofErr w:type="gramStart"/>
      <w:r w:rsidRPr="004A5365">
        <w:rPr>
          <w:lang w:val="en-GB"/>
        </w:rPr>
        <w:t>19;</w:t>
      </w:r>
      <w:proofErr w:type="gramEnd"/>
    </w:p>
    <w:p w14:paraId="22618697" w14:textId="77777777" w:rsidR="008C2C23" w:rsidRPr="004A5365" w:rsidRDefault="008C2C23" w:rsidP="008C2C23">
      <w:pPr>
        <w:pStyle w:val="IPPNumberedList"/>
        <w:rPr>
          <w:lang w:val="en-GB"/>
        </w:rPr>
      </w:pPr>
      <w:r w:rsidRPr="004A5365">
        <w:rPr>
          <w:i/>
          <w:iCs/>
          <w:lang w:val="en-GB"/>
        </w:rPr>
        <w:t xml:space="preserve">acknowledged </w:t>
      </w:r>
      <w:r w:rsidRPr="004A5365">
        <w:rPr>
          <w:lang w:val="en-GB"/>
        </w:rPr>
        <w:t xml:space="preserve">the contribution of the current steering group members (Appendix X) and </w:t>
      </w:r>
      <w:r w:rsidRPr="004A5365">
        <w:rPr>
          <w:i/>
          <w:iCs/>
          <w:lang w:val="en-GB"/>
        </w:rPr>
        <w:t>thanked</w:t>
      </w:r>
      <w:r w:rsidRPr="004A5365">
        <w:rPr>
          <w:lang w:val="en-GB"/>
        </w:rPr>
        <w:t xml:space="preserve"> them for their </w:t>
      </w:r>
      <w:proofErr w:type="gramStart"/>
      <w:r w:rsidRPr="004A5365">
        <w:rPr>
          <w:lang w:val="en-GB"/>
        </w:rPr>
        <w:t>work;</w:t>
      </w:r>
      <w:proofErr w:type="gramEnd"/>
    </w:p>
    <w:p w14:paraId="12751D75" w14:textId="77777777" w:rsidR="008C2C23" w:rsidRDefault="008C2C23" w:rsidP="008C2C23">
      <w:pPr>
        <w:pStyle w:val="IPPNumberedListLast"/>
      </w:pPr>
      <w:r w:rsidRPr="004A5365">
        <w:rPr>
          <w:i/>
          <w:iCs/>
        </w:rPr>
        <w:t>acknowledged</w:t>
      </w:r>
      <w:r w:rsidRPr="004A5365">
        <w:t xml:space="preserve"> the initiation of horizon-scanning activities and strengthened collaboration with strategic partners, including CABI, the European Food Safety Authority and the APP.</w:t>
      </w:r>
    </w:p>
    <w:p w14:paraId="794DF6FE" w14:textId="77777777" w:rsidR="00CC42CC" w:rsidRPr="004A5365" w:rsidRDefault="00CC42CC" w:rsidP="00CC42CC">
      <w:pPr>
        <w:pStyle w:val="IPPHeading2"/>
      </w:pPr>
      <w:r>
        <w:t>13.6</w:t>
      </w:r>
      <w:r>
        <w:tab/>
        <w:t>Assessment and management of climate-change impacts on plant health – update from the CPM focus group</w:t>
      </w:r>
    </w:p>
    <w:p w14:paraId="3F09541A" w14:textId="77777777" w:rsidR="00CC42CC" w:rsidRPr="009F6661" w:rsidRDefault="00CC42CC" w:rsidP="00CC42CC">
      <w:pPr>
        <w:pStyle w:val="IPPParagraphnumbering"/>
        <w:rPr>
          <w:lang w:val="en-GB"/>
        </w:rPr>
      </w:pPr>
      <w:r w:rsidRPr="009F6661">
        <w:rPr>
          <w:lang w:val="en-GB"/>
        </w:rPr>
        <w:t>The secretariat presented an update from the CPM Focus Group on Climate Change and Phytosanitary Issues, which concluded its mandate at this meeting.</w:t>
      </w:r>
      <w:r w:rsidRPr="009F6661">
        <w:rPr>
          <w:rStyle w:val="FootnoteReference"/>
          <w:lang w:val="en-GB"/>
        </w:rPr>
        <w:footnoteReference w:id="41"/>
      </w:r>
      <w:r w:rsidRPr="009F6661">
        <w:rPr>
          <w:lang w:val="en-GB"/>
        </w:rPr>
        <w:t xml:space="preserve"> </w:t>
      </w:r>
      <w:r w:rsidRPr="00FB4880">
        <w:rPr>
          <w:lang w:val="en-GB"/>
        </w:rPr>
        <w:t xml:space="preserve">Activities since the update presented at CPM-19 (2025) had included a webinar series, completion of the technical content of a set of factsheets, and the drafting of recommendations to the SC on how to incorporate climate-change considerations into pest risk analyses. In October 2025, the bureau had acknowledged </w:t>
      </w:r>
      <w:r w:rsidRPr="009F6661">
        <w:rPr>
          <w:lang w:val="en-GB"/>
        </w:rPr>
        <w:t xml:space="preserve">the impressive contributions made by the focus group and </w:t>
      </w:r>
      <w:r>
        <w:rPr>
          <w:lang w:val="en-GB"/>
        </w:rPr>
        <w:t>had recommended</w:t>
      </w:r>
      <w:r w:rsidRPr="009F6661">
        <w:rPr>
          <w:lang w:val="en-GB"/>
        </w:rPr>
        <w:t xml:space="preserve"> </w:t>
      </w:r>
      <w:r>
        <w:rPr>
          <w:lang w:val="en-GB"/>
        </w:rPr>
        <w:t>that climate-change activities be incorporated into the general activities of the secretariat</w:t>
      </w:r>
      <w:r w:rsidRPr="009F6661">
        <w:rPr>
          <w:lang w:val="en-GB"/>
        </w:rPr>
        <w:t>.</w:t>
      </w:r>
    </w:p>
    <w:p w14:paraId="63EC3D97" w14:textId="77777777" w:rsidR="00CC42CC" w:rsidRPr="00FB4880" w:rsidRDefault="00CC42CC" w:rsidP="00CC42CC">
      <w:pPr>
        <w:pStyle w:val="IPPParagraphnumbering"/>
        <w:rPr>
          <w:lang w:val="en-GB"/>
        </w:rPr>
      </w:pPr>
      <w:r w:rsidRPr="00FB4880">
        <w:rPr>
          <w:lang w:val="en-GB"/>
        </w:rPr>
        <w:t xml:space="preserve">The CPM noted a request that the </w:t>
      </w:r>
      <w:r>
        <w:rPr>
          <w:lang w:val="en-GB"/>
        </w:rPr>
        <w:t xml:space="preserve">focus group’s material be made available on the </w:t>
      </w:r>
      <w:r w:rsidRPr="00FB4880">
        <w:rPr>
          <w:lang w:val="en-GB"/>
        </w:rPr>
        <w:t>climate</w:t>
      </w:r>
      <w:r>
        <w:rPr>
          <w:lang w:val="en-GB"/>
        </w:rPr>
        <w:t>-</w:t>
      </w:r>
      <w:r w:rsidRPr="00FB4880">
        <w:rPr>
          <w:lang w:val="en-GB"/>
        </w:rPr>
        <w:t>change landing page of the IPP</w:t>
      </w:r>
      <w:r>
        <w:rPr>
          <w:lang w:val="en-GB"/>
        </w:rPr>
        <w:t xml:space="preserve"> and that the page</w:t>
      </w:r>
      <w:r w:rsidRPr="00FB4880">
        <w:rPr>
          <w:lang w:val="en-GB"/>
        </w:rPr>
        <w:t xml:space="preserve"> be updated regularly.</w:t>
      </w:r>
      <w:r w:rsidRPr="00FB4880">
        <w:rPr>
          <w:i/>
          <w:iCs/>
          <w:lang w:val="en-GB"/>
        </w:rPr>
        <w:t xml:space="preserve"> </w:t>
      </w:r>
    </w:p>
    <w:p w14:paraId="7903A304" w14:textId="77777777" w:rsidR="00CC42CC" w:rsidRPr="00576E42" w:rsidRDefault="00CC42CC" w:rsidP="00CC42CC">
      <w:pPr>
        <w:pStyle w:val="IPPParagraphnumberingclose"/>
        <w:rPr>
          <w:lang w:val="en-GB"/>
        </w:rPr>
      </w:pPr>
      <w:r w:rsidRPr="004A5365">
        <w:rPr>
          <w:lang w:val="en-GB"/>
        </w:rPr>
        <w:t>The CPM:</w:t>
      </w:r>
    </w:p>
    <w:p w14:paraId="1B91D681" w14:textId="77777777" w:rsidR="00CC42CC" w:rsidRPr="004A5365" w:rsidRDefault="00CC42CC" w:rsidP="00CC42CC">
      <w:pPr>
        <w:pStyle w:val="IPPNumberedList"/>
        <w:numPr>
          <w:ilvl w:val="0"/>
          <w:numId w:val="46"/>
        </w:numPr>
        <w:rPr>
          <w:lang w:val="en-GB"/>
        </w:rPr>
      </w:pPr>
      <w:r w:rsidRPr="004A5365">
        <w:rPr>
          <w:i/>
          <w:iCs/>
          <w:lang w:val="en-GB"/>
        </w:rPr>
        <w:t>noted</w:t>
      </w:r>
      <w:r w:rsidRPr="004A5365">
        <w:rPr>
          <w:lang w:val="en-GB"/>
        </w:rPr>
        <w:t xml:space="preserve"> the progress achieved by the </w:t>
      </w:r>
      <w:r w:rsidRPr="004A5365">
        <w:rPr>
          <w:lang w:val="en-GB" w:eastAsia="en-GB"/>
        </w:rPr>
        <w:t>CPM Focus Group on Climate Change on Phytosanitary Issues</w:t>
      </w:r>
      <w:r w:rsidRPr="004A5365">
        <w:rPr>
          <w:lang w:val="en-GB"/>
        </w:rPr>
        <w:t xml:space="preserve"> since CPM-19 (2025</w:t>
      </w:r>
      <w:proofErr w:type="gramStart"/>
      <w:r w:rsidRPr="004A5365">
        <w:rPr>
          <w:lang w:val="en-GB"/>
        </w:rPr>
        <w:t>);</w:t>
      </w:r>
      <w:proofErr w:type="gramEnd"/>
    </w:p>
    <w:p w14:paraId="44DEC4B1" w14:textId="77777777" w:rsidR="00CC42CC" w:rsidRPr="004A5365" w:rsidRDefault="00CC42CC" w:rsidP="00CC42CC">
      <w:pPr>
        <w:pStyle w:val="IPPNumberedList"/>
        <w:rPr>
          <w:lang w:val="en-GB"/>
        </w:rPr>
      </w:pPr>
      <w:r w:rsidRPr="004A5365">
        <w:rPr>
          <w:i/>
          <w:iCs/>
          <w:lang w:val="en-GB"/>
        </w:rPr>
        <w:t>acknowledged</w:t>
      </w:r>
      <w:r w:rsidRPr="004A5365">
        <w:rPr>
          <w:lang w:val="en-GB"/>
        </w:rPr>
        <w:t xml:space="preserve"> and </w:t>
      </w:r>
      <w:r w:rsidRPr="004A5365">
        <w:rPr>
          <w:i/>
          <w:iCs/>
          <w:lang w:val="en-GB"/>
        </w:rPr>
        <w:t>thanked</w:t>
      </w:r>
      <w:r w:rsidRPr="004A5365">
        <w:rPr>
          <w:lang w:val="en-GB"/>
        </w:rPr>
        <w:t xml:space="preserve"> the members of the focus group (Appendix X) for their commitment and technical </w:t>
      </w:r>
      <w:proofErr w:type="gramStart"/>
      <w:r w:rsidRPr="004A5365">
        <w:rPr>
          <w:lang w:val="en-GB"/>
        </w:rPr>
        <w:t>contributions;</w:t>
      </w:r>
      <w:proofErr w:type="gramEnd"/>
    </w:p>
    <w:p w14:paraId="312C8C20" w14:textId="77777777" w:rsidR="00CC42CC" w:rsidRDefault="00CC42CC" w:rsidP="00CC42CC">
      <w:pPr>
        <w:pStyle w:val="IPPNumberedList"/>
      </w:pPr>
      <w:r w:rsidRPr="004A5365">
        <w:rPr>
          <w:i/>
          <w:iCs/>
        </w:rPr>
        <w:t>endorsed</w:t>
      </w:r>
      <w:r w:rsidRPr="004A5365">
        <w:t xml:space="preserve"> the integration of the remaining climate-related activities into the </w:t>
      </w:r>
      <w:r>
        <w:t>secretariat</w:t>
      </w:r>
      <w:r w:rsidRPr="004A5365">
        <w:t xml:space="preserve">’s ongoing </w:t>
      </w:r>
      <w:proofErr w:type="spellStart"/>
      <w:r w:rsidRPr="004A5365">
        <w:t>programmes</w:t>
      </w:r>
      <w:proofErr w:type="spellEnd"/>
      <w:r w:rsidRPr="004A5365">
        <w:t xml:space="preserve"> and workstreams</w:t>
      </w:r>
      <w:r>
        <w:t xml:space="preserve">; and </w:t>
      </w:r>
    </w:p>
    <w:p w14:paraId="15086897" w14:textId="77777777" w:rsidR="00CC42CC" w:rsidRPr="004A5365" w:rsidRDefault="00CC42CC" w:rsidP="00CC42CC">
      <w:pPr>
        <w:pStyle w:val="IPPNumberedList"/>
      </w:pPr>
      <w:r w:rsidRPr="00AD73FA">
        <w:rPr>
          <w:i/>
          <w:iCs/>
        </w:rPr>
        <w:t>requested</w:t>
      </w:r>
      <w:r>
        <w:t xml:space="preserve"> </w:t>
      </w:r>
      <w:r w:rsidRPr="00AD73FA">
        <w:t>that the</w:t>
      </w:r>
      <w:r>
        <w:rPr>
          <w:i/>
          <w:iCs/>
        </w:rPr>
        <w:t xml:space="preserve"> </w:t>
      </w:r>
      <w:r>
        <w:t xml:space="preserve">secretariat and bureau present a plan to the SPG 2026 and then CPM-21 (2027) </w:t>
      </w:r>
      <w:proofErr w:type="gramStart"/>
      <w:r>
        <w:t>setting</w:t>
      </w:r>
      <w:proofErr w:type="gramEnd"/>
      <w:r>
        <w:t xml:space="preserve"> out how climate-change activities will be integrated into the secretariat’s </w:t>
      </w:r>
      <w:r w:rsidRPr="004A5365">
        <w:t xml:space="preserve">ongoing </w:t>
      </w:r>
      <w:proofErr w:type="spellStart"/>
      <w:r w:rsidRPr="004A5365">
        <w:t>programmes</w:t>
      </w:r>
      <w:proofErr w:type="spellEnd"/>
      <w:r w:rsidRPr="004A5365">
        <w:t xml:space="preserve"> and workstreams</w:t>
      </w:r>
      <w:r>
        <w:t>.</w:t>
      </w:r>
    </w:p>
    <w:p w14:paraId="6831DBE3" w14:textId="77777777" w:rsidR="00CC42CC" w:rsidRPr="005C660F" w:rsidRDefault="00CC42CC" w:rsidP="00CC42CC">
      <w:pPr>
        <w:pStyle w:val="IPPHeading2"/>
      </w:pPr>
      <w:r>
        <w:t>13.7</w:t>
      </w:r>
      <w:r>
        <w:tab/>
        <w:t>Global Phytosanitary Research Coordination – update from the CPM focus group</w:t>
      </w:r>
    </w:p>
    <w:p w14:paraId="5BCD7971" w14:textId="77777777" w:rsidR="00CC42CC" w:rsidRPr="00417238" w:rsidRDefault="00CC42CC" w:rsidP="00CC42CC">
      <w:pPr>
        <w:pStyle w:val="IPPParagraphnumbering"/>
        <w:rPr>
          <w:lang w:val="en-GB"/>
        </w:rPr>
      </w:pPr>
      <w:r w:rsidRPr="00417238">
        <w:rPr>
          <w:lang w:val="en-GB"/>
        </w:rPr>
        <w:t xml:space="preserve">The chairperson of the CPM Focus Group on Global Phytosanitary Research Coordination presented an update from the focus group, which concluded its mandate at this </w:t>
      </w:r>
      <w:r w:rsidRPr="00EE6D67">
        <w:rPr>
          <w:lang w:val="en-GB"/>
        </w:rPr>
        <w:t>meeting.</w:t>
      </w:r>
      <w:r w:rsidRPr="00EE6D67">
        <w:rPr>
          <w:rStyle w:val="FootnoteReference"/>
          <w:lang w:val="en-GB"/>
        </w:rPr>
        <w:footnoteReference w:id="42"/>
      </w:r>
      <w:r w:rsidRPr="00EE6D67">
        <w:rPr>
          <w:lang w:val="en-GB"/>
        </w:rPr>
        <w:t xml:space="preserve"> The chairperson reported that the focus group had conducted a scoping study, in which they had identified and analysed existing research networks, and investigated the needs and requirements of NPPOs. From this exercise, the focus group had identified different types of organizational structures for research networks, identified gaps in coverage, and had suggested possible solutions to address these gaps. </w:t>
      </w:r>
      <w:r w:rsidRPr="00417238">
        <w:rPr>
          <w:lang w:val="en-GB"/>
        </w:rPr>
        <w:t>The focus group had proposed that existing research networks be brought together with NPPOs and RPPOs under a global framework and that the focus group’s mandate be extended to finalize a proposal and develop an implementation plan for such a framework.</w:t>
      </w:r>
    </w:p>
    <w:p w14:paraId="74B8C60E" w14:textId="77777777" w:rsidR="00CC42CC" w:rsidRPr="003B5CBF" w:rsidRDefault="00CC42CC" w:rsidP="00CC42CC">
      <w:pPr>
        <w:pStyle w:val="IPPParagraphnumbering"/>
        <w:rPr>
          <w:lang w:val="en-GB"/>
        </w:rPr>
      </w:pPr>
      <w:r w:rsidRPr="003B5CBF">
        <w:rPr>
          <w:lang w:val="en-GB"/>
        </w:rPr>
        <w:t>The CPM considered a suggestion that</w:t>
      </w:r>
      <w:r>
        <w:rPr>
          <w:lang w:val="en-GB"/>
        </w:rPr>
        <w:t>, given the complexity of research networks,</w:t>
      </w:r>
      <w:r w:rsidRPr="003B5CBF">
        <w:rPr>
          <w:lang w:val="en-GB"/>
        </w:rPr>
        <w:t xml:space="preserve"> </w:t>
      </w:r>
      <w:r>
        <w:rPr>
          <w:lang w:val="en-GB"/>
        </w:rPr>
        <w:t xml:space="preserve">lower-cost approaches should be explored as an alternative to the establishment of an </w:t>
      </w:r>
      <w:r w:rsidRPr="003B5CBF">
        <w:rPr>
          <w:lang w:val="en-GB"/>
        </w:rPr>
        <w:t xml:space="preserve">IPPC-led research network </w:t>
      </w:r>
      <w:r w:rsidRPr="003B5CBF">
        <w:rPr>
          <w:lang w:val="en-GB"/>
        </w:rPr>
        <w:lastRenderedPageBreak/>
        <w:t>framework</w:t>
      </w:r>
      <w:r>
        <w:rPr>
          <w:lang w:val="en-GB"/>
        </w:rPr>
        <w:t>, and that this could be considered during the development of the next IPPC strategic framework rather than extending the mandate of the focus group.</w:t>
      </w:r>
      <w:r w:rsidRPr="003B5CBF">
        <w:rPr>
          <w:rStyle w:val="FootnoteReference"/>
          <w:lang w:val="en-GB"/>
        </w:rPr>
        <w:footnoteReference w:id="43"/>
      </w:r>
      <w:r>
        <w:rPr>
          <w:lang w:val="en-GB"/>
        </w:rPr>
        <w:t xml:space="preserve"> However, following various expressions of support to the contrary, a consensus was reached to extend the focus group’s mandate as proposed.</w:t>
      </w:r>
    </w:p>
    <w:p w14:paraId="6F92F767" w14:textId="77777777" w:rsidR="00CC42CC" w:rsidRPr="005C660F" w:rsidRDefault="00CC42CC" w:rsidP="00CC42CC">
      <w:pPr>
        <w:pStyle w:val="IPPParagraphnumberingclose"/>
        <w:rPr>
          <w:lang w:val="en-GB"/>
        </w:rPr>
      </w:pPr>
      <w:r w:rsidRPr="005C660F">
        <w:rPr>
          <w:lang w:val="en-GB"/>
        </w:rPr>
        <w:t>The CPM:</w:t>
      </w:r>
    </w:p>
    <w:p w14:paraId="742A0F0B" w14:textId="77777777" w:rsidR="00CC42CC" w:rsidRDefault="00CC42CC" w:rsidP="00CC42CC">
      <w:pPr>
        <w:pStyle w:val="IPPNumberedList"/>
        <w:numPr>
          <w:ilvl w:val="0"/>
          <w:numId w:val="47"/>
        </w:numPr>
        <w:rPr>
          <w:lang w:val="en-GB"/>
        </w:rPr>
      </w:pPr>
      <w:r w:rsidRPr="005C660F">
        <w:rPr>
          <w:i/>
          <w:iCs/>
          <w:lang w:val="en-GB"/>
        </w:rPr>
        <w:t>noted</w:t>
      </w:r>
      <w:r w:rsidRPr="005C660F">
        <w:rPr>
          <w:lang w:val="en-GB"/>
        </w:rPr>
        <w:t xml:space="preserve"> the </w:t>
      </w:r>
      <w:r>
        <w:rPr>
          <w:lang w:val="en-GB"/>
        </w:rPr>
        <w:t xml:space="preserve">scoping study </w:t>
      </w:r>
      <w:r w:rsidRPr="005C660F">
        <w:rPr>
          <w:lang w:val="en-GB"/>
        </w:rPr>
        <w:t xml:space="preserve">report </w:t>
      </w:r>
      <w:r>
        <w:rPr>
          <w:lang w:val="en-GB"/>
        </w:rPr>
        <w:t xml:space="preserve">by </w:t>
      </w:r>
      <w:r w:rsidRPr="005C660F">
        <w:rPr>
          <w:lang w:val="en-GB"/>
        </w:rPr>
        <w:t>the CPM Focus Group on Global Phytosanitary Research Coordination; and</w:t>
      </w:r>
      <w:r>
        <w:rPr>
          <w:lang w:val="en-GB"/>
        </w:rPr>
        <w:t xml:space="preserve"> </w:t>
      </w:r>
    </w:p>
    <w:p w14:paraId="0C90171B" w14:textId="77777777" w:rsidR="00CC42CC" w:rsidRPr="00D463F0" w:rsidRDefault="00CC42CC" w:rsidP="00CC42CC">
      <w:pPr>
        <w:pStyle w:val="IPPNumberedList"/>
        <w:numPr>
          <w:ilvl w:val="0"/>
          <w:numId w:val="47"/>
        </w:numPr>
        <w:rPr>
          <w:lang w:val="en-GB"/>
        </w:rPr>
      </w:pPr>
      <w:r w:rsidRPr="00D463F0">
        <w:rPr>
          <w:i/>
          <w:iCs/>
          <w:lang w:val="en-GB"/>
        </w:rPr>
        <w:t xml:space="preserve">extended </w:t>
      </w:r>
      <w:r w:rsidRPr="00D463F0">
        <w:rPr>
          <w:lang w:val="en-GB"/>
        </w:rPr>
        <w:t>the term of the focus group until the end of CPM-21 (2027), with a mandate to finalize a proposal for a policy and research framework and to develop an implementation plan for the framework</w:t>
      </w:r>
      <w:r>
        <w:rPr>
          <w:lang w:val="en-GB"/>
        </w:rPr>
        <w:t>.</w:t>
      </w:r>
    </w:p>
    <w:p w14:paraId="18FFFAF8" w14:textId="77777777" w:rsidR="00CC42CC" w:rsidRPr="005C660F" w:rsidRDefault="00CC42CC" w:rsidP="00CC42CC">
      <w:pPr>
        <w:pStyle w:val="IPPHeading2"/>
      </w:pPr>
      <w:r w:rsidRPr="005C660F">
        <w:t>13.8</w:t>
      </w:r>
      <w:r w:rsidRPr="005C660F">
        <w:tab/>
        <w:t xml:space="preserve">Diagnostic laboratory networking </w:t>
      </w:r>
    </w:p>
    <w:p w14:paraId="2F4BBF61" w14:textId="77777777" w:rsidR="00CC42CC" w:rsidRPr="00F86199" w:rsidRDefault="00CC42CC" w:rsidP="00CC42CC">
      <w:pPr>
        <w:pStyle w:val="IPPParagraphnumbering"/>
        <w:rPr>
          <w:lang w:val="en-GB"/>
        </w:rPr>
      </w:pPr>
      <w:r w:rsidRPr="00F86199">
        <w:rPr>
          <w:lang w:val="en-GB"/>
        </w:rPr>
        <w:t xml:space="preserve">The secretariat presented an update </w:t>
      </w:r>
      <w:r w:rsidRPr="6B176B18">
        <w:rPr>
          <w:lang w:val="en-GB"/>
        </w:rPr>
        <w:t>on the DAI “</w:t>
      </w:r>
      <w:r w:rsidRPr="00F86199">
        <w:rPr>
          <w:lang w:val="en-GB"/>
        </w:rPr>
        <w:t>Diagnostic Laboratory Networking</w:t>
      </w:r>
      <w:r w:rsidRPr="6B176B18">
        <w:rPr>
          <w:lang w:val="en-GB"/>
        </w:rPr>
        <w:t>”</w:t>
      </w:r>
      <w:r w:rsidRPr="00F86199">
        <w:rPr>
          <w:lang w:val="en-GB"/>
        </w:rPr>
        <w:t>.</w:t>
      </w:r>
      <w:r w:rsidRPr="00F86199">
        <w:rPr>
          <w:rStyle w:val="FootnoteReference"/>
          <w:lang w:val="en-GB"/>
        </w:rPr>
        <w:footnoteReference w:id="44"/>
      </w:r>
      <w:r w:rsidRPr="00F86199">
        <w:rPr>
          <w:lang w:val="en-GB"/>
        </w:rPr>
        <w:t xml:space="preserve"> The secretariat explained that an initial assessment of the state of diagnostic laboratory networks had been conducted by an in-kind consultant and presented to the SPG in 2025. The recommendations from this study, listed in the paper for this agenda item, would </w:t>
      </w:r>
      <w:r>
        <w:rPr>
          <w:lang w:val="en-GB"/>
        </w:rPr>
        <w:t xml:space="preserve">be </w:t>
      </w:r>
      <w:r w:rsidRPr="00F86199">
        <w:rPr>
          <w:lang w:val="en-GB"/>
        </w:rPr>
        <w:t xml:space="preserve">considered by the </w:t>
      </w:r>
      <w:r w:rsidRPr="6B176B18">
        <w:rPr>
          <w:lang w:val="en-GB"/>
        </w:rPr>
        <w:t xml:space="preserve">CPM </w:t>
      </w:r>
      <w:r w:rsidRPr="00F86199">
        <w:rPr>
          <w:lang w:val="en-GB"/>
        </w:rPr>
        <w:t>focus group at their first in-person meeting, to be held in June 2026. In the meantime, the CPM was invited to provide comments.</w:t>
      </w:r>
    </w:p>
    <w:p w14:paraId="07F9CA6D" w14:textId="77777777" w:rsidR="00CC42CC" w:rsidRDefault="00CC42CC" w:rsidP="00CC42CC">
      <w:pPr>
        <w:pStyle w:val="IPPParagraphnumbering"/>
        <w:rPr>
          <w:lang w:val="en-GB"/>
        </w:rPr>
      </w:pPr>
      <w:r>
        <w:rPr>
          <w:lang w:val="en-GB"/>
        </w:rPr>
        <w:t>The CPM considered a suggestion that the remaining tasks for the focus group may need to be reviewed to consider how to enhance rather than duplicate existing diagnostic networks and that the key recommendations from the final report may be considered in the development of the next IPPC strategic framework. The CPM also noted a suggestion that the focus group conduct further consultation, given that different countries are at different stages in terms of their access to diagnostic networks.</w:t>
      </w:r>
    </w:p>
    <w:p w14:paraId="14D77771" w14:textId="77777777" w:rsidR="00CC42CC" w:rsidRPr="005C660F" w:rsidRDefault="00CC42CC" w:rsidP="00CC42CC">
      <w:pPr>
        <w:pStyle w:val="IPPParagraphnumberingclose"/>
      </w:pPr>
      <w:r w:rsidRPr="005C660F">
        <w:t>The CPM:</w:t>
      </w:r>
      <w:r>
        <w:t xml:space="preserve"> </w:t>
      </w:r>
    </w:p>
    <w:p w14:paraId="290DD43D" w14:textId="77777777" w:rsidR="00CC42CC" w:rsidRPr="005C660F" w:rsidRDefault="00CC42CC" w:rsidP="008A40A5">
      <w:pPr>
        <w:pStyle w:val="IPPNumberedList"/>
        <w:numPr>
          <w:ilvl w:val="0"/>
          <w:numId w:val="62"/>
        </w:numPr>
      </w:pPr>
      <w:r w:rsidRPr="008A40A5">
        <w:rPr>
          <w:i/>
          <w:iCs/>
        </w:rPr>
        <w:t xml:space="preserve">noted </w:t>
      </w:r>
      <w:r w:rsidRPr="2DFCAB5F">
        <w:t>the paper on the DAI “Diagnostic Laboratory Networking</w:t>
      </w:r>
      <w:proofErr w:type="gramStart"/>
      <w:r w:rsidRPr="2DFCAB5F">
        <w:t>”;</w:t>
      </w:r>
      <w:proofErr w:type="gramEnd"/>
      <w:r w:rsidRPr="2DFCAB5F">
        <w:t xml:space="preserve"> </w:t>
      </w:r>
    </w:p>
    <w:p w14:paraId="1293E5C1" w14:textId="77777777" w:rsidR="00CC42CC" w:rsidRPr="0008527A" w:rsidRDefault="00CC42CC" w:rsidP="00CC42CC">
      <w:pPr>
        <w:pStyle w:val="IPPNumberedList"/>
        <w:rPr>
          <w:lang w:val="en-GB"/>
        </w:rPr>
      </w:pPr>
      <w:r>
        <w:rPr>
          <w:i/>
          <w:iCs/>
          <w:lang w:val="en-GB"/>
        </w:rPr>
        <w:t xml:space="preserve">encouraged </w:t>
      </w:r>
      <w:r>
        <w:rPr>
          <w:lang w:val="en-GB"/>
        </w:rPr>
        <w:t xml:space="preserve">contracting parties and RPPOs to send comments on the recommendations in this report to the secretariat for consideration by the focus </w:t>
      </w:r>
      <w:proofErr w:type="gramStart"/>
      <w:r>
        <w:rPr>
          <w:lang w:val="en-GB"/>
        </w:rPr>
        <w:t>group;</w:t>
      </w:r>
      <w:proofErr w:type="gramEnd"/>
    </w:p>
    <w:p w14:paraId="4EE1DC6D" w14:textId="77777777" w:rsidR="00CC42CC" w:rsidRDefault="00CC42CC" w:rsidP="00CC42CC">
      <w:pPr>
        <w:pStyle w:val="IPPNumberedList"/>
        <w:rPr>
          <w:lang w:val="en-GB"/>
        </w:rPr>
      </w:pPr>
      <w:r>
        <w:rPr>
          <w:i/>
          <w:iCs/>
          <w:lang w:val="en-GB"/>
        </w:rPr>
        <w:t xml:space="preserve">thanked </w:t>
      </w:r>
      <w:r>
        <w:rPr>
          <w:lang w:val="en-GB"/>
        </w:rPr>
        <w:t xml:space="preserve">South Africa for the in-kind contribution of a consultant to conduct the </w:t>
      </w:r>
      <w:r w:rsidRPr="00F86199">
        <w:rPr>
          <w:lang w:val="en-GB"/>
        </w:rPr>
        <w:t xml:space="preserve">initial assessment of the state of diagnostic laboratory </w:t>
      </w:r>
      <w:proofErr w:type="gramStart"/>
      <w:r w:rsidRPr="00F86199">
        <w:rPr>
          <w:lang w:val="en-GB"/>
        </w:rPr>
        <w:t>networks</w:t>
      </w:r>
      <w:r>
        <w:rPr>
          <w:lang w:val="en-GB"/>
        </w:rPr>
        <w:t>;</w:t>
      </w:r>
      <w:proofErr w:type="gramEnd"/>
    </w:p>
    <w:p w14:paraId="49D22E18" w14:textId="77777777" w:rsidR="00CC42CC" w:rsidRDefault="00CC42CC" w:rsidP="00CC42CC">
      <w:pPr>
        <w:pStyle w:val="IPPNumberedList"/>
        <w:rPr>
          <w:lang w:val="en-GB"/>
        </w:rPr>
      </w:pPr>
      <w:r>
        <w:rPr>
          <w:i/>
          <w:iCs/>
          <w:lang w:val="en-GB"/>
        </w:rPr>
        <w:t xml:space="preserve">requested </w:t>
      </w:r>
      <w:r>
        <w:rPr>
          <w:lang w:val="en-GB"/>
        </w:rPr>
        <w:t>that the bureau review the focus groups’ terms of reference, considering the findings of the above assessment, and amend as appropriate; and</w:t>
      </w:r>
    </w:p>
    <w:p w14:paraId="1F3F2929" w14:textId="77777777" w:rsidR="00CC42CC" w:rsidRDefault="00CC42CC" w:rsidP="008A40A5">
      <w:pPr>
        <w:pStyle w:val="IPPNumberedListLast"/>
      </w:pPr>
      <w:r w:rsidRPr="00B546C8">
        <w:rPr>
          <w:i/>
          <w:iCs/>
        </w:rPr>
        <w:t>requested</w:t>
      </w:r>
      <w:r>
        <w:t xml:space="preserve"> that the focus group produces its final report for presentation at CPM-22 (2028).</w:t>
      </w:r>
    </w:p>
    <w:p w14:paraId="1DB02697" w14:textId="77777777" w:rsidR="00CC42CC" w:rsidRPr="004A5365" w:rsidRDefault="00CC42CC" w:rsidP="00CC42CC">
      <w:pPr>
        <w:pStyle w:val="IPPHeading2"/>
      </w:pPr>
      <w:r w:rsidRPr="004A5365">
        <w:t>13.9</w:t>
      </w:r>
      <w:r w:rsidRPr="004A5365">
        <w:tab/>
        <w:t>IPPC Observatory – progress report on 2025 activities and workplan for 2026</w:t>
      </w:r>
    </w:p>
    <w:p w14:paraId="09C5294E" w14:textId="77777777" w:rsidR="00CC42CC" w:rsidRPr="009E5E6A" w:rsidRDefault="00CC42CC" w:rsidP="00CC42CC">
      <w:pPr>
        <w:pStyle w:val="IPPParagraphnumbering"/>
        <w:rPr>
          <w:lang w:val="en-GB"/>
        </w:rPr>
      </w:pPr>
      <w:r w:rsidRPr="00EB5D8A">
        <w:rPr>
          <w:lang w:val="en-GB"/>
        </w:rPr>
        <w:t xml:space="preserve">The secretariat presented a progress report on the activities of the IPPC Observatory in 2025 and the workplan </w:t>
      </w:r>
      <w:r w:rsidRPr="009E5E6A">
        <w:rPr>
          <w:lang w:val="en-GB"/>
        </w:rPr>
        <w:t>for 2026.</w:t>
      </w:r>
      <w:r w:rsidRPr="009E5E6A">
        <w:rPr>
          <w:rStyle w:val="FootnoteReference"/>
          <w:lang w:val="en-GB"/>
        </w:rPr>
        <w:footnoteReference w:id="45"/>
      </w:r>
      <w:r w:rsidRPr="009E5E6A">
        <w:rPr>
          <w:lang w:val="en-GB"/>
        </w:rPr>
        <w:t xml:space="preserve"> Activities in 2025 had included the completion of surveys on e-commerce and antimicrobial use, together with continued collaboration with the </w:t>
      </w:r>
      <w:r w:rsidRPr="00FA0A8F">
        <w:rPr>
          <w:i/>
          <w:iCs/>
          <w:lang w:val="en-GB"/>
        </w:rPr>
        <w:t>Codex Alimentarius</w:t>
      </w:r>
      <w:r w:rsidRPr="009E5E6A">
        <w:rPr>
          <w:lang w:val="en-GB"/>
        </w:rPr>
        <w:t xml:space="preserve"> and the World Organisation for Animal Health observatories. The workplan for 2026 centred on the launch of the Third IPPC General Survey, agreeing the way forward for the final review and evaluation of the IPPC Strategic Framework 2020–2030 DAIs, reviewing topic submissions and mobilizing resources. </w:t>
      </w:r>
    </w:p>
    <w:p w14:paraId="6BCE3C85" w14:textId="77777777" w:rsidR="00CC42CC" w:rsidRDefault="00CC42CC" w:rsidP="00CC42CC">
      <w:pPr>
        <w:pStyle w:val="IPPParagraphnumbering"/>
        <w:rPr>
          <w:lang w:val="en-GB"/>
        </w:rPr>
      </w:pPr>
      <w:r>
        <w:rPr>
          <w:lang w:val="en-GB"/>
        </w:rPr>
        <w:t xml:space="preserve">The secretariat invited the CPM to consider two options for the </w:t>
      </w:r>
      <w:r w:rsidRPr="00EB5D8A">
        <w:rPr>
          <w:lang w:val="en-GB"/>
        </w:rPr>
        <w:t>final evaluation of the strategic framework</w:t>
      </w:r>
      <w:r>
        <w:rPr>
          <w:lang w:val="en-GB"/>
        </w:rPr>
        <w:t>, but t</w:t>
      </w:r>
      <w:r w:rsidRPr="00EB5D8A">
        <w:rPr>
          <w:lang w:val="en-GB"/>
        </w:rPr>
        <w:t xml:space="preserve">he CPM </w:t>
      </w:r>
      <w:r>
        <w:rPr>
          <w:lang w:val="en-GB"/>
        </w:rPr>
        <w:t xml:space="preserve">also </w:t>
      </w:r>
      <w:r w:rsidRPr="00EB5D8A">
        <w:rPr>
          <w:lang w:val="en-GB"/>
        </w:rPr>
        <w:t xml:space="preserve">considered an alternative </w:t>
      </w:r>
      <w:r>
        <w:rPr>
          <w:lang w:val="en-GB"/>
        </w:rPr>
        <w:t xml:space="preserve">suggestion: that the review </w:t>
      </w:r>
      <w:r w:rsidRPr="00EB5D8A">
        <w:rPr>
          <w:lang w:val="en-GB"/>
        </w:rPr>
        <w:t>be undertaken by a small group reporting to the bureau, or by the bureau itself, through an evaluation of the outputs from the relevant focus groups and other relevant activities.</w:t>
      </w:r>
      <w:r w:rsidRPr="00EB5D8A">
        <w:rPr>
          <w:rStyle w:val="FootnoteReference"/>
          <w:lang w:val="en-GB"/>
        </w:rPr>
        <w:footnoteReference w:id="46"/>
      </w:r>
      <w:r>
        <w:rPr>
          <w:lang w:val="en-GB"/>
        </w:rPr>
        <w:t xml:space="preserve"> As there was no consensus</w:t>
      </w:r>
      <w:r w:rsidRPr="00EB5D8A">
        <w:rPr>
          <w:lang w:val="en-GB"/>
        </w:rPr>
        <w:t xml:space="preserve"> </w:t>
      </w:r>
      <w:r>
        <w:rPr>
          <w:lang w:val="en-GB"/>
        </w:rPr>
        <w:t xml:space="preserve">to follow this </w:t>
      </w:r>
      <w:r>
        <w:rPr>
          <w:lang w:val="en-GB"/>
        </w:rPr>
        <w:lastRenderedPageBreak/>
        <w:t>approach, the CPM agreed that the evaluation should be undertaken by the IPPC Observatory, as initially planned, and noted that the activity fell within its mandate.</w:t>
      </w:r>
    </w:p>
    <w:p w14:paraId="61F4BA71" w14:textId="77777777" w:rsidR="00CC42CC" w:rsidRPr="007E4E73" w:rsidRDefault="00CC42CC" w:rsidP="00CC42CC">
      <w:pPr>
        <w:pStyle w:val="IPPParagraphnumbering"/>
        <w:rPr>
          <w:lang w:val="en-GB"/>
        </w:rPr>
      </w:pPr>
      <w:r w:rsidRPr="007E4E73">
        <w:rPr>
          <w:lang w:val="en-GB"/>
        </w:rPr>
        <w:t>The CPM noted the benefits of hiring a survey specialist to ensure consistent high-quality survey design.</w:t>
      </w:r>
      <w:r w:rsidRPr="007E4E73">
        <w:rPr>
          <w:rStyle w:val="FootnoteReference"/>
          <w:lang w:val="en-GB"/>
        </w:rPr>
        <w:footnoteReference w:id="47"/>
      </w:r>
    </w:p>
    <w:p w14:paraId="04A17245" w14:textId="77777777" w:rsidR="00CC42CC" w:rsidRPr="00FA22B6" w:rsidRDefault="00CC42CC" w:rsidP="00CC42CC">
      <w:pPr>
        <w:pStyle w:val="IPPParagraphnumberingclose"/>
        <w:rPr>
          <w:lang w:val="en-GB"/>
        </w:rPr>
      </w:pPr>
      <w:r w:rsidRPr="004A5365">
        <w:rPr>
          <w:lang w:val="en-GB"/>
        </w:rPr>
        <w:t>The CPM:</w:t>
      </w:r>
    </w:p>
    <w:p w14:paraId="40A98627" w14:textId="77777777" w:rsidR="00CC42CC" w:rsidRPr="004A5365" w:rsidRDefault="00CC42CC" w:rsidP="00CC42CC">
      <w:pPr>
        <w:pStyle w:val="IPPNumberedList"/>
        <w:numPr>
          <w:ilvl w:val="0"/>
          <w:numId w:val="53"/>
        </w:numPr>
        <w:rPr>
          <w:lang w:val="en-GB"/>
        </w:rPr>
      </w:pPr>
      <w:r w:rsidRPr="004A5365">
        <w:rPr>
          <w:i/>
          <w:iCs/>
          <w:lang w:val="en-GB"/>
        </w:rPr>
        <w:t>noted</w:t>
      </w:r>
      <w:r w:rsidRPr="004A5365">
        <w:rPr>
          <w:lang w:val="en-GB"/>
        </w:rPr>
        <w:t xml:space="preserve"> the status of activities from the IPPC Observatory 2025 workplan, including that some activities could not be completed because of a lack of dedicated </w:t>
      </w:r>
      <w:proofErr w:type="gramStart"/>
      <w:r w:rsidRPr="004A5365">
        <w:rPr>
          <w:lang w:val="en-GB"/>
        </w:rPr>
        <w:t>funding;</w:t>
      </w:r>
      <w:proofErr w:type="gramEnd"/>
    </w:p>
    <w:p w14:paraId="428C4BC7" w14:textId="77777777" w:rsidR="00CC42CC" w:rsidRPr="004A5365" w:rsidRDefault="00CC42CC" w:rsidP="00CC42CC">
      <w:pPr>
        <w:pStyle w:val="IPPNumberedList"/>
        <w:rPr>
          <w:lang w:val="en-GB"/>
        </w:rPr>
      </w:pPr>
      <w:r w:rsidRPr="004A5365">
        <w:rPr>
          <w:i/>
          <w:iCs/>
          <w:lang w:val="en-GB"/>
        </w:rPr>
        <w:t>noted</w:t>
      </w:r>
      <w:r w:rsidRPr="004A5365">
        <w:rPr>
          <w:lang w:val="en-GB"/>
        </w:rPr>
        <w:t xml:space="preserve"> the IPPC Observatory 2026 </w:t>
      </w:r>
      <w:proofErr w:type="gramStart"/>
      <w:r w:rsidRPr="004A5365">
        <w:rPr>
          <w:lang w:val="en-GB"/>
        </w:rPr>
        <w:t>workplan;</w:t>
      </w:r>
      <w:proofErr w:type="gramEnd"/>
    </w:p>
    <w:p w14:paraId="1B43E152" w14:textId="77777777" w:rsidR="00CC42CC" w:rsidRPr="004A5365" w:rsidRDefault="00CC42CC" w:rsidP="00CC42CC">
      <w:pPr>
        <w:pStyle w:val="IPPNumberedList"/>
        <w:rPr>
          <w:lang w:val="en-GB"/>
        </w:rPr>
      </w:pPr>
      <w:r w:rsidRPr="004A5365">
        <w:rPr>
          <w:i/>
          <w:iCs/>
          <w:lang w:val="en-GB"/>
        </w:rPr>
        <w:t>noted</w:t>
      </w:r>
      <w:r w:rsidRPr="004A5365">
        <w:rPr>
          <w:lang w:val="en-GB"/>
        </w:rPr>
        <w:t xml:space="preserve"> the CPM-17 (2023) and the CPM-19 (2025) decision </w:t>
      </w:r>
      <w:r w:rsidRPr="004A5365">
        <w:rPr>
          <w:i/>
          <w:iCs/>
          <w:lang w:val="en-GB"/>
        </w:rPr>
        <w:t>requesting</w:t>
      </w:r>
      <w:r w:rsidRPr="004A5365">
        <w:rPr>
          <w:lang w:val="en-GB"/>
        </w:rPr>
        <w:t xml:space="preserve"> the secretariat to consider establishing a new position of programme manager to coordinate, monitor, report and mobilize funds, and </w:t>
      </w:r>
      <w:r w:rsidRPr="004A5365">
        <w:rPr>
          <w:i/>
          <w:iCs/>
          <w:lang w:val="en-GB"/>
        </w:rPr>
        <w:t>requesting</w:t>
      </w:r>
      <w:r w:rsidRPr="004A5365">
        <w:rPr>
          <w:lang w:val="en-GB"/>
        </w:rPr>
        <w:t xml:space="preserve"> the </w:t>
      </w:r>
      <w:r>
        <w:rPr>
          <w:lang w:val="en-GB"/>
        </w:rPr>
        <w:t>bureau</w:t>
      </w:r>
      <w:r w:rsidRPr="004A5365">
        <w:rPr>
          <w:lang w:val="en-GB"/>
        </w:rPr>
        <w:t xml:space="preserve"> to implement this </w:t>
      </w:r>
      <w:proofErr w:type="gramStart"/>
      <w:r w:rsidRPr="004A5365">
        <w:rPr>
          <w:lang w:val="en-GB"/>
        </w:rPr>
        <w:t>decision;</w:t>
      </w:r>
      <w:proofErr w:type="gramEnd"/>
      <w:r>
        <w:rPr>
          <w:lang w:val="en-GB"/>
        </w:rPr>
        <w:t xml:space="preserve"> </w:t>
      </w:r>
    </w:p>
    <w:p w14:paraId="1627B9F8" w14:textId="77777777" w:rsidR="00CC42CC" w:rsidRPr="004A5365" w:rsidRDefault="00CC42CC" w:rsidP="00CC42CC">
      <w:pPr>
        <w:pStyle w:val="IPPNumberedList"/>
        <w:rPr>
          <w:lang w:val="en-GB"/>
        </w:rPr>
      </w:pPr>
      <w:r w:rsidRPr="004A5365">
        <w:rPr>
          <w:i/>
          <w:iCs/>
          <w:lang w:val="en-GB"/>
        </w:rPr>
        <w:t>requested</w:t>
      </w:r>
      <w:r w:rsidRPr="004A5365">
        <w:rPr>
          <w:lang w:val="en-GB"/>
        </w:rPr>
        <w:t xml:space="preserve"> that the IPPC secretary collaborate with the bureau to consider establishing a new position of programme manager to coordinate, monitor, report and mobilize funds in </w:t>
      </w:r>
      <w:proofErr w:type="gramStart"/>
      <w:r w:rsidRPr="004A5365">
        <w:rPr>
          <w:lang w:val="en-GB"/>
        </w:rPr>
        <w:t>2026;</w:t>
      </w:r>
      <w:proofErr w:type="gramEnd"/>
      <w:r>
        <w:rPr>
          <w:lang w:val="en-GB"/>
        </w:rPr>
        <w:t xml:space="preserve"> </w:t>
      </w:r>
    </w:p>
    <w:p w14:paraId="0D1614E5" w14:textId="77777777" w:rsidR="00CC42CC" w:rsidRDefault="00CC42CC" w:rsidP="00CC42CC">
      <w:pPr>
        <w:pStyle w:val="IPPNumberedList"/>
        <w:rPr>
          <w:lang w:val="en-GB"/>
        </w:rPr>
      </w:pPr>
      <w:r w:rsidRPr="004A5365">
        <w:rPr>
          <w:i/>
          <w:iCs/>
          <w:lang w:val="en-GB"/>
        </w:rPr>
        <w:t>encouraged</w:t>
      </w:r>
      <w:r w:rsidRPr="004A5365">
        <w:rPr>
          <w:lang w:val="en-GB"/>
        </w:rPr>
        <w:t xml:space="preserve"> IPPC Official Contact Points to respond to the call for data submission on antimicrobial resistance (AMR) in plant health through FAO’s Antimicrobial Resistance Monitoring (</w:t>
      </w:r>
      <w:proofErr w:type="spellStart"/>
      <w:r w:rsidRPr="004A5365">
        <w:rPr>
          <w:lang w:val="en-GB"/>
        </w:rPr>
        <w:t>InFARM</w:t>
      </w:r>
      <w:proofErr w:type="spellEnd"/>
      <w:r w:rsidRPr="004A5365">
        <w:rPr>
          <w:lang w:val="en-GB"/>
        </w:rPr>
        <w:t xml:space="preserve">) </w:t>
      </w:r>
      <w:proofErr w:type="gramStart"/>
      <w:r w:rsidRPr="004A5365">
        <w:rPr>
          <w:lang w:val="en-GB"/>
        </w:rPr>
        <w:t>platform;</w:t>
      </w:r>
      <w:proofErr w:type="gramEnd"/>
    </w:p>
    <w:p w14:paraId="232C58B4" w14:textId="77777777" w:rsidR="00CC42CC" w:rsidRPr="00D107DE" w:rsidRDefault="00CC42CC" w:rsidP="00CC42CC">
      <w:pPr>
        <w:pStyle w:val="IPPNumberedList"/>
      </w:pPr>
      <w:r w:rsidRPr="00FA0A8F">
        <w:rPr>
          <w:i/>
          <w:iCs/>
        </w:rPr>
        <w:t xml:space="preserve">agreed </w:t>
      </w:r>
      <w:r>
        <w:t xml:space="preserve">that the final review and evaluation of the IPPC Strategic Framework 2020–2030 DAIs would be undertaken by the IPPC Observatory in 2027, in accordance with the terms of reference proposed in Appendix 3 of CPM 2026/21, and requested that the required financial resources be allocated no later than </w:t>
      </w:r>
      <w:proofErr w:type="gramStart"/>
      <w:r>
        <w:t>2026;</w:t>
      </w:r>
      <w:proofErr w:type="gramEnd"/>
      <w:r>
        <w:t xml:space="preserve"> </w:t>
      </w:r>
    </w:p>
    <w:p w14:paraId="7753BE1D" w14:textId="77777777" w:rsidR="00CC42CC" w:rsidRPr="004A5365" w:rsidRDefault="00CC42CC" w:rsidP="00CC42CC">
      <w:pPr>
        <w:pStyle w:val="IPPNumberedList"/>
        <w:rPr>
          <w:lang w:val="en-GB"/>
        </w:rPr>
      </w:pPr>
      <w:r w:rsidRPr="004A5365">
        <w:rPr>
          <w:i/>
          <w:iCs/>
          <w:lang w:val="en-GB"/>
        </w:rPr>
        <w:t>noted</w:t>
      </w:r>
      <w:r w:rsidRPr="004A5365">
        <w:rPr>
          <w:lang w:val="en-GB"/>
        </w:rPr>
        <w:t xml:space="preserve"> the efforts made to redesign and standardize the Third IPPC General </w:t>
      </w:r>
      <w:proofErr w:type="gramStart"/>
      <w:r w:rsidRPr="004A5365">
        <w:rPr>
          <w:lang w:val="en-GB"/>
        </w:rPr>
        <w:t>Survey;</w:t>
      </w:r>
      <w:proofErr w:type="gramEnd"/>
      <w:r>
        <w:rPr>
          <w:lang w:val="en-GB"/>
        </w:rPr>
        <w:t xml:space="preserve"> </w:t>
      </w:r>
    </w:p>
    <w:p w14:paraId="62B15EBC" w14:textId="77777777" w:rsidR="00CC42CC" w:rsidRPr="001D6BD4" w:rsidRDefault="00CC42CC" w:rsidP="00CC42CC">
      <w:pPr>
        <w:pStyle w:val="IPPNumberedList"/>
        <w:rPr>
          <w:lang w:val="en-GB"/>
        </w:rPr>
      </w:pPr>
      <w:r w:rsidRPr="001D6BD4">
        <w:rPr>
          <w:i/>
          <w:iCs/>
          <w:lang w:val="en-GB"/>
        </w:rPr>
        <w:t>noted</w:t>
      </w:r>
      <w:r w:rsidRPr="001D6BD4">
        <w:rPr>
          <w:lang w:val="en-GB"/>
        </w:rPr>
        <w:t xml:space="preserve"> the launch of the </w:t>
      </w:r>
      <w:r>
        <w:rPr>
          <w:lang w:val="en-GB"/>
        </w:rPr>
        <w:t xml:space="preserve">redesigned </w:t>
      </w:r>
      <w:r w:rsidRPr="001D6BD4">
        <w:rPr>
          <w:lang w:val="en-GB"/>
        </w:rPr>
        <w:t xml:space="preserve">IPPC Third General survey </w:t>
      </w:r>
      <w:r>
        <w:rPr>
          <w:lang w:val="en-GB"/>
        </w:rPr>
        <w:t xml:space="preserve">in the second half of 2026 </w:t>
      </w:r>
      <w:r w:rsidRPr="001D6BD4">
        <w:rPr>
          <w:lang w:val="en-GB"/>
        </w:rPr>
        <w:t xml:space="preserve">and </w:t>
      </w:r>
      <w:r w:rsidRPr="001D6BD4">
        <w:rPr>
          <w:i/>
          <w:iCs/>
          <w:lang w:val="en-GB"/>
        </w:rPr>
        <w:t>called</w:t>
      </w:r>
      <w:r w:rsidRPr="001D6BD4">
        <w:rPr>
          <w:lang w:val="en-GB"/>
        </w:rPr>
        <w:t xml:space="preserve"> </w:t>
      </w:r>
      <w:r>
        <w:rPr>
          <w:lang w:val="en-GB"/>
        </w:rPr>
        <w:t xml:space="preserve">on </w:t>
      </w:r>
      <w:r w:rsidRPr="001D6BD4">
        <w:rPr>
          <w:lang w:val="en-GB"/>
        </w:rPr>
        <w:t>contracting parties to actively participate and respond to the survey; and</w:t>
      </w:r>
      <w:r>
        <w:rPr>
          <w:lang w:val="en-GB"/>
        </w:rPr>
        <w:t xml:space="preserve"> </w:t>
      </w:r>
    </w:p>
    <w:p w14:paraId="498C4A68" w14:textId="77777777" w:rsidR="00CC42CC" w:rsidRPr="004A5365" w:rsidRDefault="00CC42CC" w:rsidP="007E3C37">
      <w:pPr>
        <w:pStyle w:val="IPPNumberedListLast"/>
      </w:pPr>
      <w:r w:rsidRPr="004A5365">
        <w:rPr>
          <w:i/>
          <w:iCs/>
        </w:rPr>
        <w:t>acknowledged</w:t>
      </w:r>
      <w:r w:rsidRPr="004A5365">
        <w:t xml:space="preserve"> the financial contributions from the government of the Republic of Korea to support the work on the Third IPPC General Survey.</w:t>
      </w:r>
      <w:r>
        <w:t xml:space="preserve"> </w:t>
      </w:r>
    </w:p>
    <w:p w14:paraId="6927AE65" w14:textId="77777777" w:rsidR="00CC42CC" w:rsidRPr="004A5365" w:rsidRDefault="00CC42CC" w:rsidP="00CC42CC">
      <w:pPr>
        <w:pStyle w:val="IPPHeading1"/>
      </w:pPr>
      <w:r w:rsidRPr="004A5365">
        <w:t>14.</w:t>
      </w:r>
      <w:r w:rsidRPr="004A5365">
        <w:tab/>
        <w:t>Updates from other CPM focus groups</w:t>
      </w:r>
    </w:p>
    <w:p w14:paraId="325A578C" w14:textId="77777777" w:rsidR="00CC42CC" w:rsidRPr="004A5365" w:rsidRDefault="00CC42CC" w:rsidP="00CC42CC">
      <w:pPr>
        <w:pStyle w:val="IPPHeading2"/>
      </w:pPr>
      <w:r w:rsidRPr="004A5365">
        <w:t>14.1</w:t>
      </w:r>
      <w:r w:rsidRPr="004A5365">
        <w:tab/>
        <w:t>Report from CPM Focus Group on Safe Provision of Food and Other Humanitarian Aid</w:t>
      </w:r>
    </w:p>
    <w:p w14:paraId="4EDD5D31" w14:textId="77777777" w:rsidR="00CC42CC" w:rsidRPr="00F25FB6" w:rsidRDefault="00CC42CC" w:rsidP="00CC42CC">
      <w:pPr>
        <w:pStyle w:val="IPPParagraphnumbering"/>
        <w:rPr>
          <w:lang w:val="en-GB"/>
        </w:rPr>
      </w:pPr>
      <w:r w:rsidRPr="008F2A84">
        <w:rPr>
          <w:lang w:val="en-GB"/>
        </w:rPr>
        <w:t>The vice-chairperson of the CPM Focus Group on Safe Provision of Food and Other Humanitarian Aid presented the final report from the focus group</w:t>
      </w:r>
      <w:r>
        <w:rPr>
          <w:lang w:val="en-GB"/>
        </w:rPr>
        <w:t>.</w:t>
      </w:r>
      <w:r w:rsidRPr="008F2A84">
        <w:rPr>
          <w:rStyle w:val="FootnoteReference"/>
          <w:lang w:val="en-GB"/>
        </w:rPr>
        <w:footnoteReference w:id="48"/>
      </w:r>
      <w:r w:rsidRPr="008F2A84">
        <w:rPr>
          <w:lang w:val="en-GB"/>
        </w:rPr>
        <w:t xml:space="preserve"> She confirmed that</w:t>
      </w:r>
      <w:r>
        <w:rPr>
          <w:lang w:val="en-GB"/>
        </w:rPr>
        <w:t>, with the delivery of the science session at this meeting (in place of a webinar) and the action plan in the group’s report,</w:t>
      </w:r>
      <w:r w:rsidRPr="008F2A84">
        <w:rPr>
          <w:lang w:val="en-GB"/>
        </w:rPr>
        <w:t xml:space="preserve"> the focus group had successfully delivered all its tasks and was concluding its mandate at this meeting</w:t>
      </w:r>
      <w:r>
        <w:rPr>
          <w:lang w:val="en-GB"/>
        </w:rPr>
        <w:t xml:space="preserve">. </w:t>
      </w:r>
      <w:r w:rsidRPr="003C4BD4">
        <w:rPr>
          <w:lang w:val="en-GB"/>
        </w:rPr>
        <w:t xml:space="preserve">The focus group vice-chairperson </w:t>
      </w:r>
      <w:r>
        <w:rPr>
          <w:lang w:val="en-GB"/>
        </w:rPr>
        <w:t xml:space="preserve">highlighted the complexity of the provision of humanitarian aid and the importance of clear messaging. She also emphasized that the focus group had worked on the principle of “do no harm”, mindful that preservation of human life is paramount: the aim of the draft ISPM would therefore be to help NPPOs perform their functions without delaying the provision of aid. </w:t>
      </w:r>
    </w:p>
    <w:p w14:paraId="1D4CF7A5" w14:textId="77777777" w:rsidR="00CC42CC" w:rsidRPr="007875B9" w:rsidRDefault="00CC42CC" w:rsidP="00CC42CC">
      <w:pPr>
        <w:pStyle w:val="IPPParagraphnumbering"/>
        <w:rPr>
          <w:lang w:val="en-GB"/>
        </w:rPr>
      </w:pPr>
      <w:r w:rsidRPr="003C4BD4">
        <w:rPr>
          <w:lang w:val="en-GB"/>
        </w:rPr>
        <w:t xml:space="preserve">Contracting parties highlighted the need to consider the pest risk associated with humanitarian aid passing through transit countries. </w:t>
      </w:r>
      <w:r>
        <w:rPr>
          <w:lang w:val="en-GB"/>
        </w:rPr>
        <w:t xml:space="preserve">One RPPO also expressed their intention to </w:t>
      </w:r>
      <w:r w:rsidRPr="003C4BD4">
        <w:rPr>
          <w:lang w:val="en-GB"/>
        </w:rPr>
        <w:t xml:space="preserve">contribute resources and tools for simulation exercises, for consideration by </w:t>
      </w:r>
      <w:r>
        <w:rPr>
          <w:lang w:val="en-GB"/>
        </w:rPr>
        <w:t>the</w:t>
      </w:r>
      <w:r w:rsidRPr="007875B9">
        <w:rPr>
          <w:lang w:val="en-GB"/>
        </w:rPr>
        <w:t xml:space="preserve"> secretariat.</w:t>
      </w:r>
    </w:p>
    <w:p w14:paraId="2CC53C6D" w14:textId="77777777" w:rsidR="00CC42CC" w:rsidRDefault="00CC42CC" w:rsidP="00CC42CC">
      <w:pPr>
        <w:pStyle w:val="IPPParagraphnumbering"/>
        <w:rPr>
          <w:lang w:val="en-GB"/>
        </w:rPr>
      </w:pPr>
      <w:r>
        <w:rPr>
          <w:lang w:val="en-GB"/>
        </w:rPr>
        <w:t xml:space="preserve">The secretariat informed the CPM that, </w:t>
      </w:r>
      <w:proofErr w:type="gramStart"/>
      <w:r>
        <w:rPr>
          <w:lang w:val="en-GB"/>
        </w:rPr>
        <w:t>as a result of</w:t>
      </w:r>
      <w:proofErr w:type="gramEnd"/>
      <w:r>
        <w:rPr>
          <w:lang w:val="en-GB"/>
        </w:rPr>
        <w:t xml:space="preserve"> the recent global travel difficulties, the EWG for the draft ISPM on </w:t>
      </w:r>
      <w:r w:rsidRPr="001D3C9C">
        <w:rPr>
          <w:i/>
          <w:iCs/>
          <w:lang w:val="en-GB"/>
        </w:rPr>
        <w:t>Safe provision of humanitarian aid in the phytosanitary context</w:t>
      </w:r>
      <w:r>
        <w:rPr>
          <w:lang w:val="en-GB"/>
        </w:rPr>
        <w:t xml:space="preserve"> (2021-020), which had been scheduled in the week following this meeting, had been postponed. The secretariat thanked Fiji and the Pacific Plant Protection Organization for agreeing to co-host the EWG.</w:t>
      </w:r>
    </w:p>
    <w:p w14:paraId="25ABE004" w14:textId="77777777" w:rsidR="00CC42CC" w:rsidRPr="0001033C" w:rsidRDefault="00CC42CC" w:rsidP="00CC42CC">
      <w:pPr>
        <w:pStyle w:val="IPPParagraphnumberingclose"/>
        <w:rPr>
          <w:lang w:val="en-GB"/>
        </w:rPr>
      </w:pPr>
      <w:r w:rsidRPr="004A5365">
        <w:rPr>
          <w:lang w:val="en-GB"/>
        </w:rPr>
        <w:lastRenderedPageBreak/>
        <w:t>The CPM:</w:t>
      </w:r>
      <w:r>
        <w:rPr>
          <w:lang w:val="en-GB"/>
        </w:rPr>
        <w:t xml:space="preserve"> </w:t>
      </w:r>
    </w:p>
    <w:p w14:paraId="4DBDB8B1" w14:textId="77777777" w:rsidR="00CC42CC" w:rsidRPr="004A5365" w:rsidRDefault="00CC42CC" w:rsidP="00CC42CC">
      <w:pPr>
        <w:pStyle w:val="IPPNumberedList"/>
        <w:numPr>
          <w:ilvl w:val="0"/>
          <w:numId w:val="18"/>
        </w:numPr>
        <w:rPr>
          <w:lang w:val="en-GB"/>
        </w:rPr>
      </w:pPr>
      <w:r w:rsidRPr="004A5365">
        <w:rPr>
          <w:i/>
          <w:iCs/>
          <w:lang w:val="en-GB"/>
        </w:rPr>
        <w:t xml:space="preserve">noted </w:t>
      </w:r>
      <w:r w:rsidRPr="004A5365">
        <w:rPr>
          <w:lang w:val="en-GB"/>
        </w:rPr>
        <w:t xml:space="preserve">the final report from the CPM Focus Group on Safe Provision of Food and Other Humanitarian </w:t>
      </w:r>
      <w:proofErr w:type="gramStart"/>
      <w:r w:rsidRPr="004A5365">
        <w:rPr>
          <w:lang w:val="en-GB"/>
        </w:rPr>
        <w:t>Aid;</w:t>
      </w:r>
      <w:proofErr w:type="gramEnd"/>
    </w:p>
    <w:p w14:paraId="026343D5" w14:textId="77777777" w:rsidR="00CC42CC" w:rsidRPr="004A5365" w:rsidRDefault="00CC42CC" w:rsidP="00CC42CC">
      <w:pPr>
        <w:pStyle w:val="IPPNumberedList"/>
        <w:rPr>
          <w:lang w:val="en-GB"/>
        </w:rPr>
      </w:pPr>
      <w:r w:rsidRPr="004A5365">
        <w:rPr>
          <w:i/>
          <w:iCs/>
          <w:lang w:val="en-GB"/>
        </w:rPr>
        <w:t>thanked</w:t>
      </w:r>
      <w:r w:rsidRPr="004A5365">
        <w:rPr>
          <w:lang w:val="en-GB"/>
        </w:rPr>
        <w:t xml:space="preserve"> Australia for its financial contributions to the work of the focus group and all NPPOs, RPPOs and organizations noted in the focus group’s report for their direct </w:t>
      </w:r>
      <w:proofErr w:type="gramStart"/>
      <w:r w:rsidRPr="004A5365">
        <w:rPr>
          <w:lang w:val="en-GB"/>
        </w:rPr>
        <w:t>support;</w:t>
      </w:r>
      <w:proofErr w:type="gramEnd"/>
    </w:p>
    <w:p w14:paraId="352DFA93" w14:textId="77777777" w:rsidR="00CC42CC" w:rsidRPr="00CC36A1" w:rsidRDefault="00CC42CC" w:rsidP="00CC42CC">
      <w:pPr>
        <w:pStyle w:val="IPPNumberedList"/>
        <w:rPr>
          <w:lang w:val="en-GB"/>
        </w:rPr>
      </w:pPr>
      <w:r w:rsidRPr="00CC36A1">
        <w:rPr>
          <w:i/>
          <w:iCs/>
          <w:lang w:val="en-GB"/>
        </w:rPr>
        <w:t>agreed</w:t>
      </w:r>
      <w:r w:rsidRPr="00CC36A1">
        <w:rPr>
          <w:lang w:val="en-GB"/>
        </w:rPr>
        <w:t xml:space="preserve"> the action plan for collaboration with other organizations on the safe movement of humanitarian aid, as presented in Annex 1 of CPM 2026/22, and </w:t>
      </w:r>
      <w:r w:rsidRPr="00CC36A1">
        <w:rPr>
          <w:i/>
          <w:iCs/>
          <w:lang w:val="en-GB"/>
        </w:rPr>
        <w:t>noted</w:t>
      </w:r>
      <w:r w:rsidRPr="00CC36A1">
        <w:rPr>
          <w:lang w:val="en-GB"/>
        </w:rPr>
        <w:t xml:space="preserve"> how the IPPC community could assist </w:t>
      </w:r>
      <w:r w:rsidRPr="00CC36A1">
        <w:t>with</w:t>
      </w:r>
      <w:r w:rsidRPr="00CC36A1">
        <w:rPr>
          <w:lang w:val="en-GB"/>
        </w:rPr>
        <w:t xml:space="preserve"> implementing relevant proposals or outcomes; and</w:t>
      </w:r>
    </w:p>
    <w:p w14:paraId="3FF2BC16" w14:textId="77777777" w:rsidR="00CC42CC" w:rsidRPr="004A5365" w:rsidRDefault="00CC42CC" w:rsidP="00CC42CC">
      <w:pPr>
        <w:pStyle w:val="IPPNumberedListLast"/>
      </w:pPr>
      <w:r w:rsidRPr="004A5365">
        <w:rPr>
          <w:i/>
          <w:iCs/>
        </w:rPr>
        <w:t xml:space="preserve">acknowledged </w:t>
      </w:r>
      <w:r w:rsidRPr="004A5365">
        <w:t xml:space="preserve">the contribution of the focus group members (Appendix X) and </w:t>
      </w:r>
      <w:r w:rsidRPr="004A5365">
        <w:rPr>
          <w:i/>
          <w:iCs/>
        </w:rPr>
        <w:t>thanked</w:t>
      </w:r>
      <w:r w:rsidRPr="004A5365">
        <w:t xml:space="preserve"> them for their work.</w:t>
      </w:r>
    </w:p>
    <w:p w14:paraId="059A0925" w14:textId="77777777" w:rsidR="005439F9" w:rsidRPr="00C43FD6" w:rsidRDefault="005439F9" w:rsidP="005439F9">
      <w:pPr>
        <w:pStyle w:val="IPPHeading2"/>
      </w:pPr>
      <w:r w:rsidRPr="00C43FD6">
        <w:t>14.2</w:t>
      </w:r>
      <w:r w:rsidRPr="00C43FD6">
        <w:tab/>
        <w:t>Update from CPM Focus Group on Sea Containers</w:t>
      </w:r>
    </w:p>
    <w:p w14:paraId="015D7217" w14:textId="77777777" w:rsidR="005439F9" w:rsidRPr="001F3052" w:rsidRDefault="005439F9" w:rsidP="005439F9">
      <w:pPr>
        <w:pStyle w:val="IPPParagraphnumbering"/>
        <w:rPr>
          <w:lang w:val="en-GB"/>
        </w:rPr>
      </w:pPr>
      <w:r w:rsidRPr="001F3052">
        <w:rPr>
          <w:lang w:val="en-GB"/>
        </w:rPr>
        <w:t>One of the co-chairpersons of the CPM Focus Group on Sea Containers presented an update on the activities of the focus group.</w:t>
      </w:r>
      <w:r w:rsidRPr="001F3052">
        <w:rPr>
          <w:rStyle w:val="FootnoteReference"/>
          <w:lang w:val="en-GB"/>
        </w:rPr>
        <w:footnoteReference w:id="49"/>
      </w:r>
      <w:r w:rsidRPr="001F3052">
        <w:rPr>
          <w:lang w:val="en-GB"/>
        </w:rPr>
        <w:t xml:space="preserve"> He reported that the focus group had supported a symposium in October 2025, continued its evaluation of regulatory and non-regulatory measures, and further developed the custodial responsibility approach. However, the focus group had been unable to complete its assessment of the effectiveness of </w:t>
      </w:r>
      <w:r>
        <w:rPr>
          <w:lang w:val="en-GB"/>
        </w:rPr>
        <w:t xml:space="preserve">the </w:t>
      </w:r>
      <w:r w:rsidRPr="001F3052">
        <w:rPr>
          <w:lang w:val="en-GB"/>
        </w:rPr>
        <w:t>CPM Recommendation</w:t>
      </w:r>
      <w:r>
        <w:rPr>
          <w:lang w:val="en-GB"/>
        </w:rPr>
        <w:t xml:space="preserve"> on </w:t>
      </w:r>
      <w:r>
        <w:rPr>
          <w:i/>
          <w:iCs/>
          <w:lang w:val="en-GB"/>
        </w:rPr>
        <w:t xml:space="preserve">Sea containers </w:t>
      </w:r>
      <w:r>
        <w:rPr>
          <w:lang w:val="en-GB"/>
        </w:rPr>
        <w:t>(R-0</w:t>
      </w:r>
      <w:r w:rsidRPr="001F3052">
        <w:rPr>
          <w:lang w:val="en-GB"/>
        </w:rPr>
        <w:t>6</w:t>
      </w:r>
      <w:r>
        <w:rPr>
          <w:lang w:val="en-GB"/>
        </w:rPr>
        <w:t>)</w:t>
      </w:r>
      <w:r w:rsidRPr="001F3052">
        <w:rPr>
          <w:lang w:val="en-GB"/>
        </w:rPr>
        <w:t>, because it had proved impossible to obtain sufficient suitable data</w:t>
      </w:r>
      <w:r>
        <w:rPr>
          <w:lang w:val="en-GB"/>
        </w:rPr>
        <w:t xml:space="preserve">. Furthermore, </w:t>
      </w:r>
      <w:r w:rsidRPr="001F3052">
        <w:rPr>
          <w:lang w:val="en-GB"/>
        </w:rPr>
        <w:t xml:space="preserve">feedback from several regional IPPC workshops and some NPPOs at the symposium had indicated that both awareness and uptake of the CPM recommendation remained very low. He explained that, given the very low attendance at the 2025 symposium, the focus group had proposed that, instead of holding an international workshop in 2026 as planned, the focus group should </w:t>
      </w:r>
      <w:r w:rsidRPr="001F3052">
        <w:t>instead</w:t>
      </w:r>
      <w:r w:rsidRPr="001F3052">
        <w:rPr>
          <w:lang w:val="en-GB"/>
        </w:rPr>
        <w:t xml:space="preserve"> concentrate on other means of raising awareness and obtaining feedback.</w:t>
      </w:r>
    </w:p>
    <w:p w14:paraId="78EE7ED2" w14:textId="77777777" w:rsidR="005439F9" w:rsidRDefault="005439F9" w:rsidP="005439F9">
      <w:pPr>
        <w:pStyle w:val="IPPParagraphnumbering"/>
        <w:rPr>
          <w:lang w:val="en-GB"/>
        </w:rPr>
      </w:pPr>
      <w:r>
        <w:rPr>
          <w:lang w:val="en-GB"/>
        </w:rPr>
        <w:t>The CPM noted a suggestion that the focus group identify and plan for continued engagement with stakeholders and welcomed confirmation from Canada that its pledged financial contribution for a sea containers workshop in 2026</w:t>
      </w:r>
      <w:r>
        <w:rPr>
          <w:rStyle w:val="FootnoteReference"/>
          <w:lang w:val="en-GB"/>
        </w:rPr>
        <w:footnoteReference w:id="50"/>
      </w:r>
      <w:r>
        <w:rPr>
          <w:lang w:val="en-GB"/>
        </w:rPr>
        <w:t xml:space="preserve"> could be used to support this.</w:t>
      </w:r>
    </w:p>
    <w:p w14:paraId="70842D68" w14:textId="77777777" w:rsidR="005439F9" w:rsidRPr="00AF5405" w:rsidRDefault="005439F9" w:rsidP="005439F9">
      <w:pPr>
        <w:pStyle w:val="IPPParagraphnumbering"/>
        <w:rPr>
          <w:lang w:val="en-GB"/>
        </w:rPr>
      </w:pPr>
      <w:r w:rsidRPr="00AF5405">
        <w:rPr>
          <w:lang w:val="en-GB"/>
        </w:rPr>
        <w:t>The CPM welcomed the amendments to the Code of Practice for Packing of Cargo Transport Units (the CTU Code) submitted by the focus group</w:t>
      </w:r>
      <w:r>
        <w:rPr>
          <w:lang w:val="en-GB"/>
        </w:rPr>
        <w:t xml:space="preserve"> and </w:t>
      </w:r>
      <w:r w:rsidRPr="00AF5405">
        <w:rPr>
          <w:lang w:val="en-GB"/>
        </w:rPr>
        <w:t xml:space="preserve">noted </w:t>
      </w:r>
      <w:r>
        <w:rPr>
          <w:lang w:val="en-GB"/>
        </w:rPr>
        <w:t xml:space="preserve">the </w:t>
      </w:r>
      <w:r w:rsidRPr="00AF5405">
        <w:rPr>
          <w:lang w:val="en-GB"/>
        </w:rPr>
        <w:t>pest risk posed by empty sea containers.</w:t>
      </w:r>
    </w:p>
    <w:p w14:paraId="19CEE28C" w14:textId="77777777" w:rsidR="005439F9" w:rsidRPr="005C660F" w:rsidRDefault="005439F9" w:rsidP="005439F9">
      <w:pPr>
        <w:pStyle w:val="IPPParagraphnumberingclose"/>
        <w:rPr>
          <w:lang w:val="en-GB"/>
        </w:rPr>
      </w:pPr>
      <w:r w:rsidRPr="005C660F">
        <w:rPr>
          <w:lang w:val="en-GB"/>
        </w:rPr>
        <w:t>The CPM:</w:t>
      </w:r>
    </w:p>
    <w:p w14:paraId="30D5E0C3" w14:textId="77777777" w:rsidR="005439F9" w:rsidRPr="00825943" w:rsidRDefault="005439F9" w:rsidP="005439F9">
      <w:pPr>
        <w:pStyle w:val="IPPNumberedList"/>
        <w:numPr>
          <w:ilvl w:val="0"/>
          <w:numId w:val="48"/>
        </w:numPr>
        <w:spacing w:after="180"/>
        <w:rPr>
          <w:lang w:val="en-GB"/>
        </w:rPr>
      </w:pPr>
      <w:r w:rsidRPr="00825943">
        <w:rPr>
          <w:i/>
          <w:iCs/>
          <w:lang w:val="en-GB"/>
        </w:rPr>
        <w:t>noted</w:t>
      </w:r>
      <w:r w:rsidRPr="00825943">
        <w:rPr>
          <w:lang w:val="en-GB"/>
        </w:rPr>
        <w:t xml:space="preserve"> the 2025 update of the CPM Focus Group on Sea Containers.</w:t>
      </w:r>
    </w:p>
    <w:p w14:paraId="1F80725D" w14:textId="77777777" w:rsidR="00CC42CC" w:rsidRPr="005439F9" w:rsidRDefault="00CC42CC" w:rsidP="00CC42CC">
      <w:pPr>
        <w:pStyle w:val="IPPParagraphnumbering"/>
        <w:numPr>
          <w:ilvl w:val="0"/>
          <w:numId w:val="0"/>
        </w:numPr>
        <w:rPr>
          <w:lang w:val="en-GB"/>
        </w:rPr>
      </w:pPr>
    </w:p>
    <w:sectPr w:rsidR="00CC42CC" w:rsidRPr="005439F9" w:rsidSect="003E3770">
      <w:headerReference w:type="even" r:id="rId11"/>
      <w:footerReference w:type="even" r:id="rId12"/>
      <w:footerReference w:type="default" r:id="rId13"/>
      <w:footerReference w:type="first" r:id="rId14"/>
      <w:pgSz w:w="11906" w:h="16838" w:code="9"/>
      <w:pgMar w:top="1559"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A4B49" w14:textId="77777777" w:rsidR="00F2215D" w:rsidRDefault="00F2215D" w:rsidP="0096599A">
      <w:r>
        <w:separator/>
      </w:r>
    </w:p>
  </w:endnote>
  <w:endnote w:type="continuationSeparator" w:id="0">
    <w:p w14:paraId="3773A2D4" w14:textId="77777777" w:rsidR="00F2215D" w:rsidRDefault="00F2215D" w:rsidP="0096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651B" w14:textId="56E5B233" w:rsidR="0096599A" w:rsidRDefault="0096599A" w:rsidP="0096599A">
    <w:pPr>
      <w:pStyle w:val="IPPFooter"/>
    </w:pPr>
    <w:r w:rsidRPr="0003592E">
      <w:t xml:space="preserve">Page </w:t>
    </w:r>
    <w:r w:rsidRPr="0003592E">
      <w:fldChar w:fldCharType="begin"/>
    </w:r>
    <w:r w:rsidRPr="0003592E">
      <w:instrText xml:space="preserve"> PAGE  \* Arabic  \* MERGEFORMAT </w:instrText>
    </w:r>
    <w:r w:rsidRPr="0003592E">
      <w:fldChar w:fldCharType="separate"/>
    </w:r>
    <w:r w:rsidRPr="0003592E">
      <w:t>3</w:t>
    </w:r>
    <w:r w:rsidRPr="0003592E">
      <w:fldChar w:fldCharType="end"/>
    </w:r>
    <w:r w:rsidRPr="0003592E">
      <w:t xml:space="preserve"> of </w:t>
    </w:r>
    <w:fldSimple w:instr="NUMPAGES  \* Arabic  \* MERGEFORMAT">
      <w:r w:rsidRPr="0003592E">
        <w:t>3</w:t>
      </w:r>
    </w:fldSimple>
    <w:r>
      <w:rPr>
        <w:b w:val="0"/>
        <w:bCs/>
      </w:rPr>
      <w:tab/>
    </w:r>
    <w:r>
      <w:t>International Plant Protection Convention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8700" w14:textId="50AD8540" w:rsidR="0096599A" w:rsidRDefault="0083767F" w:rsidP="0083767F">
    <w:pPr>
      <w:pStyle w:val="Footer"/>
    </w:pPr>
    <w:r>
      <w:rPr>
        <w:b/>
      </w:rPr>
      <w:tab/>
    </w:r>
    <w:r w:rsidR="0096599A">
      <w:rPr>
        <w:b/>
      </w:rPr>
      <w:fldChar w:fldCharType="begin"/>
    </w:r>
    <w:r w:rsidR="0096599A">
      <w:instrText xml:space="preserve"> PAGE  \* Arabic  \* MERGEFORMAT </w:instrText>
    </w:r>
    <w:r w:rsidR="0096599A">
      <w:rPr>
        <w:b/>
      </w:rPr>
      <w:fldChar w:fldCharType="separate"/>
    </w:r>
    <w:r w:rsidR="0096599A">
      <w:rPr>
        <w:noProof/>
      </w:rPr>
      <w:t>1</w:t>
    </w:r>
    <w:r w:rsidR="0096599A">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CF6A" w14:textId="5D0CE3AD" w:rsidR="0096599A" w:rsidRPr="0003592E" w:rsidRDefault="0096599A" w:rsidP="0096599A">
    <w:pPr>
      <w:pStyle w:val="IPPFooter"/>
    </w:pPr>
    <w:r>
      <w:t>International Plant Protection Convention</w:t>
    </w:r>
    <w:r>
      <w:tab/>
    </w:r>
    <w:r w:rsidRPr="0003592E">
      <w:t xml:space="preserve">Page </w:t>
    </w:r>
    <w:r w:rsidRPr="0003592E">
      <w:fldChar w:fldCharType="begin"/>
    </w:r>
    <w:r w:rsidRPr="0003592E">
      <w:instrText xml:space="preserve"> PAGE  \* Arabic  \* MERGEFORMAT </w:instrText>
    </w:r>
    <w:r w:rsidRPr="0003592E">
      <w:fldChar w:fldCharType="separate"/>
    </w:r>
    <w:r w:rsidRPr="0003592E">
      <w:t>3</w:t>
    </w:r>
    <w:r w:rsidRPr="0003592E">
      <w:fldChar w:fldCharType="end"/>
    </w:r>
    <w:r w:rsidRPr="0003592E">
      <w:t xml:space="preserve"> of </w:t>
    </w:r>
    <w:fldSimple w:instr="NUMPAGES  \* Arabic  \* MERGEFORMAT">
      <w:r w:rsidRPr="0003592E">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2668" w14:textId="77777777" w:rsidR="00F2215D" w:rsidRDefault="00F2215D" w:rsidP="0096599A">
      <w:r>
        <w:separator/>
      </w:r>
    </w:p>
  </w:footnote>
  <w:footnote w:type="continuationSeparator" w:id="0">
    <w:p w14:paraId="5E8034F9" w14:textId="77777777" w:rsidR="00F2215D" w:rsidRDefault="00F2215D" w:rsidP="0096599A">
      <w:r>
        <w:continuationSeparator/>
      </w:r>
    </w:p>
  </w:footnote>
  <w:footnote w:id="1">
    <w:p w14:paraId="71F4C1AF" w14:textId="77777777" w:rsidR="00B2035B" w:rsidRPr="00A50C4D" w:rsidRDefault="00B2035B" w:rsidP="00B2035B">
      <w:pPr>
        <w:pStyle w:val="IPPFootnote"/>
        <w:rPr>
          <w:i/>
          <w:iCs/>
        </w:rPr>
      </w:pPr>
      <w:r>
        <w:rPr>
          <w:rStyle w:val="FootnoteReference"/>
        </w:rPr>
        <w:footnoteRef/>
      </w:r>
      <w:r>
        <w:t xml:space="preserve"> List of participants: [</w:t>
      </w:r>
      <w:r w:rsidRPr="00A50C4D">
        <w:rPr>
          <w:i/>
          <w:iCs/>
          <w:highlight w:val="yellow"/>
        </w:rPr>
        <w:t>insert link</w:t>
      </w:r>
      <w:r>
        <w:t>]</w:t>
      </w:r>
    </w:p>
  </w:footnote>
  <w:footnote w:id="2">
    <w:p w14:paraId="53A642A4" w14:textId="77777777" w:rsidR="001A2904" w:rsidRDefault="001A2904" w:rsidP="001A2904">
      <w:pPr>
        <w:pStyle w:val="IPPFootnote"/>
      </w:pPr>
      <w:r>
        <w:rPr>
          <w:rStyle w:val="FootnoteReference"/>
        </w:rPr>
        <w:footnoteRef/>
      </w:r>
      <w:r>
        <w:t xml:space="preserve"> </w:t>
      </w:r>
      <w:r w:rsidRPr="00816D4A">
        <w:t>CPM</w:t>
      </w:r>
      <w:r>
        <w:t> </w:t>
      </w:r>
      <w:r w:rsidRPr="00816D4A">
        <w:t>202</w:t>
      </w:r>
      <w:r>
        <w:t>6</w:t>
      </w:r>
      <w:r w:rsidRPr="00816D4A">
        <w:t>/</w:t>
      </w:r>
      <w:r>
        <w:t>INF</w:t>
      </w:r>
      <w:r w:rsidRPr="00816D4A">
        <w:t>/</w:t>
      </w:r>
      <w:r>
        <w:t>27.</w:t>
      </w:r>
    </w:p>
  </w:footnote>
  <w:footnote w:id="3">
    <w:p w14:paraId="2C0DCF7D" w14:textId="77777777" w:rsidR="000E6892" w:rsidRDefault="000E6892" w:rsidP="000E6892">
      <w:pPr>
        <w:pStyle w:val="IPPFootnote"/>
      </w:pPr>
      <w:r>
        <w:rPr>
          <w:rStyle w:val="FootnoteReference"/>
        </w:rPr>
        <w:footnoteRef/>
      </w:r>
      <w:r>
        <w:t xml:space="preserve"> </w:t>
      </w:r>
      <w:r w:rsidRPr="007775F5">
        <w:t>CPM</w:t>
      </w:r>
      <w:r>
        <w:t> 2026/43</w:t>
      </w:r>
      <w:r w:rsidRPr="007775F5">
        <w:t>.</w:t>
      </w:r>
    </w:p>
  </w:footnote>
  <w:footnote w:id="4">
    <w:p w14:paraId="00EAA7BF" w14:textId="77777777" w:rsidR="00CC42CC" w:rsidRDefault="00CC42CC" w:rsidP="00CC42CC">
      <w:pPr>
        <w:pStyle w:val="IPPFootnote"/>
      </w:pPr>
      <w:r>
        <w:rPr>
          <w:rStyle w:val="FootnoteReference"/>
        </w:rPr>
        <w:footnoteRef/>
      </w:r>
      <w:r>
        <w:t xml:space="preserve"> CPM 2026/44.</w:t>
      </w:r>
    </w:p>
  </w:footnote>
  <w:footnote w:id="5">
    <w:p w14:paraId="45320881" w14:textId="77777777" w:rsidR="00CC42CC" w:rsidRPr="00047C94" w:rsidRDefault="00CC42CC" w:rsidP="00CC42CC">
      <w:pPr>
        <w:pStyle w:val="IPPFootnote"/>
      </w:pPr>
      <w:r>
        <w:rPr>
          <w:rStyle w:val="FootnoteReference"/>
        </w:rPr>
        <w:footnoteRef/>
      </w:r>
      <w:r>
        <w:t xml:space="preserve"> CPM 2026</w:t>
      </w:r>
      <w:r w:rsidRPr="00047C94">
        <w:t>/INF</w:t>
      </w:r>
      <w:r>
        <w:t>/05; CPM 2026</w:t>
      </w:r>
      <w:r w:rsidRPr="00047C94">
        <w:t>/</w:t>
      </w:r>
      <w:r>
        <w:t>INF/</w:t>
      </w:r>
      <w:r w:rsidRPr="00047C94">
        <w:t>24</w:t>
      </w:r>
      <w:r>
        <w:t>; CPM 2026</w:t>
      </w:r>
      <w:r w:rsidRPr="00047C94">
        <w:t>/</w:t>
      </w:r>
      <w:r>
        <w:t>I</w:t>
      </w:r>
      <w:r w:rsidRPr="00047C94">
        <w:t>NF</w:t>
      </w:r>
      <w:r>
        <w:t>/</w:t>
      </w:r>
      <w:r w:rsidRPr="00047C94">
        <w:t>29</w:t>
      </w:r>
      <w:r>
        <w:t>;</w:t>
      </w:r>
      <w:r w:rsidRPr="00047C94">
        <w:t xml:space="preserve"> </w:t>
      </w:r>
      <w:r>
        <w:t>CPM 2026</w:t>
      </w:r>
      <w:r w:rsidRPr="00047C94">
        <w:t>/</w:t>
      </w:r>
      <w:r>
        <w:t>INF/33; CPM 2026</w:t>
      </w:r>
      <w:r w:rsidRPr="00047C94">
        <w:t>/INF</w:t>
      </w:r>
      <w:r>
        <w:t>/</w:t>
      </w:r>
      <w:r w:rsidRPr="00047C94">
        <w:t>34</w:t>
      </w:r>
      <w:r>
        <w:t>; CPM 2026</w:t>
      </w:r>
      <w:r w:rsidRPr="00047C94">
        <w:t>/</w:t>
      </w:r>
      <w:r>
        <w:t>INF/36.</w:t>
      </w:r>
    </w:p>
  </w:footnote>
  <w:footnote w:id="6">
    <w:p w14:paraId="189447B5" w14:textId="77777777" w:rsidR="000E6892" w:rsidRDefault="000E6892" w:rsidP="000E6892">
      <w:pPr>
        <w:pStyle w:val="IPPFootnote"/>
      </w:pPr>
      <w:r>
        <w:rPr>
          <w:rStyle w:val="FootnoteReference"/>
        </w:rPr>
        <w:footnoteRef/>
      </w:r>
      <w:r>
        <w:t xml:space="preserve"> CPM 2026/04.</w:t>
      </w:r>
    </w:p>
  </w:footnote>
  <w:footnote w:id="7">
    <w:p w14:paraId="0B8FB443" w14:textId="77777777" w:rsidR="000E6892" w:rsidRDefault="000E6892" w:rsidP="000E6892">
      <w:pPr>
        <w:pStyle w:val="IPPFootnote"/>
      </w:pPr>
      <w:r>
        <w:rPr>
          <w:rStyle w:val="FootnoteReference"/>
        </w:rPr>
        <w:footnoteRef/>
      </w:r>
      <w:r>
        <w:t xml:space="preserve"> </w:t>
      </w:r>
      <w:r w:rsidRPr="0044615F">
        <w:t xml:space="preserve">CPM </w:t>
      </w:r>
      <w:r>
        <w:t>Rule of Procedure</w:t>
      </w:r>
      <w:r w:rsidRPr="0044615F">
        <w:t>, Annex</w:t>
      </w:r>
      <w:r>
        <w:t> </w:t>
      </w:r>
      <w:r w:rsidRPr="0044615F">
        <w:t>I, Rule</w:t>
      </w:r>
      <w:r>
        <w:t> </w:t>
      </w:r>
      <w:r w:rsidRPr="0044615F">
        <w:t>II</w:t>
      </w:r>
      <w:r>
        <w:t>.</w:t>
      </w:r>
    </w:p>
  </w:footnote>
  <w:footnote w:id="8">
    <w:p w14:paraId="5E36301E" w14:textId="77777777" w:rsidR="001A2904" w:rsidRDefault="001A2904" w:rsidP="001A2904">
      <w:pPr>
        <w:pStyle w:val="IPPFootnote"/>
      </w:pPr>
      <w:r>
        <w:rPr>
          <w:rStyle w:val="FootnoteReference"/>
        </w:rPr>
        <w:footnoteRef/>
      </w:r>
      <w:r>
        <w:t xml:space="preserve"> </w:t>
      </w:r>
      <w:r w:rsidRPr="007775F5">
        <w:t>CPM</w:t>
      </w:r>
      <w:r>
        <w:t> 2026/40</w:t>
      </w:r>
      <w:r w:rsidRPr="007775F5">
        <w:t>.</w:t>
      </w:r>
    </w:p>
  </w:footnote>
  <w:footnote w:id="9">
    <w:p w14:paraId="5FE0CBE2" w14:textId="77777777" w:rsidR="001A2904" w:rsidRDefault="001A2904" w:rsidP="001A2904">
      <w:pPr>
        <w:pStyle w:val="IPPFootnote"/>
      </w:pPr>
      <w:r>
        <w:rPr>
          <w:rStyle w:val="FootnoteReference"/>
        </w:rPr>
        <w:footnoteRef/>
      </w:r>
      <w:r>
        <w:t xml:space="preserve"> CPM 2026/CRP/07.</w:t>
      </w:r>
    </w:p>
  </w:footnote>
  <w:footnote w:id="10">
    <w:p w14:paraId="16EE0DEE" w14:textId="77777777" w:rsidR="001A2904" w:rsidRDefault="001A2904" w:rsidP="001A2904">
      <w:pPr>
        <w:pStyle w:val="IPPFootnote"/>
      </w:pPr>
      <w:r>
        <w:rPr>
          <w:rStyle w:val="FootnoteReference"/>
        </w:rPr>
        <w:footnoteRef/>
      </w:r>
      <w:r>
        <w:t xml:space="preserve"> </w:t>
      </w:r>
      <w:r w:rsidRPr="007775F5">
        <w:t>CPM</w:t>
      </w:r>
      <w:r>
        <w:t> 2026/05</w:t>
      </w:r>
      <w:r w:rsidRPr="007775F5">
        <w:t>.</w:t>
      </w:r>
    </w:p>
  </w:footnote>
  <w:footnote w:id="11">
    <w:p w14:paraId="459933DC" w14:textId="77777777" w:rsidR="001A2904" w:rsidRDefault="001A2904" w:rsidP="001A2904">
      <w:pPr>
        <w:pStyle w:val="IPPFootnote"/>
      </w:pPr>
      <w:r>
        <w:rPr>
          <w:rStyle w:val="FootnoteReference"/>
        </w:rPr>
        <w:footnoteRef/>
      </w:r>
      <w:r>
        <w:t xml:space="preserve"> CPM 2026/INF/37.</w:t>
      </w:r>
    </w:p>
  </w:footnote>
  <w:footnote w:id="12">
    <w:p w14:paraId="491FCE91" w14:textId="77777777" w:rsidR="001A2904" w:rsidRDefault="001A2904" w:rsidP="001A2904">
      <w:pPr>
        <w:pStyle w:val="IPPFootnote"/>
      </w:pPr>
      <w:r>
        <w:rPr>
          <w:rStyle w:val="FootnoteReference"/>
        </w:rPr>
        <w:footnoteRef/>
      </w:r>
      <w:r>
        <w:t xml:space="preserve"> </w:t>
      </w:r>
      <w:r w:rsidRPr="007775F5">
        <w:t>CPM</w:t>
      </w:r>
      <w:r>
        <w:t> 2026/06</w:t>
      </w:r>
      <w:r w:rsidRPr="007775F5">
        <w:t>.</w:t>
      </w:r>
    </w:p>
  </w:footnote>
  <w:footnote w:id="13">
    <w:p w14:paraId="644462DF" w14:textId="77777777" w:rsidR="001A2904" w:rsidRDefault="001A2904" w:rsidP="001A2904">
      <w:pPr>
        <w:pStyle w:val="IPPFootnote"/>
      </w:pPr>
      <w:r>
        <w:rPr>
          <w:rStyle w:val="FootnoteReference"/>
        </w:rPr>
        <w:footnoteRef/>
      </w:r>
      <w:r>
        <w:t xml:space="preserve"> </w:t>
      </w:r>
      <w:r w:rsidRPr="00032CE5">
        <w:t>CPM 2026/07.</w:t>
      </w:r>
    </w:p>
  </w:footnote>
  <w:footnote w:id="14">
    <w:p w14:paraId="2E91E8D1" w14:textId="77777777" w:rsidR="001A2904" w:rsidRDefault="001A2904" w:rsidP="001A2904">
      <w:pPr>
        <w:pStyle w:val="IPPFootnote"/>
      </w:pPr>
      <w:r>
        <w:rPr>
          <w:rStyle w:val="FootnoteReference"/>
        </w:rPr>
        <w:footnoteRef/>
      </w:r>
      <w:r>
        <w:t xml:space="preserve"> CPM 2026/CRP/01; CPM 2026/INF/36.</w:t>
      </w:r>
    </w:p>
  </w:footnote>
  <w:footnote w:id="15">
    <w:p w14:paraId="33C08745" w14:textId="77777777" w:rsidR="001A2904" w:rsidRDefault="001A2904" w:rsidP="001A2904">
      <w:pPr>
        <w:pStyle w:val="IPPFootnote"/>
      </w:pPr>
      <w:r>
        <w:rPr>
          <w:rStyle w:val="FootnoteReference"/>
        </w:rPr>
        <w:footnoteRef/>
      </w:r>
      <w:r>
        <w:t xml:space="preserve"> </w:t>
      </w:r>
      <w:r w:rsidRPr="007775F5">
        <w:t>CPM</w:t>
      </w:r>
      <w:r>
        <w:t> 2026/36</w:t>
      </w:r>
      <w:r w:rsidRPr="007775F5">
        <w:t>.</w:t>
      </w:r>
    </w:p>
  </w:footnote>
  <w:footnote w:id="16">
    <w:p w14:paraId="7C1236BB" w14:textId="77777777" w:rsidR="001A2904" w:rsidRDefault="001A2904" w:rsidP="001A2904">
      <w:pPr>
        <w:pStyle w:val="IPPFootnote"/>
      </w:pPr>
      <w:r>
        <w:rPr>
          <w:rStyle w:val="FootnoteReference"/>
        </w:rPr>
        <w:footnoteRef/>
      </w:r>
      <w:r>
        <w:t xml:space="preserve"> CPM 2026/INF/37.</w:t>
      </w:r>
    </w:p>
  </w:footnote>
  <w:footnote w:id="17">
    <w:p w14:paraId="61CAADE0" w14:textId="77777777" w:rsidR="001A2904" w:rsidRDefault="001A2904" w:rsidP="001A2904">
      <w:pPr>
        <w:pStyle w:val="IPPFootnote"/>
      </w:pPr>
      <w:r>
        <w:rPr>
          <w:rStyle w:val="FootnoteReference"/>
        </w:rPr>
        <w:footnoteRef/>
      </w:r>
      <w:r>
        <w:t xml:space="preserve"> </w:t>
      </w:r>
      <w:r w:rsidRPr="007775F5">
        <w:t>CPM</w:t>
      </w:r>
      <w:r>
        <w:t> </w:t>
      </w:r>
      <w:r w:rsidRPr="000611A2">
        <w:t>2026/08.</w:t>
      </w:r>
    </w:p>
  </w:footnote>
  <w:footnote w:id="18">
    <w:p w14:paraId="33AF82FD" w14:textId="77777777" w:rsidR="001A2904" w:rsidRDefault="001A2904" w:rsidP="001A2904">
      <w:pPr>
        <w:pStyle w:val="IPPFootnote"/>
      </w:pPr>
      <w:r>
        <w:rPr>
          <w:rStyle w:val="FootnoteReference"/>
        </w:rPr>
        <w:footnoteRef/>
      </w:r>
      <w:r>
        <w:t xml:space="preserve"> CPM 2026/09.</w:t>
      </w:r>
    </w:p>
  </w:footnote>
  <w:footnote w:id="19">
    <w:p w14:paraId="71F1F474" w14:textId="77777777" w:rsidR="000E6892" w:rsidRDefault="000E6892" w:rsidP="000E6892">
      <w:pPr>
        <w:pStyle w:val="IPPFootnote"/>
      </w:pPr>
      <w:r>
        <w:rPr>
          <w:rStyle w:val="FootnoteReference"/>
        </w:rPr>
        <w:footnoteRef/>
      </w:r>
      <w:r>
        <w:t xml:space="preserve"> </w:t>
      </w:r>
      <w:r w:rsidRPr="007775F5">
        <w:t>CPM</w:t>
      </w:r>
      <w:r>
        <w:t> </w:t>
      </w:r>
      <w:r w:rsidRPr="00385053">
        <w:t>2026</w:t>
      </w:r>
      <w:r w:rsidRPr="002A1452">
        <w:t>/42</w:t>
      </w:r>
      <w:r w:rsidRPr="00385053">
        <w:t>.</w:t>
      </w:r>
    </w:p>
  </w:footnote>
  <w:footnote w:id="20">
    <w:p w14:paraId="6A3C0A89" w14:textId="77777777" w:rsidR="000E6892" w:rsidRDefault="000E6892" w:rsidP="000E6892">
      <w:pPr>
        <w:pStyle w:val="IPPFootnote"/>
      </w:pPr>
      <w:r>
        <w:rPr>
          <w:rStyle w:val="FootnoteReference"/>
        </w:rPr>
        <w:footnoteRef/>
      </w:r>
      <w:r>
        <w:t xml:space="preserve"> CPM 2026/CRP/12.</w:t>
      </w:r>
    </w:p>
  </w:footnote>
  <w:footnote w:id="21">
    <w:p w14:paraId="1C6D287A" w14:textId="77777777" w:rsidR="000E6892" w:rsidRDefault="000E6892" w:rsidP="000E6892">
      <w:pPr>
        <w:pStyle w:val="IPPFootnote"/>
      </w:pPr>
      <w:r>
        <w:rPr>
          <w:rStyle w:val="FootnoteReference"/>
        </w:rPr>
        <w:footnoteRef/>
      </w:r>
      <w:r>
        <w:t xml:space="preserve"> CPM 2026/INF/37.</w:t>
      </w:r>
    </w:p>
  </w:footnote>
  <w:footnote w:id="22">
    <w:p w14:paraId="22B689B8" w14:textId="77777777" w:rsidR="000E6892" w:rsidRDefault="000E6892" w:rsidP="000E6892">
      <w:pPr>
        <w:pStyle w:val="IPPFootnote"/>
      </w:pPr>
      <w:r>
        <w:rPr>
          <w:rStyle w:val="FootnoteReference"/>
        </w:rPr>
        <w:footnoteRef/>
      </w:r>
      <w:r>
        <w:t xml:space="preserve"> </w:t>
      </w:r>
      <w:r w:rsidRPr="007775F5">
        <w:t>CPM</w:t>
      </w:r>
      <w:r>
        <w:t> 2026/39</w:t>
      </w:r>
      <w:r w:rsidRPr="007775F5">
        <w:t>.</w:t>
      </w:r>
    </w:p>
  </w:footnote>
  <w:footnote w:id="23">
    <w:p w14:paraId="4D34D487" w14:textId="77777777" w:rsidR="00CC42CC" w:rsidRDefault="00CC42CC" w:rsidP="00CC42CC">
      <w:pPr>
        <w:pStyle w:val="IPPFootnote"/>
      </w:pPr>
      <w:r>
        <w:rPr>
          <w:rStyle w:val="FootnoteReference"/>
        </w:rPr>
        <w:footnoteRef/>
      </w:r>
      <w:r>
        <w:t xml:space="preserve"> </w:t>
      </w:r>
      <w:r w:rsidRPr="007775F5">
        <w:t>CPM</w:t>
      </w:r>
      <w:r>
        <w:t> 2026/10_Rev1 (including attachments 01–05)</w:t>
      </w:r>
      <w:r w:rsidRPr="007775F5">
        <w:t>.</w:t>
      </w:r>
    </w:p>
  </w:footnote>
  <w:footnote w:id="24">
    <w:p w14:paraId="7ECA0E9D" w14:textId="77777777" w:rsidR="00CC42CC" w:rsidRDefault="00CC42CC" w:rsidP="00CC42CC">
      <w:pPr>
        <w:pStyle w:val="IPPFootnote"/>
      </w:pPr>
      <w:r>
        <w:rPr>
          <w:rStyle w:val="FootnoteReference"/>
        </w:rPr>
        <w:footnoteRef/>
      </w:r>
      <w:r>
        <w:t xml:space="preserve"> CPM 2026/INF/11.</w:t>
      </w:r>
    </w:p>
  </w:footnote>
  <w:footnote w:id="25">
    <w:p w14:paraId="289F997E" w14:textId="77777777" w:rsidR="00CC42CC" w:rsidRDefault="00CC42CC" w:rsidP="00CC42CC">
      <w:pPr>
        <w:pStyle w:val="IPPFootnote"/>
      </w:pPr>
      <w:r>
        <w:rPr>
          <w:rStyle w:val="FootnoteReference"/>
        </w:rPr>
        <w:footnoteRef/>
      </w:r>
      <w:r>
        <w:t xml:space="preserve"> CPM 2026/INF/32.</w:t>
      </w:r>
    </w:p>
  </w:footnote>
  <w:footnote w:id="26">
    <w:p w14:paraId="0DD04560" w14:textId="77777777" w:rsidR="00CC42CC" w:rsidRDefault="00CC42CC" w:rsidP="00CC42CC">
      <w:pPr>
        <w:pStyle w:val="IPPFootnote"/>
      </w:pPr>
      <w:r>
        <w:rPr>
          <w:rStyle w:val="FootnoteReference"/>
        </w:rPr>
        <w:footnoteRef/>
      </w:r>
      <w:r>
        <w:t xml:space="preserve"> CPM 2026/INF/28.</w:t>
      </w:r>
    </w:p>
  </w:footnote>
  <w:footnote w:id="27">
    <w:p w14:paraId="0A023C1C" w14:textId="77777777" w:rsidR="00CC42CC" w:rsidRDefault="00CC42CC" w:rsidP="00CC42CC">
      <w:pPr>
        <w:pStyle w:val="IPPFootnote"/>
      </w:pPr>
      <w:r>
        <w:rPr>
          <w:rStyle w:val="FootnoteReference"/>
        </w:rPr>
        <w:footnoteRef/>
      </w:r>
      <w:r>
        <w:t xml:space="preserve"> CPM 2026/CRP/10.</w:t>
      </w:r>
    </w:p>
  </w:footnote>
  <w:footnote w:id="28">
    <w:p w14:paraId="0B79A387" w14:textId="77777777" w:rsidR="00B44466" w:rsidRDefault="00B44466" w:rsidP="00B44466">
      <w:pPr>
        <w:pStyle w:val="IPPFootnote"/>
      </w:pPr>
      <w:r>
        <w:rPr>
          <w:rStyle w:val="FootnoteReference"/>
        </w:rPr>
        <w:footnoteRef/>
      </w:r>
      <w:r>
        <w:t xml:space="preserve"> </w:t>
      </w:r>
      <w:r w:rsidRPr="007775F5">
        <w:t>CPM</w:t>
      </w:r>
      <w:r>
        <w:t> 2026/28</w:t>
      </w:r>
      <w:r w:rsidRPr="007775F5">
        <w:t>.</w:t>
      </w:r>
    </w:p>
  </w:footnote>
  <w:footnote w:id="29">
    <w:p w14:paraId="29527465" w14:textId="77777777" w:rsidR="001A2904" w:rsidRDefault="001A2904" w:rsidP="001A2904">
      <w:pPr>
        <w:pStyle w:val="IPPFootnote"/>
      </w:pPr>
      <w:r>
        <w:rPr>
          <w:rStyle w:val="FootnoteReference"/>
        </w:rPr>
        <w:footnoteRef/>
      </w:r>
      <w:r>
        <w:t xml:space="preserve"> </w:t>
      </w:r>
      <w:r w:rsidRPr="007775F5">
        <w:t>CPM</w:t>
      </w:r>
      <w:r>
        <w:t> 2026/34</w:t>
      </w:r>
      <w:r w:rsidRPr="007775F5">
        <w:t>.</w:t>
      </w:r>
    </w:p>
  </w:footnote>
  <w:footnote w:id="30">
    <w:p w14:paraId="7F66B628" w14:textId="77777777" w:rsidR="00B44466" w:rsidRDefault="00B44466" w:rsidP="00B44466">
      <w:pPr>
        <w:pStyle w:val="IPPFootnote"/>
      </w:pPr>
      <w:r>
        <w:rPr>
          <w:rStyle w:val="FootnoteReference"/>
        </w:rPr>
        <w:footnoteRef/>
      </w:r>
      <w:r>
        <w:t xml:space="preserve"> </w:t>
      </w:r>
      <w:r w:rsidRPr="007775F5">
        <w:t>CPM</w:t>
      </w:r>
      <w:r>
        <w:t> 2026/14</w:t>
      </w:r>
      <w:r w:rsidRPr="007775F5">
        <w:t>.</w:t>
      </w:r>
    </w:p>
  </w:footnote>
  <w:footnote w:id="31">
    <w:p w14:paraId="22670715" w14:textId="77777777" w:rsidR="00B44466" w:rsidRDefault="00B44466" w:rsidP="00B44466">
      <w:pPr>
        <w:pStyle w:val="IPPFootnote"/>
      </w:pPr>
      <w:r>
        <w:rPr>
          <w:rStyle w:val="FootnoteReference"/>
        </w:rPr>
        <w:footnoteRef/>
      </w:r>
      <w:r>
        <w:t xml:space="preserve"> CPM 2026/CRP/02_Rev1.</w:t>
      </w:r>
    </w:p>
  </w:footnote>
  <w:footnote w:id="32">
    <w:p w14:paraId="65876F7E" w14:textId="77777777" w:rsidR="00B44466" w:rsidRDefault="00B44466" w:rsidP="00B44466">
      <w:pPr>
        <w:pStyle w:val="IPPFootnote"/>
      </w:pPr>
      <w:r>
        <w:rPr>
          <w:rStyle w:val="FootnoteReference"/>
        </w:rPr>
        <w:footnoteRef/>
      </w:r>
      <w:r>
        <w:t xml:space="preserve"> CPM 2026/INF/22.</w:t>
      </w:r>
    </w:p>
  </w:footnote>
  <w:footnote w:id="33">
    <w:p w14:paraId="17CD1DD3" w14:textId="77777777" w:rsidR="00B44466" w:rsidRDefault="00B44466" w:rsidP="00B44466">
      <w:pPr>
        <w:pStyle w:val="IPPFootnote"/>
      </w:pPr>
      <w:r>
        <w:rPr>
          <w:rStyle w:val="FootnoteReference"/>
        </w:rPr>
        <w:footnoteRef/>
      </w:r>
      <w:r>
        <w:t xml:space="preserve"> CPM 2026/CRP/01.</w:t>
      </w:r>
    </w:p>
  </w:footnote>
  <w:footnote w:id="34">
    <w:p w14:paraId="32FDF474" w14:textId="77777777" w:rsidR="00B44466" w:rsidRDefault="00B44466" w:rsidP="00B44466">
      <w:pPr>
        <w:pStyle w:val="IPPFootnote"/>
      </w:pPr>
      <w:r>
        <w:rPr>
          <w:rStyle w:val="FootnoteReference"/>
        </w:rPr>
        <w:footnoteRef/>
      </w:r>
      <w:r>
        <w:t xml:space="preserve"> CPM 2026/CRP/01.</w:t>
      </w:r>
    </w:p>
  </w:footnote>
  <w:footnote w:id="35">
    <w:p w14:paraId="5397E6F2" w14:textId="77777777" w:rsidR="00B44466" w:rsidRDefault="00B44466" w:rsidP="00B44466">
      <w:pPr>
        <w:pStyle w:val="IPPFootnote"/>
      </w:pPr>
      <w:r>
        <w:rPr>
          <w:rStyle w:val="FootnoteReference"/>
        </w:rPr>
        <w:footnoteRef/>
      </w:r>
      <w:r>
        <w:t xml:space="preserve"> CPM 2026/CRP/02_Rev1; CPM 2026/INF/36.</w:t>
      </w:r>
    </w:p>
  </w:footnote>
  <w:footnote w:id="36">
    <w:p w14:paraId="227AFF42" w14:textId="77777777" w:rsidR="008C2C23" w:rsidRDefault="008C2C23" w:rsidP="008C2C23">
      <w:pPr>
        <w:pStyle w:val="IPPFootnote"/>
      </w:pPr>
      <w:r>
        <w:rPr>
          <w:rStyle w:val="FootnoteReference"/>
        </w:rPr>
        <w:footnoteRef/>
      </w:r>
      <w:r>
        <w:t xml:space="preserve"> </w:t>
      </w:r>
      <w:r w:rsidRPr="007775F5">
        <w:t>CPM</w:t>
      </w:r>
      <w:r>
        <w:t> 2026/15</w:t>
      </w:r>
      <w:r w:rsidRPr="007775F5">
        <w:t>.</w:t>
      </w:r>
    </w:p>
  </w:footnote>
  <w:footnote w:id="37">
    <w:p w14:paraId="4CD49F62" w14:textId="77777777" w:rsidR="008C2C23" w:rsidRDefault="008C2C23" w:rsidP="008C2C23">
      <w:pPr>
        <w:pStyle w:val="IPPFootnote"/>
      </w:pPr>
      <w:r>
        <w:rPr>
          <w:rStyle w:val="FootnoteReference"/>
        </w:rPr>
        <w:footnoteRef/>
      </w:r>
      <w:r>
        <w:t xml:space="preserve"> </w:t>
      </w:r>
      <w:r w:rsidRPr="007775F5">
        <w:t>CPM</w:t>
      </w:r>
      <w:r>
        <w:t> 2026/16</w:t>
      </w:r>
      <w:r w:rsidRPr="007775F5">
        <w:t>.</w:t>
      </w:r>
    </w:p>
  </w:footnote>
  <w:footnote w:id="38">
    <w:p w14:paraId="31F7D9BC" w14:textId="77777777" w:rsidR="008C2C23" w:rsidRDefault="008C2C23" w:rsidP="008C2C23">
      <w:pPr>
        <w:pStyle w:val="IPPFootnote"/>
      </w:pPr>
      <w:r>
        <w:rPr>
          <w:rStyle w:val="FootnoteReference"/>
        </w:rPr>
        <w:footnoteRef/>
      </w:r>
      <w:r>
        <w:t xml:space="preserve"> </w:t>
      </w:r>
      <w:r w:rsidRPr="007775F5">
        <w:t>CPM</w:t>
      </w:r>
      <w:r>
        <w:t> 2026/17</w:t>
      </w:r>
      <w:r w:rsidRPr="007775F5">
        <w:t>.</w:t>
      </w:r>
    </w:p>
  </w:footnote>
  <w:footnote w:id="39">
    <w:p w14:paraId="0C68DF09" w14:textId="77777777" w:rsidR="008C2C23" w:rsidRDefault="008C2C23" w:rsidP="008C2C23">
      <w:pPr>
        <w:pStyle w:val="IPPFootnote"/>
      </w:pPr>
      <w:r>
        <w:rPr>
          <w:rStyle w:val="FootnoteReference"/>
        </w:rPr>
        <w:footnoteRef/>
      </w:r>
      <w:r>
        <w:t xml:space="preserve"> CPM 2026/INF/18.</w:t>
      </w:r>
    </w:p>
  </w:footnote>
  <w:footnote w:id="40">
    <w:p w14:paraId="2E4118AA" w14:textId="77777777" w:rsidR="008C2C23" w:rsidRDefault="008C2C23" w:rsidP="008C2C23">
      <w:pPr>
        <w:pStyle w:val="IPPFootnote"/>
      </w:pPr>
      <w:r>
        <w:rPr>
          <w:rStyle w:val="FootnoteReference"/>
        </w:rPr>
        <w:footnoteRef/>
      </w:r>
      <w:r>
        <w:t xml:space="preserve"> CPM 2026/CRP/01.</w:t>
      </w:r>
    </w:p>
  </w:footnote>
  <w:footnote w:id="41">
    <w:p w14:paraId="7EA12ED6" w14:textId="77777777" w:rsidR="00CC42CC" w:rsidRDefault="00CC42CC" w:rsidP="00CC42CC">
      <w:pPr>
        <w:pStyle w:val="IPPFootnote"/>
      </w:pPr>
      <w:r>
        <w:rPr>
          <w:rStyle w:val="FootnoteReference"/>
        </w:rPr>
        <w:footnoteRef/>
      </w:r>
      <w:r>
        <w:t xml:space="preserve"> </w:t>
      </w:r>
      <w:r w:rsidRPr="007775F5">
        <w:t>CPM</w:t>
      </w:r>
      <w:r>
        <w:t> 2026/18</w:t>
      </w:r>
      <w:r w:rsidRPr="007775F5">
        <w:t>.</w:t>
      </w:r>
    </w:p>
  </w:footnote>
  <w:footnote w:id="42">
    <w:p w14:paraId="0ED30EE6" w14:textId="77777777" w:rsidR="00CC42CC" w:rsidRDefault="00CC42CC" w:rsidP="00CC42CC">
      <w:pPr>
        <w:pStyle w:val="IPPFootnote"/>
      </w:pPr>
      <w:r>
        <w:rPr>
          <w:rStyle w:val="FootnoteReference"/>
        </w:rPr>
        <w:footnoteRef/>
      </w:r>
      <w:r>
        <w:t xml:space="preserve"> </w:t>
      </w:r>
      <w:r w:rsidRPr="007775F5">
        <w:t>CPM</w:t>
      </w:r>
      <w:r>
        <w:t> 2026/19, including the full report from the focus group as Attachment 1</w:t>
      </w:r>
      <w:r w:rsidRPr="007775F5">
        <w:t>.</w:t>
      </w:r>
    </w:p>
  </w:footnote>
  <w:footnote w:id="43">
    <w:p w14:paraId="51EF47D9" w14:textId="77777777" w:rsidR="00CC42CC" w:rsidRDefault="00CC42CC" w:rsidP="00CC42CC">
      <w:pPr>
        <w:pStyle w:val="IPPFootnote"/>
      </w:pPr>
      <w:r>
        <w:rPr>
          <w:rStyle w:val="FootnoteReference"/>
        </w:rPr>
        <w:footnoteRef/>
      </w:r>
      <w:r>
        <w:t xml:space="preserve"> CPM 2026/INF/38.</w:t>
      </w:r>
    </w:p>
  </w:footnote>
  <w:footnote w:id="44">
    <w:p w14:paraId="551AC696" w14:textId="77777777" w:rsidR="00CC42CC" w:rsidRDefault="00CC42CC" w:rsidP="00CC42CC">
      <w:pPr>
        <w:pStyle w:val="IPPFootnote"/>
      </w:pPr>
      <w:r>
        <w:rPr>
          <w:rStyle w:val="FootnoteReference"/>
        </w:rPr>
        <w:footnoteRef/>
      </w:r>
      <w:r>
        <w:t xml:space="preserve"> </w:t>
      </w:r>
      <w:r w:rsidRPr="007775F5">
        <w:t>CPM</w:t>
      </w:r>
      <w:r>
        <w:t> 2026/20</w:t>
      </w:r>
      <w:r w:rsidRPr="007775F5">
        <w:t>.</w:t>
      </w:r>
    </w:p>
  </w:footnote>
  <w:footnote w:id="45">
    <w:p w14:paraId="35B5272F" w14:textId="77777777" w:rsidR="00CC42CC" w:rsidRDefault="00CC42CC" w:rsidP="00CC42CC">
      <w:pPr>
        <w:pStyle w:val="IPPFootnote"/>
      </w:pPr>
      <w:r>
        <w:rPr>
          <w:rStyle w:val="FootnoteReference"/>
        </w:rPr>
        <w:footnoteRef/>
      </w:r>
      <w:r>
        <w:t xml:space="preserve"> </w:t>
      </w:r>
      <w:r w:rsidRPr="007775F5">
        <w:t>CPM</w:t>
      </w:r>
      <w:r>
        <w:t> 2026/21_Rev1</w:t>
      </w:r>
      <w:r w:rsidRPr="007775F5">
        <w:t>.</w:t>
      </w:r>
    </w:p>
  </w:footnote>
  <w:footnote w:id="46">
    <w:p w14:paraId="01AD0235" w14:textId="77777777" w:rsidR="00CC42CC" w:rsidRDefault="00CC42CC" w:rsidP="00CC42CC">
      <w:pPr>
        <w:pStyle w:val="IPPFootnote"/>
      </w:pPr>
      <w:r>
        <w:rPr>
          <w:rStyle w:val="FootnoteReference"/>
        </w:rPr>
        <w:footnoteRef/>
      </w:r>
      <w:r>
        <w:t xml:space="preserve"> CPM 2026/CRP/06.</w:t>
      </w:r>
    </w:p>
  </w:footnote>
  <w:footnote w:id="47">
    <w:p w14:paraId="653A4D58" w14:textId="77777777" w:rsidR="00CC42CC" w:rsidRDefault="00CC42CC" w:rsidP="00CC42CC">
      <w:pPr>
        <w:pStyle w:val="IPPFootnote"/>
      </w:pPr>
      <w:r>
        <w:rPr>
          <w:rStyle w:val="FootnoteReference"/>
        </w:rPr>
        <w:footnoteRef/>
      </w:r>
      <w:r>
        <w:t xml:space="preserve"> CPM 2026/CRP/01.</w:t>
      </w:r>
    </w:p>
  </w:footnote>
  <w:footnote w:id="48">
    <w:p w14:paraId="5E266AF0" w14:textId="77777777" w:rsidR="00CC42CC" w:rsidRDefault="00CC42CC" w:rsidP="00CC42CC">
      <w:pPr>
        <w:pStyle w:val="IPPFootnote"/>
      </w:pPr>
      <w:r>
        <w:rPr>
          <w:rStyle w:val="FootnoteReference"/>
        </w:rPr>
        <w:footnoteRef/>
      </w:r>
      <w:r>
        <w:t xml:space="preserve"> </w:t>
      </w:r>
      <w:r w:rsidRPr="007775F5">
        <w:t>CPM</w:t>
      </w:r>
      <w:r>
        <w:t> 2026/22</w:t>
      </w:r>
      <w:r w:rsidRPr="007775F5">
        <w:t>.</w:t>
      </w:r>
    </w:p>
  </w:footnote>
  <w:footnote w:id="49">
    <w:p w14:paraId="181C72C2" w14:textId="77777777" w:rsidR="005439F9" w:rsidRDefault="005439F9" w:rsidP="005439F9">
      <w:pPr>
        <w:pStyle w:val="IPPFootnote"/>
      </w:pPr>
      <w:r>
        <w:rPr>
          <w:rStyle w:val="FootnoteReference"/>
        </w:rPr>
        <w:footnoteRef/>
      </w:r>
      <w:r>
        <w:t xml:space="preserve"> </w:t>
      </w:r>
      <w:r w:rsidRPr="007775F5">
        <w:t>CPM</w:t>
      </w:r>
      <w:r>
        <w:t> 2026/23</w:t>
      </w:r>
      <w:r w:rsidRPr="007775F5">
        <w:t>.</w:t>
      </w:r>
    </w:p>
  </w:footnote>
  <w:footnote w:id="50">
    <w:p w14:paraId="166B2EC2" w14:textId="77777777" w:rsidR="005439F9" w:rsidRDefault="005439F9" w:rsidP="005439F9">
      <w:pPr>
        <w:pStyle w:val="IPPFootnote"/>
      </w:pPr>
      <w:r>
        <w:rPr>
          <w:rStyle w:val="FootnoteReference"/>
        </w:rPr>
        <w:footnoteRef/>
      </w:r>
      <w:r>
        <w:t xml:space="preserve"> CPM 2026/CRP/12.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4E63" w14:textId="556FDEF8" w:rsidR="0096599A" w:rsidRDefault="0096599A" w:rsidP="0096599A">
    <w:pPr>
      <w:pStyle w:val="IPP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4"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590C79"/>
    <w:multiLevelType w:val="multilevel"/>
    <w:tmpl w:val="06E871E4"/>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6"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94152547">
    <w:abstractNumId w:val="7"/>
  </w:num>
  <w:num w:numId="2" w16cid:durableId="285430020">
    <w:abstractNumId w:val="2"/>
  </w:num>
  <w:num w:numId="3" w16cid:durableId="1212962626">
    <w:abstractNumId w:val="3"/>
  </w:num>
  <w:num w:numId="4" w16cid:durableId="1256401422">
    <w:abstractNumId w:val="9"/>
  </w:num>
  <w:num w:numId="5" w16cid:durableId="101271903">
    <w:abstractNumId w:val="6"/>
  </w:num>
  <w:num w:numId="6" w16cid:durableId="164757676">
    <w:abstractNumId w:val="4"/>
  </w:num>
  <w:num w:numId="7" w16cid:durableId="1823961567">
    <w:abstractNumId w:val="10"/>
  </w:num>
  <w:num w:numId="8" w16cid:durableId="103884033">
    <w:abstractNumId w:val="0"/>
  </w:num>
  <w:num w:numId="9" w16cid:durableId="2133016773">
    <w:abstractNumId w:val="8"/>
  </w:num>
  <w:num w:numId="10" w16cid:durableId="924068450">
    <w:abstractNumId w:val="0"/>
    <w:lvlOverride w:ilvl="0">
      <w:startOverride w:val="1"/>
    </w:lvlOverride>
  </w:num>
  <w:num w:numId="11" w16cid:durableId="1603104852">
    <w:abstractNumId w:val="0"/>
    <w:lvlOverride w:ilvl="0">
      <w:startOverride w:val="1"/>
    </w:lvlOverride>
  </w:num>
  <w:num w:numId="12" w16cid:durableId="474764105">
    <w:abstractNumId w:val="0"/>
    <w:lvlOverride w:ilvl="0">
      <w:startOverride w:val="1"/>
    </w:lvlOverride>
  </w:num>
  <w:num w:numId="13" w16cid:durableId="1642878484">
    <w:abstractNumId w:val="0"/>
    <w:lvlOverride w:ilvl="0">
      <w:startOverride w:val="1"/>
    </w:lvlOverride>
  </w:num>
  <w:num w:numId="14" w16cid:durableId="530385663">
    <w:abstractNumId w:val="0"/>
    <w:lvlOverride w:ilvl="0">
      <w:startOverride w:val="1"/>
    </w:lvlOverride>
  </w:num>
  <w:num w:numId="15" w16cid:durableId="1053046214">
    <w:abstractNumId w:val="5"/>
  </w:num>
  <w:num w:numId="16" w16cid:durableId="1935438666">
    <w:abstractNumId w:val="0"/>
    <w:lvlOverride w:ilvl="0">
      <w:startOverride w:val="1"/>
    </w:lvlOverride>
  </w:num>
  <w:num w:numId="17" w16cid:durableId="1348365046">
    <w:abstractNumId w:val="0"/>
    <w:lvlOverride w:ilvl="0">
      <w:startOverride w:val="1"/>
    </w:lvlOverride>
  </w:num>
  <w:num w:numId="18" w16cid:durableId="1344628798">
    <w:abstractNumId w:val="0"/>
    <w:lvlOverride w:ilvl="0">
      <w:startOverride w:val="1"/>
    </w:lvlOverride>
  </w:num>
  <w:num w:numId="19" w16cid:durableId="1844735818">
    <w:abstractNumId w:val="0"/>
    <w:lvlOverride w:ilvl="0">
      <w:startOverride w:val="1"/>
    </w:lvlOverride>
  </w:num>
  <w:num w:numId="20" w16cid:durableId="1776097363">
    <w:abstractNumId w:val="0"/>
    <w:lvlOverride w:ilvl="0">
      <w:startOverride w:val="1"/>
    </w:lvlOverride>
  </w:num>
  <w:num w:numId="21" w16cid:durableId="1092438001">
    <w:abstractNumId w:val="0"/>
    <w:lvlOverride w:ilvl="0">
      <w:startOverride w:val="1"/>
    </w:lvlOverride>
  </w:num>
  <w:num w:numId="22" w16cid:durableId="1340699096">
    <w:abstractNumId w:val="0"/>
    <w:lvlOverride w:ilvl="0">
      <w:startOverride w:val="1"/>
    </w:lvlOverride>
  </w:num>
  <w:num w:numId="23" w16cid:durableId="1813139088">
    <w:abstractNumId w:val="0"/>
    <w:lvlOverride w:ilvl="0">
      <w:startOverride w:val="1"/>
    </w:lvlOverride>
  </w:num>
  <w:num w:numId="24" w16cid:durableId="1080100831">
    <w:abstractNumId w:val="0"/>
    <w:lvlOverride w:ilvl="0">
      <w:startOverride w:val="1"/>
    </w:lvlOverride>
  </w:num>
  <w:num w:numId="25" w16cid:durableId="558246979">
    <w:abstractNumId w:val="0"/>
    <w:lvlOverride w:ilvl="0">
      <w:startOverride w:val="1"/>
    </w:lvlOverride>
  </w:num>
  <w:num w:numId="26" w16cid:durableId="6912674">
    <w:abstractNumId w:val="0"/>
    <w:lvlOverride w:ilvl="0">
      <w:startOverride w:val="1"/>
    </w:lvlOverride>
  </w:num>
  <w:num w:numId="27" w16cid:durableId="753091793">
    <w:abstractNumId w:val="0"/>
    <w:lvlOverride w:ilvl="0">
      <w:startOverride w:val="1"/>
    </w:lvlOverride>
  </w:num>
  <w:num w:numId="28" w16cid:durableId="1836066231">
    <w:abstractNumId w:val="0"/>
    <w:lvlOverride w:ilvl="0">
      <w:startOverride w:val="1"/>
    </w:lvlOverride>
  </w:num>
  <w:num w:numId="29" w16cid:durableId="1774398016">
    <w:abstractNumId w:val="0"/>
    <w:lvlOverride w:ilvl="0">
      <w:startOverride w:val="1"/>
    </w:lvlOverride>
  </w:num>
  <w:num w:numId="30" w16cid:durableId="1608847921">
    <w:abstractNumId w:val="0"/>
    <w:lvlOverride w:ilvl="0">
      <w:startOverride w:val="1"/>
    </w:lvlOverride>
  </w:num>
  <w:num w:numId="31" w16cid:durableId="64186455">
    <w:abstractNumId w:val="0"/>
    <w:lvlOverride w:ilvl="0">
      <w:startOverride w:val="1"/>
    </w:lvlOverride>
  </w:num>
  <w:num w:numId="32" w16cid:durableId="953832372">
    <w:abstractNumId w:val="0"/>
    <w:lvlOverride w:ilvl="0">
      <w:startOverride w:val="1"/>
    </w:lvlOverride>
  </w:num>
  <w:num w:numId="33" w16cid:durableId="149712735">
    <w:abstractNumId w:val="0"/>
    <w:lvlOverride w:ilvl="0">
      <w:startOverride w:val="1"/>
    </w:lvlOverride>
  </w:num>
  <w:num w:numId="34" w16cid:durableId="335964269">
    <w:abstractNumId w:val="0"/>
    <w:lvlOverride w:ilvl="0">
      <w:startOverride w:val="1"/>
    </w:lvlOverride>
  </w:num>
  <w:num w:numId="35" w16cid:durableId="511148017">
    <w:abstractNumId w:val="0"/>
    <w:lvlOverride w:ilvl="0">
      <w:startOverride w:val="1"/>
    </w:lvlOverride>
  </w:num>
  <w:num w:numId="36" w16cid:durableId="523251414">
    <w:abstractNumId w:val="0"/>
    <w:lvlOverride w:ilvl="0">
      <w:startOverride w:val="1"/>
    </w:lvlOverride>
  </w:num>
  <w:num w:numId="37" w16cid:durableId="288170926">
    <w:abstractNumId w:val="0"/>
    <w:lvlOverride w:ilvl="0">
      <w:startOverride w:val="1"/>
    </w:lvlOverride>
  </w:num>
  <w:num w:numId="38" w16cid:durableId="481117752">
    <w:abstractNumId w:val="0"/>
    <w:lvlOverride w:ilvl="0">
      <w:startOverride w:val="1"/>
    </w:lvlOverride>
  </w:num>
  <w:num w:numId="39" w16cid:durableId="804471566">
    <w:abstractNumId w:val="0"/>
    <w:lvlOverride w:ilvl="0">
      <w:startOverride w:val="1"/>
    </w:lvlOverride>
  </w:num>
  <w:num w:numId="40" w16cid:durableId="1435899203">
    <w:abstractNumId w:val="0"/>
    <w:lvlOverride w:ilvl="0">
      <w:startOverride w:val="1"/>
    </w:lvlOverride>
  </w:num>
  <w:num w:numId="41" w16cid:durableId="1328166515">
    <w:abstractNumId w:val="0"/>
    <w:lvlOverride w:ilvl="0">
      <w:startOverride w:val="1"/>
    </w:lvlOverride>
  </w:num>
  <w:num w:numId="42" w16cid:durableId="1150169805">
    <w:abstractNumId w:val="0"/>
    <w:lvlOverride w:ilvl="0">
      <w:startOverride w:val="1"/>
    </w:lvlOverride>
  </w:num>
  <w:num w:numId="43" w16cid:durableId="199246766">
    <w:abstractNumId w:val="0"/>
    <w:lvlOverride w:ilvl="0">
      <w:startOverride w:val="1"/>
    </w:lvlOverride>
  </w:num>
  <w:num w:numId="44" w16cid:durableId="529611125">
    <w:abstractNumId w:val="0"/>
    <w:lvlOverride w:ilvl="0">
      <w:startOverride w:val="1"/>
    </w:lvlOverride>
  </w:num>
  <w:num w:numId="45" w16cid:durableId="1956522836">
    <w:abstractNumId w:val="0"/>
    <w:lvlOverride w:ilvl="0">
      <w:startOverride w:val="1"/>
    </w:lvlOverride>
  </w:num>
  <w:num w:numId="46" w16cid:durableId="858466037">
    <w:abstractNumId w:val="0"/>
    <w:lvlOverride w:ilvl="0">
      <w:startOverride w:val="1"/>
    </w:lvlOverride>
  </w:num>
  <w:num w:numId="47" w16cid:durableId="1211379033">
    <w:abstractNumId w:val="0"/>
    <w:lvlOverride w:ilvl="0">
      <w:startOverride w:val="1"/>
    </w:lvlOverride>
  </w:num>
  <w:num w:numId="48" w16cid:durableId="1906599604">
    <w:abstractNumId w:val="0"/>
    <w:lvlOverride w:ilvl="0">
      <w:startOverride w:val="1"/>
    </w:lvlOverride>
  </w:num>
  <w:num w:numId="49" w16cid:durableId="1977955482">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0" w16cid:durableId="197934289">
    <w:abstractNumId w:val="0"/>
    <w:lvlOverride w:ilvl="0">
      <w:startOverride w:val="1"/>
    </w:lvlOverride>
  </w:num>
  <w:num w:numId="51" w16cid:durableId="1699702471">
    <w:abstractNumId w:val="0"/>
    <w:lvlOverride w:ilvl="0">
      <w:startOverride w:val="1"/>
    </w:lvlOverride>
  </w:num>
  <w:num w:numId="52" w16cid:durableId="70741501">
    <w:abstractNumId w:val="0"/>
    <w:lvlOverride w:ilvl="0">
      <w:startOverride w:val="1"/>
    </w:lvlOverride>
  </w:num>
  <w:num w:numId="53" w16cid:durableId="1124735769">
    <w:abstractNumId w:val="0"/>
    <w:lvlOverride w:ilvl="0">
      <w:startOverride w:val="1"/>
    </w:lvlOverride>
  </w:num>
  <w:num w:numId="54" w16cid:durableId="1703245289">
    <w:abstractNumId w:val="0"/>
    <w:lvlOverride w:ilvl="0">
      <w:startOverride w:val="1"/>
    </w:lvlOverride>
  </w:num>
  <w:num w:numId="55" w16cid:durableId="1146899477">
    <w:abstractNumId w:val="0"/>
    <w:lvlOverride w:ilvl="0">
      <w:startOverride w:val="1"/>
    </w:lvlOverride>
  </w:num>
  <w:num w:numId="56" w16cid:durableId="1478761297">
    <w:abstractNumId w:val="0"/>
    <w:lvlOverride w:ilvl="0">
      <w:startOverride w:val="1"/>
    </w:lvlOverride>
  </w:num>
  <w:num w:numId="57" w16cid:durableId="1429885445">
    <w:abstractNumId w:val="1"/>
  </w:num>
  <w:num w:numId="58" w16cid:durableId="1797724077">
    <w:abstractNumId w:val="0"/>
    <w:lvlOverride w:ilvl="0">
      <w:startOverride w:val="1"/>
    </w:lvlOverride>
  </w:num>
  <w:num w:numId="59" w16cid:durableId="484857520">
    <w:abstractNumId w:val="0"/>
    <w:lvlOverride w:ilvl="0">
      <w:startOverride w:val="1"/>
    </w:lvlOverride>
  </w:num>
  <w:num w:numId="60" w16cid:durableId="1948543249">
    <w:abstractNumId w:val="0"/>
    <w:lvlOverride w:ilvl="0">
      <w:startOverride w:val="1"/>
    </w:lvlOverride>
  </w:num>
  <w:num w:numId="61" w16cid:durableId="188032271">
    <w:abstractNumId w:val="0"/>
    <w:lvlOverride w:ilvl="0">
      <w:startOverride w:val="1"/>
    </w:lvlOverride>
  </w:num>
  <w:num w:numId="62" w16cid:durableId="1016495486">
    <w:abstractNumId w:val="0"/>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5A"/>
    <w:rsid w:val="00001077"/>
    <w:rsid w:val="00001277"/>
    <w:rsid w:val="00001FCB"/>
    <w:rsid w:val="0000202B"/>
    <w:rsid w:val="000022A8"/>
    <w:rsid w:val="00002421"/>
    <w:rsid w:val="0000262D"/>
    <w:rsid w:val="00002EB3"/>
    <w:rsid w:val="00003334"/>
    <w:rsid w:val="0000336F"/>
    <w:rsid w:val="00003B07"/>
    <w:rsid w:val="00003C70"/>
    <w:rsid w:val="0000454A"/>
    <w:rsid w:val="00004E4D"/>
    <w:rsid w:val="00005183"/>
    <w:rsid w:val="0000538A"/>
    <w:rsid w:val="000053C3"/>
    <w:rsid w:val="00005918"/>
    <w:rsid w:val="00005E85"/>
    <w:rsid w:val="00006013"/>
    <w:rsid w:val="00006453"/>
    <w:rsid w:val="00006E97"/>
    <w:rsid w:val="00007987"/>
    <w:rsid w:val="000079EC"/>
    <w:rsid w:val="00007EEB"/>
    <w:rsid w:val="0001002F"/>
    <w:rsid w:val="000100D4"/>
    <w:rsid w:val="0001033C"/>
    <w:rsid w:val="00010AF6"/>
    <w:rsid w:val="00010CB6"/>
    <w:rsid w:val="000113C5"/>
    <w:rsid w:val="000115CB"/>
    <w:rsid w:val="00011AFA"/>
    <w:rsid w:val="000133A4"/>
    <w:rsid w:val="000139FD"/>
    <w:rsid w:val="00013F54"/>
    <w:rsid w:val="00014013"/>
    <w:rsid w:val="00014237"/>
    <w:rsid w:val="00014E4B"/>
    <w:rsid w:val="00015977"/>
    <w:rsid w:val="00015D72"/>
    <w:rsid w:val="00015F36"/>
    <w:rsid w:val="0001726F"/>
    <w:rsid w:val="000208AE"/>
    <w:rsid w:val="000224AE"/>
    <w:rsid w:val="000229F0"/>
    <w:rsid w:val="00024996"/>
    <w:rsid w:val="00024D2D"/>
    <w:rsid w:val="0002592C"/>
    <w:rsid w:val="00025E29"/>
    <w:rsid w:val="00026824"/>
    <w:rsid w:val="00026B13"/>
    <w:rsid w:val="00026D2A"/>
    <w:rsid w:val="00027065"/>
    <w:rsid w:val="000270FF"/>
    <w:rsid w:val="00027C99"/>
    <w:rsid w:val="000303BB"/>
    <w:rsid w:val="00030896"/>
    <w:rsid w:val="00031B84"/>
    <w:rsid w:val="00031DB8"/>
    <w:rsid w:val="00031F1D"/>
    <w:rsid w:val="00032CE5"/>
    <w:rsid w:val="00032DED"/>
    <w:rsid w:val="00033524"/>
    <w:rsid w:val="00033CED"/>
    <w:rsid w:val="000342C1"/>
    <w:rsid w:val="000343C5"/>
    <w:rsid w:val="000346A4"/>
    <w:rsid w:val="000349AE"/>
    <w:rsid w:val="00034B7B"/>
    <w:rsid w:val="00034CF3"/>
    <w:rsid w:val="00034EBA"/>
    <w:rsid w:val="000355F5"/>
    <w:rsid w:val="0003572D"/>
    <w:rsid w:val="0003592E"/>
    <w:rsid w:val="00035B77"/>
    <w:rsid w:val="00035D59"/>
    <w:rsid w:val="00036436"/>
    <w:rsid w:val="000368BE"/>
    <w:rsid w:val="00036E0C"/>
    <w:rsid w:val="00036E92"/>
    <w:rsid w:val="00037F8D"/>
    <w:rsid w:val="00040ABB"/>
    <w:rsid w:val="00041608"/>
    <w:rsid w:val="000418C1"/>
    <w:rsid w:val="00042F64"/>
    <w:rsid w:val="00043587"/>
    <w:rsid w:val="00043ACE"/>
    <w:rsid w:val="0004433D"/>
    <w:rsid w:val="00044E45"/>
    <w:rsid w:val="00044E9D"/>
    <w:rsid w:val="0004509B"/>
    <w:rsid w:val="0004563B"/>
    <w:rsid w:val="00045CB0"/>
    <w:rsid w:val="00046819"/>
    <w:rsid w:val="00047A86"/>
    <w:rsid w:val="000500B7"/>
    <w:rsid w:val="00050678"/>
    <w:rsid w:val="00051067"/>
    <w:rsid w:val="000512A2"/>
    <w:rsid w:val="0005203C"/>
    <w:rsid w:val="00052666"/>
    <w:rsid w:val="0005269D"/>
    <w:rsid w:val="00052FE7"/>
    <w:rsid w:val="0005351C"/>
    <w:rsid w:val="00053BC5"/>
    <w:rsid w:val="00054279"/>
    <w:rsid w:val="000543CC"/>
    <w:rsid w:val="000544EA"/>
    <w:rsid w:val="0005521A"/>
    <w:rsid w:val="00056E56"/>
    <w:rsid w:val="000575D7"/>
    <w:rsid w:val="00057A23"/>
    <w:rsid w:val="00057F41"/>
    <w:rsid w:val="0006096F"/>
    <w:rsid w:val="000611A2"/>
    <w:rsid w:val="000628D9"/>
    <w:rsid w:val="000630F5"/>
    <w:rsid w:val="0006401A"/>
    <w:rsid w:val="000654DE"/>
    <w:rsid w:val="00065560"/>
    <w:rsid w:val="00065E43"/>
    <w:rsid w:val="000661CB"/>
    <w:rsid w:val="00066D33"/>
    <w:rsid w:val="00067A2B"/>
    <w:rsid w:val="00070107"/>
    <w:rsid w:val="00070DCC"/>
    <w:rsid w:val="00071708"/>
    <w:rsid w:val="0007266D"/>
    <w:rsid w:val="000728A7"/>
    <w:rsid w:val="00072EA3"/>
    <w:rsid w:val="00073472"/>
    <w:rsid w:val="00073702"/>
    <w:rsid w:val="00073CCD"/>
    <w:rsid w:val="000741F8"/>
    <w:rsid w:val="000745D3"/>
    <w:rsid w:val="00074C88"/>
    <w:rsid w:val="00074E62"/>
    <w:rsid w:val="00074F0E"/>
    <w:rsid w:val="00075223"/>
    <w:rsid w:val="00075CE4"/>
    <w:rsid w:val="00075FDC"/>
    <w:rsid w:val="00076560"/>
    <w:rsid w:val="00077907"/>
    <w:rsid w:val="00080DC5"/>
    <w:rsid w:val="00080F1C"/>
    <w:rsid w:val="00081B90"/>
    <w:rsid w:val="00083493"/>
    <w:rsid w:val="00084881"/>
    <w:rsid w:val="00084C5E"/>
    <w:rsid w:val="0008755E"/>
    <w:rsid w:val="00090CC0"/>
    <w:rsid w:val="00090EC0"/>
    <w:rsid w:val="000910C7"/>
    <w:rsid w:val="000913B8"/>
    <w:rsid w:val="000928B2"/>
    <w:rsid w:val="00092CB8"/>
    <w:rsid w:val="000933D3"/>
    <w:rsid w:val="00093FEB"/>
    <w:rsid w:val="000942A1"/>
    <w:rsid w:val="000944A6"/>
    <w:rsid w:val="00094705"/>
    <w:rsid w:val="000949F9"/>
    <w:rsid w:val="00094CB1"/>
    <w:rsid w:val="000953BF"/>
    <w:rsid w:val="0009628B"/>
    <w:rsid w:val="00096559"/>
    <w:rsid w:val="00096F5E"/>
    <w:rsid w:val="00097119"/>
    <w:rsid w:val="00097D51"/>
    <w:rsid w:val="00097FD4"/>
    <w:rsid w:val="000A0C32"/>
    <w:rsid w:val="000A0CB6"/>
    <w:rsid w:val="000A1B0B"/>
    <w:rsid w:val="000A1FD9"/>
    <w:rsid w:val="000A223C"/>
    <w:rsid w:val="000A2C28"/>
    <w:rsid w:val="000A2CCC"/>
    <w:rsid w:val="000A3730"/>
    <w:rsid w:val="000A3D6A"/>
    <w:rsid w:val="000A423B"/>
    <w:rsid w:val="000A4668"/>
    <w:rsid w:val="000A56D5"/>
    <w:rsid w:val="000A5DDC"/>
    <w:rsid w:val="000A631B"/>
    <w:rsid w:val="000A67F9"/>
    <w:rsid w:val="000A75D3"/>
    <w:rsid w:val="000B04F6"/>
    <w:rsid w:val="000B0CEE"/>
    <w:rsid w:val="000B14A7"/>
    <w:rsid w:val="000B16D4"/>
    <w:rsid w:val="000B2237"/>
    <w:rsid w:val="000B3C62"/>
    <w:rsid w:val="000B585E"/>
    <w:rsid w:val="000B66C4"/>
    <w:rsid w:val="000B6899"/>
    <w:rsid w:val="000B6D93"/>
    <w:rsid w:val="000B6EA5"/>
    <w:rsid w:val="000B75D3"/>
    <w:rsid w:val="000B76B3"/>
    <w:rsid w:val="000C00AB"/>
    <w:rsid w:val="000C02FC"/>
    <w:rsid w:val="000C088A"/>
    <w:rsid w:val="000C0940"/>
    <w:rsid w:val="000C1AA8"/>
    <w:rsid w:val="000C1B02"/>
    <w:rsid w:val="000C2123"/>
    <w:rsid w:val="000C250C"/>
    <w:rsid w:val="000C2B62"/>
    <w:rsid w:val="000C3AA0"/>
    <w:rsid w:val="000C3F60"/>
    <w:rsid w:val="000C4FBE"/>
    <w:rsid w:val="000C5CC2"/>
    <w:rsid w:val="000C5E58"/>
    <w:rsid w:val="000C60F8"/>
    <w:rsid w:val="000C64A0"/>
    <w:rsid w:val="000C64D6"/>
    <w:rsid w:val="000C75E4"/>
    <w:rsid w:val="000C7D7E"/>
    <w:rsid w:val="000C7F48"/>
    <w:rsid w:val="000D0062"/>
    <w:rsid w:val="000D076B"/>
    <w:rsid w:val="000D093D"/>
    <w:rsid w:val="000D160F"/>
    <w:rsid w:val="000D1F77"/>
    <w:rsid w:val="000D2094"/>
    <w:rsid w:val="000D28CB"/>
    <w:rsid w:val="000D2D20"/>
    <w:rsid w:val="000D3120"/>
    <w:rsid w:val="000D39AB"/>
    <w:rsid w:val="000D5E26"/>
    <w:rsid w:val="000D661F"/>
    <w:rsid w:val="000D710D"/>
    <w:rsid w:val="000D755F"/>
    <w:rsid w:val="000D7FA2"/>
    <w:rsid w:val="000E0B2A"/>
    <w:rsid w:val="000E0EB8"/>
    <w:rsid w:val="000E1F22"/>
    <w:rsid w:val="000E2001"/>
    <w:rsid w:val="000E25B1"/>
    <w:rsid w:val="000E2F6F"/>
    <w:rsid w:val="000E37CC"/>
    <w:rsid w:val="000E3DF0"/>
    <w:rsid w:val="000E41A4"/>
    <w:rsid w:val="000E5598"/>
    <w:rsid w:val="000E63A7"/>
    <w:rsid w:val="000E64B3"/>
    <w:rsid w:val="000E6727"/>
    <w:rsid w:val="000E6892"/>
    <w:rsid w:val="000E76AF"/>
    <w:rsid w:val="000E7A1D"/>
    <w:rsid w:val="000F0341"/>
    <w:rsid w:val="000F092D"/>
    <w:rsid w:val="000F0FD6"/>
    <w:rsid w:val="000F1082"/>
    <w:rsid w:val="000F279E"/>
    <w:rsid w:val="000F37D9"/>
    <w:rsid w:val="000F3839"/>
    <w:rsid w:val="000F3DF6"/>
    <w:rsid w:val="000F408D"/>
    <w:rsid w:val="000F4172"/>
    <w:rsid w:val="000F4366"/>
    <w:rsid w:val="000F4809"/>
    <w:rsid w:val="000F4B82"/>
    <w:rsid w:val="000F503A"/>
    <w:rsid w:val="000F54C9"/>
    <w:rsid w:val="000F5904"/>
    <w:rsid w:val="000F5AA5"/>
    <w:rsid w:val="000F60B6"/>
    <w:rsid w:val="000F6136"/>
    <w:rsid w:val="000F6934"/>
    <w:rsid w:val="000F72DD"/>
    <w:rsid w:val="000F7910"/>
    <w:rsid w:val="0010013F"/>
    <w:rsid w:val="00100FD6"/>
    <w:rsid w:val="00101AA2"/>
    <w:rsid w:val="00102940"/>
    <w:rsid w:val="0010370E"/>
    <w:rsid w:val="00103F45"/>
    <w:rsid w:val="00104134"/>
    <w:rsid w:val="00104162"/>
    <w:rsid w:val="0010567E"/>
    <w:rsid w:val="00105FC5"/>
    <w:rsid w:val="00106388"/>
    <w:rsid w:val="00106A1D"/>
    <w:rsid w:val="00106DA2"/>
    <w:rsid w:val="00107063"/>
    <w:rsid w:val="00107899"/>
    <w:rsid w:val="00107978"/>
    <w:rsid w:val="00110BA5"/>
    <w:rsid w:val="001114C0"/>
    <w:rsid w:val="00114029"/>
    <w:rsid w:val="00114449"/>
    <w:rsid w:val="0011478B"/>
    <w:rsid w:val="00114F59"/>
    <w:rsid w:val="00115FDF"/>
    <w:rsid w:val="0011682E"/>
    <w:rsid w:val="00117428"/>
    <w:rsid w:val="001179B3"/>
    <w:rsid w:val="00121D94"/>
    <w:rsid w:val="0012230C"/>
    <w:rsid w:val="001228AC"/>
    <w:rsid w:val="00123EA2"/>
    <w:rsid w:val="00124303"/>
    <w:rsid w:val="001245CB"/>
    <w:rsid w:val="001245F5"/>
    <w:rsid w:val="00124615"/>
    <w:rsid w:val="001247F8"/>
    <w:rsid w:val="001251A0"/>
    <w:rsid w:val="001260B0"/>
    <w:rsid w:val="001260EB"/>
    <w:rsid w:val="0012623B"/>
    <w:rsid w:val="001265F9"/>
    <w:rsid w:val="00127966"/>
    <w:rsid w:val="0012796F"/>
    <w:rsid w:val="00130843"/>
    <w:rsid w:val="00130C67"/>
    <w:rsid w:val="0013307A"/>
    <w:rsid w:val="0013474A"/>
    <w:rsid w:val="00134D1C"/>
    <w:rsid w:val="001357C6"/>
    <w:rsid w:val="0013621A"/>
    <w:rsid w:val="00136719"/>
    <w:rsid w:val="00136F07"/>
    <w:rsid w:val="00137A08"/>
    <w:rsid w:val="00140E20"/>
    <w:rsid w:val="001413C7"/>
    <w:rsid w:val="00141AB0"/>
    <w:rsid w:val="00141B3D"/>
    <w:rsid w:val="00141E79"/>
    <w:rsid w:val="00142B54"/>
    <w:rsid w:val="00143633"/>
    <w:rsid w:val="00144817"/>
    <w:rsid w:val="00146947"/>
    <w:rsid w:val="00146D4D"/>
    <w:rsid w:val="00146E02"/>
    <w:rsid w:val="00146E93"/>
    <w:rsid w:val="001474AB"/>
    <w:rsid w:val="00147ADF"/>
    <w:rsid w:val="00150524"/>
    <w:rsid w:val="00150857"/>
    <w:rsid w:val="00151AB4"/>
    <w:rsid w:val="001525D0"/>
    <w:rsid w:val="00152A47"/>
    <w:rsid w:val="001539D1"/>
    <w:rsid w:val="00154749"/>
    <w:rsid w:val="001559E8"/>
    <w:rsid w:val="00156508"/>
    <w:rsid w:val="00156827"/>
    <w:rsid w:val="00156EAD"/>
    <w:rsid w:val="00156F5E"/>
    <w:rsid w:val="00156F92"/>
    <w:rsid w:val="001576D0"/>
    <w:rsid w:val="00160398"/>
    <w:rsid w:val="00160952"/>
    <w:rsid w:val="00160A98"/>
    <w:rsid w:val="00161A2E"/>
    <w:rsid w:val="001624FA"/>
    <w:rsid w:val="00162CE7"/>
    <w:rsid w:val="00162DFE"/>
    <w:rsid w:val="00162EBF"/>
    <w:rsid w:val="001631D0"/>
    <w:rsid w:val="00163284"/>
    <w:rsid w:val="00163D66"/>
    <w:rsid w:val="00164116"/>
    <w:rsid w:val="001650EC"/>
    <w:rsid w:val="0016510A"/>
    <w:rsid w:val="00165ACA"/>
    <w:rsid w:val="00165D82"/>
    <w:rsid w:val="001660D4"/>
    <w:rsid w:val="00166744"/>
    <w:rsid w:val="001667BE"/>
    <w:rsid w:val="00166914"/>
    <w:rsid w:val="00166ACD"/>
    <w:rsid w:val="00167F48"/>
    <w:rsid w:val="00171190"/>
    <w:rsid w:val="00171BCC"/>
    <w:rsid w:val="00172083"/>
    <w:rsid w:val="0017215F"/>
    <w:rsid w:val="0017251C"/>
    <w:rsid w:val="00172AFD"/>
    <w:rsid w:val="00172BA2"/>
    <w:rsid w:val="00172F10"/>
    <w:rsid w:val="0017327C"/>
    <w:rsid w:val="001737A9"/>
    <w:rsid w:val="001739D3"/>
    <w:rsid w:val="00174018"/>
    <w:rsid w:val="00174EAB"/>
    <w:rsid w:val="00174F23"/>
    <w:rsid w:val="001755BD"/>
    <w:rsid w:val="00176D10"/>
    <w:rsid w:val="00176DFB"/>
    <w:rsid w:val="001776D7"/>
    <w:rsid w:val="00177DC6"/>
    <w:rsid w:val="00180692"/>
    <w:rsid w:val="00180C44"/>
    <w:rsid w:val="00180FE2"/>
    <w:rsid w:val="00181431"/>
    <w:rsid w:val="0018289F"/>
    <w:rsid w:val="00183972"/>
    <w:rsid w:val="00183A63"/>
    <w:rsid w:val="00185064"/>
    <w:rsid w:val="001854B7"/>
    <w:rsid w:val="001870B4"/>
    <w:rsid w:val="00187AE0"/>
    <w:rsid w:val="00187D3A"/>
    <w:rsid w:val="0019071D"/>
    <w:rsid w:val="0019136C"/>
    <w:rsid w:val="00191F75"/>
    <w:rsid w:val="00192114"/>
    <w:rsid w:val="001922F4"/>
    <w:rsid w:val="00192CA9"/>
    <w:rsid w:val="001930D9"/>
    <w:rsid w:val="00193B3C"/>
    <w:rsid w:val="00193D90"/>
    <w:rsid w:val="00194601"/>
    <w:rsid w:val="00194C2A"/>
    <w:rsid w:val="0019519F"/>
    <w:rsid w:val="00196BC5"/>
    <w:rsid w:val="001979A3"/>
    <w:rsid w:val="001A00A0"/>
    <w:rsid w:val="001A040B"/>
    <w:rsid w:val="001A05E8"/>
    <w:rsid w:val="001A07CF"/>
    <w:rsid w:val="001A0CC4"/>
    <w:rsid w:val="001A0F00"/>
    <w:rsid w:val="001A1EFC"/>
    <w:rsid w:val="001A25A3"/>
    <w:rsid w:val="001A26BB"/>
    <w:rsid w:val="001A2904"/>
    <w:rsid w:val="001A2FC8"/>
    <w:rsid w:val="001A3549"/>
    <w:rsid w:val="001A3559"/>
    <w:rsid w:val="001A428F"/>
    <w:rsid w:val="001A4BA1"/>
    <w:rsid w:val="001A4C21"/>
    <w:rsid w:val="001A4D18"/>
    <w:rsid w:val="001A648D"/>
    <w:rsid w:val="001A6C5C"/>
    <w:rsid w:val="001A7125"/>
    <w:rsid w:val="001A7472"/>
    <w:rsid w:val="001A79BE"/>
    <w:rsid w:val="001B0174"/>
    <w:rsid w:val="001B0537"/>
    <w:rsid w:val="001B0697"/>
    <w:rsid w:val="001B0846"/>
    <w:rsid w:val="001B1632"/>
    <w:rsid w:val="001B173F"/>
    <w:rsid w:val="001B1C4A"/>
    <w:rsid w:val="001B1D5C"/>
    <w:rsid w:val="001B2FED"/>
    <w:rsid w:val="001B37DD"/>
    <w:rsid w:val="001B453B"/>
    <w:rsid w:val="001B47A3"/>
    <w:rsid w:val="001B51C3"/>
    <w:rsid w:val="001B53EC"/>
    <w:rsid w:val="001B618E"/>
    <w:rsid w:val="001B62CB"/>
    <w:rsid w:val="001B63E9"/>
    <w:rsid w:val="001B69C4"/>
    <w:rsid w:val="001B6E4F"/>
    <w:rsid w:val="001B7763"/>
    <w:rsid w:val="001B7950"/>
    <w:rsid w:val="001B7CCB"/>
    <w:rsid w:val="001C01B5"/>
    <w:rsid w:val="001C049C"/>
    <w:rsid w:val="001C05AC"/>
    <w:rsid w:val="001C0824"/>
    <w:rsid w:val="001C0AC0"/>
    <w:rsid w:val="001C15CC"/>
    <w:rsid w:val="001C2084"/>
    <w:rsid w:val="001C3CC8"/>
    <w:rsid w:val="001C4E01"/>
    <w:rsid w:val="001C59FE"/>
    <w:rsid w:val="001C63BA"/>
    <w:rsid w:val="001C6470"/>
    <w:rsid w:val="001C6C46"/>
    <w:rsid w:val="001C7379"/>
    <w:rsid w:val="001C7BE9"/>
    <w:rsid w:val="001D0B28"/>
    <w:rsid w:val="001D0EE2"/>
    <w:rsid w:val="001D18B0"/>
    <w:rsid w:val="001D236B"/>
    <w:rsid w:val="001D26B3"/>
    <w:rsid w:val="001D2E44"/>
    <w:rsid w:val="001D319F"/>
    <w:rsid w:val="001D35DA"/>
    <w:rsid w:val="001D4C5D"/>
    <w:rsid w:val="001D544B"/>
    <w:rsid w:val="001D61B4"/>
    <w:rsid w:val="001D61CD"/>
    <w:rsid w:val="001D63BC"/>
    <w:rsid w:val="001D6BD4"/>
    <w:rsid w:val="001D6CFF"/>
    <w:rsid w:val="001D6E61"/>
    <w:rsid w:val="001D6F49"/>
    <w:rsid w:val="001D7328"/>
    <w:rsid w:val="001E03FE"/>
    <w:rsid w:val="001E052F"/>
    <w:rsid w:val="001E0731"/>
    <w:rsid w:val="001E0C92"/>
    <w:rsid w:val="001E0F6C"/>
    <w:rsid w:val="001E16BE"/>
    <w:rsid w:val="001E1AAB"/>
    <w:rsid w:val="001E1BEE"/>
    <w:rsid w:val="001E22F8"/>
    <w:rsid w:val="001E26F0"/>
    <w:rsid w:val="001E2C7B"/>
    <w:rsid w:val="001E33E7"/>
    <w:rsid w:val="001E34B4"/>
    <w:rsid w:val="001E34F6"/>
    <w:rsid w:val="001E45C0"/>
    <w:rsid w:val="001E481A"/>
    <w:rsid w:val="001E501A"/>
    <w:rsid w:val="001E6356"/>
    <w:rsid w:val="001E64DC"/>
    <w:rsid w:val="001E7E06"/>
    <w:rsid w:val="001F0F3A"/>
    <w:rsid w:val="001F1523"/>
    <w:rsid w:val="001F2044"/>
    <w:rsid w:val="001F232B"/>
    <w:rsid w:val="001F243E"/>
    <w:rsid w:val="001F2744"/>
    <w:rsid w:val="001F290A"/>
    <w:rsid w:val="001F298A"/>
    <w:rsid w:val="001F2A1D"/>
    <w:rsid w:val="001F3D80"/>
    <w:rsid w:val="001F541B"/>
    <w:rsid w:val="001F661A"/>
    <w:rsid w:val="001F6C9B"/>
    <w:rsid w:val="00200237"/>
    <w:rsid w:val="002004AC"/>
    <w:rsid w:val="002008A4"/>
    <w:rsid w:val="00200F43"/>
    <w:rsid w:val="00201701"/>
    <w:rsid w:val="00201E79"/>
    <w:rsid w:val="0020277D"/>
    <w:rsid w:val="00202DD6"/>
    <w:rsid w:val="00203A1C"/>
    <w:rsid w:val="00204C3A"/>
    <w:rsid w:val="00205676"/>
    <w:rsid w:val="002072BD"/>
    <w:rsid w:val="00207BC6"/>
    <w:rsid w:val="00210018"/>
    <w:rsid w:val="00210B3A"/>
    <w:rsid w:val="00210DB7"/>
    <w:rsid w:val="0021170C"/>
    <w:rsid w:val="00211718"/>
    <w:rsid w:val="00211F39"/>
    <w:rsid w:val="0021231A"/>
    <w:rsid w:val="002127C3"/>
    <w:rsid w:val="00213443"/>
    <w:rsid w:val="00213697"/>
    <w:rsid w:val="00213B9C"/>
    <w:rsid w:val="00215992"/>
    <w:rsid w:val="00215CC8"/>
    <w:rsid w:val="00216CDE"/>
    <w:rsid w:val="00216D35"/>
    <w:rsid w:val="00217AF1"/>
    <w:rsid w:val="00217F76"/>
    <w:rsid w:val="00220B08"/>
    <w:rsid w:val="00220CB9"/>
    <w:rsid w:val="0022163D"/>
    <w:rsid w:val="00221E2F"/>
    <w:rsid w:val="00222DDA"/>
    <w:rsid w:val="00224DD2"/>
    <w:rsid w:val="00224E87"/>
    <w:rsid w:val="0022580A"/>
    <w:rsid w:val="00225AF3"/>
    <w:rsid w:val="00226783"/>
    <w:rsid w:val="00226AA3"/>
    <w:rsid w:val="002271D7"/>
    <w:rsid w:val="00227328"/>
    <w:rsid w:val="00227FAB"/>
    <w:rsid w:val="00230CD3"/>
    <w:rsid w:val="00230EF8"/>
    <w:rsid w:val="00232172"/>
    <w:rsid w:val="00232245"/>
    <w:rsid w:val="00232311"/>
    <w:rsid w:val="00232629"/>
    <w:rsid w:val="002326A9"/>
    <w:rsid w:val="002333F5"/>
    <w:rsid w:val="00233FBD"/>
    <w:rsid w:val="0023431A"/>
    <w:rsid w:val="00234CB0"/>
    <w:rsid w:val="002350F0"/>
    <w:rsid w:val="0023595F"/>
    <w:rsid w:val="002373BD"/>
    <w:rsid w:val="00240046"/>
    <w:rsid w:val="00241193"/>
    <w:rsid w:val="0024167B"/>
    <w:rsid w:val="0024264C"/>
    <w:rsid w:val="002426D4"/>
    <w:rsid w:val="002426F0"/>
    <w:rsid w:val="00242D9A"/>
    <w:rsid w:val="002432D8"/>
    <w:rsid w:val="002435CA"/>
    <w:rsid w:val="002435DB"/>
    <w:rsid w:val="0024380A"/>
    <w:rsid w:val="002443DB"/>
    <w:rsid w:val="00244B7A"/>
    <w:rsid w:val="002451E4"/>
    <w:rsid w:val="0024548C"/>
    <w:rsid w:val="0024569C"/>
    <w:rsid w:val="00246214"/>
    <w:rsid w:val="002465E7"/>
    <w:rsid w:val="00246D61"/>
    <w:rsid w:val="00246E9F"/>
    <w:rsid w:val="0024728A"/>
    <w:rsid w:val="002472BB"/>
    <w:rsid w:val="00250676"/>
    <w:rsid w:val="002509F2"/>
    <w:rsid w:val="00250BBB"/>
    <w:rsid w:val="00251625"/>
    <w:rsid w:val="00252637"/>
    <w:rsid w:val="00253285"/>
    <w:rsid w:val="0025359B"/>
    <w:rsid w:val="00253A1B"/>
    <w:rsid w:val="00253E18"/>
    <w:rsid w:val="002547EB"/>
    <w:rsid w:val="0025488A"/>
    <w:rsid w:val="002548FE"/>
    <w:rsid w:val="00254C87"/>
    <w:rsid w:val="002552AB"/>
    <w:rsid w:val="002553D7"/>
    <w:rsid w:val="00255982"/>
    <w:rsid w:val="00257082"/>
    <w:rsid w:val="00257462"/>
    <w:rsid w:val="00257464"/>
    <w:rsid w:val="00260084"/>
    <w:rsid w:val="00260AC4"/>
    <w:rsid w:val="00260B6A"/>
    <w:rsid w:val="00260C98"/>
    <w:rsid w:val="00260CD1"/>
    <w:rsid w:val="002617B9"/>
    <w:rsid w:val="002628BF"/>
    <w:rsid w:val="00263BCC"/>
    <w:rsid w:val="00263E85"/>
    <w:rsid w:val="00263FC0"/>
    <w:rsid w:val="002641AE"/>
    <w:rsid w:val="00264295"/>
    <w:rsid w:val="00264763"/>
    <w:rsid w:val="00265577"/>
    <w:rsid w:val="00267AF8"/>
    <w:rsid w:val="00270D0D"/>
    <w:rsid w:val="00270DC4"/>
    <w:rsid w:val="002711E9"/>
    <w:rsid w:val="0027138E"/>
    <w:rsid w:val="002719CE"/>
    <w:rsid w:val="00273C29"/>
    <w:rsid w:val="00273F86"/>
    <w:rsid w:val="00276007"/>
    <w:rsid w:val="00276289"/>
    <w:rsid w:val="00276AE7"/>
    <w:rsid w:val="002770FB"/>
    <w:rsid w:val="00277EC9"/>
    <w:rsid w:val="00280095"/>
    <w:rsid w:val="00280755"/>
    <w:rsid w:val="00280B0E"/>
    <w:rsid w:val="00280B8D"/>
    <w:rsid w:val="00280F46"/>
    <w:rsid w:val="00281746"/>
    <w:rsid w:val="00281871"/>
    <w:rsid w:val="002827CC"/>
    <w:rsid w:val="00282994"/>
    <w:rsid w:val="00282A03"/>
    <w:rsid w:val="00282EA6"/>
    <w:rsid w:val="002830B1"/>
    <w:rsid w:val="002832C6"/>
    <w:rsid w:val="00284A2C"/>
    <w:rsid w:val="0028549B"/>
    <w:rsid w:val="002857E7"/>
    <w:rsid w:val="00285ED7"/>
    <w:rsid w:val="00285FD0"/>
    <w:rsid w:val="00286BCA"/>
    <w:rsid w:val="002878A3"/>
    <w:rsid w:val="0029068E"/>
    <w:rsid w:val="00290B50"/>
    <w:rsid w:val="00290C84"/>
    <w:rsid w:val="0029109A"/>
    <w:rsid w:val="00291DBE"/>
    <w:rsid w:val="0029210C"/>
    <w:rsid w:val="002922D1"/>
    <w:rsid w:val="00293130"/>
    <w:rsid w:val="00294D82"/>
    <w:rsid w:val="00295917"/>
    <w:rsid w:val="00296510"/>
    <w:rsid w:val="00296615"/>
    <w:rsid w:val="00296D67"/>
    <w:rsid w:val="002974BE"/>
    <w:rsid w:val="00297978"/>
    <w:rsid w:val="00297DDB"/>
    <w:rsid w:val="002A05B0"/>
    <w:rsid w:val="002A0996"/>
    <w:rsid w:val="002A0B5B"/>
    <w:rsid w:val="002A11F5"/>
    <w:rsid w:val="002A1452"/>
    <w:rsid w:val="002A1AEA"/>
    <w:rsid w:val="002A2174"/>
    <w:rsid w:val="002A2ACC"/>
    <w:rsid w:val="002A3184"/>
    <w:rsid w:val="002A42E6"/>
    <w:rsid w:val="002A456F"/>
    <w:rsid w:val="002A51C6"/>
    <w:rsid w:val="002A58BA"/>
    <w:rsid w:val="002A5FFE"/>
    <w:rsid w:val="002A60D5"/>
    <w:rsid w:val="002A647D"/>
    <w:rsid w:val="002A65A1"/>
    <w:rsid w:val="002A7390"/>
    <w:rsid w:val="002A73CE"/>
    <w:rsid w:val="002A7575"/>
    <w:rsid w:val="002A7C1C"/>
    <w:rsid w:val="002B03C4"/>
    <w:rsid w:val="002B1972"/>
    <w:rsid w:val="002B1CBF"/>
    <w:rsid w:val="002B280A"/>
    <w:rsid w:val="002B293B"/>
    <w:rsid w:val="002B2B96"/>
    <w:rsid w:val="002B2C9B"/>
    <w:rsid w:val="002B32C6"/>
    <w:rsid w:val="002B330F"/>
    <w:rsid w:val="002B3502"/>
    <w:rsid w:val="002B3B3E"/>
    <w:rsid w:val="002B3FE6"/>
    <w:rsid w:val="002B569A"/>
    <w:rsid w:val="002B6338"/>
    <w:rsid w:val="002B650C"/>
    <w:rsid w:val="002B675A"/>
    <w:rsid w:val="002B69FA"/>
    <w:rsid w:val="002B6A49"/>
    <w:rsid w:val="002B72F1"/>
    <w:rsid w:val="002B75A9"/>
    <w:rsid w:val="002B7A05"/>
    <w:rsid w:val="002C0841"/>
    <w:rsid w:val="002C0EAB"/>
    <w:rsid w:val="002C1D2A"/>
    <w:rsid w:val="002C1F00"/>
    <w:rsid w:val="002C211B"/>
    <w:rsid w:val="002C2ABD"/>
    <w:rsid w:val="002C2F70"/>
    <w:rsid w:val="002C34B0"/>
    <w:rsid w:val="002C381C"/>
    <w:rsid w:val="002C38F5"/>
    <w:rsid w:val="002C41D7"/>
    <w:rsid w:val="002C4F65"/>
    <w:rsid w:val="002C5815"/>
    <w:rsid w:val="002C5A85"/>
    <w:rsid w:val="002C6157"/>
    <w:rsid w:val="002C6CA5"/>
    <w:rsid w:val="002C7137"/>
    <w:rsid w:val="002C74CA"/>
    <w:rsid w:val="002C7A03"/>
    <w:rsid w:val="002D05C4"/>
    <w:rsid w:val="002D170B"/>
    <w:rsid w:val="002D19B9"/>
    <w:rsid w:val="002D217C"/>
    <w:rsid w:val="002D287B"/>
    <w:rsid w:val="002D3A00"/>
    <w:rsid w:val="002D3B06"/>
    <w:rsid w:val="002D4C2A"/>
    <w:rsid w:val="002D4EF6"/>
    <w:rsid w:val="002D52E1"/>
    <w:rsid w:val="002D5355"/>
    <w:rsid w:val="002D5885"/>
    <w:rsid w:val="002D596C"/>
    <w:rsid w:val="002D5C28"/>
    <w:rsid w:val="002D6251"/>
    <w:rsid w:val="002D6905"/>
    <w:rsid w:val="002D694C"/>
    <w:rsid w:val="002D6EB1"/>
    <w:rsid w:val="002D6ED7"/>
    <w:rsid w:val="002D6FDD"/>
    <w:rsid w:val="002D76C8"/>
    <w:rsid w:val="002D7AD3"/>
    <w:rsid w:val="002E0449"/>
    <w:rsid w:val="002E0495"/>
    <w:rsid w:val="002E0C0E"/>
    <w:rsid w:val="002E0C48"/>
    <w:rsid w:val="002E113C"/>
    <w:rsid w:val="002E188D"/>
    <w:rsid w:val="002E1C64"/>
    <w:rsid w:val="002E263E"/>
    <w:rsid w:val="002E2C09"/>
    <w:rsid w:val="002E31AC"/>
    <w:rsid w:val="002E333F"/>
    <w:rsid w:val="002E36C9"/>
    <w:rsid w:val="002E3B45"/>
    <w:rsid w:val="002E5324"/>
    <w:rsid w:val="002E605A"/>
    <w:rsid w:val="002F02B8"/>
    <w:rsid w:val="002F0AEB"/>
    <w:rsid w:val="002F0E02"/>
    <w:rsid w:val="002F1B0B"/>
    <w:rsid w:val="002F2D1D"/>
    <w:rsid w:val="002F2F97"/>
    <w:rsid w:val="002F464F"/>
    <w:rsid w:val="002F47D5"/>
    <w:rsid w:val="002F487C"/>
    <w:rsid w:val="002F5758"/>
    <w:rsid w:val="002F5DF6"/>
    <w:rsid w:val="002F60F5"/>
    <w:rsid w:val="002F7833"/>
    <w:rsid w:val="002F78B9"/>
    <w:rsid w:val="0030003A"/>
    <w:rsid w:val="00300225"/>
    <w:rsid w:val="00301053"/>
    <w:rsid w:val="0030177F"/>
    <w:rsid w:val="00301D33"/>
    <w:rsid w:val="00302126"/>
    <w:rsid w:val="00302339"/>
    <w:rsid w:val="0030292E"/>
    <w:rsid w:val="00304F70"/>
    <w:rsid w:val="0030517D"/>
    <w:rsid w:val="003053EB"/>
    <w:rsid w:val="00305723"/>
    <w:rsid w:val="0030584C"/>
    <w:rsid w:val="00305F40"/>
    <w:rsid w:val="0030677C"/>
    <w:rsid w:val="0030687E"/>
    <w:rsid w:val="0030690A"/>
    <w:rsid w:val="00306EF5"/>
    <w:rsid w:val="00307DDD"/>
    <w:rsid w:val="00307F15"/>
    <w:rsid w:val="00310310"/>
    <w:rsid w:val="00310DEF"/>
    <w:rsid w:val="0031153B"/>
    <w:rsid w:val="003115AF"/>
    <w:rsid w:val="003129B7"/>
    <w:rsid w:val="00312F1C"/>
    <w:rsid w:val="003136EB"/>
    <w:rsid w:val="00313F7E"/>
    <w:rsid w:val="00314764"/>
    <w:rsid w:val="003161B2"/>
    <w:rsid w:val="0031630E"/>
    <w:rsid w:val="00316694"/>
    <w:rsid w:val="00317AF9"/>
    <w:rsid w:val="0032018D"/>
    <w:rsid w:val="00320212"/>
    <w:rsid w:val="00321D05"/>
    <w:rsid w:val="00322A82"/>
    <w:rsid w:val="00322D99"/>
    <w:rsid w:val="003237C2"/>
    <w:rsid w:val="003241E0"/>
    <w:rsid w:val="00324664"/>
    <w:rsid w:val="00325A7D"/>
    <w:rsid w:val="00325D10"/>
    <w:rsid w:val="00326CEF"/>
    <w:rsid w:val="00327E6C"/>
    <w:rsid w:val="00327ED0"/>
    <w:rsid w:val="00330214"/>
    <w:rsid w:val="00330D57"/>
    <w:rsid w:val="00330E04"/>
    <w:rsid w:val="00331010"/>
    <w:rsid w:val="003317C0"/>
    <w:rsid w:val="00331825"/>
    <w:rsid w:val="00333ADD"/>
    <w:rsid w:val="00333E5D"/>
    <w:rsid w:val="003363B3"/>
    <w:rsid w:val="00336BD5"/>
    <w:rsid w:val="00336CFB"/>
    <w:rsid w:val="003372C4"/>
    <w:rsid w:val="003404D6"/>
    <w:rsid w:val="00341419"/>
    <w:rsid w:val="00341A0C"/>
    <w:rsid w:val="00343068"/>
    <w:rsid w:val="00343702"/>
    <w:rsid w:val="003445FF"/>
    <w:rsid w:val="00345049"/>
    <w:rsid w:val="0034511C"/>
    <w:rsid w:val="003455C1"/>
    <w:rsid w:val="0034577A"/>
    <w:rsid w:val="00345833"/>
    <w:rsid w:val="003459B5"/>
    <w:rsid w:val="00345A91"/>
    <w:rsid w:val="00345DCD"/>
    <w:rsid w:val="003463D9"/>
    <w:rsid w:val="00346C12"/>
    <w:rsid w:val="00350991"/>
    <w:rsid w:val="00351CC0"/>
    <w:rsid w:val="00351E13"/>
    <w:rsid w:val="003524D3"/>
    <w:rsid w:val="003547CD"/>
    <w:rsid w:val="00354F7F"/>
    <w:rsid w:val="00355A48"/>
    <w:rsid w:val="00356B2C"/>
    <w:rsid w:val="00356CD3"/>
    <w:rsid w:val="00356DC5"/>
    <w:rsid w:val="003574D2"/>
    <w:rsid w:val="003600B4"/>
    <w:rsid w:val="003609F8"/>
    <w:rsid w:val="00360E37"/>
    <w:rsid w:val="00360F84"/>
    <w:rsid w:val="00361278"/>
    <w:rsid w:val="003615A3"/>
    <w:rsid w:val="00361CFF"/>
    <w:rsid w:val="0036366E"/>
    <w:rsid w:val="00363B34"/>
    <w:rsid w:val="00364077"/>
    <w:rsid w:val="003642DE"/>
    <w:rsid w:val="00364786"/>
    <w:rsid w:val="00364987"/>
    <w:rsid w:val="00364D64"/>
    <w:rsid w:val="00364F07"/>
    <w:rsid w:val="00365119"/>
    <w:rsid w:val="00365AF0"/>
    <w:rsid w:val="00365F99"/>
    <w:rsid w:val="003662CF"/>
    <w:rsid w:val="0036644C"/>
    <w:rsid w:val="003664FF"/>
    <w:rsid w:val="003672E2"/>
    <w:rsid w:val="003677CE"/>
    <w:rsid w:val="00370586"/>
    <w:rsid w:val="00371792"/>
    <w:rsid w:val="00371A04"/>
    <w:rsid w:val="0037278F"/>
    <w:rsid w:val="00373039"/>
    <w:rsid w:val="00374B06"/>
    <w:rsid w:val="00374BB3"/>
    <w:rsid w:val="00374E48"/>
    <w:rsid w:val="00376E5F"/>
    <w:rsid w:val="0037723C"/>
    <w:rsid w:val="00377D16"/>
    <w:rsid w:val="00380612"/>
    <w:rsid w:val="003808F7"/>
    <w:rsid w:val="00380C95"/>
    <w:rsid w:val="00381F2F"/>
    <w:rsid w:val="00382395"/>
    <w:rsid w:val="003828C9"/>
    <w:rsid w:val="003829EE"/>
    <w:rsid w:val="00382DEA"/>
    <w:rsid w:val="00382F94"/>
    <w:rsid w:val="003834D1"/>
    <w:rsid w:val="00383C33"/>
    <w:rsid w:val="00383F67"/>
    <w:rsid w:val="003846F7"/>
    <w:rsid w:val="00385053"/>
    <w:rsid w:val="00386118"/>
    <w:rsid w:val="00386CCE"/>
    <w:rsid w:val="00386F89"/>
    <w:rsid w:val="00391585"/>
    <w:rsid w:val="00391915"/>
    <w:rsid w:val="00392063"/>
    <w:rsid w:val="0039293D"/>
    <w:rsid w:val="00392B56"/>
    <w:rsid w:val="003939B5"/>
    <w:rsid w:val="0039442C"/>
    <w:rsid w:val="00395CC6"/>
    <w:rsid w:val="003970AD"/>
    <w:rsid w:val="003972D6"/>
    <w:rsid w:val="003A0276"/>
    <w:rsid w:val="003A07F0"/>
    <w:rsid w:val="003A0A09"/>
    <w:rsid w:val="003A138D"/>
    <w:rsid w:val="003A1646"/>
    <w:rsid w:val="003A1A04"/>
    <w:rsid w:val="003A1F77"/>
    <w:rsid w:val="003A3038"/>
    <w:rsid w:val="003A31E6"/>
    <w:rsid w:val="003A361D"/>
    <w:rsid w:val="003A4833"/>
    <w:rsid w:val="003A4888"/>
    <w:rsid w:val="003A4B0C"/>
    <w:rsid w:val="003A5224"/>
    <w:rsid w:val="003A7018"/>
    <w:rsid w:val="003A7DEB"/>
    <w:rsid w:val="003B02B4"/>
    <w:rsid w:val="003B0832"/>
    <w:rsid w:val="003B0CB4"/>
    <w:rsid w:val="003B19B9"/>
    <w:rsid w:val="003B2D9E"/>
    <w:rsid w:val="003B2DDE"/>
    <w:rsid w:val="003B32D9"/>
    <w:rsid w:val="003B4999"/>
    <w:rsid w:val="003B4E7A"/>
    <w:rsid w:val="003B5415"/>
    <w:rsid w:val="003B57BE"/>
    <w:rsid w:val="003B5845"/>
    <w:rsid w:val="003B59D8"/>
    <w:rsid w:val="003B5CD7"/>
    <w:rsid w:val="003B5E74"/>
    <w:rsid w:val="003B63C9"/>
    <w:rsid w:val="003C01ED"/>
    <w:rsid w:val="003C0801"/>
    <w:rsid w:val="003C08C6"/>
    <w:rsid w:val="003C0C75"/>
    <w:rsid w:val="003C0E3C"/>
    <w:rsid w:val="003C15C9"/>
    <w:rsid w:val="003C16F9"/>
    <w:rsid w:val="003C3053"/>
    <w:rsid w:val="003C37CB"/>
    <w:rsid w:val="003C3D1C"/>
    <w:rsid w:val="003C497B"/>
    <w:rsid w:val="003C4D68"/>
    <w:rsid w:val="003C57B3"/>
    <w:rsid w:val="003C5D5E"/>
    <w:rsid w:val="003C6A57"/>
    <w:rsid w:val="003C6B63"/>
    <w:rsid w:val="003C6DDB"/>
    <w:rsid w:val="003C7213"/>
    <w:rsid w:val="003C7615"/>
    <w:rsid w:val="003C76B1"/>
    <w:rsid w:val="003C7720"/>
    <w:rsid w:val="003C7965"/>
    <w:rsid w:val="003C7A48"/>
    <w:rsid w:val="003C7D50"/>
    <w:rsid w:val="003C7DCE"/>
    <w:rsid w:val="003D15D4"/>
    <w:rsid w:val="003D16F5"/>
    <w:rsid w:val="003D2380"/>
    <w:rsid w:val="003D25F6"/>
    <w:rsid w:val="003D2DCD"/>
    <w:rsid w:val="003D3B17"/>
    <w:rsid w:val="003D3F52"/>
    <w:rsid w:val="003D3F91"/>
    <w:rsid w:val="003D4098"/>
    <w:rsid w:val="003D4860"/>
    <w:rsid w:val="003D526E"/>
    <w:rsid w:val="003D5B0B"/>
    <w:rsid w:val="003D61C8"/>
    <w:rsid w:val="003D6407"/>
    <w:rsid w:val="003D6540"/>
    <w:rsid w:val="003D6784"/>
    <w:rsid w:val="003D6C59"/>
    <w:rsid w:val="003D6CF5"/>
    <w:rsid w:val="003D6FA6"/>
    <w:rsid w:val="003D7709"/>
    <w:rsid w:val="003D7B59"/>
    <w:rsid w:val="003D7C00"/>
    <w:rsid w:val="003E0044"/>
    <w:rsid w:val="003E06D4"/>
    <w:rsid w:val="003E0781"/>
    <w:rsid w:val="003E12A4"/>
    <w:rsid w:val="003E14A0"/>
    <w:rsid w:val="003E1C75"/>
    <w:rsid w:val="003E20B3"/>
    <w:rsid w:val="003E3099"/>
    <w:rsid w:val="003E3770"/>
    <w:rsid w:val="003E491B"/>
    <w:rsid w:val="003E5928"/>
    <w:rsid w:val="003E5D52"/>
    <w:rsid w:val="003E654D"/>
    <w:rsid w:val="003E6F9D"/>
    <w:rsid w:val="003E755C"/>
    <w:rsid w:val="003E7935"/>
    <w:rsid w:val="003E7B14"/>
    <w:rsid w:val="003E7C8D"/>
    <w:rsid w:val="003F0327"/>
    <w:rsid w:val="003F0772"/>
    <w:rsid w:val="003F245D"/>
    <w:rsid w:val="003F2748"/>
    <w:rsid w:val="003F29AA"/>
    <w:rsid w:val="003F4CCB"/>
    <w:rsid w:val="003F518F"/>
    <w:rsid w:val="003F5CED"/>
    <w:rsid w:val="003F6127"/>
    <w:rsid w:val="003F6688"/>
    <w:rsid w:val="003F6A34"/>
    <w:rsid w:val="003F720A"/>
    <w:rsid w:val="003F76DC"/>
    <w:rsid w:val="00400350"/>
    <w:rsid w:val="00400674"/>
    <w:rsid w:val="004010EC"/>
    <w:rsid w:val="00401665"/>
    <w:rsid w:val="00401BA7"/>
    <w:rsid w:val="0040393C"/>
    <w:rsid w:val="00403CDE"/>
    <w:rsid w:val="0040437B"/>
    <w:rsid w:val="00404827"/>
    <w:rsid w:val="00404CEE"/>
    <w:rsid w:val="00406204"/>
    <w:rsid w:val="004062C8"/>
    <w:rsid w:val="004073F3"/>
    <w:rsid w:val="00410AB8"/>
    <w:rsid w:val="00410CA2"/>
    <w:rsid w:val="00410D60"/>
    <w:rsid w:val="00411041"/>
    <w:rsid w:val="004112BF"/>
    <w:rsid w:val="0041154D"/>
    <w:rsid w:val="00411593"/>
    <w:rsid w:val="00411678"/>
    <w:rsid w:val="004120C8"/>
    <w:rsid w:val="00412EC2"/>
    <w:rsid w:val="00413E49"/>
    <w:rsid w:val="0041512E"/>
    <w:rsid w:val="00415220"/>
    <w:rsid w:val="00415279"/>
    <w:rsid w:val="00415918"/>
    <w:rsid w:val="00416218"/>
    <w:rsid w:val="004163CE"/>
    <w:rsid w:val="00420CF3"/>
    <w:rsid w:val="00421551"/>
    <w:rsid w:val="00421E4A"/>
    <w:rsid w:val="004228AE"/>
    <w:rsid w:val="00423660"/>
    <w:rsid w:val="00424483"/>
    <w:rsid w:val="004245E3"/>
    <w:rsid w:val="00424674"/>
    <w:rsid w:val="00425173"/>
    <w:rsid w:val="00425CB0"/>
    <w:rsid w:val="00425FAD"/>
    <w:rsid w:val="00426039"/>
    <w:rsid w:val="00426268"/>
    <w:rsid w:val="00426C6E"/>
    <w:rsid w:val="00430498"/>
    <w:rsid w:val="0043187A"/>
    <w:rsid w:val="00431C28"/>
    <w:rsid w:val="00432848"/>
    <w:rsid w:val="004341E3"/>
    <w:rsid w:val="0043458E"/>
    <w:rsid w:val="00434857"/>
    <w:rsid w:val="00434D17"/>
    <w:rsid w:val="004359A7"/>
    <w:rsid w:val="00435B4B"/>
    <w:rsid w:val="0043752D"/>
    <w:rsid w:val="004375A9"/>
    <w:rsid w:val="0043763A"/>
    <w:rsid w:val="00437870"/>
    <w:rsid w:val="0043798B"/>
    <w:rsid w:val="00437B26"/>
    <w:rsid w:val="0044063B"/>
    <w:rsid w:val="00440693"/>
    <w:rsid w:val="00442BB5"/>
    <w:rsid w:val="00444B76"/>
    <w:rsid w:val="0044511C"/>
    <w:rsid w:val="00445306"/>
    <w:rsid w:val="0044545C"/>
    <w:rsid w:val="004456C4"/>
    <w:rsid w:val="0044615F"/>
    <w:rsid w:val="004475E2"/>
    <w:rsid w:val="0044794A"/>
    <w:rsid w:val="00447C58"/>
    <w:rsid w:val="00447D75"/>
    <w:rsid w:val="00447EE3"/>
    <w:rsid w:val="00450A0C"/>
    <w:rsid w:val="0045109E"/>
    <w:rsid w:val="00451FA9"/>
    <w:rsid w:val="00453D54"/>
    <w:rsid w:val="00453DBB"/>
    <w:rsid w:val="004541A9"/>
    <w:rsid w:val="00454CE6"/>
    <w:rsid w:val="00455F1D"/>
    <w:rsid w:val="00456638"/>
    <w:rsid w:val="00456A40"/>
    <w:rsid w:val="00457739"/>
    <w:rsid w:val="00457A6F"/>
    <w:rsid w:val="004602A4"/>
    <w:rsid w:val="0046078B"/>
    <w:rsid w:val="00460957"/>
    <w:rsid w:val="00460C04"/>
    <w:rsid w:val="00461B40"/>
    <w:rsid w:val="0046238F"/>
    <w:rsid w:val="0046268C"/>
    <w:rsid w:val="00462EF3"/>
    <w:rsid w:val="00463B55"/>
    <w:rsid w:val="00463EE6"/>
    <w:rsid w:val="00465365"/>
    <w:rsid w:val="00465A59"/>
    <w:rsid w:val="00465EA2"/>
    <w:rsid w:val="004675E2"/>
    <w:rsid w:val="004701D7"/>
    <w:rsid w:val="00470D73"/>
    <w:rsid w:val="004710D1"/>
    <w:rsid w:val="004712A6"/>
    <w:rsid w:val="00471F23"/>
    <w:rsid w:val="0047250C"/>
    <w:rsid w:val="00472E15"/>
    <w:rsid w:val="004735D5"/>
    <w:rsid w:val="00475B3D"/>
    <w:rsid w:val="00476197"/>
    <w:rsid w:val="00476900"/>
    <w:rsid w:val="00476CEC"/>
    <w:rsid w:val="00477479"/>
    <w:rsid w:val="00477DEA"/>
    <w:rsid w:val="00480885"/>
    <w:rsid w:val="00480C91"/>
    <w:rsid w:val="00480EA9"/>
    <w:rsid w:val="00481676"/>
    <w:rsid w:val="00482098"/>
    <w:rsid w:val="0048297B"/>
    <w:rsid w:val="004846E4"/>
    <w:rsid w:val="0048545E"/>
    <w:rsid w:val="00485FBD"/>
    <w:rsid w:val="00485FFA"/>
    <w:rsid w:val="00486DC8"/>
    <w:rsid w:val="004870B5"/>
    <w:rsid w:val="00487948"/>
    <w:rsid w:val="0049020F"/>
    <w:rsid w:val="00491190"/>
    <w:rsid w:val="00491C49"/>
    <w:rsid w:val="00492120"/>
    <w:rsid w:val="00492447"/>
    <w:rsid w:val="00494AE7"/>
    <w:rsid w:val="00494DD7"/>
    <w:rsid w:val="00494FDF"/>
    <w:rsid w:val="0049507A"/>
    <w:rsid w:val="004951FE"/>
    <w:rsid w:val="00495FA4"/>
    <w:rsid w:val="004967F7"/>
    <w:rsid w:val="0049684D"/>
    <w:rsid w:val="00497845"/>
    <w:rsid w:val="00497DAF"/>
    <w:rsid w:val="00497F8E"/>
    <w:rsid w:val="004A06BE"/>
    <w:rsid w:val="004A2175"/>
    <w:rsid w:val="004A218C"/>
    <w:rsid w:val="004A2D55"/>
    <w:rsid w:val="004A3491"/>
    <w:rsid w:val="004A388C"/>
    <w:rsid w:val="004A40B7"/>
    <w:rsid w:val="004A49F8"/>
    <w:rsid w:val="004A5057"/>
    <w:rsid w:val="004A5365"/>
    <w:rsid w:val="004A6D2C"/>
    <w:rsid w:val="004A715E"/>
    <w:rsid w:val="004B002D"/>
    <w:rsid w:val="004B0638"/>
    <w:rsid w:val="004B099D"/>
    <w:rsid w:val="004B0C6B"/>
    <w:rsid w:val="004B1A15"/>
    <w:rsid w:val="004B1BAB"/>
    <w:rsid w:val="004B1E8C"/>
    <w:rsid w:val="004B2A26"/>
    <w:rsid w:val="004B364F"/>
    <w:rsid w:val="004B3879"/>
    <w:rsid w:val="004B3B5C"/>
    <w:rsid w:val="004B70F2"/>
    <w:rsid w:val="004B73C8"/>
    <w:rsid w:val="004B7E38"/>
    <w:rsid w:val="004B7FA2"/>
    <w:rsid w:val="004C0823"/>
    <w:rsid w:val="004C0ED2"/>
    <w:rsid w:val="004C0F96"/>
    <w:rsid w:val="004C1A02"/>
    <w:rsid w:val="004C2803"/>
    <w:rsid w:val="004C2BB4"/>
    <w:rsid w:val="004C2CE2"/>
    <w:rsid w:val="004C3737"/>
    <w:rsid w:val="004C38DE"/>
    <w:rsid w:val="004C51A4"/>
    <w:rsid w:val="004C5278"/>
    <w:rsid w:val="004C55D4"/>
    <w:rsid w:val="004C6052"/>
    <w:rsid w:val="004C654C"/>
    <w:rsid w:val="004C6D0A"/>
    <w:rsid w:val="004C72CD"/>
    <w:rsid w:val="004C739D"/>
    <w:rsid w:val="004D038C"/>
    <w:rsid w:val="004D0CB6"/>
    <w:rsid w:val="004D217A"/>
    <w:rsid w:val="004D35C8"/>
    <w:rsid w:val="004D4111"/>
    <w:rsid w:val="004D4B8C"/>
    <w:rsid w:val="004D592C"/>
    <w:rsid w:val="004D7651"/>
    <w:rsid w:val="004D7DDB"/>
    <w:rsid w:val="004E2AB2"/>
    <w:rsid w:val="004E2D07"/>
    <w:rsid w:val="004E2EDE"/>
    <w:rsid w:val="004E3E92"/>
    <w:rsid w:val="004E5157"/>
    <w:rsid w:val="004E5925"/>
    <w:rsid w:val="004E5961"/>
    <w:rsid w:val="004E74BA"/>
    <w:rsid w:val="004E782F"/>
    <w:rsid w:val="004E79C5"/>
    <w:rsid w:val="004F017D"/>
    <w:rsid w:val="004F0226"/>
    <w:rsid w:val="004F06AB"/>
    <w:rsid w:val="004F0BF7"/>
    <w:rsid w:val="004F0D5D"/>
    <w:rsid w:val="004F1797"/>
    <w:rsid w:val="004F1839"/>
    <w:rsid w:val="004F1868"/>
    <w:rsid w:val="004F19A5"/>
    <w:rsid w:val="004F24BD"/>
    <w:rsid w:val="004F38E0"/>
    <w:rsid w:val="004F4044"/>
    <w:rsid w:val="004F49CA"/>
    <w:rsid w:val="004F5911"/>
    <w:rsid w:val="004F62EB"/>
    <w:rsid w:val="004F6380"/>
    <w:rsid w:val="004F63F7"/>
    <w:rsid w:val="004F70C6"/>
    <w:rsid w:val="004F71B0"/>
    <w:rsid w:val="004F7C4D"/>
    <w:rsid w:val="005002F9"/>
    <w:rsid w:val="00500336"/>
    <w:rsid w:val="00500E3D"/>
    <w:rsid w:val="0050117A"/>
    <w:rsid w:val="005012F0"/>
    <w:rsid w:val="0050142D"/>
    <w:rsid w:val="00502103"/>
    <w:rsid w:val="0050226B"/>
    <w:rsid w:val="0050332F"/>
    <w:rsid w:val="0050383C"/>
    <w:rsid w:val="00503C8C"/>
    <w:rsid w:val="00504939"/>
    <w:rsid w:val="00505828"/>
    <w:rsid w:val="00506115"/>
    <w:rsid w:val="00506A10"/>
    <w:rsid w:val="00506AC4"/>
    <w:rsid w:val="00506D84"/>
    <w:rsid w:val="00507144"/>
    <w:rsid w:val="00507434"/>
    <w:rsid w:val="00507487"/>
    <w:rsid w:val="005077E4"/>
    <w:rsid w:val="00507AF9"/>
    <w:rsid w:val="00507B83"/>
    <w:rsid w:val="00507E54"/>
    <w:rsid w:val="00510508"/>
    <w:rsid w:val="00510B52"/>
    <w:rsid w:val="00510E71"/>
    <w:rsid w:val="00510FC2"/>
    <w:rsid w:val="0051199F"/>
    <w:rsid w:val="00511F26"/>
    <w:rsid w:val="005127E8"/>
    <w:rsid w:val="00512E2B"/>
    <w:rsid w:val="00513326"/>
    <w:rsid w:val="005138ED"/>
    <w:rsid w:val="00514608"/>
    <w:rsid w:val="00514D54"/>
    <w:rsid w:val="00515929"/>
    <w:rsid w:val="0051594C"/>
    <w:rsid w:val="00515EE4"/>
    <w:rsid w:val="0051604C"/>
    <w:rsid w:val="00516891"/>
    <w:rsid w:val="00516C83"/>
    <w:rsid w:val="00517069"/>
    <w:rsid w:val="0051762B"/>
    <w:rsid w:val="005176A2"/>
    <w:rsid w:val="0052030D"/>
    <w:rsid w:val="005204FF"/>
    <w:rsid w:val="00520B1D"/>
    <w:rsid w:val="00520FED"/>
    <w:rsid w:val="00522467"/>
    <w:rsid w:val="00522732"/>
    <w:rsid w:val="00523C20"/>
    <w:rsid w:val="00524604"/>
    <w:rsid w:val="005248CC"/>
    <w:rsid w:val="005249A8"/>
    <w:rsid w:val="00524A23"/>
    <w:rsid w:val="00524C85"/>
    <w:rsid w:val="00525099"/>
    <w:rsid w:val="005262CF"/>
    <w:rsid w:val="00526725"/>
    <w:rsid w:val="0053055E"/>
    <w:rsid w:val="005307C5"/>
    <w:rsid w:val="00530A24"/>
    <w:rsid w:val="00531A48"/>
    <w:rsid w:val="0053276F"/>
    <w:rsid w:val="0053286C"/>
    <w:rsid w:val="00533355"/>
    <w:rsid w:val="00533D00"/>
    <w:rsid w:val="0053411A"/>
    <w:rsid w:val="0053491E"/>
    <w:rsid w:val="00534F4F"/>
    <w:rsid w:val="005354DB"/>
    <w:rsid w:val="00535CA6"/>
    <w:rsid w:val="00535D41"/>
    <w:rsid w:val="005360F5"/>
    <w:rsid w:val="005362D7"/>
    <w:rsid w:val="0053675B"/>
    <w:rsid w:val="0053688B"/>
    <w:rsid w:val="005368DE"/>
    <w:rsid w:val="0053748A"/>
    <w:rsid w:val="00537B73"/>
    <w:rsid w:val="00537E85"/>
    <w:rsid w:val="00540244"/>
    <w:rsid w:val="005406F8"/>
    <w:rsid w:val="00540F6F"/>
    <w:rsid w:val="00540FD4"/>
    <w:rsid w:val="00541974"/>
    <w:rsid w:val="00542EA6"/>
    <w:rsid w:val="005439F9"/>
    <w:rsid w:val="00543D78"/>
    <w:rsid w:val="005440E7"/>
    <w:rsid w:val="005457C5"/>
    <w:rsid w:val="00545DBC"/>
    <w:rsid w:val="005502E2"/>
    <w:rsid w:val="00550C16"/>
    <w:rsid w:val="00551726"/>
    <w:rsid w:val="005519B9"/>
    <w:rsid w:val="00552261"/>
    <w:rsid w:val="0055268E"/>
    <w:rsid w:val="00552D30"/>
    <w:rsid w:val="0055382A"/>
    <w:rsid w:val="0055387F"/>
    <w:rsid w:val="0055404E"/>
    <w:rsid w:val="005540DE"/>
    <w:rsid w:val="00554971"/>
    <w:rsid w:val="005562C0"/>
    <w:rsid w:val="00556649"/>
    <w:rsid w:val="00556FE4"/>
    <w:rsid w:val="00557530"/>
    <w:rsid w:val="00557670"/>
    <w:rsid w:val="00560737"/>
    <w:rsid w:val="00561350"/>
    <w:rsid w:val="00561800"/>
    <w:rsid w:val="00561CF9"/>
    <w:rsid w:val="00561DD9"/>
    <w:rsid w:val="00563536"/>
    <w:rsid w:val="00563A39"/>
    <w:rsid w:val="00565616"/>
    <w:rsid w:val="0056578E"/>
    <w:rsid w:val="00565FA5"/>
    <w:rsid w:val="005661B9"/>
    <w:rsid w:val="00566850"/>
    <w:rsid w:val="00566E11"/>
    <w:rsid w:val="00567006"/>
    <w:rsid w:val="00567311"/>
    <w:rsid w:val="00567648"/>
    <w:rsid w:val="0056768B"/>
    <w:rsid w:val="005677E7"/>
    <w:rsid w:val="00567DEA"/>
    <w:rsid w:val="005700F1"/>
    <w:rsid w:val="0057139C"/>
    <w:rsid w:val="00571E94"/>
    <w:rsid w:val="0057241D"/>
    <w:rsid w:val="00573521"/>
    <w:rsid w:val="00573D43"/>
    <w:rsid w:val="00574191"/>
    <w:rsid w:val="00574ABC"/>
    <w:rsid w:val="00575601"/>
    <w:rsid w:val="005759BB"/>
    <w:rsid w:val="00576253"/>
    <w:rsid w:val="00576E42"/>
    <w:rsid w:val="00577F5A"/>
    <w:rsid w:val="00580388"/>
    <w:rsid w:val="00581D16"/>
    <w:rsid w:val="00582099"/>
    <w:rsid w:val="005823B2"/>
    <w:rsid w:val="005826AC"/>
    <w:rsid w:val="0058339E"/>
    <w:rsid w:val="005838FE"/>
    <w:rsid w:val="00585BF1"/>
    <w:rsid w:val="00585D7C"/>
    <w:rsid w:val="00586587"/>
    <w:rsid w:val="005873DF"/>
    <w:rsid w:val="00587608"/>
    <w:rsid w:val="00587BA6"/>
    <w:rsid w:val="005904B5"/>
    <w:rsid w:val="00590A67"/>
    <w:rsid w:val="00590AB2"/>
    <w:rsid w:val="00591549"/>
    <w:rsid w:val="00591618"/>
    <w:rsid w:val="00591717"/>
    <w:rsid w:val="00591956"/>
    <w:rsid w:val="00591E0E"/>
    <w:rsid w:val="00593A1D"/>
    <w:rsid w:val="00594B83"/>
    <w:rsid w:val="0059713B"/>
    <w:rsid w:val="0059718B"/>
    <w:rsid w:val="0059724D"/>
    <w:rsid w:val="005979C5"/>
    <w:rsid w:val="005A0B62"/>
    <w:rsid w:val="005A0C00"/>
    <w:rsid w:val="005A1B5F"/>
    <w:rsid w:val="005A1BF7"/>
    <w:rsid w:val="005A1F96"/>
    <w:rsid w:val="005A26B7"/>
    <w:rsid w:val="005A2DAB"/>
    <w:rsid w:val="005A3491"/>
    <w:rsid w:val="005A3659"/>
    <w:rsid w:val="005A3C67"/>
    <w:rsid w:val="005A4287"/>
    <w:rsid w:val="005A4362"/>
    <w:rsid w:val="005A436F"/>
    <w:rsid w:val="005A44CC"/>
    <w:rsid w:val="005B02B1"/>
    <w:rsid w:val="005B02CE"/>
    <w:rsid w:val="005B0310"/>
    <w:rsid w:val="005B204B"/>
    <w:rsid w:val="005B2F20"/>
    <w:rsid w:val="005B2F2A"/>
    <w:rsid w:val="005B31E4"/>
    <w:rsid w:val="005B3599"/>
    <w:rsid w:val="005B3AFF"/>
    <w:rsid w:val="005B3D14"/>
    <w:rsid w:val="005B523C"/>
    <w:rsid w:val="005B53E6"/>
    <w:rsid w:val="005B58E1"/>
    <w:rsid w:val="005B5BC6"/>
    <w:rsid w:val="005B674D"/>
    <w:rsid w:val="005B7050"/>
    <w:rsid w:val="005B75C5"/>
    <w:rsid w:val="005B7D9C"/>
    <w:rsid w:val="005C06ED"/>
    <w:rsid w:val="005C1710"/>
    <w:rsid w:val="005C28BF"/>
    <w:rsid w:val="005C2C14"/>
    <w:rsid w:val="005C2D96"/>
    <w:rsid w:val="005C3116"/>
    <w:rsid w:val="005C340D"/>
    <w:rsid w:val="005C3557"/>
    <w:rsid w:val="005C3D8B"/>
    <w:rsid w:val="005C4250"/>
    <w:rsid w:val="005C45BA"/>
    <w:rsid w:val="005C46EF"/>
    <w:rsid w:val="005C4908"/>
    <w:rsid w:val="005C4BC4"/>
    <w:rsid w:val="005C5032"/>
    <w:rsid w:val="005C55AB"/>
    <w:rsid w:val="005C660F"/>
    <w:rsid w:val="005C6C43"/>
    <w:rsid w:val="005C6F3B"/>
    <w:rsid w:val="005C73E9"/>
    <w:rsid w:val="005D0607"/>
    <w:rsid w:val="005D16CC"/>
    <w:rsid w:val="005D27F0"/>
    <w:rsid w:val="005D54A8"/>
    <w:rsid w:val="005D61F6"/>
    <w:rsid w:val="005D6E58"/>
    <w:rsid w:val="005D70BF"/>
    <w:rsid w:val="005D78DD"/>
    <w:rsid w:val="005E0722"/>
    <w:rsid w:val="005E0871"/>
    <w:rsid w:val="005E0A4A"/>
    <w:rsid w:val="005E0EC7"/>
    <w:rsid w:val="005E1024"/>
    <w:rsid w:val="005E12F3"/>
    <w:rsid w:val="005E1F60"/>
    <w:rsid w:val="005E23E2"/>
    <w:rsid w:val="005E2D1B"/>
    <w:rsid w:val="005E2ECB"/>
    <w:rsid w:val="005E44AE"/>
    <w:rsid w:val="005E4522"/>
    <w:rsid w:val="005E4774"/>
    <w:rsid w:val="005E5D1E"/>
    <w:rsid w:val="005E6631"/>
    <w:rsid w:val="005E6A2C"/>
    <w:rsid w:val="005E6B5A"/>
    <w:rsid w:val="005E72EF"/>
    <w:rsid w:val="005F1404"/>
    <w:rsid w:val="005F2D33"/>
    <w:rsid w:val="005F2FFE"/>
    <w:rsid w:val="005F30B2"/>
    <w:rsid w:val="005F46C7"/>
    <w:rsid w:val="005F5B85"/>
    <w:rsid w:val="005F5D0F"/>
    <w:rsid w:val="005F6F01"/>
    <w:rsid w:val="005F75B9"/>
    <w:rsid w:val="00600329"/>
    <w:rsid w:val="006004F9"/>
    <w:rsid w:val="006015E5"/>
    <w:rsid w:val="00602CE8"/>
    <w:rsid w:val="0060410B"/>
    <w:rsid w:val="00604422"/>
    <w:rsid w:val="00604600"/>
    <w:rsid w:val="006057D7"/>
    <w:rsid w:val="00605D58"/>
    <w:rsid w:val="006063DE"/>
    <w:rsid w:val="00606871"/>
    <w:rsid w:val="00607E11"/>
    <w:rsid w:val="0061082E"/>
    <w:rsid w:val="00611E33"/>
    <w:rsid w:val="00612B43"/>
    <w:rsid w:val="00612CAF"/>
    <w:rsid w:val="00614548"/>
    <w:rsid w:val="00615215"/>
    <w:rsid w:val="00616A38"/>
    <w:rsid w:val="00620002"/>
    <w:rsid w:val="00620344"/>
    <w:rsid w:val="006206C6"/>
    <w:rsid w:val="0062155D"/>
    <w:rsid w:val="006227C6"/>
    <w:rsid w:val="0062298C"/>
    <w:rsid w:val="00624025"/>
    <w:rsid w:val="00624BD0"/>
    <w:rsid w:val="006253ED"/>
    <w:rsid w:val="006257DF"/>
    <w:rsid w:val="00627CB6"/>
    <w:rsid w:val="00631C74"/>
    <w:rsid w:val="00631D41"/>
    <w:rsid w:val="00631E50"/>
    <w:rsid w:val="006326D8"/>
    <w:rsid w:val="00632BE6"/>
    <w:rsid w:val="0063380B"/>
    <w:rsid w:val="006340B8"/>
    <w:rsid w:val="0063522F"/>
    <w:rsid w:val="006369CD"/>
    <w:rsid w:val="00636CD2"/>
    <w:rsid w:val="00636E3C"/>
    <w:rsid w:val="006371D4"/>
    <w:rsid w:val="00637367"/>
    <w:rsid w:val="00637FB0"/>
    <w:rsid w:val="006403B3"/>
    <w:rsid w:val="006409E9"/>
    <w:rsid w:val="00640B37"/>
    <w:rsid w:val="006422E9"/>
    <w:rsid w:val="006426AA"/>
    <w:rsid w:val="0064330A"/>
    <w:rsid w:val="006433EF"/>
    <w:rsid w:val="00643AC9"/>
    <w:rsid w:val="00643BB9"/>
    <w:rsid w:val="00643DDF"/>
    <w:rsid w:val="0064487F"/>
    <w:rsid w:val="00644A00"/>
    <w:rsid w:val="00644F40"/>
    <w:rsid w:val="006450D6"/>
    <w:rsid w:val="00645940"/>
    <w:rsid w:val="00645984"/>
    <w:rsid w:val="00645AB6"/>
    <w:rsid w:val="00647037"/>
    <w:rsid w:val="006474F7"/>
    <w:rsid w:val="00647EDC"/>
    <w:rsid w:val="006501D9"/>
    <w:rsid w:val="00650211"/>
    <w:rsid w:val="00650B70"/>
    <w:rsid w:val="00651122"/>
    <w:rsid w:val="00652258"/>
    <w:rsid w:val="006523F2"/>
    <w:rsid w:val="00652E40"/>
    <w:rsid w:val="00654574"/>
    <w:rsid w:val="00656366"/>
    <w:rsid w:val="006612D2"/>
    <w:rsid w:val="0066199B"/>
    <w:rsid w:val="006626B6"/>
    <w:rsid w:val="00662C2A"/>
    <w:rsid w:val="0066443E"/>
    <w:rsid w:val="00664851"/>
    <w:rsid w:val="00664C3A"/>
    <w:rsid w:val="00665143"/>
    <w:rsid w:val="0066623E"/>
    <w:rsid w:val="0066662D"/>
    <w:rsid w:val="00667361"/>
    <w:rsid w:val="006673EE"/>
    <w:rsid w:val="00667ADD"/>
    <w:rsid w:val="00667B35"/>
    <w:rsid w:val="006700AF"/>
    <w:rsid w:val="00670406"/>
    <w:rsid w:val="006705CE"/>
    <w:rsid w:val="00670877"/>
    <w:rsid w:val="00670DD1"/>
    <w:rsid w:val="00671DA9"/>
    <w:rsid w:val="006727A7"/>
    <w:rsid w:val="00672880"/>
    <w:rsid w:val="006734D2"/>
    <w:rsid w:val="00673805"/>
    <w:rsid w:val="006748F5"/>
    <w:rsid w:val="00675B8F"/>
    <w:rsid w:val="00677003"/>
    <w:rsid w:val="00677537"/>
    <w:rsid w:val="00677750"/>
    <w:rsid w:val="006803F1"/>
    <w:rsid w:val="0068104B"/>
    <w:rsid w:val="00681DC1"/>
    <w:rsid w:val="00681FD1"/>
    <w:rsid w:val="00681FFA"/>
    <w:rsid w:val="00682EC5"/>
    <w:rsid w:val="006851CA"/>
    <w:rsid w:val="0068537A"/>
    <w:rsid w:val="0068577E"/>
    <w:rsid w:val="006863B0"/>
    <w:rsid w:val="0068780D"/>
    <w:rsid w:val="006925D2"/>
    <w:rsid w:val="006928DB"/>
    <w:rsid w:val="006929D7"/>
    <w:rsid w:val="00692D56"/>
    <w:rsid w:val="006931ED"/>
    <w:rsid w:val="006933D2"/>
    <w:rsid w:val="0069367E"/>
    <w:rsid w:val="00693C10"/>
    <w:rsid w:val="00694D0D"/>
    <w:rsid w:val="006958F4"/>
    <w:rsid w:val="00695B97"/>
    <w:rsid w:val="00695D96"/>
    <w:rsid w:val="0069625A"/>
    <w:rsid w:val="0069627B"/>
    <w:rsid w:val="00697597"/>
    <w:rsid w:val="006979A4"/>
    <w:rsid w:val="006A1375"/>
    <w:rsid w:val="006A189B"/>
    <w:rsid w:val="006A3249"/>
    <w:rsid w:val="006A5B11"/>
    <w:rsid w:val="006A6473"/>
    <w:rsid w:val="006A6752"/>
    <w:rsid w:val="006A6F19"/>
    <w:rsid w:val="006A6F29"/>
    <w:rsid w:val="006A7299"/>
    <w:rsid w:val="006A74C0"/>
    <w:rsid w:val="006B0333"/>
    <w:rsid w:val="006B062C"/>
    <w:rsid w:val="006B1288"/>
    <w:rsid w:val="006B1AB0"/>
    <w:rsid w:val="006B261A"/>
    <w:rsid w:val="006B2CFD"/>
    <w:rsid w:val="006B2E1E"/>
    <w:rsid w:val="006B2F21"/>
    <w:rsid w:val="006B3E81"/>
    <w:rsid w:val="006B409F"/>
    <w:rsid w:val="006B4E93"/>
    <w:rsid w:val="006B5370"/>
    <w:rsid w:val="006B5BC7"/>
    <w:rsid w:val="006B78E3"/>
    <w:rsid w:val="006C0646"/>
    <w:rsid w:val="006C0B3F"/>
    <w:rsid w:val="006C3776"/>
    <w:rsid w:val="006C43D9"/>
    <w:rsid w:val="006C49BA"/>
    <w:rsid w:val="006C52D6"/>
    <w:rsid w:val="006C6207"/>
    <w:rsid w:val="006C6647"/>
    <w:rsid w:val="006D0726"/>
    <w:rsid w:val="006D07EA"/>
    <w:rsid w:val="006D0B38"/>
    <w:rsid w:val="006D1102"/>
    <w:rsid w:val="006D24F1"/>
    <w:rsid w:val="006D2619"/>
    <w:rsid w:val="006D3954"/>
    <w:rsid w:val="006D416D"/>
    <w:rsid w:val="006D4E08"/>
    <w:rsid w:val="006D5DA6"/>
    <w:rsid w:val="006D6A34"/>
    <w:rsid w:val="006D6BCF"/>
    <w:rsid w:val="006D6C86"/>
    <w:rsid w:val="006D7B04"/>
    <w:rsid w:val="006D7BAB"/>
    <w:rsid w:val="006E0ECD"/>
    <w:rsid w:val="006E0F24"/>
    <w:rsid w:val="006E1001"/>
    <w:rsid w:val="006E129C"/>
    <w:rsid w:val="006E1568"/>
    <w:rsid w:val="006E1E5D"/>
    <w:rsid w:val="006E2B13"/>
    <w:rsid w:val="006E2E18"/>
    <w:rsid w:val="006E3578"/>
    <w:rsid w:val="006E3DD6"/>
    <w:rsid w:val="006E499E"/>
    <w:rsid w:val="006E61EA"/>
    <w:rsid w:val="006E63C9"/>
    <w:rsid w:val="006E6BB4"/>
    <w:rsid w:val="006F027A"/>
    <w:rsid w:val="006F064B"/>
    <w:rsid w:val="006F0A72"/>
    <w:rsid w:val="006F1295"/>
    <w:rsid w:val="006F1BD8"/>
    <w:rsid w:val="006F1DF3"/>
    <w:rsid w:val="006F370C"/>
    <w:rsid w:val="006F3BAE"/>
    <w:rsid w:val="006F4053"/>
    <w:rsid w:val="006F5518"/>
    <w:rsid w:val="006F5D6B"/>
    <w:rsid w:val="006F6071"/>
    <w:rsid w:val="006F60DE"/>
    <w:rsid w:val="006F615E"/>
    <w:rsid w:val="006F6BB9"/>
    <w:rsid w:val="006F6F94"/>
    <w:rsid w:val="006F7FB1"/>
    <w:rsid w:val="00700232"/>
    <w:rsid w:val="007007DC"/>
    <w:rsid w:val="00700BA3"/>
    <w:rsid w:val="00701B71"/>
    <w:rsid w:val="00702109"/>
    <w:rsid w:val="007022A7"/>
    <w:rsid w:val="007033E3"/>
    <w:rsid w:val="00703960"/>
    <w:rsid w:val="00703995"/>
    <w:rsid w:val="00703DF1"/>
    <w:rsid w:val="00704E98"/>
    <w:rsid w:val="00704FCB"/>
    <w:rsid w:val="0070532D"/>
    <w:rsid w:val="00705845"/>
    <w:rsid w:val="007059B3"/>
    <w:rsid w:val="00705D5F"/>
    <w:rsid w:val="00706C9F"/>
    <w:rsid w:val="00706CD2"/>
    <w:rsid w:val="0070780B"/>
    <w:rsid w:val="007078E9"/>
    <w:rsid w:val="007102CA"/>
    <w:rsid w:val="007111F0"/>
    <w:rsid w:val="007148F4"/>
    <w:rsid w:val="0071551F"/>
    <w:rsid w:val="00715C89"/>
    <w:rsid w:val="00717E23"/>
    <w:rsid w:val="007205A5"/>
    <w:rsid w:val="00720E1D"/>
    <w:rsid w:val="00720E5E"/>
    <w:rsid w:val="00721727"/>
    <w:rsid w:val="0072380F"/>
    <w:rsid w:val="00723C17"/>
    <w:rsid w:val="0072417D"/>
    <w:rsid w:val="0072501E"/>
    <w:rsid w:val="00725A27"/>
    <w:rsid w:val="00725CB2"/>
    <w:rsid w:val="00726647"/>
    <w:rsid w:val="0072687D"/>
    <w:rsid w:val="007275BC"/>
    <w:rsid w:val="00730566"/>
    <w:rsid w:val="00730B64"/>
    <w:rsid w:val="007317C6"/>
    <w:rsid w:val="007328CF"/>
    <w:rsid w:val="00732BD0"/>
    <w:rsid w:val="00732F78"/>
    <w:rsid w:val="007335FA"/>
    <w:rsid w:val="00733684"/>
    <w:rsid w:val="00734118"/>
    <w:rsid w:val="00734BC4"/>
    <w:rsid w:val="00734C4B"/>
    <w:rsid w:val="007355DD"/>
    <w:rsid w:val="0073572F"/>
    <w:rsid w:val="00735FFC"/>
    <w:rsid w:val="007367E3"/>
    <w:rsid w:val="007402D4"/>
    <w:rsid w:val="00740386"/>
    <w:rsid w:val="00740862"/>
    <w:rsid w:val="007411C2"/>
    <w:rsid w:val="00741CEC"/>
    <w:rsid w:val="00741D81"/>
    <w:rsid w:val="00741FBC"/>
    <w:rsid w:val="007434A5"/>
    <w:rsid w:val="00745958"/>
    <w:rsid w:val="00746E2B"/>
    <w:rsid w:val="00747199"/>
    <w:rsid w:val="00747444"/>
    <w:rsid w:val="0075048E"/>
    <w:rsid w:val="00750B38"/>
    <w:rsid w:val="00751A3F"/>
    <w:rsid w:val="0075343F"/>
    <w:rsid w:val="0075351B"/>
    <w:rsid w:val="00754242"/>
    <w:rsid w:val="007546CF"/>
    <w:rsid w:val="00757688"/>
    <w:rsid w:val="007578CA"/>
    <w:rsid w:val="007608FC"/>
    <w:rsid w:val="0076110C"/>
    <w:rsid w:val="00761FC1"/>
    <w:rsid w:val="00762557"/>
    <w:rsid w:val="00763B42"/>
    <w:rsid w:val="007640C9"/>
    <w:rsid w:val="00764BBE"/>
    <w:rsid w:val="00764CC4"/>
    <w:rsid w:val="00765031"/>
    <w:rsid w:val="00765303"/>
    <w:rsid w:val="00765407"/>
    <w:rsid w:val="007661FE"/>
    <w:rsid w:val="0076677B"/>
    <w:rsid w:val="0076678D"/>
    <w:rsid w:val="00766FB0"/>
    <w:rsid w:val="0076724E"/>
    <w:rsid w:val="00767464"/>
    <w:rsid w:val="00767499"/>
    <w:rsid w:val="007702A9"/>
    <w:rsid w:val="00770518"/>
    <w:rsid w:val="00770740"/>
    <w:rsid w:val="00770C52"/>
    <w:rsid w:val="00770FB0"/>
    <w:rsid w:val="00771C88"/>
    <w:rsid w:val="00771CB0"/>
    <w:rsid w:val="007722A9"/>
    <w:rsid w:val="007722FF"/>
    <w:rsid w:val="00772749"/>
    <w:rsid w:val="0077279C"/>
    <w:rsid w:val="007736C2"/>
    <w:rsid w:val="007738A0"/>
    <w:rsid w:val="0077444F"/>
    <w:rsid w:val="0077480D"/>
    <w:rsid w:val="007754FC"/>
    <w:rsid w:val="007758D6"/>
    <w:rsid w:val="00775BEE"/>
    <w:rsid w:val="00775FC8"/>
    <w:rsid w:val="007761FD"/>
    <w:rsid w:val="00777101"/>
    <w:rsid w:val="0077722F"/>
    <w:rsid w:val="007773CD"/>
    <w:rsid w:val="0077754E"/>
    <w:rsid w:val="007775F5"/>
    <w:rsid w:val="0077781A"/>
    <w:rsid w:val="00783449"/>
    <w:rsid w:val="0078465F"/>
    <w:rsid w:val="00784860"/>
    <w:rsid w:val="00785E84"/>
    <w:rsid w:val="0078666D"/>
    <w:rsid w:val="00786844"/>
    <w:rsid w:val="00787260"/>
    <w:rsid w:val="00787BFE"/>
    <w:rsid w:val="00787D53"/>
    <w:rsid w:val="0079018C"/>
    <w:rsid w:val="0079041C"/>
    <w:rsid w:val="00790FAD"/>
    <w:rsid w:val="00791365"/>
    <w:rsid w:val="007915AD"/>
    <w:rsid w:val="007918F2"/>
    <w:rsid w:val="0079199F"/>
    <w:rsid w:val="00791E5B"/>
    <w:rsid w:val="00791EB9"/>
    <w:rsid w:val="007947A3"/>
    <w:rsid w:val="00794B61"/>
    <w:rsid w:val="00794E7E"/>
    <w:rsid w:val="00795CF8"/>
    <w:rsid w:val="00796331"/>
    <w:rsid w:val="0079680A"/>
    <w:rsid w:val="00797F20"/>
    <w:rsid w:val="007A1096"/>
    <w:rsid w:val="007A11FD"/>
    <w:rsid w:val="007A1206"/>
    <w:rsid w:val="007A17FD"/>
    <w:rsid w:val="007A34CE"/>
    <w:rsid w:val="007A49C5"/>
    <w:rsid w:val="007A5825"/>
    <w:rsid w:val="007A5CC9"/>
    <w:rsid w:val="007A5D16"/>
    <w:rsid w:val="007A61E5"/>
    <w:rsid w:val="007A63EF"/>
    <w:rsid w:val="007A641B"/>
    <w:rsid w:val="007A6959"/>
    <w:rsid w:val="007A7E17"/>
    <w:rsid w:val="007A7F9F"/>
    <w:rsid w:val="007B024D"/>
    <w:rsid w:val="007B0C6E"/>
    <w:rsid w:val="007B13B0"/>
    <w:rsid w:val="007B2CF2"/>
    <w:rsid w:val="007B495B"/>
    <w:rsid w:val="007B4F52"/>
    <w:rsid w:val="007B616B"/>
    <w:rsid w:val="007B63DF"/>
    <w:rsid w:val="007B767F"/>
    <w:rsid w:val="007B77CA"/>
    <w:rsid w:val="007C04E8"/>
    <w:rsid w:val="007C0A99"/>
    <w:rsid w:val="007C0EEB"/>
    <w:rsid w:val="007C1162"/>
    <w:rsid w:val="007C21A5"/>
    <w:rsid w:val="007C2211"/>
    <w:rsid w:val="007C2F06"/>
    <w:rsid w:val="007C2FAB"/>
    <w:rsid w:val="007C3F1A"/>
    <w:rsid w:val="007C4108"/>
    <w:rsid w:val="007C6B82"/>
    <w:rsid w:val="007C7301"/>
    <w:rsid w:val="007C75F1"/>
    <w:rsid w:val="007C78CB"/>
    <w:rsid w:val="007D0861"/>
    <w:rsid w:val="007D09CA"/>
    <w:rsid w:val="007D3128"/>
    <w:rsid w:val="007D390F"/>
    <w:rsid w:val="007D3E50"/>
    <w:rsid w:val="007D423E"/>
    <w:rsid w:val="007D46AF"/>
    <w:rsid w:val="007D5082"/>
    <w:rsid w:val="007D569E"/>
    <w:rsid w:val="007D5ABD"/>
    <w:rsid w:val="007D5C60"/>
    <w:rsid w:val="007D5DA2"/>
    <w:rsid w:val="007D67F0"/>
    <w:rsid w:val="007D68E6"/>
    <w:rsid w:val="007D6C8A"/>
    <w:rsid w:val="007D6DA5"/>
    <w:rsid w:val="007D72FB"/>
    <w:rsid w:val="007D7659"/>
    <w:rsid w:val="007D78BA"/>
    <w:rsid w:val="007E0489"/>
    <w:rsid w:val="007E0FB6"/>
    <w:rsid w:val="007E10D9"/>
    <w:rsid w:val="007E18AB"/>
    <w:rsid w:val="007E19F8"/>
    <w:rsid w:val="007E1D6B"/>
    <w:rsid w:val="007E1F87"/>
    <w:rsid w:val="007E30B3"/>
    <w:rsid w:val="007E3624"/>
    <w:rsid w:val="007E3B5D"/>
    <w:rsid w:val="007E3C37"/>
    <w:rsid w:val="007E4380"/>
    <w:rsid w:val="007E44F8"/>
    <w:rsid w:val="007E4DEA"/>
    <w:rsid w:val="007E6780"/>
    <w:rsid w:val="007E7A17"/>
    <w:rsid w:val="007F00A7"/>
    <w:rsid w:val="007F2841"/>
    <w:rsid w:val="007F29F8"/>
    <w:rsid w:val="007F2DD0"/>
    <w:rsid w:val="007F3608"/>
    <w:rsid w:val="007F37C7"/>
    <w:rsid w:val="007F3840"/>
    <w:rsid w:val="007F391C"/>
    <w:rsid w:val="007F4F69"/>
    <w:rsid w:val="007F66F1"/>
    <w:rsid w:val="00800642"/>
    <w:rsid w:val="00801656"/>
    <w:rsid w:val="008017D1"/>
    <w:rsid w:val="008018D2"/>
    <w:rsid w:val="008030D8"/>
    <w:rsid w:val="008033E4"/>
    <w:rsid w:val="00804A8D"/>
    <w:rsid w:val="00806DA4"/>
    <w:rsid w:val="008072AC"/>
    <w:rsid w:val="008073E5"/>
    <w:rsid w:val="00810770"/>
    <w:rsid w:val="008110E4"/>
    <w:rsid w:val="0081132A"/>
    <w:rsid w:val="00811594"/>
    <w:rsid w:val="00811AAB"/>
    <w:rsid w:val="00811D82"/>
    <w:rsid w:val="008148EF"/>
    <w:rsid w:val="008149B6"/>
    <w:rsid w:val="00814C98"/>
    <w:rsid w:val="008151F8"/>
    <w:rsid w:val="00815373"/>
    <w:rsid w:val="00815C37"/>
    <w:rsid w:val="00816D4A"/>
    <w:rsid w:val="008173F0"/>
    <w:rsid w:val="0081793C"/>
    <w:rsid w:val="008202F4"/>
    <w:rsid w:val="0082084B"/>
    <w:rsid w:val="00820939"/>
    <w:rsid w:val="00820CA1"/>
    <w:rsid w:val="00821A05"/>
    <w:rsid w:val="00821BA2"/>
    <w:rsid w:val="00822094"/>
    <w:rsid w:val="00822C6B"/>
    <w:rsid w:val="00823107"/>
    <w:rsid w:val="0082331F"/>
    <w:rsid w:val="00823474"/>
    <w:rsid w:val="00823503"/>
    <w:rsid w:val="00823602"/>
    <w:rsid w:val="00823727"/>
    <w:rsid w:val="008237DD"/>
    <w:rsid w:val="00823BF8"/>
    <w:rsid w:val="00823CA4"/>
    <w:rsid w:val="00823CF3"/>
    <w:rsid w:val="00823E87"/>
    <w:rsid w:val="00824AE4"/>
    <w:rsid w:val="00825626"/>
    <w:rsid w:val="00825943"/>
    <w:rsid w:val="00825B65"/>
    <w:rsid w:val="00826071"/>
    <w:rsid w:val="008266F8"/>
    <w:rsid w:val="00826B4D"/>
    <w:rsid w:val="00827064"/>
    <w:rsid w:val="0082739F"/>
    <w:rsid w:val="00827E10"/>
    <w:rsid w:val="00830885"/>
    <w:rsid w:val="008308CC"/>
    <w:rsid w:val="00830BAB"/>
    <w:rsid w:val="00830E4B"/>
    <w:rsid w:val="0083184F"/>
    <w:rsid w:val="008319A5"/>
    <w:rsid w:val="0083202E"/>
    <w:rsid w:val="00832A69"/>
    <w:rsid w:val="00832B21"/>
    <w:rsid w:val="0083306E"/>
    <w:rsid w:val="00833CA5"/>
    <w:rsid w:val="00834026"/>
    <w:rsid w:val="008352DA"/>
    <w:rsid w:val="008355CC"/>
    <w:rsid w:val="00835753"/>
    <w:rsid w:val="00836041"/>
    <w:rsid w:val="00836340"/>
    <w:rsid w:val="00836AEC"/>
    <w:rsid w:val="0083720D"/>
    <w:rsid w:val="00837457"/>
    <w:rsid w:val="0083753E"/>
    <w:rsid w:val="0083767F"/>
    <w:rsid w:val="00837FA9"/>
    <w:rsid w:val="008403BD"/>
    <w:rsid w:val="008405F6"/>
    <w:rsid w:val="00840AC9"/>
    <w:rsid w:val="0084155C"/>
    <w:rsid w:val="008422B3"/>
    <w:rsid w:val="008430B6"/>
    <w:rsid w:val="00843C26"/>
    <w:rsid w:val="00844333"/>
    <w:rsid w:val="0084442A"/>
    <w:rsid w:val="008454CF"/>
    <w:rsid w:val="00845728"/>
    <w:rsid w:val="00845D3E"/>
    <w:rsid w:val="00845E3A"/>
    <w:rsid w:val="00846BDC"/>
    <w:rsid w:val="008505BC"/>
    <w:rsid w:val="008507A9"/>
    <w:rsid w:val="00850D11"/>
    <w:rsid w:val="00850F25"/>
    <w:rsid w:val="00851068"/>
    <w:rsid w:val="00851CA1"/>
    <w:rsid w:val="00852969"/>
    <w:rsid w:val="008537E7"/>
    <w:rsid w:val="00853B6B"/>
    <w:rsid w:val="00854E2C"/>
    <w:rsid w:val="0085534F"/>
    <w:rsid w:val="00857054"/>
    <w:rsid w:val="008602FD"/>
    <w:rsid w:val="00860A89"/>
    <w:rsid w:val="0086193E"/>
    <w:rsid w:val="008619F2"/>
    <w:rsid w:val="00861AEB"/>
    <w:rsid w:val="00862225"/>
    <w:rsid w:val="00862493"/>
    <w:rsid w:val="008627B2"/>
    <w:rsid w:val="00863945"/>
    <w:rsid w:val="00863A1C"/>
    <w:rsid w:val="00863B3F"/>
    <w:rsid w:val="00864879"/>
    <w:rsid w:val="00864888"/>
    <w:rsid w:val="00864D4C"/>
    <w:rsid w:val="00865605"/>
    <w:rsid w:val="00865885"/>
    <w:rsid w:val="00865B56"/>
    <w:rsid w:val="0086643F"/>
    <w:rsid w:val="008664CB"/>
    <w:rsid w:val="0086672E"/>
    <w:rsid w:val="008669CE"/>
    <w:rsid w:val="00866CDE"/>
    <w:rsid w:val="00867A6E"/>
    <w:rsid w:val="0087013B"/>
    <w:rsid w:val="00871142"/>
    <w:rsid w:val="0087151C"/>
    <w:rsid w:val="008716CA"/>
    <w:rsid w:val="00871E46"/>
    <w:rsid w:val="0087227C"/>
    <w:rsid w:val="00872BE3"/>
    <w:rsid w:val="00873F46"/>
    <w:rsid w:val="008742AB"/>
    <w:rsid w:val="008750C2"/>
    <w:rsid w:val="008753F0"/>
    <w:rsid w:val="0087541D"/>
    <w:rsid w:val="00875635"/>
    <w:rsid w:val="00876391"/>
    <w:rsid w:val="00877550"/>
    <w:rsid w:val="0088040B"/>
    <w:rsid w:val="00880949"/>
    <w:rsid w:val="00881507"/>
    <w:rsid w:val="00881C7A"/>
    <w:rsid w:val="0088257E"/>
    <w:rsid w:val="008825D2"/>
    <w:rsid w:val="00882601"/>
    <w:rsid w:val="0088310B"/>
    <w:rsid w:val="0088356B"/>
    <w:rsid w:val="00883B0B"/>
    <w:rsid w:val="00883BEC"/>
    <w:rsid w:val="00884440"/>
    <w:rsid w:val="0088597E"/>
    <w:rsid w:val="00885996"/>
    <w:rsid w:val="00885D12"/>
    <w:rsid w:val="00885FE1"/>
    <w:rsid w:val="00886257"/>
    <w:rsid w:val="008865C3"/>
    <w:rsid w:val="00886C06"/>
    <w:rsid w:val="00886EC6"/>
    <w:rsid w:val="008871AA"/>
    <w:rsid w:val="0088755A"/>
    <w:rsid w:val="008876C4"/>
    <w:rsid w:val="00887A3A"/>
    <w:rsid w:val="008908FE"/>
    <w:rsid w:val="00891D63"/>
    <w:rsid w:val="00891F8E"/>
    <w:rsid w:val="00892049"/>
    <w:rsid w:val="008920D7"/>
    <w:rsid w:val="00892877"/>
    <w:rsid w:val="008928C6"/>
    <w:rsid w:val="0089290F"/>
    <w:rsid w:val="00892B0D"/>
    <w:rsid w:val="00892C72"/>
    <w:rsid w:val="0089316A"/>
    <w:rsid w:val="008934F7"/>
    <w:rsid w:val="008935C2"/>
    <w:rsid w:val="00893A3F"/>
    <w:rsid w:val="0089430C"/>
    <w:rsid w:val="0089444B"/>
    <w:rsid w:val="008947DD"/>
    <w:rsid w:val="00894BCD"/>
    <w:rsid w:val="008A0100"/>
    <w:rsid w:val="008A16EC"/>
    <w:rsid w:val="008A1A2A"/>
    <w:rsid w:val="008A3844"/>
    <w:rsid w:val="008A3FDD"/>
    <w:rsid w:val="008A40A5"/>
    <w:rsid w:val="008A43ED"/>
    <w:rsid w:val="008A453D"/>
    <w:rsid w:val="008A483D"/>
    <w:rsid w:val="008A48DC"/>
    <w:rsid w:val="008A5DD4"/>
    <w:rsid w:val="008A636F"/>
    <w:rsid w:val="008A76E0"/>
    <w:rsid w:val="008B05EB"/>
    <w:rsid w:val="008B062D"/>
    <w:rsid w:val="008B0737"/>
    <w:rsid w:val="008B0BDD"/>
    <w:rsid w:val="008B1482"/>
    <w:rsid w:val="008B1BC6"/>
    <w:rsid w:val="008B28D2"/>
    <w:rsid w:val="008B3237"/>
    <w:rsid w:val="008B3A4B"/>
    <w:rsid w:val="008B3D2F"/>
    <w:rsid w:val="008B4179"/>
    <w:rsid w:val="008B44D3"/>
    <w:rsid w:val="008B4998"/>
    <w:rsid w:val="008B5289"/>
    <w:rsid w:val="008B535D"/>
    <w:rsid w:val="008B5EB9"/>
    <w:rsid w:val="008B66EC"/>
    <w:rsid w:val="008B68FE"/>
    <w:rsid w:val="008B6E66"/>
    <w:rsid w:val="008B704E"/>
    <w:rsid w:val="008C098D"/>
    <w:rsid w:val="008C0CF8"/>
    <w:rsid w:val="008C1043"/>
    <w:rsid w:val="008C1D1D"/>
    <w:rsid w:val="008C207A"/>
    <w:rsid w:val="008C2952"/>
    <w:rsid w:val="008C2C23"/>
    <w:rsid w:val="008C2DF9"/>
    <w:rsid w:val="008C575E"/>
    <w:rsid w:val="008C5819"/>
    <w:rsid w:val="008C6532"/>
    <w:rsid w:val="008C6920"/>
    <w:rsid w:val="008C6931"/>
    <w:rsid w:val="008C706B"/>
    <w:rsid w:val="008C7491"/>
    <w:rsid w:val="008C7EC1"/>
    <w:rsid w:val="008D008B"/>
    <w:rsid w:val="008D0259"/>
    <w:rsid w:val="008D07ED"/>
    <w:rsid w:val="008D0E02"/>
    <w:rsid w:val="008D301E"/>
    <w:rsid w:val="008D3450"/>
    <w:rsid w:val="008D3F42"/>
    <w:rsid w:val="008D46F2"/>
    <w:rsid w:val="008D53B4"/>
    <w:rsid w:val="008D5686"/>
    <w:rsid w:val="008D58B7"/>
    <w:rsid w:val="008D6A28"/>
    <w:rsid w:val="008D6E3A"/>
    <w:rsid w:val="008D75DB"/>
    <w:rsid w:val="008D7F39"/>
    <w:rsid w:val="008E053E"/>
    <w:rsid w:val="008E120D"/>
    <w:rsid w:val="008E19A2"/>
    <w:rsid w:val="008E1EB6"/>
    <w:rsid w:val="008E3650"/>
    <w:rsid w:val="008E525F"/>
    <w:rsid w:val="008E5382"/>
    <w:rsid w:val="008E5488"/>
    <w:rsid w:val="008E5985"/>
    <w:rsid w:val="008E6096"/>
    <w:rsid w:val="008E60A6"/>
    <w:rsid w:val="008E6A44"/>
    <w:rsid w:val="008E6FCB"/>
    <w:rsid w:val="008E716C"/>
    <w:rsid w:val="008E7C9D"/>
    <w:rsid w:val="008E7E1F"/>
    <w:rsid w:val="008F0254"/>
    <w:rsid w:val="008F0612"/>
    <w:rsid w:val="008F1807"/>
    <w:rsid w:val="008F1931"/>
    <w:rsid w:val="008F1AEB"/>
    <w:rsid w:val="008F2165"/>
    <w:rsid w:val="008F471F"/>
    <w:rsid w:val="008F4A04"/>
    <w:rsid w:val="008F54CE"/>
    <w:rsid w:val="008F5A40"/>
    <w:rsid w:val="008F5DAD"/>
    <w:rsid w:val="008F5F99"/>
    <w:rsid w:val="008F6692"/>
    <w:rsid w:val="008F68F8"/>
    <w:rsid w:val="008F77C4"/>
    <w:rsid w:val="008F7968"/>
    <w:rsid w:val="00901A6D"/>
    <w:rsid w:val="00901D1D"/>
    <w:rsid w:val="00902030"/>
    <w:rsid w:val="00902310"/>
    <w:rsid w:val="009032D2"/>
    <w:rsid w:val="009039CC"/>
    <w:rsid w:val="00903EEC"/>
    <w:rsid w:val="009043B4"/>
    <w:rsid w:val="00905BA7"/>
    <w:rsid w:val="0090644C"/>
    <w:rsid w:val="00906A33"/>
    <w:rsid w:val="0090720E"/>
    <w:rsid w:val="0090746D"/>
    <w:rsid w:val="00907701"/>
    <w:rsid w:val="009078DF"/>
    <w:rsid w:val="00907B58"/>
    <w:rsid w:val="00907C3E"/>
    <w:rsid w:val="00907DBC"/>
    <w:rsid w:val="00910C94"/>
    <w:rsid w:val="00911208"/>
    <w:rsid w:val="009117C2"/>
    <w:rsid w:val="00911A6F"/>
    <w:rsid w:val="00911EEE"/>
    <w:rsid w:val="0091282E"/>
    <w:rsid w:val="00912838"/>
    <w:rsid w:val="009128BF"/>
    <w:rsid w:val="00912900"/>
    <w:rsid w:val="00912E0C"/>
    <w:rsid w:val="00912F56"/>
    <w:rsid w:val="00913199"/>
    <w:rsid w:val="009135AA"/>
    <w:rsid w:val="009150E7"/>
    <w:rsid w:val="00915B9B"/>
    <w:rsid w:val="0091602C"/>
    <w:rsid w:val="009217D2"/>
    <w:rsid w:val="00921D89"/>
    <w:rsid w:val="009221BB"/>
    <w:rsid w:val="00923006"/>
    <w:rsid w:val="009237F9"/>
    <w:rsid w:val="009238DD"/>
    <w:rsid w:val="00923B5B"/>
    <w:rsid w:val="00923EB9"/>
    <w:rsid w:val="00923F66"/>
    <w:rsid w:val="00925DA8"/>
    <w:rsid w:val="00926BDD"/>
    <w:rsid w:val="00927392"/>
    <w:rsid w:val="009312AC"/>
    <w:rsid w:val="00932D41"/>
    <w:rsid w:val="00934F70"/>
    <w:rsid w:val="00935ADF"/>
    <w:rsid w:val="00935AE7"/>
    <w:rsid w:val="009370BE"/>
    <w:rsid w:val="00940BEA"/>
    <w:rsid w:val="00940C55"/>
    <w:rsid w:val="00941C96"/>
    <w:rsid w:val="00941F00"/>
    <w:rsid w:val="0094277C"/>
    <w:rsid w:val="00943A12"/>
    <w:rsid w:val="00943E17"/>
    <w:rsid w:val="00943E33"/>
    <w:rsid w:val="00943F1B"/>
    <w:rsid w:val="009442F6"/>
    <w:rsid w:val="00944532"/>
    <w:rsid w:val="00944B66"/>
    <w:rsid w:val="0094512C"/>
    <w:rsid w:val="009456CA"/>
    <w:rsid w:val="009466AC"/>
    <w:rsid w:val="009469A7"/>
    <w:rsid w:val="00947756"/>
    <w:rsid w:val="009478C1"/>
    <w:rsid w:val="00947C6B"/>
    <w:rsid w:val="0095139F"/>
    <w:rsid w:val="00951B51"/>
    <w:rsid w:val="00952ADD"/>
    <w:rsid w:val="00952F45"/>
    <w:rsid w:val="00952FDE"/>
    <w:rsid w:val="0095310B"/>
    <w:rsid w:val="00953524"/>
    <w:rsid w:val="00953AE0"/>
    <w:rsid w:val="00953B2A"/>
    <w:rsid w:val="009542D8"/>
    <w:rsid w:val="00954798"/>
    <w:rsid w:val="00954924"/>
    <w:rsid w:val="009553A5"/>
    <w:rsid w:val="00956F2B"/>
    <w:rsid w:val="0096010F"/>
    <w:rsid w:val="00960494"/>
    <w:rsid w:val="009609F0"/>
    <w:rsid w:val="0096192F"/>
    <w:rsid w:val="00961E13"/>
    <w:rsid w:val="0096205F"/>
    <w:rsid w:val="00962707"/>
    <w:rsid w:val="0096292E"/>
    <w:rsid w:val="00962AB9"/>
    <w:rsid w:val="00963BC9"/>
    <w:rsid w:val="009644E2"/>
    <w:rsid w:val="00964676"/>
    <w:rsid w:val="0096599A"/>
    <w:rsid w:val="00965C83"/>
    <w:rsid w:val="0096654A"/>
    <w:rsid w:val="00966869"/>
    <w:rsid w:val="00967384"/>
    <w:rsid w:val="009673BA"/>
    <w:rsid w:val="00967F7D"/>
    <w:rsid w:val="00971390"/>
    <w:rsid w:val="00972414"/>
    <w:rsid w:val="009735F6"/>
    <w:rsid w:val="009739E7"/>
    <w:rsid w:val="00973B0D"/>
    <w:rsid w:val="00973D1F"/>
    <w:rsid w:val="00974F5F"/>
    <w:rsid w:val="009766F8"/>
    <w:rsid w:val="00980091"/>
    <w:rsid w:val="0098021B"/>
    <w:rsid w:val="009802C7"/>
    <w:rsid w:val="009803A3"/>
    <w:rsid w:val="00980477"/>
    <w:rsid w:val="0098123F"/>
    <w:rsid w:val="00981767"/>
    <w:rsid w:val="00981F46"/>
    <w:rsid w:val="00982114"/>
    <w:rsid w:val="00982465"/>
    <w:rsid w:val="0098301A"/>
    <w:rsid w:val="0098311E"/>
    <w:rsid w:val="00983995"/>
    <w:rsid w:val="009844F4"/>
    <w:rsid w:val="00984B76"/>
    <w:rsid w:val="00985404"/>
    <w:rsid w:val="00985E62"/>
    <w:rsid w:val="009872EE"/>
    <w:rsid w:val="00987690"/>
    <w:rsid w:val="00992481"/>
    <w:rsid w:val="00992FB6"/>
    <w:rsid w:val="00993D07"/>
    <w:rsid w:val="0099462C"/>
    <w:rsid w:val="00994CA6"/>
    <w:rsid w:val="00996D53"/>
    <w:rsid w:val="009973BD"/>
    <w:rsid w:val="00997E08"/>
    <w:rsid w:val="009A11DB"/>
    <w:rsid w:val="009A1654"/>
    <w:rsid w:val="009A2352"/>
    <w:rsid w:val="009A362B"/>
    <w:rsid w:val="009A3CAD"/>
    <w:rsid w:val="009A465B"/>
    <w:rsid w:val="009A4893"/>
    <w:rsid w:val="009A4D59"/>
    <w:rsid w:val="009A6037"/>
    <w:rsid w:val="009A6155"/>
    <w:rsid w:val="009A623C"/>
    <w:rsid w:val="009A7379"/>
    <w:rsid w:val="009A7E48"/>
    <w:rsid w:val="009A7FE0"/>
    <w:rsid w:val="009B1576"/>
    <w:rsid w:val="009B18BF"/>
    <w:rsid w:val="009B1E47"/>
    <w:rsid w:val="009B2486"/>
    <w:rsid w:val="009B32E8"/>
    <w:rsid w:val="009B43A3"/>
    <w:rsid w:val="009B4488"/>
    <w:rsid w:val="009B5183"/>
    <w:rsid w:val="009B58FC"/>
    <w:rsid w:val="009B68C0"/>
    <w:rsid w:val="009B6AC1"/>
    <w:rsid w:val="009B6F3C"/>
    <w:rsid w:val="009B75E0"/>
    <w:rsid w:val="009B7940"/>
    <w:rsid w:val="009B7CBA"/>
    <w:rsid w:val="009C0CC7"/>
    <w:rsid w:val="009C151B"/>
    <w:rsid w:val="009C233C"/>
    <w:rsid w:val="009C287E"/>
    <w:rsid w:val="009C367C"/>
    <w:rsid w:val="009C4F9F"/>
    <w:rsid w:val="009C5214"/>
    <w:rsid w:val="009C5B6E"/>
    <w:rsid w:val="009C5D79"/>
    <w:rsid w:val="009C700E"/>
    <w:rsid w:val="009D06BB"/>
    <w:rsid w:val="009D0965"/>
    <w:rsid w:val="009D108C"/>
    <w:rsid w:val="009D1372"/>
    <w:rsid w:val="009D21C4"/>
    <w:rsid w:val="009D2741"/>
    <w:rsid w:val="009D2FE2"/>
    <w:rsid w:val="009D4493"/>
    <w:rsid w:val="009D44F2"/>
    <w:rsid w:val="009D4D10"/>
    <w:rsid w:val="009D5B7B"/>
    <w:rsid w:val="009D5F37"/>
    <w:rsid w:val="009D661B"/>
    <w:rsid w:val="009D6E50"/>
    <w:rsid w:val="009D7409"/>
    <w:rsid w:val="009E02A9"/>
    <w:rsid w:val="009E04D8"/>
    <w:rsid w:val="009E144D"/>
    <w:rsid w:val="009E2568"/>
    <w:rsid w:val="009E27D2"/>
    <w:rsid w:val="009E2BBD"/>
    <w:rsid w:val="009E3E3B"/>
    <w:rsid w:val="009E4B32"/>
    <w:rsid w:val="009E5BFC"/>
    <w:rsid w:val="009E6CAA"/>
    <w:rsid w:val="009E6ED9"/>
    <w:rsid w:val="009E7063"/>
    <w:rsid w:val="009E722B"/>
    <w:rsid w:val="009E72E6"/>
    <w:rsid w:val="009E7C7C"/>
    <w:rsid w:val="009F19A7"/>
    <w:rsid w:val="009F1E25"/>
    <w:rsid w:val="009F2510"/>
    <w:rsid w:val="009F2BDC"/>
    <w:rsid w:val="009F356F"/>
    <w:rsid w:val="009F3B8B"/>
    <w:rsid w:val="009F3DFA"/>
    <w:rsid w:val="009F400C"/>
    <w:rsid w:val="009F40E9"/>
    <w:rsid w:val="009F642C"/>
    <w:rsid w:val="009F7E8F"/>
    <w:rsid w:val="00A0078A"/>
    <w:rsid w:val="00A01838"/>
    <w:rsid w:val="00A01FB9"/>
    <w:rsid w:val="00A025C2"/>
    <w:rsid w:val="00A02DEF"/>
    <w:rsid w:val="00A0324B"/>
    <w:rsid w:val="00A041C9"/>
    <w:rsid w:val="00A042E2"/>
    <w:rsid w:val="00A04400"/>
    <w:rsid w:val="00A04A4C"/>
    <w:rsid w:val="00A04C24"/>
    <w:rsid w:val="00A0507F"/>
    <w:rsid w:val="00A05622"/>
    <w:rsid w:val="00A059B6"/>
    <w:rsid w:val="00A05A79"/>
    <w:rsid w:val="00A0667A"/>
    <w:rsid w:val="00A07041"/>
    <w:rsid w:val="00A07134"/>
    <w:rsid w:val="00A0748D"/>
    <w:rsid w:val="00A079F2"/>
    <w:rsid w:val="00A07E05"/>
    <w:rsid w:val="00A105B4"/>
    <w:rsid w:val="00A108D8"/>
    <w:rsid w:val="00A109A7"/>
    <w:rsid w:val="00A120CC"/>
    <w:rsid w:val="00A12D03"/>
    <w:rsid w:val="00A12F31"/>
    <w:rsid w:val="00A12F73"/>
    <w:rsid w:val="00A13106"/>
    <w:rsid w:val="00A13743"/>
    <w:rsid w:val="00A14125"/>
    <w:rsid w:val="00A150A6"/>
    <w:rsid w:val="00A1515E"/>
    <w:rsid w:val="00A15272"/>
    <w:rsid w:val="00A15607"/>
    <w:rsid w:val="00A15FF8"/>
    <w:rsid w:val="00A1681C"/>
    <w:rsid w:val="00A16E0A"/>
    <w:rsid w:val="00A17440"/>
    <w:rsid w:val="00A20826"/>
    <w:rsid w:val="00A208B5"/>
    <w:rsid w:val="00A20D7D"/>
    <w:rsid w:val="00A212D9"/>
    <w:rsid w:val="00A214C7"/>
    <w:rsid w:val="00A217D4"/>
    <w:rsid w:val="00A221E2"/>
    <w:rsid w:val="00A22256"/>
    <w:rsid w:val="00A22C26"/>
    <w:rsid w:val="00A22F26"/>
    <w:rsid w:val="00A22F38"/>
    <w:rsid w:val="00A23112"/>
    <w:rsid w:val="00A232FC"/>
    <w:rsid w:val="00A2482C"/>
    <w:rsid w:val="00A24C36"/>
    <w:rsid w:val="00A25BDE"/>
    <w:rsid w:val="00A26A41"/>
    <w:rsid w:val="00A26B29"/>
    <w:rsid w:val="00A27E9E"/>
    <w:rsid w:val="00A302EE"/>
    <w:rsid w:val="00A3033B"/>
    <w:rsid w:val="00A30CF8"/>
    <w:rsid w:val="00A31735"/>
    <w:rsid w:val="00A31C9A"/>
    <w:rsid w:val="00A31EFD"/>
    <w:rsid w:val="00A320D3"/>
    <w:rsid w:val="00A32229"/>
    <w:rsid w:val="00A32667"/>
    <w:rsid w:val="00A33A0E"/>
    <w:rsid w:val="00A33F23"/>
    <w:rsid w:val="00A346BC"/>
    <w:rsid w:val="00A34C32"/>
    <w:rsid w:val="00A35570"/>
    <w:rsid w:val="00A35FF0"/>
    <w:rsid w:val="00A36C84"/>
    <w:rsid w:val="00A37AF2"/>
    <w:rsid w:val="00A403CD"/>
    <w:rsid w:val="00A40DE2"/>
    <w:rsid w:val="00A41644"/>
    <w:rsid w:val="00A41BC6"/>
    <w:rsid w:val="00A41D4E"/>
    <w:rsid w:val="00A431DF"/>
    <w:rsid w:val="00A436ED"/>
    <w:rsid w:val="00A437B0"/>
    <w:rsid w:val="00A44555"/>
    <w:rsid w:val="00A44655"/>
    <w:rsid w:val="00A44990"/>
    <w:rsid w:val="00A45F81"/>
    <w:rsid w:val="00A46419"/>
    <w:rsid w:val="00A46CB8"/>
    <w:rsid w:val="00A477FB"/>
    <w:rsid w:val="00A47868"/>
    <w:rsid w:val="00A50C4D"/>
    <w:rsid w:val="00A52D23"/>
    <w:rsid w:val="00A52E64"/>
    <w:rsid w:val="00A53436"/>
    <w:rsid w:val="00A53859"/>
    <w:rsid w:val="00A5400A"/>
    <w:rsid w:val="00A54D6A"/>
    <w:rsid w:val="00A5504B"/>
    <w:rsid w:val="00A55C5E"/>
    <w:rsid w:val="00A56315"/>
    <w:rsid w:val="00A57156"/>
    <w:rsid w:val="00A576DB"/>
    <w:rsid w:val="00A57E4F"/>
    <w:rsid w:val="00A6041C"/>
    <w:rsid w:val="00A61132"/>
    <w:rsid w:val="00A61EA3"/>
    <w:rsid w:val="00A61F0B"/>
    <w:rsid w:val="00A61F74"/>
    <w:rsid w:val="00A62182"/>
    <w:rsid w:val="00A6226F"/>
    <w:rsid w:val="00A62796"/>
    <w:rsid w:val="00A62884"/>
    <w:rsid w:val="00A64293"/>
    <w:rsid w:val="00A643AC"/>
    <w:rsid w:val="00A644AE"/>
    <w:rsid w:val="00A6456D"/>
    <w:rsid w:val="00A64D33"/>
    <w:rsid w:val="00A654D4"/>
    <w:rsid w:val="00A655C6"/>
    <w:rsid w:val="00A65E28"/>
    <w:rsid w:val="00A66150"/>
    <w:rsid w:val="00A66354"/>
    <w:rsid w:val="00A6654A"/>
    <w:rsid w:val="00A6687D"/>
    <w:rsid w:val="00A66DB2"/>
    <w:rsid w:val="00A67077"/>
    <w:rsid w:val="00A670A1"/>
    <w:rsid w:val="00A6716E"/>
    <w:rsid w:val="00A677A8"/>
    <w:rsid w:val="00A67E8B"/>
    <w:rsid w:val="00A67F67"/>
    <w:rsid w:val="00A710BB"/>
    <w:rsid w:val="00A71BA4"/>
    <w:rsid w:val="00A73773"/>
    <w:rsid w:val="00A74530"/>
    <w:rsid w:val="00A74EFD"/>
    <w:rsid w:val="00A75DE6"/>
    <w:rsid w:val="00A75DF8"/>
    <w:rsid w:val="00A75F30"/>
    <w:rsid w:val="00A76463"/>
    <w:rsid w:val="00A764C6"/>
    <w:rsid w:val="00A7692F"/>
    <w:rsid w:val="00A76BCE"/>
    <w:rsid w:val="00A76F81"/>
    <w:rsid w:val="00A7712F"/>
    <w:rsid w:val="00A77422"/>
    <w:rsid w:val="00A77D2D"/>
    <w:rsid w:val="00A80C06"/>
    <w:rsid w:val="00A810CC"/>
    <w:rsid w:val="00A82770"/>
    <w:rsid w:val="00A837B1"/>
    <w:rsid w:val="00A85448"/>
    <w:rsid w:val="00A85942"/>
    <w:rsid w:val="00A869AC"/>
    <w:rsid w:val="00A86A17"/>
    <w:rsid w:val="00A87119"/>
    <w:rsid w:val="00A8789C"/>
    <w:rsid w:val="00A9028F"/>
    <w:rsid w:val="00A90610"/>
    <w:rsid w:val="00A90723"/>
    <w:rsid w:val="00A93C6F"/>
    <w:rsid w:val="00A93FFB"/>
    <w:rsid w:val="00A940B8"/>
    <w:rsid w:val="00A94B58"/>
    <w:rsid w:val="00A95059"/>
    <w:rsid w:val="00A956A1"/>
    <w:rsid w:val="00A975F7"/>
    <w:rsid w:val="00A9775E"/>
    <w:rsid w:val="00A97827"/>
    <w:rsid w:val="00A97F52"/>
    <w:rsid w:val="00AA0480"/>
    <w:rsid w:val="00AA0875"/>
    <w:rsid w:val="00AA0955"/>
    <w:rsid w:val="00AA0B68"/>
    <w:rsid w:val="00AA0D8A"/>
    <w:rsid w:val="00AA1EBD"/>
    <w:rsid w:val="00AA35B4"/>
    <w:rsid w:val="00AA3B16"/>
    <w:rsid w:val="00AA3DB8"/>
    <w:rsid w:val="00AA523C"/>
    <w:rsid w:val="00AA5FF6"/>
    <w:rsid w:val="00AA65B6"/>
    <w:rsid w:val="00AA6EB2"/>
    <w:rsid w:val="00AA707A"/>
    <w:rsid w:val="00AA72F7"/>
    <w:rsid w:val="00AA7F89"/>
    <w:rsid w:val="00AB02AB"/>
    <w:rsid w:val="00AB18C2"/>
    <w:rsid w:val="00AB20E4"/>
    <w:rsid w:val="00AB25DF"/>
    <w:rsid w:val="00AB3DE5"/>
    <w:rsid w:val="00AB3EEB"/>
    <w:rsid w:val="00AB427C"/>
    <w:rsid w:val="00AB610A"/>
    <w:rsid w:val="00AB6ABC"/>
    <w:rsid w:val="00AB6BFA"/>
    <w:rsid w:val="00AB6DED"/>
    <w:rsid w:val="00AB7603"/>
    <w:rsid w:val="00AB7917"/>
    <w:rsid w:val="00AB7C83"/>
    <w:rsid w:val="00AC218B"/>
    <w:rsid w:val="00AC219F"/>
    <w:rsid w:val="00AC2C9A"/>
    <w:rsid w:val="00AC34B0"/>
    <w:rsid w:val="00AC3658"/>
    <w:rsid w:val="00AC38B9"/>
    <w:rsid w:val="00AC4ABF"/>
    <w:rsid w:val="00AC4F1C"/>
    <w:rsid w:val="00AC5F85"/>
    <w:rsid w:val="00AC65E6"/>
    <w:rsid w:val="00AC66DE"/>
    <w:rsid w:val="00AC70E5"/>
    <w:rsid w:val="00AC71F9"/>
    <w:rsid w:val="00AC7268"/>
    <w:rsid w:val="00AC7796"/>
    <w:rsid w:val="00AC7DCF"/>
    <w:rsid w:val="00AD017B"/>
    <w:rsid w:val="00AD02F0"/>
    <w:rsid w:val="00AD0E6F"/>
    <w:rsid w:val="00AD1402"/>
    <w:rsid w:val="00AD1F5E"/>
    <w:rsid w:val="00AD2D6F"/>
    <w:rsid w:val="00AD3A5B"/>
    <w:rsid w:val="00AD3D92"/>
    <w:rsid w:val="00AD58E7"/>
    <w:rsid w:val="00AD5C8A"/>
    <w:rsid w:val="00AD70CC"/>
    <w:rsid w:val="00AD7644"/>
    <w:rsid w:val="00AD7D02"/>
    <w:rsid w:val="00AE0DC9"/>
    <w:rsid w:val="00AE19E2"/>
    <w:rsid w:val="00AE2C26"/>
    <w:rsid w:val="00AE3082"/>
    <w:rsid w:val="00AE375E"/>
    <w:rsid w:val="00AE3E27"/>
    <w:rsid w:val="00AE4686"/>
    <w:rsid w:val="00AE5FBA"/>
    <w:rsid w:val="00AE7358"/>
    <w:rsid w:val="00AE7A93"/>
    <w:rsid w:val="00AE7BBF"/>
    <w:rsid w:val="00AF0178"/>
    <w:rsid w:val="00AF062C"/>
    <w:rsid w:val="00AF0721"/>
    <w:rsid w:val="00AF113E"/>
    <w:rsid w:val="00AF14F1"/>
    <w:rsid w:val="00AF20AE"/>
    <w:rsid w:val="00AF228C"/>
    <w:rsid w:val="00AF31A2"/>
    <w:rsid w:val="00AF35B6"/>
    <w:rsid w:val="00AF3672"/>
    <w:rsid w:val="00AF4224"/>
    <w:rsid w:val="00AF436C"/>
    <w:rsid w:val="00AF4CD0"/>
    <w:rsid w:val="00AF5B95"/>
    <w:rsid w:val="00AF6555"/>
    <w:rsid w:val="00AF7492"/>
    <w:rsid w:val="00AF75E1"/>
    <w:rsid w:val="00B0122D"/>
    <w:rsid w:val="00B02EAA"/>
    <w:rsid w:val="00B02F4D"/>
    <w:rsid w:val="00B03225"/>
    <w:rsid w:val="00B04601"/>
    <w:rsid w:val="00B0462D"/>
    <w:rsid w:val="00B0504A"/>
    <w:rsid w:val="00B05BF5"/>
    <w:rsid w:val="00B0609E"/>
    <w:rsid w:val="00B060E3"/>
    <w:rsid w:val="00B0638C"/>
    <w:rsid w:val="00B06AA9"/>
    <w:rsid w:val="00B0743A"/>
    <w:rsid w:val="00B106D4"/>
    <w:rsid w:val="00B10A1E"/>
    <w:rsid w:val="00B10F76"/>
    <w:rsid w:val="00B11030"/>
    <w:rsid w:val="00B110B8"/>
    <w:rsid w:val="00B114B9"/>
    <w:rsid w:val="00B1167E"/>
    <w:rsid w:val="00B12471"/>
    <w:rsid w:val="00B12510"/>
    <w:rsid w:val="00B12904"/>
    <w:rsid w:val="00B12E54"/>
    <w:rsid w:val="00B1437F"/>
    <w:rsid w:val="00B14EDD"/>
    <w:rsid w:val="00B14F51"/>
    <w:rsid w:val="00B1546E"/>
    <w:rsid w:val="00B15611"/>
    <w:rsid w:val="00B15BBD"/>
    <w:rsid w:val="00B16304"/>
    <w:rsid w:val="00B167C4"/>
    <w:rsid w:val="00B16C37"/>
    <w:rsid w:val="00B17EE5"/>
    <w:rsid w:val="00B2008E"/>
    <w:rsid w:val="00B2035B"/>
    <w:rsid w:val="00B2181C"/>
    <w:rsid w:val="00B221DA"/>
    <w:rsid w:val="00B22862"/>
    <w:rsid w:val="00B230A1"/>
    <w:rsid w:val="00B23464"/>
    <w:rsid w:val="00B238D0"/>
    <w:rsid w:val="00B23D73"/>
    <w:rsid w:val="00B2426C"/>
    <w:rsid w:val="00B246B3"/>
    <w:rsid w:val="00B24B6C"/>
    <w:rsid w:val="00B25011"/>
    <w:rsid w:val="00B2509B"/>
    <w:rsid w:val="00B25745"/>
    <w:rsid w:val="00B2746F"/>
    <w:rsid w:val="00B27E90"/>
    <w:rsid w:val="00B30409"/>
    <w:rsid w:val="00B304AD"/>
    <w:rsid w:val="00B30F86"/>
    <w:rsid w:val="00B323DC"/>
    <w:rsid w:val="00B32720"/>
    <w:rsid w:val="00B32A75"/>
    <w:rsid w:val="00B34C95"/>
    <w:rsid w:val="00B35158"/>
    <w:rsid w:val="00B35425"/>
    <w:rsid w:val="00B369F4"/>
    <w:rsid w:val="00B40160"/>
    <w:rsid w:val="00B4133D"/>
    <w:rsid w:val="00B41F55"/>
    <w:rsid w:val="00B42A83"/>
    <w:rsid w:val="00B42CD3"/>
    <w:rsid w:val="00B42E31"/>
    <w:rsid w:val="00B43989"/>
    <w:rsid w:val="00B44466"/>
    <w:rsid w:val="00B44470"/>
    <w:rsid w:val="00B44E98"/>
    <w:rsid w:val="00B4500F"/>
    <w:rsid w:val="00B45343"/>
    <w:rsid w:val="00B454A9"/>
    <w:rsid w:val="00B463D3"/>
    <w:rsid w:val="00B46D12"/>
    <w:rsid w:val="00B47939"/>
    <w:rsid w:val="00B5091C"/>
    <w:rsid w:val="00B510CD"/>
    <w:rsid w:val="00B510F4"/>
    <w:rsid w:val="00B513F9"/>
    <w:rsid w:val="00B51439"/>
    <w:rsid w:val="00B514BA"/>
    <w:rsid w:val="00B51E3B"/>
    <w:rsid w:val="00B51EAE"/>
    <w:rsid w:val="00B52027"/>
    <w:rsid w:val="00B52FED"/>
    <w:rsid w:val="00B53DB4"/>
    <w:rsid w:val="00B54174"/>
    <w:rsid w:val="00B54991"/>
    <w:rsid w:val="00B54BC1"/>
    <w:rsid w:val="00B54F7C"/>
    <w:rsid w:val="00B55123"/>
    <w:rsid w:val="00B5520E"/>
    <w:rsid w:val="00B55963"/>
    <w:rsid w:val="00B559EB"/>
    <w:rsid w:val="00B55B65"/>
    <w:rsid w:val="00B55D60"/>
    <w:rsid w:val="00B60146"/>
    <w:rsid w:val="00B601FE"/>
    <w:rsid w:val="00B6020A"/>
    <w:rsid w:val="00B60A4C"/>
    <w:rsid w:val="00B6130A"/>
    <w:rsid w:val="00B6235E"/>
    <w:rsid w:val="00B63C76"/>
    <w:rsid w:val="00B64840"/>
    <w:rsid w:val="00B6499A"/>
    <w:rsid w:val="00B64A32"/>
    <w:rsid w:val="00B65C4B"/>
    <w:rsid w:val="00B65E6F"/>
    <w:rsid w:val="00B6643A"/>
    <w:rsid w:val="00B66815"/>
    <w:rsid w:val="00B676A0"/>
    <w:rsid w:val="00B67992"/>
    <w:rsid w:val="00B67BAC"/>
    <w:rsid w:val="00B710C2"/>
    <w:rsid w:val="00B71440"/>
    <w:rsid w:val="00B715D2"/>
    <w:rsid w:val="00B7171D"/>
    <w:rsid w:val="00B72912"/>
    <w:rsid w:val="00B73D8C"/>
    <w:rsid w:val="00B74766"/>
    <w:rsid w:val="00B76130"/>
    <w:rsid w:val="00B76B1C"/>
    <w:rsid w:val="00B771A8"/>
    <w:rsid w:val="00B80426"/>
    <w:rsid w:val="00B8043D"/>
    <w:rsid w:val="00B81215"/>
    <w:rsid w:val="00B821D4"/>
    <w:rsid w:val="00B82202"/>
    <w:rsid w:val="00B828B1"/>
    <w:rsid w:val="00B8403D"/>
    <w:rsid w:val="00B84D5E"/>
    <w:rsid w:val="00B85C36"/>
    <w:rsid w:val="00B86070"/>
    <w:rsid w:val="00B86726"/>
    <w:rsid w:val="00B87055"/>
    <w:rsid w:val="00B9152C"/>
    <w:rsid w:val="00B91C56"/>
    <w:rsid w:val="00B92690"/>
    <w:rsid w:val="00B92A68"/>
    <w:rsid w:val="00B93807"/>
    <w:rsid w:val="00B93A0E"/>
    <w:rsid w:val="00B93AAB"/>
    <w:rsid w:val="00B93D39"/>
    <w:rsid w:val="00B9471A"/>
    <w:rsid w:val="00B947DC"/>
    <w:rsid w:val="00B95A75"/>
    <w:rsid w:val="00B95DCD"/>
    <w:rsid w:val="00B962A6"/>
    <w:rsid w:val="00B96358"/>
    <w:rsid w:val="00BA10EC"/>
    <w:rsid w:val="00BA1896"/>
    <w:rsid w:val="00BA39A7"/>
    <w:rsid w:val="00BA42BF"/>
    <w:rsid w:val="00BA4333"/>
    <w:rsid w:val="00BA506F"/>
    <w:rsid w:val="00BA50B5"/>
    <w:rsid w:val="00BA5164"/>
    <w:rsid w:val="00BA5482"/>
    <w:rsid w:val="00BA56BB"/>
    <w:rsid w:val="00BA5F83"/>
    <w:rsid w:val="00BA6133"/>
    <w:rsid w:val="00BA66F1"/>
    <w:rsid w:val="00BA67CC"/>
    <w:rsid w:val="00BA6F09"/>
    <w:rsid w:val="00BA761F"/>
    <w:rsid w:val="00BB02F8"/>
    <w:rsid w:val="00BB04C3"/>
    <w:rsid w:val="00BB100E"/>
    <w:rsid w:val="00BB101C"/>
    <w:rsid w:val="00BB11D7"/>
    <w:rsid w:val="00BB15B5"/>
    <w:rsid w:val="00BB1CE4"/>
    <w:rsid w:val="00BB1EC4"/>
    <w:rsid w:val="00BB224B"/>
    <w:rsid w:val="00BB23A8"/>
    <w:rsid w:val="00BB2670"/>
    <w:rsid w:val="00BB26D6"/>
    <w:rsid w:val="00BB297D"/>
    <w:rsid w:val="00BB2C8F"/>
    <w:rsid w:val="00BB3C1A"/>
    <w:rsid w:val="00BB4203"/>
    <w:rsid w:val="00BB4D74"/>
    <w:rsid w:val="00BB4FE4"/>
    <w:rsid w:val="00BB53A0"/>
    <w:rsid w:val="00BB53EA"/>
    <w:rsid w:val="00BB55CA"/>
    <w:rsid w:val="00BB56D8"/>
    <w:rsid w:val="00BB5D58"/>
    <w:rsid w:val="00BB624F"/>
    <w:rsid w:val="00BB6772"/>
    <w:rsid w:val="00BB79B3"/>
    <w:rsid w:val="00BC00F5"/>
    <w:rsid w:val="00BC020C"/>
    <w:rsid w:val="00BC1021"/>
    <w:rsid w:val="00BC1736"/>
    <w:rsid w:val="00BC2811"/>
    <w:rsid w:val="00BC2C6E"/>
    <w:rsid w:val="00BC2E8C"/>
    <w:rsid w:val="00BC436D"/>
    <w:rsid w:val="00BC50C0"/>
    <w:rsid w:val="00BC5655"/>
    <w:rsid w:val="00BC56EE"/>
    <w:rsid w:val="00BC58DD"/>
    <w:rsid w:val="00BC795D"/>
    <w:rsid w:val="00BC7A88"/>
    <w:rsid w:val="00BC7CC1"/>
    <w:rsid w:val="00BC7EB7"/>
    <w:rsid w:val="00BD12FE"/>
    <w:rsid w:val="00BD13B3"/>
    <w:rsid w:val="00BD171D"/>
    <w:rsid w:val="00BD183F"/>
    <w:rsid w:val="00BD2E38"/>
    <w:rsid w:val="00BD362D"/>
    <w:rsid w:val="00BD3BC0"/>
    <w:rsid w:val="00BD3CBE"/>
    <w:rsid w:val="00BD431B"/>
    <w:rsid w:val="00BD4681"/>
    <w:rsid w:val="00BD6C02"/>
    <w:rsid w:val="00BD71D1"/>
    <w:rsid w:val="00BD7376"/>
    <w:rsid w:val="00BD7CBD"/>
    <w:rsid w:val="00BD7E35"/>
    <w:rsid w:val="00BE0ACB"/>
    <w:rsid w:val="00BE10E3"/>
    <w:rsid w:val="00BE1D58"/>
    <w:rsid w:val="00BE2045"/>
    <w:rsid w:val="00BE30B8"/>
    <w:rsid w:val="00BE4024"/>
    <w:rsid w:val="00BE47E1"/>
    <w:rsid w:val="00BE4F15"/>
    <w:rsid w:val="00BE5222"/>
    <w:rsid w:val="00BE6465"/>
    <w:rsid w:val="00BE65BB"/>
    <w:rsid w:val="00BE6BC8"/>
    <w:rsid w:val="00BE7977"/>
    <w:rsid w:val="00BF0091"/>
    <w:rsid w:val="00BF0AA0"/>
    <w:rsid w:val="00BF0E98"/>
    <w:rsid w:val="00BF0F9E"/>
    <w:rsid w:val="00BF11BA"/>
    <w:rsid w:val="00BF127A"/>
    <w:rsid w:val="00BF12EF"/>
    <w:rsid w:val="00BF1C43"/>
    <w:rsid w:val="00BF2252"/>
    <w:rsid w:val="00BF2AF3"/>
    <w:rsid w:val="00BF3BE3"/>
    <w:rsid w:val="00BF4163"/>
    <w:rsid w:val="00BF43CD"/>
    <w:rsid w:val="00BF4B43"/>
    <w:rsid w:val="00BF51D6"/>
    <w:rsid w:val="00BF57D3"/>
    <w:rsid w:val="00BF6067"/>
    <w:rsid w:val="00BF6A6E"/>
    <w:rsid w:val="00BF767A"/>
    <w:rsid w:val="00BF7BC0"/>
    <w:rsid w:val="00BF7D8B"/>
    <w:rsid w:val="00BF7FB8"/>
    <w:rsid w:val="00C001B7"/>
    <w:rsid w:val="00C00FA3"/>
    <w:rsid w:val="00C01460"/>
    <w:rsid w:val="00C01D9B"/>
    <w:rsid w:val="00C041B4"/>
    <w:rsid w:val="00C05495"/>
    <w:rsid w:val="00C0699A"/>
    <w:rsid w:val="00C06AEB"/>
    <w:rsid w:val="00C07BF8"/>
    <w:rsid w:val="00C07C8B"/>
    <w:rsid w:val="00C1037E"/>
    <w:rsid w:val="00C1145F"/>
    <w:rsid w:val="00C11995"/>
    <w:rsid w:val="00C11B46"/>
    <w:rsid w:val="00C12100"/>
    <w:rsid w:val="00C14FEA"/>
    <w:rsid w:val="00C153E3"/>
    <w:rsid w:val="00C15499"/>
    <w:rsid w:val="00C15622"/>
    <w:rsid w:val="00C17683"/>
    <w:rsid w:val="00C176B6"/>
    <w:rsid w:val="00C1798D"/>
    <w:rsid w:val="00C17FC8"/>
    <w:rsid w:val="00C20B15"/>
    <w:rsid w:val="00C2158D"/>
    <w:rsid w:val="00C21865"/>
    <w:rsid w:val="00C2362F"/>
    <w:rsid w:val="00C23866"/>
    <w:rsid w:val="00C23FB0"/>
    <w:rsid w:val="00C2549F"/>
    <w:rsid w:val="00C25DAA"/>
    <w:rsid w:val="00C266F2"/>
    <w:rsid w:val="00C279D9"/>
    <w:rsid w:val="00C27F79"/>
    <w:rsid w:val="00C308CB"/>
    <w:rsid w:val="00C3099F"/>
    <w:rsid w:val="00C30A8B"/>
    <w:rsid w:val="00C30FE8"/>
    <w:rsid w:val="00C319E3"/>
    <w:rsid w:val="00C31F92"/>
    <w:rsid w:val="00C32079"/>
    <w:rsid w:val="00C3320E"/>
    <w:rsid w:val="00C33AA9"/>
    <w:rsid w:val="00C36D08"/>
    <w:rsid w:val="00C41FC6"/>
    <w:rsid w:val="00C423E2"/>
    <w:rsid w:val="00C42962"/>
    <w:rsid w:val="00C43306"/>
    <w:rsid w:val="00C43993"/>
    <w:rsid w:val="00C43C43"/>
    <w:rsid w:val="00C43E9F"/>
    <w:rsid w:val="00C43FD6"/>
    <w:rsid w:val="00C440AF"/>
    <w:rsid w:val="00C441BB"/>
    <w:rsid w:val="00C4504B"/>
    <w:rsid w:val="00C46072"/>
    <w:rsid w:val="00C47530"/>
    <w:rsid w:val="00C47FA6"/>
    <w:rsid w:val="00C502A7"/>
    <w:rsid w:val="00C5079E"/>
    <w:rsid w:val="00C50E4B"/>
    <w:rsid w:val="00C5272E"/>
    <w:rsid w:val="00C53743"/>
    <w:rsid w:val="00C53D98"/>
    <w:rsid w:val="00C5443D"/>
    <w:rsid w:val="00C549EC"/>
    <w:rsid w:val="00C553A1"/>
    <w:rsid w:val="00C555ED"/>
    <w:rsid w:val="00C556AA"/>
    <w:rsid w:val="00C56067"/>
    <w:rsid w:val="00C560B8"/>
    <w:rsid w:val="00C56DF0"/>
    <w:rsid w:val="00C57080"/>
    <w:rsid w:val="00C571B2"/>
    <w:rsid w:val="00C57285"/>
    <w:rsid w:val="00C579E1"/>
    <w:rsid w:val="00C60291"/>
    <w:rsid w:val="00C602E5"/>
    <w:rsid w:val="00C604CB"/>
    <w:rsid w:val="00C60B94"/>
    <w:rsid w:val="00C61093"/>
    <w:rsid w:val="00C62271"/>
    <w:rsid w:val="00C624EB"/>
    <w:rsid w:val="00C626A5"/>
    <w:rsid w:val="00C631F7"/>
    <w:rsid w:val="00C63BDD"/>
    <w:rsid w:val="00C64797"/>
    <w:rsid w:val="00C6497F"/>
    <w:rsid w:val="00C64B87"/>
    <w:rsid w:val="00C65D15"/>
    <w:rsid w:val="00C65DDE"/>
    <w:rsid w:val="00C665A7"/>
    <w:rsid w:val="00C66785"/>
    <w:rsid w:val="00C673C9"/>
    <w:rsid w:val="00C67AC0"/>
    <w:rsid w:val="00C67B71"/>
    <w:rsid w:val="00C67CB5"/>
    <w:rsid w:val="00C67EA6"/>
    <w:rsid w:val="00C70E0A"/>
    <w:rsid w:val="00C71814"/>
    <w:rsid w:val="00C722E0"/>
    <w:rsid w:val="00C72BB4"/>
    <w:rsid w:val="00C72F95"/>
    <w:rsid w:val="00C74242"/>
    <w:rsid w:val="00C7456C"/>
    <w:rsid w:val="00C74B56"/>
    <w:rsid w:val="00C74ED4"/>
    <w:rsid w:val="00C75885"/>
    <w:rsid w:val="00C76484"/>
    <w:rsid w:val="00C77945"/>
    <w:rsid w:val="00C803B7"/>
    <w:rsid w:val="00C804B4"/>
    <w:rsid w:val="00C81600"/>
    <w:rsid w:val="00C8192D"/>
    <w:rsid w:val="00C81F1A"/>
    <w:rsid w:val="00C82F78"/>
    <w:rsid w:val="00C83437"/>
    <w:rsid w:val="00C8351D"/>
    <w:rsid w:val="00C83B76"/>
    <w:rsid w:val="00C84396"/>
    <w:rsid w:val="00C8440F"/>
    <w:rsid w:val="00C846BF"/>
    <w:rsid w:val="00C848BF"/>
    <w:rsid w:val="00C84DB0"/>
    <w:rsid w:val="00C85238"/>
    <w:rsid w:val="00C85B5A"/>
    <w:rsid w:val="00C85F53"/>
    <w:rsid w:val="00C86028"/>
    <w:rsid w:val="00C87701"/>
    <w:rsid w:val="00C87F1A"/>
    <w:rsid w:val="00C901C0"/>
    <w:rsid w:val="00C90A79"/>
    <w:rsid w:val="00C91563"/>
    <w:rsid w:val="00C92C01"/>
    <w:rsid w:val="00C93361"/>
    <w:rsid w:val="00C93D12"/>
    <w:rsid w:val="00C93E15"/>
    <w:rsid w:val="00C94F4D"/>
    <w:rsid w:val="00C954DA"/>
    <w:rsid w:val="00C960CA"/>
    <w:rsid w:val="00C96982"/>
    <w:rsid w:val="00C97751"/>
    <w:rsid w:val="00CA0A68"/>
    <w:rsid w:val="00CA0B0F"/>
    <w:rsid w:val="00CA12EB"/>
    <w:rsid w:val="00CA1304"/>
    <w:rsid w:val="00CA151F"/>
    <w:rsid w:val="00CA1D24"/>
    <w:rsid w:val="00CA1E47"/>
    <w:rsid w:val="00CA20E4"/>
    <w:rsid w:val="00CA275B"/>
    <w:rsid w:val="00CA2F02"/>
    <w:rsid w:val="00CA361F"/>
    <w:rsid w:val="00CA3B1B"/>
    <w:rsid w:val="00CA3C5A"/>
    <w:rsid w:val="00CA4B55"/>
    <w:rsid w:val="00CA4F1C"/>
    <w:rsid w:val="00CA6098"/>
    <w:rsid w:val="00CA69A9"/>
    <w:rsid w:val="00CA6F59"/>
    <w:rsid w:val="00CA71A1"/>
    <w:rsid w:val="00CB10A9"/>
    <w:rsid w:val="00CB275C"/>
    <w:rsid w:val="00CB4396"/>
    <w:rsid w:val="00CB479B"/>
    <w:rsid w:val="00CB4DA5"/>
    <w:rsid w:val="00CB63E5"/>
    <w:rsid w:val="00CB665D"/>
    <w:rsid w:val="00CB71B2"/>
    <w:rsid w:val="00CB745C"/>
    <w:rsid w:val="00CB7C95"/>
    <w:rsid w:val="00CC18F3"/>
    <w:rsid w:val="00CC2303"/>
    <w:rsid w:val="00CC24F3"/>
    <w:rsid w:val="00CC28C1"/>
    <w:rsid w:val="00CC2C71"/>
    <w:rsid w:val="00CC2E46"/>
    <w:rsid w:val="00CC36A1"/>
    <w:rsid w:val="00CC41D9"/>
    <w:rsid w:val="00CC42CC"/>
    <w:rsid w:val="00CC4419"/>
    <w:rsid w:val="00CC4BCE"/>
    <w:rsid w:val="00CC4D73"/>
    <w:rsid w:val="00CC4EB5"/>
    <w:rsid w:val="00CC4F27"/>
    <w:rsid w:val="00CC5132"/>
    <w:rsid w:val="00CC5AFF"/>
    <w:rsid w:val="00CC5B30"/>
    <w:rsid w:val="00CC6F03"/>
    <w:rsid w:val="00CC703D"/>
    <w:rsid w:val="00CD0B92"/>
    <w:rsid w:val="00CD0BC4"/>
    <w:rsid w:val="00CD0C4F"/>
    <w:rsid w:val="00CD1A00"/>
    <w:rsid w:val="00CD1C6B"/>
    <w:rsid w:val="00CD29E8"/>
    <w:rsid w:val="00CD2DB9"/>
    <w:rsid w:val="00CD3854"/>
    <w:rsid w:val="00CD3914"/>
    <w:rsid w:val="00CD393E"/>
    <w:rsid w:val="00CD394D"/>
    <w:rsid w:val="00CD4533"/>
    <w:rsid w:val="00CD465A"/>
    <w:rsid w:val="00CD4BA1"/>
    <w:rsid w:val="00CD5A2F"/>
    <w:rsid w:val="00CD5A45"/>
    <w:rsid w:val="00CD5B4F"/>
    <w:rsid w:val="00CD6409"/>
    <w:rsid w:val="00CD6F67"/>
    <w:rsid w:val="00CD7BA2"/>
    <w:rsid w:val="00CE0218"/>
    <w:rsid w:val="00CE0CED"/>
    <w:rsid w:val="00CE1CF6"/>
    <w:rsid w:val="00CE1F12"/>
    <w:rsid w:val="00CE2FA6"/>
    <w:rsid w:val="00CE3564"/>
    <w:rsid w:val="00CE43F2"/>
    <w:rsid w:val="00CE45DF"/>
    <w:rsid w:val="00CE5023"/>
    <w:rsid w:val="00CE56B8"/>
    <w:rsid w:val="00CE5E77"/>
    <w:rsid w:val="00CE6A29"/>
    <w:rsid w:val="00CF0070"/>
    <w:rsid w:val="00CF0DE5"/>
    <w:rsid w:val="00CF0FD6"/>
    <w:rsid w:val="00CF13DF"/>
    <w:rsid w:val="00CF182B"/>
    <w:rsid w:val="00CF22B8"/>
    <w:rsid w:val="00CF25E9"/>
    <w:rsid w:val="00CF2FCF"/>
    <w:rsid w:val="00CF3BDF"/>
    <w:rsid w:val="00CF413C"/>
    <w:rsid w:val="00CF4647"/>
    <w:rsid w:val="00CF486F"/>
    <w:rsid w:val="00CF53B7"/>
    <w:rsid w:val="00CF60A5"/>
    <w:rsid w:val="00CF7733"/>
    <w:rsid w:val="00CF783E"/>
    <w:rsid w:val="00CF7E2A"/>
    <w:rsid w:val="00D001AB"/>
    <w:rsid w:val="00D0031A"/>
    <w:rsid w:val="00D00DD2"/>
    <w:rsid w:val="00D01629"/>
    <w:rsid w:val="00D01671"/>
    <w:rsid w:val="00D01CE4"/>
    <w:rsid w:val="00D01CE5"/>
    <w:rsid w:val="00D02C81"/>
    <w:rsid w:val="00D03018"/>
    <w:rsid w:val="00D04D51"/>
    <w:rsid w:val="00D05089"/>
    <w:rsid w:val="00D055CD"/>
    <w:rsid w:val="00D05E16"/>
    <w:rsid w:val="00D06207"/>
    <w:rsid w:val="00D0638D"/>
    <w:rsid w:val="00D07C6D"/>
    <w:rsid w:val="00D07E9F"/>
    <w:rsid w:val="00D07F40"/>
    <w:rsid w:val="00D10F68"/>
    <w:rsid w:val="00D12323"/>
    <w:rsid w:val="00D12813"/>
    <w:rsid w:val="00D13241"/>
    <w:rsid w:val="00D13D22"/>
    <w:rsid w:val="00D13FED"/>
    <w:rsid w:val="00D1479C"/>
    <w:rsid w:val="00D15067"/>
    <w:rsid w:val="00D15E7F"/>
    <w:rsid w:val="00D16508"/>
    <w:rsid w:val="00D16758"/>
    <w:rsid w:val="00D16CC3"/>
    <w:rsid w:val="00D16FC9"/>
    <w:rsid w:val="00D17A54"/>
    <w:rsid w:val="00D2020A"/>
    <w:rsid w:val="00D20B5F"/>
    <w:rsid w:val="00D20D5F"/>
    <w:rsid w:val="00D21ACA"/>
    <w:rsid w:val="00D22CA6"/>
    <w:rsid w:val="00D24196"/>
    <w:rsid w:val="00D24BFB"/>
    <w:rsid w:val="00D24EF8"/>
    <w:rsid w:val="00D2512D"/>
    <w:rsid w:val="00D2553D"/>
    <w:rsid w:val="00D25A4A"/>
    <w:rsid w:val="00D26194"/>
    <w:rsid w:val="00D26968"/>
    <w:rsid w:val="00D27FAC"/>
    <w:rsid w:val="00D30734"/>
    <w:rsid w:val="00D30C7C"/>
    <w:rsid w:val="00D30E40"/>
    <w:rsid w:val="00D31AA5"/>
    <w:rsid w:val="00D32220"/>
    <w:rsid w:val="00D32453"/>
    <w:rsid w:val="00D329B4"/>
    <w:rsid w:val="00D35B99"/>
    <w:rsid w:val="00D36127"/>
    <w:rsid w:val="00D37032"/>
    <w:rsid w:val="00D37274"/>
    <w:rsid w:val="00D37424"/>
    <w:rsid w:val="00D420D7"/>
    <w:rsid w:val="00D428BE"/>
    <w:rsid w:val="00D4291D"/>
    <w:rsid w:val="00D43990"/>
    <w:rsid w:val="00D45EEF"/>
    <w:rsid w:val="00D466A1"/>
    <w:rsid w:val="00D4790B"/>
    <w:rsid w:val="00D5043E"/>
    <w:rsid w:val="00D50497"/>
    <w:rsid w:val="00D51308"/>
    <w:rsid w:val="00D52ABB"/>
    <w:rsid w:val="00D53E56"/>
    <w:rsid w:val="00D548B3"/>
    <w:rsid w:val="00D54A35"/>
    <w:rsid w:val="00D55D39"/>
    <w:rsid w:val="00D55EF9"/>
    <w:rsid w:val="00D5608D"/>
    <w:rsid w:val="00D567F5"/>
    <w:rsid w:val="00D57800"/>
    <w:rsid w:val="00D57EA9"/>
    <w:rsid w:val="00D60A24"/>
    <w:rsid w:val="00D60E67"/>
    <w:rsid w:val="00D6115A"/>
    <w:rsid w:val="00D621EF"/>
    <w:rsid w:val="00D635D2"/>
    <w:rsid w:val="00D63761"/>
    <w:rsid w:val="00D639C9"/>
    <w:rsid w:val="00D63D45"/>
    <w:rsid w:val="00D63DDB"/>
    <w:rsid w:val="00D64E8D"/>
    <w:rsid w:val="00D64ECF"/>
    <w:rsid w:val="00D64EDA"/>
    <w:rsid w:val="00D64FC5"/>
    <w:rsid w:val="00D6516A"/>
    <w:rsid w:val="00D655D0"/>
    <w:rsid w:val="00D65980"/>
    <w:rsid w:val="00D65E11"/>
    <w:rsid w:val="00D676E6"/>
    <w:rsid w:val="00D678D8"/>
    <w:rsid w:val="00D67D76"/>
    <w:rsid w:val="00D705E9"/>
    <w:rsid w:val="00D706E1"/>
    <w:rsid w:val="00D720ED"/>
    <w:rsid w:val="00D721C2"/>
    <w:rsid w:val="00D723F0"/>
    <w:rsid w:val="00D726BF"/>
    <w:rsid w:val="00D727AF"/>
    <w:rsid w:val="00D72BD0"/>
    <w:rsid w:val="00D730ED"/>
    <w:rsid w:val="00D734DD"/>
    <w:rsid w:val="00D74497"/>
    <w:rsid w:val="00D74799"/>
    <w:rsid w:val="00D74F77"/>
    <w:rsid w:val="00D75101"/>
    <w:rsid w:val="00D76065"/>
    <w:rsid w:val="00D761FA"/>
    <w:rsid w:val="00D76590"/>
    <w:rsid w:val="00D76617"/>
    <w:rsid w:val="00D76822"/>
    <w:rsid w:val="00D76C0A"/>
    <w:rsid w:val="00D76C30"/>
    <w:rsid w:val="00D7724A"/>
    <w:rsid w:val="00D804F5"/>
    <w:rsid w:val="00D80735"/>
    <w:rsid w:val="00D80F88"/>
    <w:rsid w:val="00D81091"/>
    <w:rsid w:val="00D817C5"/>
    <w:rsid w:val="00D817D8"/>
    <w:rsid w:val="00D81E45"/>
    <w:rsid w:val="00D820CF"/>
    <w:rsid w:val="00D825B0"/>
    <w:rsid w:val="00D837E3"/>
    <w:rsid w:val="00D83928"/>
    <w:rsid w:val="00D84509"/>
    <w:rsid w:val="00D84834"/>
    <w:rsid w:val="00D85B35"/>
    <w:rsid w:val="00D85F6F"/>
    <w:rsid w:val="00D86822"/>
    <w:rsid w:val="00D86B9E"/>
    <w:rsid w:val="00D90132"/>
    <w:rsid w:val="00D907B9"/>
    <w:rsid w:val="00D90828"/>
    <w:rsid w:val="00D90ED5"/>
    <w:rsid w:val="00D91429"/>
    <w:rsid w:val="00D9192D"/>
    <w:rsid w:val="00D91B61"/>
    <w:rsid w:val="00D945EA"/>
    <w:rsid w:val="00D9491E"/>
    <w:rsid w:val="00D94B8A"/>
    <w:rsid w:val="00D976A0"/>
    <w:rsid w:val="00D97A76"/>
    <w:rsid w:val="00DA0249"/>
    <w:rsid w:val="00DA0B6E"/>
    <w:rsid w:val="00DA1197"/>
    <w:rsid w:val="00DA1391"/>
    <w:rsid w:val="00DA2899"/>
    <w:rsid w:val="00DA2CC6"/>
    <w:rsid w:val="00DA2EE1"/>
    <w:rsid w:val="00DA2F68"/>
    <w:rsid w:val="00DA3E9E"/>
    <w:rsid w:val="00DA477C"/>
    <w:rsid w:val="00DA4E1B"/>
    <w:rsid w:val="00DA5173"/>
    <w:rsid w:val="00DA5E59"/>
    <w:rsid w:val="00DA5E7E"/>
    <w:rsid w:val="00DA5F15"/>
    <w:rsid w:val="00DA60BD"/>
    <w:rsid w:val="00DA6F1A"/>
    <w:rsid w:val="00DA7717"/>
    <w:rsid w:val="00DA78D8"/>
    <w:rsid w:val="00DA7CB9"/>
    <w:rsid w:val="00DB04A5"/>
    <w:rsid w:val="00DB211F"/>
    <w:rsid w:val="00DB216D"/>
    <w:rsid w:val="00DB227D"/>
    <w:rsid w:val="00DB24BA"/>
    <w:rsid w:val="00DB2828"/>
    <w:rsid w:val="00DB2CCB"/>
    <w:rsid w:val="00DB36AC"/>
    <w:rsid w:val="00DB37BA"/>
    <w:rsid w:val="00DB4D5C"/>
    <w:rsid w:val="00DB4EEB"/>
    <w:rsid w:val="00DB4F7C"/>
    <w:rsid w:val="00DB5F5A"/>
    <w:rsid w:val="00DB6D54"/>
    <w:rsid w:val="00DB7B03"/>
    <w:rsid w:val="00DB7C08"/>
    <w:rsid w:val="00DB7F72"/>
    <w:rsid w:val="00DB7FC4"/>
    <w:rsid w:val="00DC021E"/>
    <w:rsid w:val="00DC1053"/>
    <w:rsid w:val="00DC13EF"/>
    <w:rsid w:val="00DC14F8"/>
    <w:rsid w:val="00DC278D"/>
    <w:rsid w:val="00DC4D90"/>
    <w:rsid w:val="00DC4DA4"/>
    <w:rsid w:val="00DC4F56"/>
    <w:rsid w:val="00DC641D"/>
    <w:rsid w:val="00DC69A4"/>
    <w:rsid w:val="00DC6D3D"/>
    <w:rsid w:val="00DC7492"/>
    <w:rsid w:val="00DD21AF"/>
    <w:rsid w:val="00DD243E"/>
    <w:rsid w:val="00DD28DD"/>
    <w:rsid w:val="00DD298A"/>
    <w:rsid w:val="00DD2EC1"/>
    <w:rsid w:val="00DD3077"/>
    <w:rsid w:val="00DD3286"/>
    <w:rsid w:val="00DD343E"/>
    <w:rsid w:val="00DD416A"/>
    <w:rsid w:val="00DD4914"/>
    <w:rsid w:val="00DD4CF4"/>
    <w:rsid w:val="00DD52BC"/>
    <w:rsid w:val="00DD55EE"/>
    <w:rsid w:val="00DD57E8"/>
    <w:rsid w:val="00DD5983"/>
    <w:rsid w:val="00DD5FCB"/>
    <w:rsid w:val="00DD6305"/>
    <w:rsid w:val="00DD7C61"/>
    <w:rsid w:val="00DE0451"/>
    <w:rsid w:val="00DE04CC"/>
    <w:rsid w:val="00DE0D4E"/>
    <w:rsid w:val="00DE19BC"/>
    <w:rsid w:val="00DE1FFD"/>
    <w:rsid w:val="00DE267F"/>
    <w:rsid w:val="00DE3367"/>
    <w:rsid w:val="00DE35A0"/>
    <w:rsid w:val="00DE42AF"/>
    <w:rsid w:val="00DE44E7"/>
    <w:rsid w:val="00DE4FEB"/>
    <w:rsid w:val="00DE52FE"/>
    <w:rsid w:val="00DE5D38"/>
    <w:rsid w:val="00DE5E5A"/>
    <w:rsid w:val="00DE618A"/>
    <w:rsid w:val="00DE7D25"/>
    <w:rsid w:val="00DF0800"/>
    <w:rsid w:val="00DF1141"/>
    <w:rsid w:val="00DF18C4"/>
    <w:rsid w:val="00DF1BB8"/>
    <w:rsid w:val="00DF1C38"/>
    <w:rsid w:val="00DF1E10"/>
    <w:rsid w:val="00DF21B4"/>
    <w:rsid w:val="00DF2692"/>
    <w:rsid w:val="00DF50F9"/>
    <w:rsid w:val="00DF54D9"/>
    <w:rsid w:val="00DF66CA"/>
    <w:rsid w:val="00DF6721"/>
    <w:rsid w:val="00DF72BE"/>
    <w:rsid w:val="00DF7974"/>
    <w:rsid w:val="00E006F3"/>
    <w:rsid w:val="00E00962"/>
    <w:rsid w:val="00E00B13"/>
    <w:rsid w:val="00E00BFF"/>
    <w:rsid w:val="00E01662"/>
    <w:rsid w:val="00E01D3A"/>
    <w:rsid w:val="00E01E89"/>
    <w:rsid w:val="00E023C5"/>
    <w:rsid w:val="00E028A7"/>
    <w:rsid w:val="00E02E4F"/>
    <w:rsid w:val="00E034B4"/>
    <w:rsid w:val="00E03C43"/>
    <w:rsid w:val="00E03F54"/>
    <w:rsid w:val="00E048B4"/>
    <w:rsid w:val="00E05010"/>
    <w:rsid w:val="00E05118"/>
    <w:rsid w:val="00E051D0"/>
    <w:rsid w:val="00E061BE"/>
    <w:rsid w:val="00E0678B"/>
    <w:rsid w:val="00E068B5"/>
    <w:rsid w:val="00E07229"/>
    <w:rsid w:val="00E07A26"/>
    <w:rsid w:val="00E101E0"/>
    <w:rsid w:val="00E1185C"/>
    <w:rsid w:val="00E11C04"/>
    <w:rsid w:val="00E13242"/>
    <w:rsid w:val="00E14613"/>
    <w:rsid w:val="00E14E24"/>
    <w:rsid w:val="00E152BE"/>
    <w:rsid w:val="00E15960"/>
    <w:rsid w:val="00E16B2A"/>
    <w:rsid w:val="00E211BE"/>
    <w:rsid w:val="00E22126"/>
    <w:rsid w:val="00E22C2B"/>
    <w:rsid w:val="00E2326B"/>
    <w:rsid w:val="00E23F8B"/>
    <w:rsid w:val="00E25F3F"/>
    <w:rsid w:val="00E26A5D"/>
    <w:rsid w:val="00E26E3F"/>
    <w:rsid w:val="00E27379"/>
    <w:rsid w:val="00E275D2"/>
    <w:rsid w:val="00E27C17"/>
    <w:rsid w:val="00E27C23"/>
    <w:rsid w:val="00E300A0"/>
    <w:rsid w:val="00E30A73"/>
    <w:rsid w:val="00E31737"/>
    <w:rsid w:val="00E318D5"/>
    <w:rsid w:val="00E31EEA"/>
    <w:rsid w:val="00E32CE3"/>
    <w:rsid w:val="00E32DA5"/>
    <w:rsid w:val="00E3395F"/>
    <w:rsid w:val="00E33A09"/>
    <w:rsid w:val="00E349B8"/>
    <w:rsid w:val="00E34DE2"/>
    <w:rsid w:val="00E3541D"/>
    <w:rsid w:val="00E356B0"/>
    <w:rsid w:val="00E358DA"/>
    <w:rsid w:val="00E35911"/>
    <w:rsid w:val="00E3710F"/>
    <w:rsid w:val="00E3742F"/>
    <w:rsid w:val="00E37A25"/>
    <w:rsid w:val="00E37D4A"/>
    <w:rsid w:val="00E37D92"/>
    <w:rsid w:val="00E4096B"/>
    <w:rsid w:val="00E41D67"/>
    <w:rsid w:val="00E42959"/>
    <w:rsid w:val="00E4306B"/>
    <w:rsid w:val="00E434CE"/>
    <w:rsid w:val="00E43AA2"/>
    <w:rsid w:val="00E4495D"/>
    <w:rsid w:val="00E453F1"/>
    <w:rsid w:val="00E458FF"/>
    <w:rsid w:val="00E46821"/>
    <w:rsid w:val="00E47984"/>
    <w:rsid w:val="00E47C2B"/>
    <w:rsid w:val="00E47C2C"/>
    <w:rsid w:val="00E507C1"/>
    <w:rsid w:val="00E517AD"/>
    <w:rsid w:val="00E5220D"/>
    <w:rsid w:val="00E52C45"/>
    <w:rsid w:val="00E52C9F"/>
    <w:rsid w:val="00E530F9"/>
    <w:rsid w:val="00E54920"/>
    <w:rsid w:val="00E54E03"/>
    <w:rsid w:val="00E55789"/>
    <w:rsid w:val="00E55EE5"/>
    <w:rsid w:val="00E5612A"/>
    <w:rsid w:val="00E56D9A"/>
    <w:rsid w:val="00E56E12"/>
    <w:rsid w:val="00E5718B"/>
    <w:rsid w:val="00E57618"/>
    <w:rsid w:val="00E57C01"/>
    <w:rsid w:val="00E602C6"/>
    <w:rsid w:val="00E60C7F"/>
    <w:rsid w:val="00E614AB"/>
    <w:rsid w:val="00E61E2F"/>
    <w:rsid w:val="00E62A42"/>
    <w:rsid w:val="00E633BF"/>
    <w:rsid w:val="00E63FC5"/>
    <w:rsid w:val="00E640FD"/>
    <w:rsid w:val="00E64558"/>
    <w:rsid w:val="00E65086"/>
    <w:rsid w:val="00E65497"/>
    <w:rsid w:val="00E656B6"/>
    <w:rsid w:val="00E66529"/>
    <w:rsid w:val="00E66B09"/>
    <w:rsid w:val="00E66E50"/>
    <w:rsid w:val="00E67442"/>
    <w:rsid w:val="00E67A0B"/>
    <w:rsid w:val="00E67ADB"/>
    <w:rsid w:val="00E700E8"/>
    <w:rsid w:val="00E702C1"/>
    <w:rsid w:val="00E70D2F"/>
    <w:rsid w:val="00E7157E"/>
    <w:rsid w:val="00E71B15"/>
    <w:rsid w:val="00E7325C"/>
    <w:rsid w:val="00E73A44"/>
    <w:rsid w:val="00E73A7D"/>
    <w:rsid w:val="00E7472D"/>
    <w:rsid w:val="00E76070"/>
    <w:rsid w:val="00E767B8"/>
    <w:rsid w:val="00E772A1"/>
    <w:rsid w:val="00E82FF8"/>
    <w:rsid w:val="00E83078"/>
    <w:rsid w:val="00E8385B"/>
    <w:rsid w:val="00E83F8E"/>
    <w:rsid w:val="00E86244"/>
    <w:rsid w:val="00E8699A"/>
    <w:rsid w:val="00E86FA7"/>
    <w:rsid w:val="00E8762C"/>
    <w:rsid w:val="00E906B1"/>
    <w:rsid w:val="00E90AE7"/>
    <w:rsid w:val="00E90DAF"/>
    <w:rsid w:val="00E9288C"/>
    <w:rsid w:val="00E92C4D"/>
    <w:rsid w:val="00E93EA3"/>
    <w:rsid w:val="00E9428F"/>
    <w:rsid w:val="00E955F9"/>
    <w:rsid w:val="00E97347"/>
    <w:rsid w:val="00E97EF5"/>
    <w:rsid w:val="00EA007E"/>
    <w:rsid w:val="00EA1167"/>
    <w:rsid w:val="00EA184E"/>
    <w:rsid w:val="00EA1B8C"/>
    <w:rsid w:val="00EA21CB"/>
    <w:rsid w:val="00EA24D5"/>
    <w:rsid w:val="00EA2511"/>
    <w:rsid w:val="00EA2E93"/>
    <w:rsid w:val="00EA2FBC"/>
    <w:rsid w:val="00EA39F3"/>
    <w:rsid w:val="00EA3A3F"/>
    <w:rsid w:val="00EA4153"/>
    <w:rsid w:val="00EA47EB"/>
    <w:rsid w:val="00EA47FF"/>
    <w:rsid w:val="00EA52AC"/>
    <w:rsid w:val="00EA5D6B"/>
    <w:rsid w:val="00EB04D3"/>
    <w:rsid w:val="00EB05DB"/>
    <w:rsid w:val="00EB09AD"/>
    <w:rsid w:val="00EB1DB5"/>
    <w:rsid w:val="00EB3065"/>
    <w:rsid w:val="00EB3627"/>
    <w:rsid w:val="00EB39EB"/>
    <w:rsid w:val="00EB3BC0"/>
    <w:rsid w:val="00EB3F66"/>
    <w:rsid w:val="00EB4DD8"/>
    <w:rsid w:val="00EB60DF"/>
    <w:rsid w:val="00EB63E4"/>
    <w:rsid w:val="00EB6853"/>
    <w:rsid w:val="00EB7944"/>
    <w:rsid w:val="00EB7E00"/>
    <w:rsid w:val="00EC067B"/>
    <w:rsid w:val="00EC0C73"/>
    <w:rsid w:val="00EC0F59"/>
    <w:rsid w:val="00EC10AC"/>
    <w:rsid w:val="00EC11CB"/>
    <w:rsid w:val="00EC1C40"/>
    <w:rsid w:val="00EC2775"/>
    <w:rsid w:val="00EC3825"/>
    <w:rsid w:val="00EC47C5"/>
    <w:rsid w:val="00EC4950"/>
    <w:rsid w:val="00EC580B"/>
    <w:rsid w:val="00EC5D48"/>
    <w:rsid w:val="00EC6544"/>
    <w:rsid w:val="00EC702D"/>
    <w:rsid w:val="00EC76CD"/>
    <w:rsid w:val="00ED03B9"/>
    <w:rsid w:val="00ED0738"/>
    <w:rsid w:val="00ED07A6"/>
    <w:rsid w:val="00ED0C0C"/>
    <w:rsid w:val="00ED1CF4"/>
    <w:rsid w:val="00ED1D2A"/>
    <w:rsid w:val="00ED22B2"/>
    <w:rsid w:val="00ED3755"/>
    <w:rsid w:val="00ED3EFD"/>
    <w:rsid w:val="00ED404B"/>
    <w:rsid w:val="00ED4943"/>
    <w:rsid w:val="00ED501E"/>
    <w:rsid w:val="00ED509F"/>
    <w:rsid w:val="00ED5B02"/>
    <w:rsid w:val="00ED5CFB"/>
    <w:rsid w:val="00ED6A3C"/>
    <w:rsid w:val="00ED7CA0"/>
    <w:rsid w:val="00ED7E15"/>
    <w:rsid w:val="00EE0103"/>
    <w:rsid w:val="00EE1BAE"/>
    <w:rsid w:val="00EE1EC6"/>
    <w:rsid w:val="00EE2811"/>
    <w:rsid w:val="00EE2A63"/>
    <w:rsid w:val="00EE3406"/>
    <w:rsid w:val="00EE39DF"/>
    <w:rsid w:val="00EE49C5"/>
    <w:rsid w:val="00EE4F00"/>
    <w:rsid w:val="00EE541A"/>
    <w:rsid w:val="00EE582F"/>
    <w:rsid w:val="00EE5AEF"/>
    <w:rsid w:val="00EE5EA3"/>
    <w:rsid w:val="00EE5FEE"/>
    <w:rsid w:val="00EE6279"/>
    <w:rsid w:val="00EF09AB"/>
    <w:rsid w:val="00EF100B"/>
    <w:rsid w:val="00EF10F5"/>
    <w:rsid w:val="00EF260C"/>
    <w:rsid w:val="00EF35C3"/>
    <w:rsid w:val="00EF3806"/>
    <w:rsid w:val="00EF3810"/>
    <w:rsid w:val="00EF3DCF"/>
    <w:rsid w:val="00EF493D"/>
    <w:rsid w:val="00EF4C8A"/>
    <w:rsid w:val="00EF5459"/>
    <w:rsid w:val="00EF5517"/>
    <w:rsid w:val="00EF56F4"/>
    <w:rsid w:val="00EF59CF"/>
    <w:rsid w:val="00F0004C"/>
    <w:rsid w:val="00F00434"/>
    <w:rsid w:val="00F007E8"/>
    <w:rsid w:val="00F0196A"/>
    <w:rsid w:val="00F01BEC"/>
    <w:rsid w:val="00F023E8"/>
    <w:rsid w:val="00F02892"/>
    <w:rsid w:val="00F02BE3"/>
    <w:rsid w:val="00F03172"/>
    <w:rsid w:val="00F03AAC"/>
    <w:rsid w:val="00F03EE2"/>
    <w:rsid w:val="00F0418A"/>
    <w:rsid w:val="00F04508"/>
    <w:rsid w:val="00F04F3C"/>
    <w:rsid w:val="00F05A82"/>
    <w:rsid w:val="00F05AF0"/>
    <w:rsid w:val="00F0621F"/>
    <w:rsid w:val="00F06E66"/>
    <w:rsid w:val="00F070EC"/>
    <w:rsid w:val="00F07279"/>
    <w:rsid w:val="00F07514"/>
    <w:rsid w:val="00F07B7C"/>
    <w:rsid w:val="00F1010B"/>
    <w:rsid w:val="00F10FDA"/>
    <w:rsid w:val="00F11892"/>
    <w:rsid w:val="00F12F9A"/>
    <w:rsid w:val="00F1358C"/>
    <w:rsid w:val="00F13B86"/>
    <w:rsid w:val="00F13F13"/>
    <w:rsid w:val="00F157F9"/>
    <w:rsid w:val="00F16DA8"/>
    <w:rsid w:val="00F17769"/>
    <w:rsid w:val="00F17898"/>
    <w:rsid w:val="00F17B53"/>
    <w:rsid w:val="00F20F9F"/>
    <w:rsid w:val="00F2123F"/>
    <w:rsid w:val="00F213AE"/>
    <w:rsid w:val="00F2163F"/>
    <w:rsid w:val="00F2215D"/>
    <w:rsid w:val="00F22A6C"/>
    <w:rsid w:val="00F22F2D"/>
    <w:rsid w:val="00F22FBE"/>
    <w:rsid w:val="00F239C6"/>
    <w:rsid w:val="00F23EC3"/>
    <w:rsid w:val="00F23F29"/>
    <w:rsid w:val="00F247CF"/>
    <w:rsid w:val="00F24CBA"/>
    <w:rsid w:val="00F24F09"/>
    <w:rsid w:val="00F25334"/>
    <w:rsid w:val="00F25352"/>
    <w:rsid w:val="00F25415"/>
    <w:rsid w:val="00F25FB6"/>
    <w:rsid w:val="00F3094A"/>
    <w:rsid w:val="00F31F3F"/>
    <w:rsid w:val="00F32092"/>
    <w:rsid w:val="00F320CE"/>
    <w:rsid w:val="00F3292C"/>
    <w:rsid w:val="00F32F94"/>
    <w:rsid w:val="00F3360E"/>
    <w:rsid w:val="00F33ACC"/>
    <w:rsid w:val="00F346BE"/>
    <w:rsid w:val="00F34B38"/>
    <w:rsid w:val="00F34C47"/>
    <w:rsid w:val="00F3543D"/>
    <w:rsid w:val="00F35775"/>
    <w:rsid w:val="00F358A2"/>
    <w:rsid w:val="00F35F28"/>
    <w:rsid w:val="00F36083"/>
    <w:rsid w:val="00F36141"/>
    <w:rsid w:val="00F361BB"/>
    <w:rsid w:val="00F365CF"/>
    <w:rsid w:val="00F36782"/>
    <w:rsid w:val="00F3785B"/>
    <w:rsid w:val="00F3789C"/>
    <w:rsid w:val="00F37922"/>
    <w:rsid w:val="00F37DA2"/>
    <w:rsid w:val="00F4115E"/>
    <w:rsid w:val="00F42201"/>
    <w:rsid w:val="00F42257"/>
    <w:rsid w:val="00F42D29"/>
    <w:rsid w:val="00F433E7"/>
    <w:rsid w:val="00F43C28"/>
    <w:rsid w:val="00F44CE5"/>
    <w:rsid w:val="00F46E0C"/>
    <w:rsid w:val="00F47A9F"/>
    <w:rsid w:val="00F508B0"/>
    <w:rsid w:val="00F52400"/>
    <w:rsid w:val="00F53268"/>
    <w:rsid w:val="00F5447A"/>
    <w:rsid w:val="00F54A20"/>
    <w:rsid w:val="00F55C69"/>
    <w:rsid w:val="00F567F2"/>
    <w:rsid w:val="00F569AA"/>
    <w:rsid w:val="00F569CB"/>
    <w:rsid w:val="00F577FD"/>
    <w:rsid w:val="00F579E6"/>
    <w:rsid w:val="00F57BB0"/>
    <w:rsid w:val="00F617B1"/>
    <w:rsid w:val="00F620D6"/>
    <w:rsid w:val="00F62E4D"/>
    <w:rsid w:val="00F63598"/>
    <w:rsid w:val="00F63F86"/>
    <w:rsid w:val="00F6529A"/>
    <w:rsid w:val="00F6658D"/>
    <w:rsid w:val="00F7024C"/>
    <w:rsid w:val="00F703BB"/>
    <w:rsid w:val="00F7084D"/>
    <w:rsid w:val="00F70EE5"/>
    <w:rsid w:val="00F7133D"/>
    <w:rsid w:val="00F718E9"/>
    <w:rsid w:val="00F7318D"/>
    <w:rsid w:val="00F73594"/>
    <w:rsid w:val="00F7437A"/>
    <w:rsid w:val="00F754B9"/>
    <w:rsid w:val="00F7572F"/>
    <w:rsid w:val="00F768A5"/>
    <w:rsid w:val="00F76947"/>
    <w:rsid w:val="00F76F7C"/>
    <w:rsid w:val="00F774FA"/>
    <w:rsid w:val="00F806F5"/>
    <w:rsid w:val="00F80849"/>
    <w:rsid w:val="00F80F4A"/>
    <w:rsid w:val="00F8209E"/>
    <w:rsid w:val="00F825C1"/>
    <w:rsid w:val="00F82819"/>
    <w:rsid w:val="00F83216"/>
    <w:rsid w:val="00F84457"/>
    <w:rsid w:val="00F84BD3"/>
    <w:rsid w:val="00F84D7E"/>
    <w:rsid w:val="00F87042"/>
    <w:rsid w:val="00F874D6"/>
    <w:rsid w:val="00F87CBB"/>
    <w:rsid w:val="00F90439"/>
    <w:rsid w:val="00F90891"/>
    <w:rsid w:val="00F90C26"/>
    <w:rsid w:val="00F90C60"/>
    <w:rsid w:val="00F90D7B"/>
    <w:rsid w:val="00F91A3F"/>
    <w:rsid w:val="00F966C0"/>
    <w:rsid w:val="00F96D61"/>
    <w:rsid w:val="00F97E9D"/>
    <w:rsid w:val="00FA1757"/>
    <w:rsid w:val="00FA1AAC"/>
    <w:rsid w:val="00FA2191"/>
    <w:rsid w:val="00FA22B6"/>
    <w:rsid w:val="00FA2837"/>
    <w:rsid w:val="00FA405C"/>
    <w:rsid w:val="00FA40BD"/>
    <w:rsid w:val="00FA4643"/>
    <w:rsid w:val="00FA53C5"/>
    <w:rsid w:val="00FA5836"/>
    <w:rsid w:val="00FA6ED7"/>
    <w:rsid w:val="00FB0BED"/>
    <w:rsid w:val="00FB11E1"/>
    <w:rsid w:val="00FB2F3F"/>
    <w:rsid w:val="00FB3A2A"/>
    <w:rsid w:val="00FB3FB3"/>
    <w:rsid w:val="00FB4AE3"/>
    <w:rsid w:val="00FB62F4"/>
    <w:rsid w:val="00FB6756"/>
    <w:rsid w:val="00FB7BB0"/>
    <w:rsid w:val="00FC0354"/>
    <w:rsid w:val="00FC10E1"/>
    <w:rsid w:val="00FC38D0"/>
    <w:rsid w:val="00FC402C"/>
    <w:rsid w:val="00FC4291"/>
    <w:rsid w:val="00FC4499"/>
    <w:rsid w:val="00FC45BD"/>
    <w:rsid w:val="00FC4CDB"/>
    <w:rsid w:val="00FC4F4A"/>
    <w:rsid w:val="00FC5A4B"/>
    <w:rsid w:val="00FC6AC2"/>
    <w:rsid w:val="00FC7633"/>
    <w:rsid w:val="00FD05A2"/>
    <w:rsid w:val="00FD0E19"/>
    <w:rsid w:val="00FD18A1"/>
    <w:rsid w:val="00FD3D85"/>
    <w:rsid w:val="00FD43DF"/>
    <w:rsid w:val="00FD46A5"/>
    <w:rsid w:val="00FD4B96"/>
    <w:rsid w:val="00FD6073"/>
    <w:rsid w:val="00FD62AB"/>
    <w:rsid w:val="00FD6403"/>
    <w:rsid w:val="00FD672D"/>
    <w:rsid w:val="00FD751A"/>
    <w:rsid w:val="00FD78CC"/>
    <w:rsid w:val="00FD7A91"/>
    <w:rsid w:val="00FD7AE4"/>
    <w:rsid w:val="00FD7EE4"/>
    <w:rsid w:val="00FE1588"/>
    <w:rsid w:val="00FE195A"/>
    <w:rsid w:val="00FE2031"/>
    <w:rsid w:val="00FE236F"/>
    <w:rsid w:val="00FE2505"/>
    <w:rsid w:val="00FE2619"/>
    <w:rsid w:val="00FE3122"/>
    <w:rsid w:val="00FE3530"/>
    <w:rsid w:val="00FE41C0"/>
    <w:rsid w:val="00FE5A5B"/>
    <w:rsid w:val="00FE5C86"/>
    <w:rsid w:val="00FE683F"/>
    <w:rsid w:val="00FE6935"/>
    <w:rsid w:val="00FE7161"/>
    <w:rsid w:val="00FE75C5"/>
    <w:rsid w:val="00FE7962"/>
    <w:rsid w:val="00FE7DFC"/>
    <w:rsid w:val="00FF0509"/>
    <w:rsid w:val="00FF13F4"/>
    <w:rsid w:val="00FF1E0A"/>
    <w:rsid w:val="00FF2882"/>
    <w:rsid w:val="00FF2B26"/>
    <w:rsid w:val="00FF3B26"/>
    <w:rsid w:val="00FF3BC6"/>
    <w:rsid w:val="00FF4F80"/>
    <w:rsid w:val="00FF5082"/>
    <w:rsid w:val="00FF5E1F"/>
    <w:rsid w:val="00FF62B0"/>
    <w:rsid w:val="00FF65BB"/>
    <w:rsid w:val="00FF7385"/>
    <w:rsid w:val="0152F7BC"/>
    <w:rsid w:val="03440436"/>
    <w:rsid w:val="0488C7C7"/>
    <w:rsid w:val="05F06967"/>
    <w:rsid w:val="088B0285"/>
    <w:rsid w:val="08AECEC7"/>
    <w:rsid w:val="095079EB"/>
    <w:rsid w:val="0AF0BB57"/>
    <w:rsid w:val="0C4ACA10"/>
    <w:rsid w:val="0D36CF9D"/>
    <w:rsid w:val="0DDDB7D9"/>
    <w:rsid w:val="0F13D710"/>
    <w:rsid w:val="1088E406"/>
    <w:rsid w:val="11EE010F"/>
    <w:rsid w:val="1373FE57"/>
    <w:rsid w:val="13D4E68C"/>
    <w:rsid w:val="141907E6"/>
    <w:rsid w:val="14E846F5"/>
    <w:rsid w:val="154C82EC"/>
    <w:rsid w:val="1692304D"/>
    <w:rsid w:val="195E28F1"/>
    <w:rsid w:val="1A29BB1D"/>
    <w:rsid w:val="1B83BF82"/>
    <w:rsid w:val="1DFAE72D"/>
    <w:rsid w:val="1E7363AC"/>
    <w:rsid w:val="20A555A1"/>
    <w:rsid w:val="2239E6D4"/>
    <w:rsid w:val="2337EC1A"/>
    <w:rsid w:val="257A76F6"/>
    <w:rsid w:val="266A3D67"/>
    <w:rsid w:val="285F0F4B"/>
    <w:rsid w:val="2A1B4AB0"/>
    <w:rsid w:val="2AB644E8"/>
    <w:rsid w:val="2FF0E59C"/>
    <w:rsid w:val="34ADED5A"/>
    <w:rsid w:val="350D211A"/>
    <w:rsid w:val="3A162A38"/>
    <w:rsid w:val="3A3CB0C6"/>
    <w:rsid w:val="3AF90FD9"/>
    <w:rsid w:val="3B62D2A1"/>
    <w:rsid w:val="3BB7CE68"/>
    <w:rsid w:val="3CA74AA7"/>
    <w:rsid w:val="3E9E621C"/>
    <w:rsid w:val="43DE5AC4"/>
    <w:rsid w:val="444918D9"/>
    <w:rsid w:val="499FA213"/>
    <w:rsid w:val="4A113ED2"/>
    <w:rsid w:val="4A913B8E"/>
    <w:rsid w:val="4AE49D79"/>
    <w:rsid w:val="4B5AC820"/>
    <w:rsid w:val="5008CC1D"/>
    <w:rsid w:val="53AB9FB3"/>
    <w:rsid w:val="5564F8E8"/>
    <w:rsid w:val="5858A96C"/>
    <w:rsid w:val="5CB64872"/>
    <w:rsid w:val="60AFAF5C"/>
    <w:rsid w:val="60DE3AD6"/>
    <w:rsid w:val="62650AB9"/>
    <w:rsid w:val="63437FC9"/>
    <w:rsid w:val="638808F0"/>
    <w:rsid w:val="66BB6E08"/>
    <w:rsid w:val="698A9376"/>
    <w:rsid w:val="6BC6E192"/>
    <w:rsid w:val="7261BBA6"/>
    <w:rsid w:val="736202A9"/>
    <w:rsid w:val="76476EF5"/>
    <w:rsid w:val="79ACF185"/>
    <w:rsid w:val="7C89A6E2"/>
    <w:rsid w:val="7EE0D9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2FA63"/>
  <w15:chartTrackingRefBased/>
  <w15:docId w15:val="{683A5B24-562F-45FF-9520-28018100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101"/>
    <w:pPr>
      <w:spacing w:after="0" w:line="240" w:lineRule="auto"/>
      <w:jc w:val="both"/>
    </w:pPr>
    <w:rPr>
      <w:rFonts w:ascii="Times New Roman" w:eastAsia="MS Mincho" w:hAnsi="Times New Roman" w:cs="Times New Roman"/>
      <w:szCs w:val="24"/>
    </w:rPr>
  </w:style>
  <w:style w:type="paragraph" w:styleId="Heading1">
    <w:name w:val="heading 1"/>
    <w:basedOn w:val="Normal"/>
    <w:next w:val="Normal"/>
    <w:link w:val="Heading1Char"/>
    <w:qFormat/>
    <w:rsid w:val="00777101"/>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777101"/>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777101"/>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7101"/>
    <w:rPr>
      <w:rFonts w:ascii="Times New Roman" w:eastAsia="MS Mincho" w:hAnsi="Times New Roman" w:cs="Times New Roman"/>
      <w:b/>
      <w:bCs/>
      <w:szCs w:val="24"/>
    </w:rPr>
  </w:style>
  <w:style w:type="character" w:customStyle="1" w:styleId="Heading2Char">
    <w:name w:val="Heading 2 Char"/>
    <w:basedOn w:val="DefaultParagraphFont"/>
    <w:link w:val="Heading2"/>
    <w:rsid w:val="00777101"/>
    <w:rPr>
      <w:rFonts w:ascii="Calibri" w:eastAsia="MS Mincho" w:hAnsi="Calibri" w:cs="Times New Roman"/>
      <w:b/>
      <w:bCs/>
      <w:i/>
      <w:iCs/>
      <w:sz w:val="28"/>
      <w:szCs w:val="28"/>
    </w:rPr>
  </w:style>
  <w:style w:type="character" w:customStyle="1" w:styleId="Heading3Char">
    <w:name w:val="Heading 3 Char"/>
    <w:basedOn w:val="DefaultParagraphFont"/>
    <w:link w:val="Heading3"/>
    <w:rsid w:val="00777101"/>
    <w:rPr>
      <w:rFonts w:ascii="Calibri" w:eastAsia="MS Mincho" w:hAnsi="Calibri" w:cs="Times New Roman"/>
      <w:b/>
      <w:bCs/>
      <w:sz w:val="26"/>
      <w:szCs w:val="26"/>
    </w:rPr>
  </w:style>
  <w:style w:type="paragraph" w:styleId="FootnoteText">
    <w:name w:val="footnote text"/>
    <w:basedOn w:val="Normal"/>
    <w:link w:val="FootnoteTextChar"/>
    <w:semiHidden/>
    <w:rsid w:val="00777101"/>
    <w:pPr>
      <w:spacing w:before="60"/>
    </w:pPr>
    <w:rPr>
      <w:sz w:val="20"/>
    </w:rPr>
  </w:style>
  <w:style w:type="character" w:customStyle="1" w:styleId="FootnoteTextChar">
    <w:name w:val="Footnote Text Char"/>
    <w:basedOn w:val="DefaultParagraphFont"/>
    <w:link w:val="FootnoteText"/>
    <w:semiHidden/>
    <w:rsid w:val="00777101"/>
    <w:rPr>
      <w:rFonts w:ascii="Times New Roman" w:eastAsia="MS Mincho" w:hAnsi="Times New Roman" w:cs="Times New Roman"/>
      <w:sz w:val="20"/>
      <w:szCs w:val="24"/>
    </w:rPr>
  </w:style>
  <w:style w:type="character" w:styleId="FootnoteReference">
    <w:name w:val="footnote reference"/>
    <w:basedOn w:val="DefaultParagraphFont"/>
    <w:semiHidden/>
    <w:rsid w:val="00777101"/>
    <w:rPr>
      <w:vertAlign w:val="superscript"/>
    </w:rPr>
  </w:style>
  <w:style w:type="paragraph" w:customStyle="1" w:styleId="Style">
    <w:name w:val="Style"/>
    <w:basedOn w:val="Footer"/>
    <w:autoRedefine/>
    <w:qFormat/>
    <w:rsid w:val="00777101"/>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styleId="Footer">
    <w:name w:val="footer"/>
    <w:basedOn w:val="Normal"/>
    <w:link w:val="FooterChar"/>
    <w:rsid w:val="00777101"/>
    <w:pPr>
      <w:tabs>
        <w:tab w:val="center" w:pos="4680"/>
        <w:tab w:val="right" w:pos="9360"/>
      </w:tabs>
    </w:pPr>
  </w:style>
  <w:style w:type="character" w:customStyle="1" w:styleId="FooterChar">
    <w:name w:val="Footer Char"/>
    <w:basedOn w:val="DefaultParagraphFont"/>
    <w:link w:val="Footer"/>
    <w:rsid w:val="00777101"/>
    <w:rPr>
      <w:rFonts w:ascii="Times New Roman" w:eastAsia="MS Mincho" w:hAnsi="Times New Roman" w:cs="Times New Roman"/>
      <w:szCs w:val="24"/>
    </w:rPr>
  </w:style>
  <w:style w:type="character" w:styleId="PageNumber">
    <w:name w:val="page number"/>
    <w:rsid w:val="00777101"/>
    <w:rPr>
      <w:rFonts w:ascii="Arial" w:hAnsi="Arial"/>
      <w:b/>
      <w:sz w:val="18"/>
    </w:rPr>
  </w:style>
  <w:style w:type="paragraph" w:customStyle="1" w:styleId="IPPArialFootnote">
    <w:name w:val="IPP Arial Footnote"/>
    <w:basedOn w:val="IPPArialTable"/>
    <w:qFormat/>
    <w:rsid w:val="00777101"/>
    <w:pPr>
      <w:tabs>
        <w:tab w:val="left" w:pos="28"/>
      </w:tabs>
      <w:ind w:left="284" w:hanging="284"/>
    </w:pPr>
    <w:rPr>
      <w:sz w:val="16"/>
    </w:rPr>
  </w:style>
  <w:style w:type="paragraph" w:customStyle="1" w:styleId="IPPContentsHead">
    <w:name w:val="IPP ContentsHead"/>
    <w:basedOn w:val="IPPSubhead"/>
    <w:next w:val="IPPNormal"/>
    <w:qFormat/>
    <w:rsid w:val="00777101"/>
    <w:pPr>
      <w:spacing w:after="240"/>
    </w:pPr>
    <w:rPr>
      <w:sz w:val="24"/>
    </w:rPr>
  </w:style>
  <w:style w:type="table" w:styleId="TableGrid">
    <w:name w:val="Table Grid"/>
    <w:basedOn w:val="TableNormal"/>
    <w:rsid w:val="00777101"/>
    <w:pPr>
      <w:spacing w:after="0" w:line="240" w:lineRule="auto"/>
    </w:pPr>
    <w:rPr>
      <w:rFonts w:ascii="Cambria" w:eastAsia="MS Mincho" w:hAnsi="Cambria"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7101"/>
    <w:rPr>
      <w:rFonts w:ascii="Tahoma" w:hAnsi="Tahoma" w:cs="Tahoma"/>
      <w:sz w:val="16"/>
      <w:szCs w:val="16"/>
    </w:rPr>
  </w:style>
  <w:style w:type="character" w:customStyle="1" w:styleId="BalloonTextChar">
    <w:name w:val="Balloon Text Char"/>
    <w:basedOn w:val="DefaultParagraphFont"/>
    <w:link w:val="BalloonText"/>
    <w:rsid w:val="00777101"/>
    <w:rPr>
      <w:rFonts w:ascii="Tahoma" w:eastAsia="MS Mincho" w:hAnsi="Tahoma" w:cs="Tahoma"/>
      <w:sz w:val="16"/>
      <w:szCs w:val="16"/>
    </w:rPr>
  </w:style>
  <w:style w:type="paragraph" w:customStyle="1" w:styleId="IPPBullet2">
    <w:name w:val="IPP Bullet2"/>
    <w:basedOn w:val="IPPNormal"/>
    <w:next w:val="IPPBullet1"/>
    <w:qFormat/>
    <w:rsid w:val="00777101"/>
    <w:pPr>
      <w:numPr>
        <w:numId w:val="4"/>
      </w:numPr>
      <w:tabs>
        <w:tab w:val="left" w:pos="1134"/>
      </w:tabs>
      <w:spacing w:after="60"/>
      <w:ind w:left="1134" w:hanging="567"/>
    </w:pPr>
  </w:style>
  <w:style w:type="paragraph" w:customStyle="1" w:styleId="IPPQuote">
    <w:name w:val="IPP Quote"/>
    <w:basedOn w:val="IPPNormal"/>
    <w:qFormat/>
    <w:rsid w:val="00777101"/>
    <w:pPr>
      <w:ind w:left="851" w:right="851"/>
    </w:pPr>
    <w:rPr>
      <w:sz w:val="18"/>
    </w:rPr>
  </w:style>
  <w:style w:type="paragraph" w:customStyle="1" w:styleId="IPPNormal">
    <w:name w:val="IPP Normal"/>
    <w:basedOn w:val="Normal"/>
    <w:qFormat/>
    <w:rsid w:val="00777101"/>
    <w:pPr>
      <w:spacing w:after="180"/>
    </w:pPr>
    <w:rPr>
      <w:rFonts w:eastAsia="Times"/>
    </w:rPr>
  </w:style>
  <w:style w:type="paragraph" w:customStyle="1" w:styleId="IPPIndentClose">
    <w:name w:val="IPP Indent Close"/>
    <w:basedOn w:val="IPPNormal"/>
    <w:qFormat/>
    <w:rsid w:val="00777101"/>
    <w:pPr>
      <w:tabs>
        <w:tab w:val="left" w:pos="2835"/>
      </w:tabs>
      <w:spacing w:after="60"/>
      <w:ind w:left="567"/>
    </w:pPr>
  </w:style>
  <w:style w:type="paragraph" w:customStyle="1" w:styleId="IPPIndent">
    <w:name w:val="IPP Indent"/>
    <w:basedOn w:val="IPPIndentClose"/>
    <w:qFormat/>
    <w:rsid w:val="00777101"/>
    <w:pPr>
      <w:spacing w:after="180"/>
    </w:pPr>
  </w:style>
  <w:style w:type="paragraph" w:customStyle="1" w:styleId="IPPFootnote">
    <w:name w:val="IPP Footnote"/>
    <w:basedOn w:val="IPPArialFootnote"/>
    <w:qFormat/>
    <w:rsid w:val="00777101"/>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777101"/>
    <w:pPr>
      <w:keepNext/>
      <w:tabs>
        <w:tab w:val="left" w:pos="567"/>
      </w:tabs>
      <w:spacing w:before="120" w:after="120"/>
      <w:ind w:left="567" w:hanging="567"/>
    </w:pPr>
    <w:rPr>
      <w:b/>
      <w:i/>
    </w:rPr>
  </w:style>
  <w:style w:type="character" w:customStyle="1" w:styleId="IPPnormalitalics">
    <w:name w:val="IPP normal italics"/>
    <w:basedOn w:val="DefaultParagraphFont"/>
    <w:rsid w:val="00777101"/>
    <w:rPr>
      <w:rFonts w:ascii="Times New Roman" w:hAnsi="Times New Roman"/>
      <w:i/>
      <w:sz w:val="22"/>
      <w:lang w:val="en-US"/>
    </w:rPr>
  </w:style>
  <w:style w:type="character" w:customStyle="1" w:styleId="IPPNormalbold">
    <w:name w:val="IPP Normal bold"/>
    <w:basedOn w:val="PlainTextChar"/>
    <w:rsid w:val="00777101"/>
    <w:rPr>
      <w:rFonts w:ascii="Times New Roman" w:eastAsia="Times" w:hAnsi="Times New Roman" w:cs="Times New Roman"/>
      <w:b/>
      <w:sz w:val="22"/>
      <w:szCs w:val="21"/>
      <w:lang w:val="en-AU"/>
    </w:rPr>
  </w:style>
  <w:style w:type="paragraph" w:customStyle="1" w:styleId="IPPHeadSection">
    <w:name w:val="IPP HeadSection"/>
    <w:basedOn w:val="Normal"/>
    <w:next w:val="Normal"/>
    <w:qFormat/>
    <w:rsid w:val="00777101"/>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777101"/>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777101"/>
    <w:pPr>
      <w:keepNext/>
      <w:ind w:left="567" w:hanging="567"/>
      <w:jc w:val="left"/>
    </w:pPr>
    <w:rPr>
      <w:b/>
      <w:bCs/>
      <w:iCs/>
      <w:szCs w:val="22"/>
    </w:rPr>
  </w:style>
  <w:style w:type="character" w:customStyle="1" w:styleId="IPPNormalunderlined">
    <w:name w:val="IPP Normal underlined"/>
    <w:basedOn w:val="DefaultParagraphFont"/>
    <w:rsid w:val="00777101"/>
    <w:rPr>
      <w:rFonts w:ascii="Times New Roman" w:hAnsi="Times New Roman"/>
      <w:sz w:val="22"/>
      <w:u w:val="single"/>
      <w:lang w:val="en-US"/>
    </w:rPr>
  </w:style>
  <w:style w:type="paragraph" w:customStyle="1" w:styleId="IPPBullet1">
    <w:name w:val="IPP Bullet1"/>
    <w:basedOn w:val="IPPBullet1Last"/>
    <w:qFormat/>
    <w:rsid w:val="00777101"/>
    <w:pPr>
      <w:numPr>
        <w:numId w:val="9"/>
      </w:numPr>
      <w:spacing w:after="60"/>
      <w:ind w:left="567" w:hanging="567"/>
    </w:pPr>
    <w:rPr>
      <w:lang w:val="en-US"/>
    </w:rPr>
  </w:style>
  <w:style w:type="paragraph" w:customStyle="1" w:styleId="IPPBullet1Last">
    <w:name w:val="IPP Bullet1Last"/>
    <w:basedOn w:val="IPPNormal"/>
    <w:next w:val="IPPNormal"/>
    <w:qFormat/>
    <w:rsid w:val="00777101"/>
    <w:pPr>
      <w:numPr>
        <w:numId w:val="5"/>
      </w:numPr>
    </w:pPr>
  </w:style>
  <w:style w:type="character" w:customStyle="1" w:styleId="IPPNormalstrikethrough">
    <w:name w:val="IPP Normal strikethrough"/>
    <w:rsid w:val="00777101"/>
    <w:rPr>
      <w:rFonts w:ascii="Times New Roman" w:hAnsi="Times New Roman"/>
      <w:strike/>
      <w:dstrike w:val="0"/>
      <w:sz w:val="22"/>
    </w:rPr>
  </w:style>
  <w:style w:type="paragraph" w:customStyle="1" w:styleId="IPPTitle16pt">
    <w:name w:val="IPP Title16pt"/>
    <w:basedOn w:val="Normal"/>
    <w:qFormat/>
    <w:rsid w:val="00777101"/>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777101"/>
    <w:pPr>
      <w:spacing w:after="360"/>
      <w:jc w:val="center"/>
    </w:pPr>
    <w:rPr>
      <w:rFonts w:ascii="Arial" w:hAnsi="Arial" w:cs="Arial"/>
      <w:b/>
      <w:bCs/>
      <w:sz w:val="36"/>
      <w:szCs w:val="36"/>
    </w:rPr>
  </w:style>
  <w:style w:type="paragraph" w:customStyle="1" w:styleId="IPPHeader">
    <w:name w:val="IPP Header"/>
    <w:basedOn w:val="Normal"/>
    <w:qFormat/>
    <w:rsid w:val="00777101"/>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777101"/>
    <w:pPr>
      <w:keepNext/>
      <w:tabs>
        <w:tab w:val="left" w:pos="567"/>
      </w:tabs>
      <w:spacing w:before="120"/>
      <w:jc w:val="left"/>
      <w:outlineLvl w:val="1"/>
    </w:pPr>
    <w:rPr>
      <w:b/>
      <w:sz w:val="24"/>
    </w:rPr>
  </w:style>
  <w:style w:type="numbering" w:customStyle="1" w:styleId="IPPParagraphnumberedlist">
    <w:name w:val="IPP Paragraph numbered list"/>
    <w:rsid w:val="00777101"/>
    <w:pPr>
      <w:numPr>
        <w:numId w:val="3"/>
      </w:numPr>
    </w:pPr>
  </w:style>
  <w:style w:type="paragraph" w:customStyle="1" w:styleId="IPPNormalCloseSpace">
    <w:name w:val="IPP NormalCloseSpace"/>
    <w:basedOn w:val="Normal"/>
    <w:qFormat/>
    <w:rsid w:val="00777101"/>
    <w:pPr>
      <w:keepNext/>
      <w:spacing w:after="60"/>
    </w:pPr>
  </w:style>
  <w:style w:type="paragraph" w:customStyle="1" w:styleId="IPPHeading2">
    <w:name w:val="IPP Heading2"/>
    <w:basedOn w:val="IPPNormal"/>
    <w:next w:val="IPPNormal"/>
    <w:qFormat/>
    <w:rsid w:val="00777101"/>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777101"/>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777101"/>
    <w:pPr>
      <w:tabs>
        <w:tab w:val="right" w:leader="dot" w:pos="9072"/>
      </w:tabs>
      <w:spacing w:before="240"/>
      <w:ind w:left="567" w:hanging="567"/>
    </w:pPr>
  </w:style>
  <w:style w:type="paragraph" w:styleId="TOC2">
    <w:name w:val="toc 2"/>
    <w:basedOn w:val="TOC1"/>
    <w:next w:val="Normal"/>
    <w:autoRedefine/>
    <w:uiPriority w:val="39"/>
    <w:rsid w:val="00777101"/>
    <w:pPr>
      <w:keepNext w:val="0"/>
      <w:tabs>
        <w:tab w:val="left" w:pos="425"/>
      </w:tabs>
      <w:spacing w:before="120" w:after="0"/>
      <w:ind w:left="425" w:right="284" w:hanging="425"/>
    </w:pPr>
  </w:style>
  <w:style w:type="paragraph" w:styleId="TOC3">
    <w:name w:val="toc 3"/>
    <w:basedOn w:val="TOC2"/>
    <w:next w:val="Normal"/>
    <w:autoRedefine/>
    <w:uiPriority w:val="39"/>
    <w:rsid w:val="00777101"/>
    <w:pPr>
      <w:tabs>
        <w:tab w:val="left" w:pos="1276"/>
      </w:tabs>
      <w:spacing w:before="60"/>
      <w:ind w:left="1276" w:hanging="851"/>
    </w:pPr>
    <w:rPr>
      <w:rFonts w:eastAsia="Times"/>
    </w:rPr>
  </w:style>
  <w:style w:type="paragraph" w:styleId="TOC4">
    <w:name w:val="toc 4"/>
    <w:basedOn w:val="Normal"/>
    <w:next w:val="Normal"/>
    <w:autoRedefine/>
    <w:uiPriority w:val="39"/>
    <w:rsid w:val="00777101"/>
    <w:pPr>
      <w:spacing w:after="120"/>
      <w:ind w:left="660"/>
    </w:pPr>
    <w:rPr>
      <w:rFonts w:eastAsia="Times"/>
      <w:lang w:val="en-AU"/>
    </w:rPr>
  </w:style>
  <w:style w:type="paragraph" w:styleId="TOC5">
    <w:name w:val="toc 5"/>
    <w:basedOn w:val="Normal"/>
    <w:next w:val="Normal"/>
    <w:autoRedefine/>
    <w:uiPriority w:val="39"/>
    <w:rsid w:val="00777101"/>
    <w:pPr>
      <w:spacing w:after="120"/>
      <w:ind w:left="880"/>
    </w:pPr>
    <w:rPr>
      <w:rFonts w:eastAsia="Times"/>
      <w:lang w:val="en-AU"/>
    </w:rPr>
  </w:style>
  <w:style w:type="paragraph" w:styleId="TOC6">
    <w:name w:val="toc 6"/>
    <w:basedOn w:val="Normal"/>
    <w:next w:val="Normal"/>
    <w:autoRedefine/>
    <w:uiPriority w:val="39"/>
    <w:rsid w:val="00777101"/>
    <w:pPr>
      <w:spacing w:after="120"/>
      <w:ind w:left="1100"/>
    </w:pPr>
    <w:rPr>
      <w:rFonts w:eastAsia="Times"/>
      <w:lang w:val="en-AU"/>
    </w:rPr>
  </w:style>
  <w:style w:type="paragraph" w:styleId="TOC7">
    <w:name w:val="toc 7"/>
    <w:basedOn w:val="Normal"/>
    <w:next w:val="Normal"/>
    <w:autoRedefine/>
    <w:uiPriority w:val="39"/>
    <w:rsid w:val="00777101"/>
    <w:pPr>
      <w:spacing w:after="120"/>
      <w:ind w:left="1320"/>
    </w:pPr>
    <w:rPr>
      <w:rFonts w:eastAsia="Times"/>
      <w:lang w:val="en-AU"/>
    </w:rPr>
  </w:style>
  <w:style w:type="paragraph" w:styleId="TOC8">
    <w:name w:val="toc 8"/>
    <w:basedOn w:val="Normal"/>
    <w:next w:val="Normal"/>
    <w:autoRedefine/>
    <w:uiPriority w:val="39"/>
    <w:rsid w:val="00777101"/>
    <w:pPr>
      <w:spacing w:after="120"/>
      <w:ind w:left="1540"/>
    </w:pPr>
    <w:rPr>
      <w:rFonts w:eastAsia="Times"/>
      <w:lang w:val="en-AU"/>
    </w:rPr>
  </w:style>
  <w:style w:type="paragraph" w:styleId="TOC9">
    <w:name w:val="toc 9"/>
    <w:basedOn w:val="Normal"/>
    <w:next w:val="Normal"/>
    <w:autoRedefine/>
    <w:uiPriority w:val="39"/>
    <w:rsid w:val="00777101"/>
    <w:pPr>
      <w:spacing w:after="120"/>
      <w:ind w:left="1760"/>
    </w:pPr>
    <w:rPr>
      <w:rFonts w:eastAsia="Times"/>
      <w:lang w:val="en-AU"/>
    </w:rPr>
  </w:style>
  <w:style w:type="paragraph" w:customStyle="1" w:styleId="IPPReferences">
    <w:name w:val="IPP References"/>
    <w:basedOn w:val="IPPNormal"/>
    <w:qFormat/>
    <w:rsid w:val="00777101"/>
    <w:pPr>
      <w:spacing w:after="60"/>
      <w:ind w:left="567" w:hanging="567"/>
    </w:pPr>
  </w:style>
  <w:style w:type="paragraph" w:customStyle="1" w:styleId="IPPArial">
    <w:name w:val="IPP Arial"/>
    <w:basedOn w:val="IPPNormal"/>
    <w:qFormat/>
    <w:rsid w:val="00777101"/>
    <w:pPr>
      <w:spacing w:after="0"/>
    </w:pPr>
    <w:rPr>
      <w:rFonts w:ascii="Arial" w:hAnsi="Arial"/>
      <w:sz w:val="18"/>
    </w:rPr>
  </w:style>
  <w:style w:type="paragraph" w:customStyle="1" w:styleId="IPPArialTable">
    <w:name w:val="IPP Arial Table"/>
    <w:basedOn w:val="IPPArial"/>
    <w:qFormat/>
    <w:rsid w:val="00777101"/>
    <w:pPr>
      <w:spacing w:before="60" w:after="60"/>
      <w:jc w:val="left"/>
    </w:pPr>
  </w:style>
  <w:style w:type="paragraph" w:customStyle="1" w:styleId="IPPHeaderlandscape">
    <w:name w:val="IPP Header landscape"/>
    <w:basedOn w:val="IPPHeader"/>
    <w:qFormat/>
    <w:rsid w:val="00777101"/>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777101"/>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777101"/>
    <w:rPr>
      <w:rFonts w:ascii="Courier" w:eastAsia="Times" w:hAnsi="Courier" w:cs="Times New Roman"/>
      <w:sz w:val="21"/>
      <w:szCs w:val="21"/>
      <w:lang w:val="en-AU"/>
    </w:rPr>
  </w:style>
  <w:style w:type="paragraph" w:customStyle="1" w:styleId="IPPLetterList">
    <w:name w:val="IPP LetterList"/>
    <w:basedOn w:val="IPPBullet2"/>
    <w:qFormat/>
    <w:rsid w:val="00777101"/>
    <w:pPr>
      <w:numPr>
        <w:numId w:val="1"/>
      </w:numPr>
      <w:jc w:val="left"/>
    </w:pPr>
  </w:style>
  <w:style w:type="paragraph" w:customStyle="1" w:styleId="IPPLetterListIndent">
    <w:name w:val="IPP LetterList Indent"/>
    <w:basedOn w:val="IPPLetterList"/>
    <w:qFormat/>
    <w:rsid w:val="00777101"/>
    <w:pPr>
      <w:numPr>
        <w:numId w:val="2"/>
      </w:numPr>
    </w:pPr>
  </w:style>
  <w:style w:type="paragraph" w:customStyle="1" w:styleId="IPPFooterLandscape">
    <w:name w:val="IPP Footer Landscape"/>
    <w:basedOn w:val="IPPHeaderlandscape"/>
    <w:qFormat/>
    <w:rsid w:val="00777101"/>
    <w:pPr>
      <w:pBdr>
        <w:top w:val="single" w:sz="4" w:space="1" w:color="auto"/>
        <w:bottom w:val="none" w:sz="0" w:space="0" w:color="auto"/>
      </w:pBdr>
      <w:jc w:val="right"/>
    </w:pPr>
    <w:rPr>
      <w:b/>
    </w:rPr>
  </w:style>
  <w:style w:type="paragraph" w:customStyle="1" w:styleId="IPPSubheadSpace">
    <w:name w:val="IPP Subhead Space"/>
    <w:basedOn w:val="IPPSubhead"/>
    <w:qFormat/>
    <w:rsid w:val="00777101"/>
    <w:pPr>
      <w:tabs>
        <w:tab w:val="left" w:pos="567"/>
      </w:tabs>
      <w:spacing w:before="60" w:after="60"/>
    </w:pPr>
  </w:style>
  <w:style w:type="paragraph" w:customStyle="1" w:styleId="IPPSubheadSpaceAfter">
    <w:name w:val="IPP Subhead SpaceAfter"/>
    <w:basedOn w:val="IPPSubhead"/>
    <w:qFormat/>
    <w:rsid w:val="00777101"/>
    <w:pPr>
      <w:spacing w:after="60"/>
    </w:pPr>
  </w:style>
  <w:style w:type="paragraph" w:customStyle="1" w:styleId="IPPHdg1Num">
    <w:name w:val="IPP Hdg1Num"/>
    <w:basedOn w:val="IPPHeading1"/>
    <w:next w:val="IPPNormal"/>
    <w:qFormat/>
    <w:rsid w:val="00777101"/>
    <w:pPr>
      <w:numPr>
        <w:numId w:val="6"/>
      </w:numPr>
    </w:pPr>
  </w:style>
  <w:style w:type="paragraph" w:customStyle="1" w:styleId="IPPHdg2Num">
    <w:name w:val="IPP Hdg2Num"/>
    <w:basedOn w:val="IPPHeading2"/>
    <w:next w:val="IPPNormal"/>
    <w:qFormat/>
    <w:rsid w:val="00777101"/>
    <w:pPr>
      <w:numPr>
        <w:ilvl w:val="1"/>
        <w:numId w:val="7"/>
      </w:numPr>
    </w:pPr>
  </w:style>
  <w:style w:type="paragraph" w:customStyle="1" w:styleId="IPPNumberedList">
    <w:name w:val="IPP NumberedList"/>
    <w:basedOn w:val="IPPBullet1"/>
    <w:qFormat/>
    <w:rsid w:val="00777101"/>
    <w:pPr>
      <w:numPr>
        <w:numId w:val="8"/>
      </w:numPr>
    </w:pPr>
  </w:style>
  <w:style w:type="paragraph" w:styleId="Header">
    <w:name w:val="header"/>
    <w:basedOn w:val="Normal"/>
    <w:link w:val="HeaderChar"/>
    <w:rsid w:val="00777101"/>
    <w:pPr>
      <w:tabs>
        <w:tab w:val="center" w:pos="4680"/>
        <w:tab w:val="right" w:pos="9360"/>
      </w:tabs>
    </w:pPr>
  </w:style>
  <w:style w:type="character" w:customStyle="1" w:styleId="HeaderChar">
    <w:name w:val="Header Char"/>
    <w:basedOn w:val="DefaultParagraphFont"/>
    <w:link w:val="Header"/>
    <w:rsid w:val="00777101"/>
    <w:rPr>
      <w:rFonts w:ascii="Times New Roman" w:eastAsia="MS Mincho" w:hAnsi="Times New Roman" w:cs="Times New Roman"/>
      <w:szCs w:val="24"/>
    </w:rPr>
  </w:style>
  <w:style w:type="character" w:styleId="Strong">
    <w:name w:val="Strong"/>
    <w:basedOn w:val="DefaultParagraphFont"/>
    <w:qFormat/>
    <w:rsid w:val="00777101"/>
    <w:rPr>
      <w:b/>
      <w:bCs/>
    </w:rPr>
  </w:style>
  <w:style w:type="paragraph" w:styleId="ListParagraph">
    <w:name w:val="List Paragraph"/>
    <w:basedOn w:val="Normal"/>
    <w:uiPriority w:val="34"/>
    <w:qFormat/>
    <w:rsid w:val="00777101"/>
    <w:pPr>
      <w:spacing w:line="240" w:lineRule="atLeast"/>
      <w:ind w:leftChars="400" w:left="800"/>
    </w:pPr>
    <w:rPr>
      <w:rFonts w:ascii="Verdana" w:eastAsia="Times New Roman" w:hAnsi="Verdana"/>
      <w:sz w:val="20"/>
      <w:lang w:val="nl-NL" w:eastAsia="nl-NL"/>
    </w:rPr>
  </w:style>
  <w:style w:type="paragraph" w:customStyle="1" w:styleId="IPPParagraphnumbering">
    <w:name w:val="IPP Paragraph numbering"/>
    <w:basedOn w:val="IPPNormal"/>
    <w:qFormat/>
    <w:rsid w:val="00777101"/>
    <w:pPr>
      <w:numPr>
        <w:numId w:val="49"/>
      </w:numPr>
    </w:pPr>
    <w:rPr>
      <w:lang w:val="en-US"/>
    </w:rPr>
  </w:style>
  <w:style w:type="paragraph" w:customStyle="1" w:styleId="IPPParagraphnumberingclose">
    <w:name w:val="IPP Paragraph numbering close"/>
    <w:basedOn w:val="IPPParagraphnumbering"/>
    <w:qFormat/>
    <w:rsid w:val="00777101"/>
    <w:pPr>
      <w:keepNext/>
      <w:spacing w:after="60"/>
    </w:pPr>
  </w:style>
  <w:style w:type="paragraph" w:customStyle="1" w:styleId="IPPNumberedListLast">
    <w:name w:val="IPP NumberedListLast"/>
    <w:basedOn w:val="IPPNumberedList"/>
    <w:qFormat/>
    <w:rsid w:val="00777101"/>
    <w:pPr>
      <w:spacing w:after="180"/>
    </w:pPr>
  </w:style>
  <w:style w:type="character" w:styleId="Hyperlink">
    <w:name w:val="Hyperlink"/>
    <w:basedOn w:val="DefaultParagraphFont"/>
    <w:unhideWhenUsed/>
    <w:rsid w:val="00777101"/>
    <w:rPr>
      <w:color w:val="0000FF"/>
      <w:u w:val="single"/>
    </w:rPr>
  </w:style>
  <w:style w:type="character" w:styleId="FollowedHyperlink">
    <w:name w:val="FollowedHyperlink"/>
    <w:basedOn w:val="DefaultParagraphFont"/>
    <w:semiHidden/>
    <w:unhideWhenUsed/>
    <w:rsid w:val="00777101"/>
    <w:rPr>
      <w:color w:val="954F72" w:themeColor="followedHyperlink"/>
      <w:u w:val="single"/>
    </w:rPr>
  </w:style>
  <w:style w:type="character" w:styleId="CommentReference">
    <w:name w:val="annotation reference"/>
    <w:basedOn w:val="DefaultParagraphFont"/>
    <w:uiPriority w:val="99"/>
    <w:unhideWhenUsed/>
    <w:rsid w:val="009456CA"/>
    <w:rPr>
      <w:sz w:val="16"/>
      <w:szCs w:val="16"/>
    </w:rPr>
  </w:style>
  <w:style w:type="paragraph" w:styleId="CommentText">
    <w:name w:val="annotation text"/>
    <w:basedOn w:val="Normal"/>
    <w:link w:val="CommentTextChar"/>
    <w:uiPriority w:val="99"/>
    <w:unhideWhenUsed/>
    <w:qFormat/>
    <w:rsid w:val="009456CA"/>
    <w:rPr>
      <w:sz w:val="20"/>
      <w:szCs w:val="20"/>
    </w:rPr>
  </w:style>
  <w:style w:type="character" w:customStyle="1" w:styleId="CommentTextChar">
    <w:name w:val="Comment Text Char"/>
    <w:basedOn w:val="DefaultParagraphFont"/>
    <w:link w:val="CommentText"/>
    <w:uiPriority w:val="99"/>
    <w:qFormat/>
    <w:rsid w:val="009456C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6CA"/>
    <w:rPr>
      <w:b/>
      <w:bCs/>
    </w:rPr>
  </w:style>
  <w:style w:type="character" w:customStyle="1" w:styleId="CommentSubjectChar">
    <w:name w:val="Comment Subject Char"/>
    <w:basedOn w:val="CommentTextChar"/>
    <w:link w:val="CommentSubject"/>
    <w:uiPriority w:val="99"/>
    <w:semiHidden/>
    <w:rsid w:val="009456CA"/>
    <w:rPr>
      <w:rFonts w:ascii="Times New Roman" w:eastAsia="MS Mincho" w:hAnsi="Times New Roman" w:cs="Times New Roman"/>
      <w:b/>
      <w:bCs/>
      <w:sz w:val="20"/>
      <w:szCs w:val="20"/>
    </w:rPr>
  </w:style>
  <w:style w:type="character" w:customStyle="1" w:styleId="normaltextrun">
    <w:name w:val="normaltextrun"/>
    <w:basedOn w:val="DefaultParagraphFont"/>
    <w:rsid w:val="004735D5"/>
  </w:style>
  <w:style w:type="character" w:styleId="UnresolvedMention">
    <w:name w:val="Unresolved Mention"/>
    <w:basedOn w:val="DefaultParagraphFont"/>
    <w:uiPriority w:val="99"/>
    <w:semiHidden/>
    <w:unhideWhenUsed/>
    <w:rsid w:val="00277EC9"/>
    <w:rPr>
      <w:color w:val="605E5C"/>
      <w:shd w:val="clear" w:color="auto" w:fill="E1DFDD"/>
    </w:rPr>
  </w:style>
  <w:style w:type="paragraph" w:styleId="Revision">
    <w:name w:val="Revision"/>
    <w:hidden/>
    <w:uiPriority w:val="99"/>
    <w:semiHidden/>
    <w:rsid w:val="003F6688"/>
    <w:pPr>
      <w:spacing w:after="0" w:line="240" w:lineRule="auto"/>
    </w:pPr>
    <w:rPr>
      <w:rFonts w:ascii="Times New Roman" w:eastAsia="MS Mincho" w:hAnsi="Times New Roman" w:cs="Times New Roman"/>
      <w:szCs w:val="24"/>
    </w:rPr>
  </w:style>
  <w:style w:type="character" w:styleId="Mention">
    <w:name w:val="Mention"/>
    <w:basedOn w:val="DefaultParagraphFont"/>
    <w:uiPriority w:val="99"/>
    <w:unhideWhenUsed/>
    <w:rsid w:val="004510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esktop\IPPC_2024-06-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F1FFF2-C280-45BD-9955-19CBC72A0C66}">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2.xml><?xml version="1.0" encoding="utf-8"?>
<ds:datastoreItem xmlns:ds="http://schemas.openxmlformats.org/officeDocument/2006/customXml" ds:itemID="{E4FBDF4A-9EFF-4818-BCE6-BF201DCDA6F5}">
  <ds:schemaRefs>
    <ds:schemaRef ds:uri="http://schemas.openxmlformats.org/officeDocument/2006/bibliography"/>
  </ds:schemaRefs>
</ds:datastoreItem>
</file>

<file path=customXml/itemProps3.xml><?xml version="1.0" encoding="utf-8"?>
<ds:datastoreItem xmlns:ds="http://schemas.openxmlformats.org/officeDocument/2006/customXml" ds:itemID="{ED279F87-521B-47D5-965C-E1CB511F0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34BEA-0364-4B9F-9178-A1AD3E8B1D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IPPC_2024-06-17.dotx</Template>
  <TotalTime>1</TotalTime>
  <Pages>16</Pages>
  <Words>7711</Words>
  <Characters>41718</Characters>
  <Application>Microsoft Office Word</Application>
  <DocSecurity>0</DocSecurity>
  <Lines>632</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Rouen</dc:creator>
  <cp:keywords/>
  <dc:description/>
  <cp:lastModifiedBy>Lee, Rebecca (NSPD)</cp:lastModifiedBy>
  <cp:revision>3</cp:revision>
  <dcterms:created xsi:type="dcterms:W3CDTF">2026-03-12T08:31:00Z</dcterms:created>
  <dcterms:modified xsi:type="dcterms:W3CDTF">2026-03-12T08:31:00Z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docLang">
    <vt:lpwstr>en</vt:lpwstr>
  </property>
  <property fmtid="{D5CDD505-2E9C-101B-9397-08002B2CF9AE}" pid="4" name="MediaServiceImageTags">
    <vt:lpwstr/>
  </property>
  <property fmtid="{D5CDD505-2E9C-101B-9397-08002B2CF9AE}" pid="5" name="GrammarlyDocumentId">
    <vt:lpwstr>30727ab8-051f-4304-8e22-29fde59d90d1</vt:lpwstr>
  </property>
</Properties>
</file>