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F4B" w:rsidRPr="00946F4B" w:rsidRDefault="00B121EC" w:rsidP="00946F4B">
      <w:pPr>
        <w:pStyle w:val="IPPHeadSection"/>
      </w:pPr>
      <w:bookmarkStart w:id="0" w:name="_GoBack"/>
      <w:bookmarkEnd w:id="0"/>
      <w:r>
        <w:t>DECLARACIÓN DE COMPROMISO - FACILITACIÓN DE LA APLICACIÓN</w:t>
      </w:r>
    </w:p>
    <w:p w:rsidR="00B121EC" w:rsidRPr="0014043A" w:rsidRDefault="00B121EC" w:rsidP="0014043A">
      <w:pPr>
        <w:pStyle w:val="IPPNormal"/>
        <w:rPr>
          <w:i/>
        </w:rPr>
      </w:pPr>
      <w:r>
        <w:rPr>
          <w:i/>
        </w:rPr>
        <w:t>[Informe de la CMF-2 (2007), Apéndice 11, actualizado por la Secretaría de la CIPF 2012-11 con orientación de la CMF-7 (2012)]</w:t>
      </w:r>
    </w:p>
    <w:p w:rsidR="00B121EC" w:rsidRPr="0014043A" w:rsidRDefault="00B121EC" w:rsidP="0014043A">
      <w:pPr>
        <w:pStyle w:val="IPPNormal"/>
        <w:rPr>
          <w:szCs w:val="22"/>
        </w:rPr>
      </w:pPr>
      <w:r>
        <w:t xml:space="preserve">Se pide a todos los candidatos que lean la información que aparece en el Apéndice 1 </w:t>
      </w:r>
      <w:r w:rsidR="00990CB8">
        <w:t>relativa a</w:t>
      </w:r>
      <w:r>
        <w:t xml:space="preserve"> </w:t>
      </w:r>
      <w:r w:rsidR="003A3D60">
        <w:t xml:space="preserve">cada </w:t>
      </w:r>
      <w:r w:rsidR="00990CB8">
        <w:t>órgano</w:t>
      </w:r>
      <w:r>
        <w:t xml:space="preserve">, que llenen y firmen esta declaración de compromiso y la presenten al mismo tiempo que la designación y el CV.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1"/>
      </w:tblGrid>
      <w:tr w:rsidR="00B121EC" w:rsidRPr="00C243E8" w:rsidTr="00072D40">
        <w:trPr>
          <w:jc w:val="center"/>
        </w:trPr>
        <w:tc>
          <w:tcPr>
            <w:tcW w:w="9061" w:type="dxa"/>
          </w:tcPr>
          <w:p w:rsidR="00B121EC" w:rsidRPr="00C961E1" w:rsidRDefault="00B121EC" w:rsidP="00B121EC">
            <w:pPr>
              <w:rPr>
                <w:szCs w:val="22"/>
              </w:rPr>
            </w:pPr>
            <w:r>
              <w:rPr>
                <w:b/>
              </w:rPr>
              <w:t>1. Órgano de la CIPF</w:t>
            </w:r>
            <w:r>
              <w:t xml:space="preserve"> (Comité de Normas, Grupo técnico, Grupo de trabajo de expertos, etc.):</w:t>
            </w:r>
          </w:p>
          <w:p w:rsidR="00B121EC" w:rsidRPr="00C961E1" w:rsidRDefault="00B121EC" w:rsidP="00B121EC">
            <w:pPr>
              <w:rPr>
                <w:szCs w:val="22"/>
              </w:rPr>
            </w:pPr>
          </w:p>
          <w:p w:rsidR="00B121EC" w:rsidRPr="00C961E1" w:rsidRDefault="00B121EC" w:rsidP="00B121EC">
            <w:pPr>
              <w:rPr>
                <w:szCs w:val="22"/>
              </w:rPr>
            </w:pPr>
          </w:p>
          <w:p w:rsidR="00B121EC" w:rsidRPr="00C961E1" w:rsidRDefault="00B121EC" w:rsidP="00B121EC">
            <w:pPr>
              <w:rPr>
                <w:szCs w:val="22"/>
              </w:rPr>
            </w:pPr>
            <w:r>
              <w:t>Fecha y lugar previstos de reunión, si procede:</w:t>
            </w:r>
          </w:p>
        </w:tc>
      </w:tr>
      <w:tr w:rsidR="00B121EC" w:rsidRPr="00C243E8" w:rsidTr="00072D40">
        <w:tblPrEx>
          <w:shd w:val="clear" w:color="auto" w:fill="FFFFFF"/>
        </w:tblPrEx>
        <w:trPr>
          <w:cantSplit/>
          <w:jc w:val="center"/>
        </w:trPr>
        <w:tc>
          <w:tcPr>
            <w:tcW w:w="9061" w:type="dxa"/>
            <w:tcBorders>
              <w:bottom w:val="single" w:sz="4" w:space="0" w:color="auto"/>
            </w:tcBorders>
            <w:shd w:val="clear" w:color="auto" w:fill="FFFFFF"/>
          </w:tcPr>
          <w:p w:rsidR="00B121EC" w:rsidRPr="00C961E1" w:rsidRDefault="00B121EC" w:rsidP="00B121EC">
            <w:pPr>
              <w:rPr>
                <w:b/>
                <w:szCs w:val="22"/>
              </w:rPr>
            </w:pPr>
            <w:r>
              <w:rPr>
                <w:b/>
              </w:rPr>
              <w:t>2. Candidato:</w:t>
            </w:r>
          </w:p>
          <w:p w:rsidR="00A87DA7" w:rsidRDefault="00B121EC" w:rsidP="00B121EC">
            <w:pPr>
              <w:rPr>
                <w:szCs w:val="22"/>
              </w:rPr>
            </w:pPr>
            <w:r>
              <w:t xml:space="preserve">He leído la información </w:t>
            </w:r>
            <w:r w:rsidR="00990CB8">
              <w:t xml:space="preserve">específica </w:t>
            </w:r>
            <w:r>
              <w:t xml:space="preserve">que se presenta en el Apéndice 1 en lo que respecta a mi designación y, en caso de ser seleccionado, me comprometo a llevar a cabo las tareas y responsabilidades correspondientes y a dedicar el tiempo necesario. También he </w:t>
            </w:r>
            <w:r w:rsidR="00990CB8">
              <w:t>hablado</w:t>
            </w:r>
            <w:r>
              <w:t xml:space="preserve"> con mi empleador </w:t>
            </w:r>
            <w:r w:rsidR="00990CB8">
              <w:t xml:space="preserve">sobre </w:t>
            </w:r>
            <w:r>
              <w:t>el compromiso de tiempo y recursos financieros</w:t>
            </w:r>
            <w:r>
              <w:rPr>
                <w:rStyle w:val="Refdenotaalpie"/>
              </w:rPr>
              <w:footnoteReference w:id="1"/>
            </w:r>
            <w:r>
              <w:t xml:space="preserve"> necesarios (según corresponda) para llevar a cabo mis tareas, en caso de que </w:t>
            </w:r>
            <w:r w:rsidR="00990CB8">
              <w:t xml:space="preserve">se </w:t>
            </w:r>
            <w:r w:rsidR="00990CB8">
              <w:t>apruebe mi candidatura</w:t>
            </w:r>
            <w:r w:rsidR="00990CB8">
              <w:t xml:space="preserve"> para </w:t>
            </w:r>
            <w:r>
              <w:t>el órgano indicado en la sección 1</w:t>
            </w:r>
            <w:r w:rsidR="00990CB8">
              <w:t>, arriba</w:t>
            </w:r>
            <w:r>
              <w:t xml:space="preserve">. </w:t>
            </w:r>
          </w:p>
          <w:p w:rsidR="00A87DA7" w:rsidRDefault="00A87DA7" w:rsidP="00B121EC">
            <w:pPr>
              <w:rPr>
                <w:szCs w:val="22"/>
              </w:rPr>
            </w:pPr>
          </w:p>
          <w:p w:rsidR="00B121EC" w:rsidRPr="003A3D60" w:rsidRDefault="00D33AEF" w:rsidP="00B121EC">
            <w:pPr>
              <w:rPr>
                <w:szCs w:val="22"/>
              </w:rPr>
            </w:pPr>
            <w:r>
              <w:t>También estoy de acuerdo en que, si puedo solicitar ayuda financiera para asistir a la correspondiente reunión de la CIPF y reúno los requisitos para recibirla, he leído y acataré las condiciones establecidas en la sección del Compromiso de los participantes financiados</w:t>
            </w:r>
            <w:r w:rsidR="00990CB8">
              <w:t>,</w:t>
            </w:r>
            <w:r>
              <w:t xml:space="preserve"> de los </w:t>
            </w:r>
            <w:r>
              <w:rPr>
                <w:i/>
              </w:rPr>
              <w:t xml:space="preserve">Criterios para establecer prioridades de los participantes para recibir asistencia para gastos de viaje a fin de asistir </w:t>
            </w:r>
            <w:r w:rsidR="008F16EA">
              <w:rPr>
                <w:i/>
              </w:rPr>
              <w:t>a reuniones organizadas por la S</w:t>
            </w:r>
            <w:r>
              <w:rPr>
                <w:i/>
              </w:rPr>
              <w:t>ecretaría de la CIPF</w:t>
            </w:r>
            <w:r>
              <w:t xml:space="preserve"> </w:t>
            </w:r>
            <w:r w:rsidRPr="003A3D60">
              <w:rPr>
                <w:szCs w:val="22"/>
              </w:rPr>
              <w:t>(</w:t>
            </w:r>
            <w:hyperlink>
              <w:r w:rsidRPr="003A3D60">
                <w:rPr>
                  <w:rStyle w:val="Hipervnculo"/>
                  <w:szCs w:val="22"/>
                </w:rPr>
                <w:t>https://www.ippc.int/publications/criteria-used-prioritizing-participants-receive-travel-assistance-attend-meetings</w:t>
              </w:r>
            </w:hyperlink>
            <w:r w:rsidRPr="003A3D60">
              <w:rPr>
                <w:szCs w:val="22"/>
              </w:rPr>
              <w:t xml:space="preserve">). </w:t>
            </w:r>
          </w:p>
          <w:p w:rsidR="007A041E" w:rsidRPr="003A3D60" w:rsidRDefault="007A041E" w:rsidP="00B121EC">
            <w:pPr>
              <w:rPr>
                <w:szCs w:val="22"/>
              </w:rPr>
            </w:pPr>
          </w:p>
          <w:p w:rsidR="00227AC1" w:rsidRPr="00C961E1" w:rsidRDefault="00227AC1" w:rsidP="00B121EC">
            <w:pPr>
              <w:rPr>
                <w:szCs w:val="22"/>
              </w:rPr>
            </w:pPr>
          </w:p>
          <w:p w:rsidR="00B121EC" w:rsidRPr="00C961E1" w:rsidRDefault="00B121EC" w:rsidP="00C961E1">
            <w:pPr>
              <w:tabs>
                <w:tab w:val="left" w:pos="3600"/>
                <w:tab w:val="left" w:pos="6820"/>
              </w:tabs>
              <w:rPr>
                <w:szCs w:val="22"/>
              </w:rPr>
            </w:pPr>
            <w:r>
              <w:t>________________________________________________</w:t>
            </w:r>
            <w:r>
              <w:tab/>
              <w:t xml:space="preserve"> ____________</w:t>
            </w:r>
          </w:p>
          <w:p w:rsidR="007A041E" w:rsidRPr="00C961E1" w:rsidRDefault="00B121EC" w:rsidP="00C961E1">
            <w:pPr>
              <w:tabs>
                <w:tab w:val="left" w:pos="6820"/>
                <w:tab w:val="left" w:pos="8040"/>
              </w:tabs>
              <w:rPr>
                <w:szCs w:val="22"/>
              </w:rPr>
            </w:pPr>
            <w:r>
              <w:t>Firma</w:t>
            </w:r>
            <w:r>
              <w:tab/>
              <w:t>Fecha</w:t>
            </w:r>
          </w:p>
        </w:tc>
      </w:tr>
      <w:tr w:rsidR="007E016E" w:rsidRPr="00C243E8" w:rsidTr="00072D40">
        <w:tblPrEx>
          <w:shd w:val="clear" w:color="auto" w:fill="FFFFFF"/>
        </w:tblPrEx>
        <w:trPr>
          <w:cantSplit/>
          <w:jc w:val="center"/>
        </w:trPr>
        <w:tc>
          <w:tcPr>
            <w:tcW w:w="9061" w:type="dxa"/>
            <w:tcBorders>
              <w:bottom w:val="single" w:sz="4" w:space="0" w:color="auto"/>
            </w:tcBorders>
            <w:shd w:val="clear" w:color="auto" w:fill="FFFFFF"/>
          </w:tcPr>
          <w:p w:rsidR="00C17D01" w:rsidRPr="00C17D01" w:rsidRDefault="00C17D01" w:rsidP="00C17D01">
            <w:pPr>
              <w:rPr>
                <w:szCs w:val="22"/>
              </w:rPr>
            </w:pPr>
            <w:r>
              <w:rPr>
                <w:b/>
              </w:rPr>
              <w:lastRenderedPageBreak/>
              <w:t xml:space="preserve">3. Autorización (tiempo): </w:t>
            </w:r>
          </w:p>
          <w:p w:rsidR="00C17D01" w:rsidRDefault="00C17D01" w:rsidP="00C17D01">
            <w:pPr>
              <w:rPr>
                <w:szCs w:val="22"/>
              </w:rPr>
            </w:pPr>
            <w:r>
              <w:t xml:space="preserve">He leído la información </w:t>
            </w:r>
            <w:r w:rsidR="007D7E3B">
              <w:t xml:space="preserve">específica </w:t>
            </w:r>
            <w:r>
              <w:t xml:space="preserve">que figura en el Apéndice 1 </w:t>
            </w:r>
            <w:r w:rsidR="007D7E3B">
              <w:t>con relación</w:t>
            </w:r>
            <w:r>
              <w:t xml:space="preserve"> a</w:t>
            </w:r>
            <w:r w:rsidR="007D7E3B">
              <w:t>l candidato</w:t>
            </w:r>
            <w:r>
              <w:t xml:space="preserve"> </w:t>
            </w:r>
            <w:r w:rsidR="007D7E3B">
              <w:t xml:space="preserve">arriba mencionado, </w:t>
            </w:r>
            <w:r>
              <w:t>que está emplead</w:t>
            </w:r>
            <w:r w:rsidR="007D7E3B">
              <w:t>o</w:t>
            </w:r>
            <w:r>
              <w:t xml:space="preserve"> en nuestra organización. Si este candidato resulta seleccionado, me comprometo a asegurar que se asignará el tiempo adecuado para permitir</w:t>
            </w:r>
            <w:r w:rsidR="007D7E3B">
              <w:t xml:space="preserve">le </w:t>
            </w:r>
            <w:r>
              <w:t>asu</w:t>
            </w:r>
            <w:r w:rsidR="007D7E3B">
              <w:t>mir</w:t>
            </w:r>
            <w:r>
              <w:t xml:space="preserve"> las tareas y responsabilidades correspondientes y dedi</w:t>
            </w:r>
            <w:r w:rsidR="007D7E3B">
              <w:t>car</w:t>
            </w:r>
            <w:r>
              <w:t xml:space="preserve"> el tiempo necesario. Tengo la autoridad de mi organización para autorizarlo y comprendo el compromiso de tiempo necesario para llevar a cabo estas funciones. </w:t>
            </w:r>
          </w:p>
          <w:p w:rsidR="00C17D01" w:rsidRDefault="00C17D01" w:rsidP="00C17D01">
            <w:pPr>
              <w:rPr>
                <w:szCs w:val="22"/>
              </w:rPr>
            </w:pPr>
          </w:p>
          <w:p w:rsidR="00C17D01" w:rsidRPr="00C17D01" w:rsidRDefault="00C17D01" w:rsidP="00C17D01">
            <w:pPr>
              <w:rPr>
                <w:szCs w:val="22"/>
              </w:rPr>
            </w:pPr>
          </w:p>
          <w:p w:rsidR="00C17D01" w:rsidRDefault="00C17D01" w:rsidP="00C17D01">
            <w:pPr>
              <w:rPr>
                <w:szCs w:val="22"/>
              </w:rPr>
            </w:pPr>
            <w:r>
              <w:t>_________________________________________________________________________</w:t>
            </w:r>
            <w:r>
              <w:tab/>
            </w:r>
          </w:p>
          <w:p w:rsidR="00C17D01" w:rsidRDefault="00C17D01" w:rsidP="00C17D01">
            <w:pPr>
              <w:tabs>
                <w:tab w:val="left" w:pos="3600"/>
                <w:tab w:val="left" w:pos="6820"/>
              </w:tabs>
              <w:rPr>
                <w:szCs w:val="22"/>
              </w:rPr>
            </w:pPr>
            <w:r>
              <w:t>Nombre, título (en letra de imprenta)</w:t>
            </w:r>
          </w:p>
          <w:p w:rsidR="00C17D01" w:rsidRDefault="00C17D01" w:rsidP="00C17D01">
            <w:pPr>
              <w:tabs>
                <w:tab w:val="left" w:pos="3600"/>
                <w:tab w:val="left" w:pos="6820"/>
              </w:tabs>
              <w:rPr>
                <w:szCs w:val="22"/>
              </w:rPr>
            </w:pPr>
          </w:p>
          <w:p w:rsidR="00C17D01" w:rsidRDefault="00C17D01" w:rsidP="00C17D01">
            <w:pPr>
              <w:tabs>
                <w:tab w:val="left" w:pos="3600"/>
                <w:tab w:val="left" w:pos="6820"/>
              </w:tabs>
              <w:rPr>
                <w:szCs w:val="22"/>
              </w:rPr>
            </w:pPr>
            <w:r>
              <w:t>_________________________________________________________________________</w:t>
            </w:r>
          </w:p>
          <w:p w:rsidR="00C17D01" w:rsidRDefault="00C17D01" w:rsidP="00C17D01">
            <w:pPr>
              <w:tabs>
                <w:tab w:val="left" w:pos="3600"/>
                <w:tab w:val="left" w:pos="6820"/>
              </w:tabs>
              <w:rPr>
                <w:szCs w:val="22"/>
              </w:rPr>
            </w:pPr>
            <w:r>
              <w:t xml:space="preserve">Dirección </w:t>
            </w:r>
          </w:p>
          <w:p w:rsidR="00C17D01" w:rsidRDefault="00C17D01" w:rsidP="00C17D01">
            <w:pPr>
              <w:tabs>
                <w:tab w:val="left" w:pos="3600"/>
                <w:tab w:val="left" w:pos="6820"/>
              </w:tabs>
              <w:rPr>
                <w:szCs w:val="22"/>
              </w:rPr>
            </w:pPr>
          </w:p>
          <w:p w:rsidR="00C17D01" w:rsidRDefault="00C17D01" w:rsidP="00C17D01">
            <w:pPr>
              <w:tabs>
                <w:tab w:val="left" w:pos="3600"/>
                <w:tab w:val="left" w:pos="6820"/>
              </w:tabs>
              <w:rPr>
                <w:szCs w:val="22"/>
              </w:rPr>
            </w:pPr>
            <w:r>
              <w:t>_________________________________________________________________________</w:t>
            </w:r>
          </w:p>
          <w:p w:rsidR="00C17D01" w:rsidRDefault="00C17D01" w:rsidP="00C17D01">
            <w:pPr>
              <w:tabs>
                <w:tab w:val="left" w:pos="3600"/>
                <w:tab w:val="left" w:pos="6820"/>
              </w:tabs>
              <w:rPr>
                <w:szCs w:val="22"/>
              </w:rPr>
            </w:pPr>
            <w:r>
              <w:t>Teléfono</w:t>
            </w:r>
          </w:p>
          <w:p w:rsidR="00C17D01" w:rsidRDefault="00C17D01" w:rsidP="00C17D01">
            <w:pPr>
              <w:tabs>
                <w:tab w:val="left" w:pos="3600"/>
                <w:tab w:val="left" w:pos="6820"/>
              </w:tabs>
              <w:rPr>
                <w:szCs w:val="22"/>
              </w:rPr>
            </w:pPr>
          </w:p>
          <w:p w:rsidR="00C17D01" w:rsidRDefault="00C17D01" w:rsidP="00C17D01">
            <w:pPr>
              <w:tabs>
                <w:tab w:val="left" w:pos="3600"/>
                <w:tab w:val="left" w:pos="6820"/>
              </w:tabs>
              <w:rPr>
                <w:szCs w:val="22"/>
              </w:rPr>
            </w:pPr>
            <w:r>
              <w:t>_________________________________________________________________________</w:t>
            </w:r>
          </w:p>
          <w:p w:rsidR="00C17D01" w:rsidRDefault="00C17D01" w:rsidP="00C17D01">
            <w:pPr>
              <w:tabs>
                <w:tab w:val="left" w:pos="3600"/>
                <w:tab w:val="left" w:pos="6820"/>
              </w:tabs>
              <w:rPr>
                <w:szCs w:val="22"/>
              </w:rPr>
            </w:pPr>
            <w:r>
              <w:t>Correo electrónico:</w:t>
            </w:r>
          </w:p>
          <w:p w:rsidR="00C17D01" w:rsidRDefault="00C17D01" w:rsidP="00C17D01">
            <w:pPr>
              <w:tabs>
                <w:tab w:val="left" w:pos="3600"/>
                <w:tab w:val="left" w:pos="6820"/>
              </w:tabs>
              <w:rPr>
                <w:szCs w:val="22"/>
              </w:rPr>
            </w:pPr>
          </w:p>
          <w:p w:rsidR="00C17D01" w:rsidRPr="00C961E1" w:rsidRDefault="00C17D01" w:rsidP="00C17D01">
            <w:pPr>
              <w:tabs>
                <w:tab w:val="left" w:pos="3600"/>
                <w:tab w:val="left" w:pos="6820"/>
              </w:tabs>
              <w:rPr>
                <w:szCs w:val="22"/>
              </w:rPr>
            </w:pPr>
            <w:r>
              <w:t>________________________________________________</w:t>
            </w:r>
            <w:r>
              <w:tab/>
              <w:t xml:space="preserve"> ____________</w:t>
            </w:r>
          </w:p>
          <w:p w:rsidR="00C17D01" w:rsidRDefault="00C17D01" w:rsidP="00C17D01">
            <w:pPr>
              <w:tabs>
                <w:tab w:val="left" w:pos="6820"/>
                <w:tab w:val="left" w:pos="8040"/>
              </w:tabs>
              <w:rPr>
                <w:szCs w:val="22"/>
              </w:rPr>
            </w:pPr>
            <w:r>
              <w:t>Firma</w:t>
            </w:r>
            <w:r>
              <w:tab/>
              <w:t>Fecha</w:t>
            </w:r>
          </w:p>
          <w:p w:rsidR="00C17D01" w:rsidRPr="00C17D01" w:rsidRDefault="00C17D01" w:rsidP="00C17D01">
            <w:pPr>
              <w:rPr>
                <w:sz w:val="20"/>
                <w:szCs w:val="20"/>
              </w:rPr>
            </w:pPr>
          </w:p>
          <w:p w:rsidR="00C17D01" w:rsidRPr="00C17D01" w:rsidRDefault="00C17D01" w:rsidP="00C17D01">
            <w:pPr>
              <w:rPr>
                <w:sz w:val="20"/>
                <w:szCs w:val="20"/>
              </w:rPr>
            </w:pPr>
            <w:r>
              <w:rPr>
                <w:sz w:val="20"/>
              </w:rPr>
              <w:t> </w:t>
            </w:r>
          </w:p>
          <w:p w:rsidR="00C17D01" w:rsidRPr="00C17D01" w:rsidRDefault="00C17D01" w:rsidP="00C17D01">
            <w:pPr>
              <w:rPr>
                <w:szCs w:val="22"/>
              </w:rPr>
            </w:pPr>
            <w:r>
              <w:rPr>
                <w:b/>
              </w:rPr>
              <w:t xml:space="preserve">4. Autorización (recursos financieros): </w:t>
            </w:r>
          </w:p>
          <w:p w:rsidR="00C17D01" w:rsidRPr="00C17D01" w:rsidRDefault="00072D40" w:rsidP="00C17D01">
            <w:pPr>
              <w:rPr>
                <w:szCs w:val="22"/>
              </w:rPr>
            </w:pPr>
            <w:r>
              <w:t>He leído la información específica que figura en el Apéndice 1 con relación al candidato arriba mencionado</w:t>
            </w:r>
            <w:r w:rsidR="00C17D01">
              <w:t xml:space="preserve"> que está emplead</w:t>
            </w:r>
            <w:r>
              <w:t>o</w:t>
            </w:r>
            <w:r w:rsidR="00C17D01">
              <w:t xml:space="preserve"> en nuestra organización. En caso de que este candidato resultara seleccionado, me comprometo a asegurar que se asignarán los recursos financieros adecuados para permitir que el candidato asuma las tareas y responsabilidades correspondientes. Tengo la autoridad de mi organización para autorizarlo y comprendo los recursos financieros necesarios (según corresponda, véase la nota 1) para llevar a cabo estas funciones. </w:t>
            </w:r>
          </w:p>
          <w:p w:rsidR="00C17D01" w:rsidRPr="00C17D01" w:rsidRDefault="00C17D01" w:rsidP="00C17D01">
            <w:pPr>
              <w:rPr>
                <w:sz w:val="20"/>
                <w:szCs w:val="20"/>
              </w:rPr>
            </w:pPr>
            <w:r>
              <w:rPr>
                <w:sz w:val="20"/>
              </w:rPr>
              <w:t> </w:t>
            </w:r>
          </w:p>
          <w:p w:rsidR="00C17D01" w:rsidRDefault="00D708AF" w:rsidP="00C17D01">
            <w:pPr>
              <w:rPr>
                <w:szCs w:val="22"/>
              </w:rPr>
            </w:pPr>
            <w:r>
              <w:rPr>
                <w:noProof/>
                <w:szCs w:val="22"/>
                <w:lang w:val="es-MX" w:eastAsia="es-MX" w:bidi="ar-SA"/>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635</wp:posOffset>
                      </wp:positionV>
                      <wp:extent cx="151130" cy="166370"/>
                      <wp:effectExtent l="13970" t="6350" r="635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79119343" id="Rectangle 2" o:spid="_x0000_s1026" style="position:absolute;margin-left:-.8pt;margin-top:.05pt;width:11.9pt;height:1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QcIQIAADs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"/>
                  </w:pict>
                </mc:Fallback>
              </mc:AlternateContent>
            </w:r>
            <w:r>
              <w:t xml:space="preserve">      Información de contacto misma que en el punto 3 (si este es el caso, de todas </w:t>
            </w:r>
            <w:proofErr w:type="gramStart"/>
            <w:r w:rsidR="00072D40">
              <w:t>formas</w:t>
            </w:r>
            <w:proofErr w:type="gramEnd"/>
            <w:r w:rsidR="00072D40">
              <w:t xml:space="preserve"> consignar la </w:t>
            </w:r>
            <w:r>
              <w:t>firma y fecha a continuación).</w:t>
            </w:r>
          </w:p>
          <w:p w:rsidR="0026223B" w:rsidRDefault="0026223B" w:rsidP="00C17D01">
            <w:pPr>
              <w:rPr>
                <w:szCs w:val="22"/>
              </w:rPr>
            </w:pPr>
          </w:p>
          <w:p w:rsidR="0026223B" w:rsidRPr="00C17D01" w:rsidRDefault="0026223B" w:rsidP="00C17D01">
            <w:pPr>
              <w:rPr>
                <w:szCs w:val="22"/>
              </w:rPr>
            </w:pPr>
          </w:p>
          <w:p w:rsidR="00C17D01" w:rsidRDefault="00C17D01" w:rsidP="00C17D01">
            <w:pPr>
              <w:rPr>
                <w:szCs w:val="22"/>
              </w:rPr>
            </w:pPr>
            <w:r>
              <w:t>_________________________________________________________________________</w:t>
            </w:r>
            <w:r>
              <w:tab/>
            </w:r>
          </w:p>
          <w:p w:rsidR="00C17D01" w:rsidRDefault="00C17D01" w:rsidP="00C17D01">
            <w:pPr>
              <w:tabs>
                <w:tab w:val="left" w:pos="3600"/>
                <w:tab w:val="left" w:pos="6820"/>
              </w:tabs>
              <w:rPr>
                <w:szCs w:val="22"/>
              </w:rPr>
            </w:pPr>
            <w:r>
              <w:t>Nombre, título (en letra de imprenta)</w:t>
            </w:r>
          </w:p>
          <w:p w:rsidR="00C17D01" w:rsidRDefault="00C17D01" w:rsidP="00C17D01">
            <w:pPr>
              <w:tabs>
                <w:tab w:val="left" w:pos="3600"/>
                <w:tab w:val="left" w:pos="6820"/>
              </w:tabs>
              <w:rPr>
                <w:szCs w:val="22"/>
              </w:rPr>
            </w:pPr>
          </w:p>
          <w:p w:rsidR="00C17D01" w:rsidRDefault="00C17D01" w:rsidP="00C17D01">
            <w:pPr>
              <w:tabs>
                <w:tab w:val="left" w:pos="3600"/>
                <w:tab w:val="left" w:pos="6820"/>
              </w:tabs>
              <w:rPr>
                <w:szCs w:val="22"/>
              </w:rPr>
            </w:pPr>
            <w:r>
              <w:t>_________________________________________________________________________</w:t>
            </w:r>
          </w:p>
          <w:p w:rsidR="00C17D01" w:rsidRDefault="00C17D01" w:rsidP="00C17D01">
            <w:pPr>
              <w:tabs>
                <w:tab w:val="left" w:pos="3600"/>
                <w:tab w:val="left" w:pos="6820"/>
              </w:tabs>
              <w:rPr>
                <w:szCs w:val="22"/>
              </w:rPr>
            </w:pPr>
            <w:r>
              <w:t xml:space="preserve">Dirección </w:t>
            </w:r>
          </w:p>
          <w:p w:rsidR="00C17D01" w:rsidRDefault="00C17D01" w:rsidP="00C17D01">
            <w:pPr>
              <w:tabs>
                <w:tab w:val="left" w:pos="3600"/>
                <w:tab w:val="left" w:pos="6820"/>
              </w:tabs>
              <w:rPr>
                <w:szCs w:val="22"/>
              </w:rPr>
            </w:pPr>
          </w:p>
          <w:p w:rsidR="00C17D01" w:rsidRDefault="00C17D01" w:rsidP="00C17D01">
            <w:pPr>
              <w:tabs>
                <w:tab w:val="left" w:pos="3600"/>
                <w:tab w:val="left" w:pos="6820"/>
              </w:tabs>
              <w:rPr>
                <w:szCs w:val="22"/>
              </w:rPr>
            </w:pPr>
            <w:r>
              <w:t>_________________________________________________________________________</w:t>
            </w:r>
          </w:p>
          <w:p w:rsidR="00C17D01" w:rsidRDefault="00C17D01" w:rsidP="00C17D01">
            <w:pPr>
              <w:tabs>
                <w:tab w:val="left" w:pos="3600"/>
                <w:tab w:val="left" w:pos="6820"/>
              </w:tabs>
              <w:rPr>
                <w:szCs w:val="22"/>
              </w:rPr>
            </w:pPr>
            <w:r>
              <w:t>Teléfono</w:t>
            </w:r>
          </w:p>
          <w:p w:rsidR="00C17D01" w:rsidRDefault="00C17D01" w:rsidP="00C17D01">
            <w:pPr>
              <w:tabs>
                <w:tab w:val="left" w:pos="3600"/>
                <w:tab w:val="left" w:pos="6820"/>
              </w:tabs>
              <w:rPr>
                <w:szCs w:val="22"/>
              </w:rPr>
            </w:pPr>
          </w:p>
          <w:p w:rsidR="00C17D01" w:rsidRDefault="00C17D01" w:rsidP="00C17D01">
            <w:pPr>
              <w:tabs>
                <w:tab w:val="left" w:pos="3600"/>
                <w:tab w:val="left" w:pos="6820"/>
              </w:tabs>
              <w:rPr>
                <w:szCs w:val="22"/>
              </w:rPr>
            </w:pPr>
            <w:r>
              <w:t>_________________________________________________________________________</w:t>
            </w:r>
          </w:p>
          <w:p w:rsidR="00C17D01" w:rsidRDefault="00C17D01" w:rsidP="00C17D01">
            <w:pPr>
              <w:tabs>
                <w:tab w:val="left" w:pos="3600"/>
                <w:tab w:val="left" w:pos="6820"/>
              </w:tabs>
              <w:rPr>
                <w:szCs w:val="22"/>
              </w:rPr>
            </w:pPr>
            <w:r>
              <w:t>Correo electrónico:</w:t>
            </w:r>
          </w:p>
          <w:p w:rsidR="00C17D01" w:rsidRDefault="00C17D01" w:rsidP="00C17D01">
            <w:pPr>
              <w:tabs>
                <w:tab w:val="left" w:pos="3600"/>
                <w:tab w:val="left" w:pos="6820"/>
              </w:tabs>
              <w:rPr>
                <w:szCs w:val="22"/>
              </w:rPr>
            </w:pPr>
          </w:p>
          <w:p w:rsidR="00C17D01" w:rsidRPr="00C961E1" w:rsidRDefault="00C17D01" w:rsidP="00C17D01">
            <w:pPr>
              <w:tabs>
                <w:tab w:val="left" w:pos="3600"/>
                <w:tab w:val="left" w:pos="6820"/>
              </w:tabs>
              <w:rPr>
                <w:szCs w:val="22"/>
              </w:rPr>
            </w:pPr>
            <w:r>
              <w:t>________________________________________________</w:t>
            </w:r>
            <w:r>
              <w:tab/>
              <w:t xml:space="preserve"> ____________</w:t>
            </w:r>
          </w:p>
          <w:p w:rsidR="00C17D01" w:rsidRDefault="00C17D01" w:rsidP="00C17D01">
            <w:pPr>
              <w:tabs>
                <w:tab w:val="left" w:pos="6820"/>
                <w:tab w:val="left" w:pos="8040"/>
              </w:tabs>
              <w:rPr>
                <w:szCs w:val="22"/>
              </w:rPr>
            </w:pPr>
            <w:r>
              <w:t>Firma</w:t>
            </w:r>
            <w:r>
              <w:tab/>
              <w:t>Fecha</w:t>
            </w:r>
          </w:p>
          <w:p w:rsidR="00C17D01" w:rsidRPr="00C17D01" w:rsidRDefault="00C17D01" w:rsidP="00C17D01">
            <w:pPr>
              <w:rPr>
                <w:sz w:val="20"/>
                <w:szCs w:val="20"/>
              </w:rPr>
            </w:pPr>
            <w:r>
              <w:rPr>
                <w:sz w:val="20"/>
              </w:rPr>
              <w:t> </w:t>
            </w:r>
          </w:p>
          <w:p w:rsidR="00C17D01" w:rsidRPr="00C17D01" w:rsidRDefault="00C17D01" w:rsidP="007A041E">
            <w:pPr>
              <w:tabs>
                <w:tab w:val="left" w:pos="6820"/>
                <w:tab w:val="left" w:pos="8040"/>
              </w:tabs>
              <w:rPr>
                <w:szCs w:val="22"/>
              </w:rPr>
            </w:pPr>
          </w:p>
          <w:p w:rsidR="00C17D01" w:rsidRPr="007A041E" w:rsidRDefault="00C17D01" w:rsidP="007A041E">
            <w:pPr>
              <w:tabs>
                <w:tab w:val="left" w:pos="6820"/>
                <w:tab w:val="left" w:pos="8040"/>
              </w:tabs>
              <w:rPr>
                <w:szCs w:val="22"/>
              </w:rPr>
            </w:pPr>
          </w:p>
        </w:tc>
      </w:tr>
      <w:tr w:rsidR="00B121EC" w:rsidRPr="00C243E8" w:rsidTr="00072D40">
        <w:tblPrEx>
          <w:shd w:val="clear" w:color="auto" w:fill="FFFFFF"/>
        </w:tblPrEx>
        <w:trPr>
          <w:cantSplit/>
          <w:jc w:val="center"/>
        </w:trPr>
        <w:tc>
          <w:tcPr>
            <w:tcW w:w="9061" w:type="dxa"/>
            <w:shd w:val="clear" w:color="auto" w:fill="C0C0C0"/>
            <w:vAlign w:val="center"/>
          </w:tcPr>
          <w:p w:rsidR="00B121EC" w:rsidRPr="00C961E1" w:rsidRDefault="00A87DA7" w:rsidP="00B121EC">
            <w:pPr>
              <w:rPr>
                <w:szCs w:val="22"/>
              </w:rPr>
            </w:pPr>
            <w:r>
              <w:lastRenderedPageBreak/>
              <w:br w:type="page"/>
            </w:r>
            <w:r w:rsidR="00B121EC">
              <w:t>Datos de contacto del candidato:</w:t>
            </w:r>
          </w:p>
        </w:tc>
      </w:tr>
      <w:tr w:rsidR="00B121EC" w:rsidRPr="00C243E8" w:rsidTr="00072D40">
        <w:tblPrEx>
          <w:shd w:val="clear" w:color="auto" w:fill="FFFFFF"/>
        </w:tblPrEx>
        <w:trPr>
          <w:cantSplit/>
          <w:jc w:val="center"/>
        </w:trPr>
        <w:tc>
          <w:tcPr>
            <w:tcW w:w="9061" w:type="dxa"/>
            <w:shd w:val="clear" w:color="auto" w:fill="FFFFFF"/>
            <w:vAlign w:val="center"/>
          </w:tcPr>
          <w:p w:rsidR="00B121EC" w:rsidRPr="00C961E1" w:rsidRDefault="00B121EC" w:rsidP="00B121EC">
            <w:pPr>
              <w:rPr>
                <w:szCs w:val="22"/>
              </w:rPr>
            </w:pPr>
            <w:r>
              <w:t>Nombre: (APELLIDO en mayúsculas, nombres)</w:t>
            </w:r>
          </w:p>
        </w:tc>
      </w:tr>
      <w:tr w:rsidR="00B121EC" w:rsidRPr="00C243E8" w:rsidTr="00072D40">
        <w:tblPrEx>
          <w:shd w:val="clear" w:color="auto" w:fill="FFFFFF"/>
        </w:tblPrEx>
        <w:trPr>
          <w:cantSplit/>
          <w:jc w:val="center"/>
        </w:trPr>
        <w:tc>
          <w:tcPr>
            <w:tcW w:w="9061" w:type="dxa"/>
            <w:shd w:val="clear" w:color="auto" w:fill="FFFFFF"/>
            <w:vAlign w:val="center"/>
          </w:tcPr>
          <w:p w:rsidR="00B121EC" w:rsidRPr="00C961E1" w:rsidRDefault="00B121EC" w:rsidP="00B121EC">
            <w:pPr>
              <w:rPr>
                <w:szCs w:val="22"/>
              </w:rPr>
            </w:pPr>
            <w:r>
              <w:t>Correo electrónico:</w:t>
            </w:r>
          </w:p>
        </w:tc>
      </w:tr>
      <w:tr w:rsidR="00B121EC" w:rsidRPr="00C243E8" w:rsidTr="00072D40">
        <w:tblPrEx>
          <w:shd w:val="clear" w:color="auto" w:fill="FFFFFF"/>
        </w:tblPrEx>
        <w:trPr>
          <w:cantSplit/>
          <w:jc w:val="center"/>
        </w:trPr>
        <w:tc>
          <w:tcPr>
            <w:tcW w:w="9061" w:type="dxa"/>
            <w:shd w:val="clear" w:color="auto" w:fill="FFFFFF"/>
            <w:vAlign w:val="center"/>
          </w:tcPr>
          <w:p w:rsidR="00B121EC" w:rsidRPr="00C961E1" w:rsidRDefault="00B121EC" w:rsidP="00B121EC">
            <w:pPr>
              <w:rPr>
                <w:szCs w:val="22"/>
              </w:rPr>
            </w:pPr>
            <w:r>
              <w:t>Teléfono:</w:t>
            </w:r>
          </w:p>
        </w:tc>
      </w:tr>
      <w:tr w:rsidR="00B121EC" w:rsidRPr="00C243E8" w:rsidTr="00072D40">
        <w:tblPrEx>
          <w:shd w:val="clear" w:color="auto" w:fill="FFFFFF"/>
        </w:tblPrEx>
        <w:trPr>
          <w:cantSplit/>
          <w:trHeight w:val="389"/>
          <w:jc w:val="center"/>
        </w:trPr>
        <w:tc>
          <w:tcPr>
            <w:tcW w:w="9061" w:type="dxa"/>
            <w:shd w:val="clear" w:color="auto" w:fill="FFFFFF"/>
            <w:vAlign w:val="center"/>
          </w:tcPr>
          <w:p w:rsidR="00B121EC" w:rsidRPr="00C961E1" w:rsidRDefault="00B121EC" w:rsidP="00B121EC">
            <w:pPr>
              <w:rPr>
                <w:szCs w:val="22"/>
              </w:rPr>
            </w:pPr>
            <w:r>
              <w:t>Fax:</w:t>
            </w:r>
          </w:p>
        </w:tc>
      </w:tr>
      <w:tr w:rsidR="00B121EC" w:rsidRPr="00C243E8" w:rsidTr="00072D40">
        <w:tblPrEx>
          <w:shd w:val="clear" w:color="auto" w:fill="FFFFFF"/>
        </w:tblPrEx>
        <w:trPr>
          <w:cantSplit/>
          <w:jc w:val="center"/>
        </w:trPr>
        <w:tc>
          <w:tcPr>
            <w:tcW w:w="9061" w:type="dxa"/>
            <w:shd w:val="clear" w:color="auto" w:fill="FFFFFF"/>
            <w:vAlign w:val="center"/>
          </w:tcPr>
          <w:p w:rsidR="00B121EC" w:rsidRPr="00C961E1" w:rsidRDefault="00B121EC" w:rsidP="00B121EC">
            <w:pPr>
              <w:rPr>
                <w:szCs w:val="22"/>
              </w:rPr>
            </w:pPr>
            <w:r>
              <w:t>Dirección postal:</w:t>
            </w:r>
          </w:p>
          <w:p w:rsidR="00B121EC" w:rsidRPr="00C961E1" w:rsidRDefault="00B121EC" w:rsidP="00B121EC">
            <w:pPr>
              <w:rPr>
                <w:szCs w:val="22"/>
              </w:rPr>
            </w:pPr>
          </w:p>
          <w:p w:rsidR="00B121EC" w:rsidRPr="00C961E1" w:rsidRDefault="00B121EC" w:rsidP="00B121EC">
            <w:pPr>
              <w:rPr>
                <w:szCs w:val="22"/>
              </w:rPr>
            </w:pPr>
          </w:p>
          <w:p w:rsidR="00B121EC" w:rsidRPr="00C961E1" w:rsidRDefault="00B121EC" w:rsidP="00B121EC">
            <w:pPr>
              <w:rPr>
                <w:szCs w:val="22"/>
              </w:rPr>
            </w:pPr>
          </w:p>
          <w:p w:rsidR="00B121EC" w:rsidRPr="00C961E1" w:rsidRDefault="00B121EC" w:rsidP="00B121EC">
            <w:pPr>
              <w:rPr>
                <w:szCs w:val="22"/>
              </w:rPr>
            </w:pPr>
          </w:p>
          <w:p w:rsidR="00B121EC" w:rsidRPr="00C961E1" w:rsidRDefault="00B121EC" w:rsidP="00B121EC">
            <w:pPr>
              <w:rPr>
                <w:szCs w:val="22"/>
              </w:rPr>
            </w:pPr>
          </w:p>
          <w:p w:rsidR="00B121EC" w:rsidRPr="00C961E1" w:rsidRDefault="00B121EC" w:rsidP="00B121EC">
            <w:pPr>
              <w:rPr>
                <w:szCs w:val="22"/>
              </w:rPr>
            </w:pPr>
          </w:p>
        </w:tc>
      </w:tr>
    </w:tbl>
    <w:p w:rsidR="00B121EC" w:rsidRDefault="00B121EC" w:rsidP="00B121EC"/>
    <w:p w:rsidR="009614D7" w:rsidRDefault="009614D7" w:rsidP="00B121EC">
      <w:pPr>
        <w:jc w:val="right"/>
        <w:rPr>
          <w:b/>
          <w:sz w:val="20"/>
        </w:rPr>
        <w:sectPr w:rsidR="009614D7" w:rsidSect="00C17D01">
          <w:headerReference w:type="even" r:id="rId7"/>
          <w:headerReference w:type="default" r:id="rId8"/>
          <w:footerReference w:type="even" r:id="rId9"/>
          <w:footerReference w:type="default" r:id="rId10"/>
          <w:headerReference w:type="first" r:id="rId11"/>
          <w:footerReference w:type="first" r:id="rId12"/>
          <w:pgSz w:w="11907" w:h="16840" w:code="9"/>
          <w:pgMar w:top="1559" w:right="1418" w:bottom="1418" w:left="1418" w:header="709" w:footer="709" w:gutter="0"/>
          <w:cols w:space="708"/>
          <w:titlePg/>
          <w:docGrid w:linePitch="360"/>
        </w:sectPr>
      </w:pPr>
    </w:p>
    <w:p w:rsidR="00F640AF" w:rsidRDefault="00F640AF" w:rsidP="00B121EC">
      <w:pPr>
        <w:tabs>
          <w:tab w:val="left" w:pos="0"/>
        </w:tabs>
        <w:rPr>
          <w:b/>
          <w:sz w:val="18"/>
          <w:szCs w:val="18"/>
        </w:rPr>
      </w:pPr>
      <w:r>
        <w:rPr>
          <w:b/>
          <w:sz w:val="18"/>
        </w:rPr>
        <w:lastRenderedPageBreak/>
        <w:t>APÉNDICE I</w:t>
      </w:r>
    </w:p>
    <w:p w:rsidR="00F640AF" w:rsidRDefault="00F640AF" w:rsidP="00B121EC">
      <w:pPr>
        <w:tabs>
          <w:tab w:val="left" w:pos="0"/>
        </w:tabs>
        <w:rPr>
          <w:b/>
          <w:sz w:val="18"/>
          <w:szCs w:val="18"/>
        </w:rPr>
      </w:pPr>
    </w:p>
    <w:p w:rsidR="00B121EC" w:rsidRPr="0014043A" w:rsidRDefault="00B121EC" w:rsidP="00B121EC">
      <w:pPr>
        <w:tabs>
          <w:tab w:val="left" w:pos="0"/>
        </w:tabs>
        <w:rPr>
          <w:b/>
          <w:sz w:val="18"/>
          <w:szCs w:val="18"/>
        </w:rPr>
      </w:pPr>
      <w:r>
        <w:rPr>
          <w:b/>
          <w:sz w:val="18"/>
        </w:rPr>
        <w:t>Obligaciones generales de los miembros</w:t>
      </w:r>
      <w:r w:rsidR="00E11BD8">
        <w:rPr>
          <w:b/>
          <w:sz w:val="18"/>
        </w:rPr>
        <w:t>,</w:t>
      </w:r>
      <w:r>
        <w:rPr>
          <w:b/>
          <w:sz w:val="18"/>
        </w:rPr>
        <w:t xml:space="preserve"> pertinentes para todos los </w:t>
      </w:r>
      <w:r w:rsidR="00E11BD8">
        <w:rPr>
          <w:b/>
          <w:sz w:val="18"/>
        </w:rPr>
        <w:t>órganos</w:t>
      </w:r>
      <w:r>
        <w:rPr>
          <w:b/>
          <w:sz w:val="18"/>
        </w:rPr>
        <w:t>:</w:t>
      </w:r>
    </w:p>
    <w:p w:rsidR="00B121EC" w:rsidRPr="0014043A" w:rsidRDefault="00B121EC" w:rsidP="00B121EC">
      <w:pPr>
        <w:numPr>
          <w:ilvl w:val="0"/>
          <w:numId w:val="1"/>
        </w:numPr>
        <w:tabs>
          <w:tab w:val="clear" w:pos="720"/>
          <w:tab w:val="num" w:pos="240"/>
        </w:tabs>
        <w:ind w:left="240" w:hanging="240"/>
        <w:rPr>
          <w:sz w:val="18"/>
          <w:szCs w:val="18"/>
        </w:rPr>
      </w:pPr>
      <w:r>
        <w:rPr>
          <w:sz w:val="18"/>
        </w:rPr>
        <w:t>asign</w:t>
      </w:r>
      <w:r w:rsidR="00E11BD8">
        <w:rPr>
          <w:sz w:val="18"/>
        </w:rPr>
        <w:t>ar</w:t>
      </w:r>
      <w:r>
        <w:rPr>
          <w:sz w:val="18"/>
        </w:rPr>
        <w:t xml:space="preserve"> el tiempo, según corresponda, para viajar a la reunión, asistir a la misma y </w:t>
      </w:r>
      <w:r w:rsidR="00E11BD8">
        <w:rPr>
          <w:sz w:val="18"/>
        </w:rPr>
        <w:t>a</w:t>
      </w:r>
      <w:r>
        <w:rPr>
          <w:sz w:val="18"/>
        </w:rPr>
        <w:t xml:space="preserve"> las actividades complementarias, según sea necesario</w:t>
      </w:r>
    </w:p>
    <w:p w:rsidR="00B121EC" w:rsidRPr="0014043A" w:rsidRDefault="00B121EC" w:rsidP="00B121EC">
      <w:pPr>
        <w:numPr>
          <w:ilvl w:val="0"/>
          <w:numId w:val="1"/>
        </w:numPr>
        <w:tabs>
          <w:tab w:val="clear" w:pos="720"/>
          <w:tab w:val="num" w:pos="240"/>
        </w:tabs>
        <w:ind w:left="240" w:hanging="240"/>
        <w:rPr>
          <w:sz w:val="18"/>
          <w:szCs w:val="18"/>
        </w:rPr>
      </w:pPr>
      <w:r>
        <w:rPr>
          <w:sz w:val="18"/>
        </w:rPr>
        <w:t>consultar y colaborar con los expertos nacionales e internacionales, según corresponda</w:t>
      </w:r>
    </w:p>
    <w:p w:rsidR="00B121EC" w:rsidRPr="0014043A" w:rsidRDefault="00B121EC" w:rsidP="00B121EC">
      <w:pPr>
        <w:numPr>
          <w:ilvl w:val="0"/>
          <w:numId w:val="1"/>
        </w:numPr>
        <w:tabs>
          <w:tab w:val="clear" w:pos="720"/>
          <w:tab w:val="num" w:pos="240"/>
        </w:tabs>
        <w:ind w:left="240" w:hanging="240"/>
        <w:rPr>
          <w:sz w:val="18"/>
          <w:szCs w:val="18"/>
        </w:rPr>
      </w:pPr>
      <w:r>
        <w:rPr>
          <w:sz w:val="18"/>
        </w:rPr>
        <w:t>leer todos los documentos de la reunión antes de la misma y proporcionar documentos de debate y/u observaciones, si fuera necesario</w:t>
      </w:r>
    </w:p>
    <w:p w:rsidR="00B121EC" w:rsidRPr="0014043A" w:rsidRDefault="00B121EC" w:rsidP="00B121EC">
      <w:pPr>
        <w:numPr>
          <w:ilvl w:val="0"/>
          <w:numId w:val="1"/>
        </w:numPr>
        <w:tabs>
          <w:tab w:val="clear" w:pos="720"/>
          <w:tab w:val="num" w:pos="240"/>
        </w:tabs>
        <w:ind w:left="240" w:hanging="240"/>
        <w:rPr>
          <w:sz w:val="18"/>
          <w:szCs w:val="18"/>
        </w:rPr>
      </w:pPr>
      <w:r>
        <w:rPr>
          <w:sz w:val="18"/>
        </w:rPr>
        <w:t xml:space="preserve">mantener un correo electrónico activo y participar en los debates por correo electrónico </w:t>
      </w:r>
      <w:r w:rsidR="00E11BD8">
        <w:rPr>
          <w:sz w:val="18"/>
        </w:rPr>
        <w:t>o conferencias</w:t>
      </w:r>
      <w:r>
        <w:rPr>
          <w:sz w:val="18"/>
        </w:rPr>
        <w:t xml:space="preserve"> virtuales que se produzcan fuera de las fechas y horas de reunión, si fuera necesario</w:t>
      </w:r>
    </w:p>
    <w:p w:rsidR="00B121EC" w:rsidRPr="0014043A" w:rsidRDefault="00B121EC" w:rsidP="00B121EC">
      <w:pPr>
        <w:numPr>
          <w:ilvl w:val="0"/>
          <w:numId w:val="1"/>
        </w:numPr>
        <w:tabs>
          <w:tab w:val="clear" w:pos="720"/>
          <w:tab w:val="num" w:pos="240"/>
        </w:tabs>
        <w:ind w:left="240" w:hanging="240"/>
        <w:rPr>
          <w:sz w:val="18"/>
          <w:szCs w:val="18"/>
        </w:rPr>
      </w:pPr>
      <w:r>
        <w:rPr>
          <w:sz w:val="18"/>
        </w:rPr>
        <w:t>participar como experto individual en su capacidad personal</w:t>
      </w:r>
    </w:p>
    <w:p w:rsidR="00B121EC" w:rsidRPr="00A87DA7" w:rsidRDefault="00B121EC" w:rsidP="00A87DA7">
      <w:pPr>
        <w:numPr>
          <w:ilvl w:val="0"/>
          <w:numId w:val="1"/>
        </w:numPr>
        <w:tabs>
          <w:tab w:val="clear" w:pos="720"/>
          <w:tab w:val="num" w:pos="240"/>
        </w:tabs>
        <w:ind w:left="240" w:hanging="240"/>
        <w:rPr>
          <w:sz w:val="18"/>
          <w:szCs w:val="18"/>
        </w:rPr>
      </w:pPr>
      <w:r>
        <w:rPr>
          <w:sz w:val="18"/>
        </w:rPr>
        <w:t>participar en las reuniones pertinentes durante todo el plazo, y participar en las reuniones virtuales (que no excederán de una mensual), algunas de las cuales pueden tener lugar fuera de las horas diurnas, a fin de dar cabida a la participación de varias zonas horarias</w:t>
      </w:r>
    </w:p>
    <w:p w:rsidR="00B121EC" w:rsidRDefault="00B121EC" w:rsidP="00B121EC">
      <w:pPr>
        <w:numPr>
          <w:ilvl w:val="0"/>
          <w:numId w:val="1"/>
        </w:numPr>
        <w:tabs>
          <w:tab w:val="clear" w:pos="720"/>
          <w:tab w:val="num" w:pos="240"/>
        </w:tabs>
        <w:ind w:left="240" w:hanging="240"/>
        <w:rPr>
          <w:sz w:val="18"/>
          <w:szCs w:val="18"/>
        </w:rPr>
      </w:pPr>
      <w:r>
        <w:rPr>
          <w:sz w:val="18"/>
        </w:rPr>
        <w:t>en caso de no poder asistir a la reunión, proporcionar notificación por escrito a la Secretaría de la CIPF, con suficiente antelación y antes de que se hayan realizado los trámites para el viaje</w:t>
      </w:r>
    </w:p>
    <w:p w:rsidR="00264F6D" w:rsidRPr="0014043A" w:rsidRDefault="00264F6D" w:rsidP="00B121EC">
      <w:pPr>
        <w:numPr>
          <w:ilvl w:val="0"/>
          <w:numId w:val="1"/>
        </w:numPr>
        <w:tabs>
          <w:tab w:val="clear" w:pos="720"/>
          <w:tab w:val="num" w:pos="240"/>
        </w:tabs>
        <w:ind w:left="240" w:hanging="240"/>
        <w:rPr>
          <w:sz w:val="18"/>
          <w:szCs w:val="18"/>
        </w:rPr>
      </w:pPr>
      <w:r>
        <w:rPr>
          <w:sz w:val="18"/>
        </w:rPr>
        <w:t xml:space="preserve">utilizar las herramientas basadas en Internet según corresponda (Adobe </w:t>
      </w:r>
      <w:proofErr w:type="spellStart"/>
      <w:r>
        <w:rPr>
          <w:sz w:val="18"/>
        </w:rPr>
        <w:t>Connect</w:t>
      </w:r>
      <w:proofErr w:type="spellEnd"/>
      <w:r>
        <w:rPr>
          <w:sz w:val="18"/>
        </w:rPr>
        <w:t>, correo electrónico, sistema de observaciones en línea, Skype, foros electrónicos, decisiones electrónicas, etc.).</w:t>
      </w:r>
    </w:p>
    <w:p w:rsidR="00B121EC" w:rsidRPr="0014043A" w:rsidRDefault="00B121EC" w:rsidP="00B121EC">
      <w:pPr>
        <w:numPr>
          <w:ilvl w:val="0"/>
          <w:numId w:val="1"/>
        </w:numPr>
        <w:tabs>
          <w:tab w:val="clear" w:pos="720"/>
          <w:tab w:val="num" w:pos="240"/>
        </w:tabs>
        <w:ind w:left="240" w:hanging="240"/>
        <w:rPr>
          <w:sz w:val="18"/>
          <w:szCs w:val="18"/>
        </w:rPr>
      </w:pPr>
      <w:r>
        <w:rPr>
          <w:sz w:val="18"/>
        </w:rPr>
        <w:t>en el Manual de procedimiento de la CIPF (</w:t>
      </w:r>
      <w:hyperlink r:id="rId13">
        <w:r>
          <w:rPr>
            <w:rStyle w:val="Hipervnculo"/>
            <w:sz w:val="18"/>
          </w:rPr>
          <w:t>https://www.ippc.int/core-activities/ippc-standard-setting-procedure-manual</w:t>
        </w:r>
      </w:hyperlink>
      <w:r>
        <w:rPr>
          <w:sz w:val="18"/>
        </w:rPr>
        <w:t>)</w:t>
      </w:r>
      <w:r w:rsidR="00E11BD8">
        <w:rPr>
          <w:sz w:val="18"/>
        </w:rPr>
        <w:t xml:space="preserve"> figuran más detalles específicos</w:t>
      </w:r>
      <w:r>
        <w:rPr>
          <w:sz w:val="18"/>
        </w:rPr>
        <w:t>.</w:t>
      </w:r>
    </w:p>
    <w:p w:rsidR="00C079A8" w:rsidRDefault="00C079A8" w:rsidP="00B121EC">
      <w:pPr>
        <w:tabs>
          <w:tab w:val="left" w:pos="0"/>
        </w:tabs>
        <w:rPr>
          <w:sz w:val="18"/>
          <w:szCs w:val="18"/>
        </w:rPr>
      </w:pPr>
    </w:p>
    <w:p w:rsidR="00B121EC" w:rsidRDefault="00BF072F" w:rsidP="00B121EC">
      <w:pPr>
        <w:tabs>
          <w:tab w:val="left" w:pos="0"/>
        </w:tabs>
        <w:rPr>
          <w:sz w:val="18"/>
          <w:szCs w:val="18"/>
        </w:rPr>
      </w:pPr>
      <w:r>
        <w:rPr>
          <w:sz w:val="18"/>
        </w:rPr>
        <w:t>Nota: los autores de los protocolos de diagnóstico por lo general no necesitan asistir a las reuniones.</w:t>
      </w:r>
    </w:p>
    <w:p w:rsidR="00B80558" w:rsidRPr="00BF072F" w:rsidRDefault="00B80558" w:rsidP="00B121EC">
      <w:pPr>
        <w:tabs>
          <w:tab w:val="left" w:pos="0"/>
        </w:tabs>
        <w:rPr>
          <w:sz w:val="18"/>
          <w:szCs w:val="18"/>
        </w:rPr>
      </w:pPr>
    </w:p>
    <w:p w:rsidR="00B121EC" w:rsidRPr="0014043A" w:rsidRDefault="00B121EC" w:rsidP="00B121EC">
      <w:pPr>
        <w:tabs>
          <w:tab w:val="left" w:pos="0"/>
        </w:tabs>
        <w:rPr>
          <w:b/>
          <w:sz w:val="18"/>
          <w:szCs w:val="18"/>
        </w:rPr>
      </w:pPr>
      <w:r>
        <w:rPr>
          <w:b/>
          <w:sz w:val="18"/>
        </w:rPr>
        <w:t>Funciones de los miembros del Comité de Normas (CN), además de las anteriores obligaciones generales:</w:t>
      </w:r>
    </w:p>
    <w:p w:rsidR="00B121EC" w:rsidRPr="0014043A" w:rsidRDefault="00B121EC" w:rsidP="00B121EC">
      <w:pPr>
        <w:numPr>
          <w:ilvl w:val="0"/>
          <w:numId w:val="1"/>
        </w:numPr>
        <w:tabs>
          <w:tab w:val="clear" w:pos="720"/>
          <w:tab w:val="num" w:pos="240"/>
        </w:tabs>
        <w:ind w:left="240" w:hanging="240"/>
        <w:rPr>
          <w:sz w:val="18"/>
          <w:szCs w:val="18"/>
        </w:rPr>
      </w:pPr>
      <w:r>
        <w:rPr>
          <w:sz w:val="18"/>
        </w:rPr>
        <w:t>asistir</w:t>
      </w:r>
      <w:r w:rsidR="00AC1AB5">
        <w:rPr>
          <w:sz w:val="18"/>
        </w:rPr>
        <w:t xml:space="preserve"> anualmente</w:t>
      </w:r>
      <w:r>
        <w:rPr>
          <w:sz w:val="18"/>
        </w:rPr>
        <w:t xml:space="preserve"> a dos o tres reuniones del CN en la Sede de la FAO</w:t>
      </w:r>
    </w:p>
    <w:p w:rsidR="00B121EC" w:rsidRPr="0014043A" w:rsidRDefault="00B121EC" w:rsidP="00B121EC">
      <w:pPr>
        <w:numPr>
          <w:ilvl w:val="0"/>
          <w:numId w:val="1"/>
        </w:numPr>
        <w:tabs>
          <w:tab w:val="clear" w:pos="720"/>
          <w:tab w:val="num" w:pos="240"/>
        </w:tabs>
        <w:ind w:left="240" w:hanging="240"/>
        <w:rPr>
          <w:sz w:val="18"/>
          <w:szCs w:val="18"/>
        </w:rPr>
      </w:pPr>
      <w:r>
        <w:rPr>
          <w:sz w:val="18"/>
        </w:rPr>
        <w:t>participar en los talleres regionales para examinar los proyectos de NIMF</w:t>
      </w:r>
    </w:p>
    <w:p w:rsidR="00B121EC" w:rsidRPr="0014043A" w:rsidRDefault="00B121EC" w:rsidP="00B121EC">
      <w:pPr>
        <w:numPr>
          <w:ilvl w:val="0"/>
          <w:numId w:val="1"/>
        </w:numPr>
        <w:tabs>
          <w:tab w:val="clear" w:pos="720"/>
          <w:tab w:val="num" w:pos="240"/>
        </w:tabs>
        <w:ind w:left="240" w:hanging="240"/>
        <w:rPr>
          <w:sz w:val="18"/>
          <w:szCs w:val="18"/>
        </w:rPr>
      </w:pPr>
      <w:r>
        <w:rPr>
          <w:sz w:val="18"/>
        </w:rPr>
        <w:t>participar durante la totalidad del plazo de tres años, según corresponda</w:t>
      </w:r>
    </w:p>
    <w:p w:rsidR="00B121EC" w:rsidRPr="0014043A" w:rsidRDefault="00B121EC" w:rsidP="00B121EC">
      <w:pPr>
        <w:numPr>
          <w:ilvl w:val="0"/>
          <w:numId w:val="1"/>
        </w:numPr>
        <w:tabs>
          <w:tab w:val="clear" w:pos="720"/>
          <w:tab w:val="num" w:pos="240"/>
        </w:tabs>
        <w:ind w:left="240" w:hanging="240"/>
        <w:rPr>
          <w:sz w:val="18"/>
          <w:szCs w:val="18"/>
        </w:rPr>
      </w:pPr>
      <w:r>
        <w:rPr>
          <w:sz w:val="18"/>
        </w:rPr>
        <w:t>otras funciones que se le asignen.</w:t>
      </w:r>
    </w:p>
    <w:p w:rsidR="00B121EC" w:rsidRPr="0014043A" w:rsidRDefault="00B121EC" w:rsidP="00B121EC">
      <w:pPr>
        <w:spacing w:before="120"/>
        <w:rPr>
          <w:sz w:val="18"/>
          <w:szCs w:val="18"/>
        </w:rPr>
      </w:pPr>
      <w:r>
        <w:rPr>
          <w:sz w:val="18"/>
        </w:rPr>
        <w:t xml:space="preserve">Se proporcionan más detalles en los siguientes documentos, que figuran en el </w:t>
      </w:r>
      <w:r>
        <w:rPr>
          <w:i/>
          <w:sz w:val="18"/>
        </w:rPr>
        <w:t>Manual de procedimiento</w:t>
      </w:r>
      <w:r>
        <w:rPr>
          <w:sz w:val="18"/>
        </w:rPr>
        <w:t xml:space="preserve"> de la CIPF:</w:t>
      </w:r>
    </w:p>
    <w:p w:rsidR="00B121EC" w:rsidRPr="00AB3331" w:rsidRDefault="00AC1AB5" w:rsidP="003F031A">
      <w:pPr>
        <w:numPr>
          <w:ilvl w:val="0"/>
          <w:numId w:val="24"/>
        </w:numPr>
        <w:rPr>
          <w:sz w:val="18"/>
          <w:szCs w:val="18"/>
        </w:rPr>
      </w:pPr>
      <w:r>
        <w:rPr>
          <w:sz w:val="18"/>
        </w:rPr>
        <w:t>Atribuciones y R</w:t>
      </w:r>
      <w:r w:rsidR="00B121EC">
        <w:rPr>
          <w:sz w:val="18"/>
        </w:rPr>
        <w:t xml:space="preserve">eglamento del CN </w:t>
      </w:r>
    </w:p>
    <w:p w:rsidR="00B121EC" w:rsidRPr="00AB3331" w:rsidRDefault="00B121EC" w:rsidP="003F031A">
      <w:pPr>
        <w:numPr>
          <w:ilvl w:val="0"/>
          <w:numId w:val="24"/>
        </w:numPr>
        <w:rPr>
          <w:sz w:val="18"/>
          <w:szCs w:val="18"/>
        </w:rPr>
      </w:pPr>
      <w:r>
        <w:rPr>
          <w:sz w:val="18"/>
        </w:rPr>
        <w:t>Directrices sobre las funciones de los miembros del CN</w:t>
      </w:r>
    </w:p>
    <w:p w:rsidR="00B121EC" w:rsidRPr="00AB3331" w:rsidRDefault="00B121EC" w:rsidP="003F031A">
      <w:pPr>
        <w:numPr>
          <w:ilvl w:val="0"/>
          <w:numId w:val="24"/>
        </w:numPr>
        <w:rPr>
          <w:sz w:val="18"/>
          <w:szCs w:val="18"/>
        </w:rPr>
      </w:pPr>
      <w:r>
        <w:rPr>
          <w:sz w:val="18"/>
        </w:rPr>
        <w:t>Directrices sobre la función y las responsabilidades del administrador de una NIMF.</w:t>
      </w:r>
    </w:p>
    <w:p w:rsidR="00A87DA7" w:rsidRPr="0014043A" w:rsidRDefault="00A87DA7" w:rsidP="002C113F">
      <w:pPr>
        <w:ind w:left="600"/>
        <w:rPr>
          <w:sz w:val="18"/>
          <w:szCs w:val="18"/>
        </w:rPr>
      </w:pPr>
    </w:p>
    <w:p w:rsidR="00946F4B" w:rsidRDefault="00BD4C9D" w:rsidP="00AB3331">
      <w:pPr>
        <w:rPr>
          <w:b/>
          <w:sz w:val="18"/>
          <w:szCs w:val="18"/>
        </w:rPr>
      </w:pPr>
      <w:r>
        <w:rPr>
          <w:b/>
          <w:sz w:val="18"/>
        </w:rPr>
        <w:t>Administradores</w:t>
      </w:r>
    </w:p>
    <w:p w:rsidR="00946F4B" w:rsidRDefault="00946F4B" w:rsidP="00AB3331">
      <w:pPr>
        <w:rPr>
          <w:sz w:val="18"/>
          <w:szCs w:val="18"/>
        </w:rPr>
      </w:pPr>
      <w:r>
        <w:rPr>
          <w:sz w:val="18"/>
        </w:rPr>
        <w:t xml:space="preserve">El ayudante del administrador ayudará a éste y asumirá </w:t>
      </w:r>
      <w:r w:rsidR="00420E89">
        <w:rPr>
          <w:sz w:val="18"/>
        </w:rPr>
        <w:t>sus</w:t>
      </w:r>
      <w:r>
        <w:rPr>
          <w:sz w:val="18"/>
        </w:rPr>
        <w:t xml:space="preserve"> funciones si </w:t>
      </w:r>
      <w:r w:rsidR="00420E89">
        <w:rPr>
          <w:sz w:val="18"/>
        </w:rPr>
        <w:t>fuera necesario</w:t>
      </w:r>
      <w:r>
        <w:rPr>
          <w:sz w:val="18"/>
        </w:rPr>
        <w:t>. El ayudante del administrador no tiene que asistir a las reuniones.</w:t>
      </w:r>
    </w:p>
    <w:p w:rsidR="00946F4B" w:rsidRDefault="00946F4B" w:rsidP="00AB3331">
      <w:pPr>
        <w:rPr>
          <w:sz w:val="18"/>
          <w:szCs w:val="18"/>
        </w:rPr>
      </w:pPr>
    </w:p>
    <w:p w:rsidR="00BD4C9D" w:rsidRDefault="00BD4C9D" w:rsidP="00AB3331">
      <w:pPr>
        <w:rPr>
          <w:sz w:val="18"/>
          <w:szCs w:val="18"/>
        </w:rPr>
      </w:pPr>
      <w:r>
        <w:rPr>
          <w:sz w:val="18"/>
        </w:rPr>
        <w:t xml:space="preserve">Si el miembro </w:t>
      </w:r>
      <w:r w:rsidR="00420E89">
        <w:rPr>
          <w:sz w:val="18"/>
        </w:rPr>
        <w:t>acepta</w:t>
      </w:r>
      <w:r>
        <w:rPr>
          <w:sz w:val="18"/>
        </w:rPr>
        <w:t xml:space="preserve"> ser administrador:</w:t>
      </w:r>
    </w:p>
    <w:p w:rsidR="00946F4B" w:rsidRDefault="00946F4B" w:rsidP="00AB3331">
      <w:pPr>
        <w:rPr>
          <w:sz w:val="18"/>
          <w:szCs w:val="18"/>
        </w:rPr>
      </w:pPr>
    </w:p>
    <w:p w:rsidR="00946F4B" w:rsidRPr="00946F4B" w:rsidRDefault="00946F4B" w:rsidP="00AB3331">
      <w:pPr>
        <w:rPr>
          <w:sz w:val="18"/>
          <w:szCs w:val="18"/>
        </w:rPr>
      </w:pPr>
      <w:r>
        <w:rPr>
          <w:sz w:val="18"/>
        </w:rPr>
        <w:t>De un grupo de redacción de expertos:</w:t>
      </w:r>
    </w:p>
    <w:p w:rsidR="00BD4C9D" w:rsidRDefault="007E644F" w:rsidP="00AB3331">
      <w:pPr>
        <w:numPr>
          <w:ilvl w:val="0"/>
          <w:numId w:val="1"/>
        </w:numPr>
        <w:tabs>
          <w:tab w:val="clear" w:pos="720"/>
          <w:tab w:val="num" w:pos="240"/>
        </w:tabs>
        <w:ind w:left="240" w:hanging="240"/>
        <w:rPr>
          <w:sz w:val="18"/>
          <w:szCs w:val="18"/>
        </w:rPr>
      </w:pPr>
      <w:r>
        <w:rPr>
          <w:sz w:val="18"/>
        </w:rPr>
        <w:t xml:space="preserve">acepta representar al CN a lo largo de todo el proceso de establecimiento de normas del proyecto de NIMF, lo que incluye el examen de las observaciones y la revisión de proyectos de normas con seguimiento de los cambios en las distintas etapas del proceso </w:t>
      </w:r>
      <w:r w:rsidR="00420E89">
        <w:rPr>
          <w:sz w:val="18"/>
        </w:rPr>
        <w:t>normativo</w:t>
      </w:r>
      <w:r>
        <w:rPr>
          <w:sz w:val="18"/>
        </w:rPr>
        <w:t xml:space="preserve">, tal como se expone en el </w:t>
      </w:r>
      <w:r>
        <w:rPr>
          <w:i/>
          <w:sz w:val="18"/>
        </w:rPr>
        <w:t>Manual de procedimiento</w:t>
      </w:r>
      <w:r>
        <w:rPr>
          <w:sz w:val="18"/>
        </w:rPr>
        <w:t xml:space="preserve"> de la CIPF. En algunos casos, esto supondrá examinar un gran número de observaciones y dar respuesta a las mismas en un plazo muy corto, predeterminado.</w:t>
      </w:r>
    </w:p>
    <w:p w:rsidR="007E644F" w:rsidRDefault="00420E89" w:rsidP="00AB3331">
      <w:pPr>
        <w:numPr>
          <w:ilvl w:val="0"/>
          <w:numId w:val="1"/>
        </w:numPr>
        <w:tabs>
          <w:tab w:val="clear" w:pos="720"/>
          <w:tab w:val="num" w:pos="240"/>
        </w:tabs>
        <w:ind w:left="240" w:hanging="240"/>
        <w:rPr>
          <w:sz w:val="18"/>
          <w:szCs w:val="18"/>
        </w:rPr>
      </w:pPr>
      <w:r>
        <w:rPr>
          <w:sz w:val="18"/>
        </w:rPr>
        <w:t>acepta preparar</w:t>
      </w:r>
      <w:r w:rsidR="00BD4C9D">
        <w:rPr>
          <w:sz w:val="18"/>
        </w:rPr>
        <w:t xml:space="preserve"> documentos pertinentes al CN y asistir a las reuniones del </w:t>
      </w:r>
      <w:r>
        <w:rPr>
          <w:sz w:val="18"/>
        </w:rPr>
        <w:t>mismo</w:t>
      </w:r>
      <w:r w:rsidR="00BD4C9D">
        <w:rPr>
          <w:sz w:val="18"/>
        </w:rPr>
        <w:t xml:space="preserve"> (posiblemente en modalidad virtual) donde se debatirá el proyecto de norma </w:t>
      </w:r>
    </w:p>
    <w:p w:rsidR="00AB3331" w:rsidRDefault="00AB3331" w:rsidP="00AB3331">
      <w:pPr>
        <w:rPr>
          <w:sz w:val="18"/>
          <w:szCs w:val="18"/>
        </w:rPr>
      </w:pPr>
    </w:p>
    <w:p w:rsidR="007E644F" w:rsidRPr="00946F4B" w:rsidRDefault="00946F4B" w:rsidP="00AB3331">
      <w:pPr>
        <w:rPr>
          <w:sz w:val="18"/>
          <w:szCs w:val="18"/>
        </w:rPr>
      </w:pPr>
      <w:r>
        <w:rPr>
          <w:sz w:val="18"/>
        </w:rPr>
        <w:t>De un grupo técnico:</w:t>
      </w:r>
    </w:p>
    <w:p w:rsidR="00B121EC" w:rsidRPr="007E644F" w:rsidRDefault="007E644F" w:rsidP="00AB3331">
      <w:pPr>
        <w:numPr>
          <w:ilvl w:val="0"/>
          <w:numId w:val="1"/>
        </w:numPr>
        <w:tabs>
          <w:tab w:val="clear" w:pos="720"/>
          <w:tab w:val="num" w:pos="240"/>
        </w:tabs>
        <w:ind w:left="240" w:hanging="240"/>
        <w:rPr>
          <w:sz w:val="18"/>
          <w:szCs w:val="18"/>
        </w:rPr>
      </w:pPr>
      <w:r>
        <w:rPr>
          <w:sz w:val="18"/>
        </w:rPr>
        <w:t>acepta proporcionar asesoramiento y orientación a los miembros del grupo de expertos y a la Secretaría de la CIPF sobre diversas cuestiones relac</w:t>
      </w:r>
      <w:r w:rsidR="008757F8">
        <w:rPr>
          <w:sz w:val="18"/>
        </w:rPr>
        <w:t>ionadas con el grupo pertinente</w:t>
      </w:r>
      <w:r>
        <w:rPr>
          <w:sz w:val="18"/>
        </w:rPr>
        <w:t xml:space="preserve">, tomar decisiones en nombre del grupo, representar al grupo en todas las reuniones del CN y asistir a todas las reuniones anuales del grupo técnico </w:t>
      </w:r>
    </w:p>
    <w:p w:rsidR="00946F4B" w:rsidRDefault="00946F4B" w:rsidP="00B121EC">
      <w:pPr>
        <w:ind w:left="240"/>
        <w:rPr>
          <w:sz w:val="18"/>
          <w:szCs w:val="18"/>
        </w:rPr>
      </w:pPr>
    </w:p>
    <w:p w:rsidR="00B121EC" w:rsidRPr="0014043A" w:rsidRDefault="00B121EC" w:rsidP="00B121EC">
      <w:pPr>
        <w:tabs>
          <w:tab w:val="left" w:pos="0"/>
        </w:tabs>
        <w:rPr>
          <w:sz w:val="18"/>
          <w:szCs w:val="18"/>
        </w:rPr>
      </w:pPr>
      <w:r>
        <w:rPr>
          <w:b/>
          <w:sz w:val="18"/>
        </w:rPr>
        <w:t>Funciones de los miembros del grupo técnico, además de las anteriores obligaciones generales:</w:t>
      </w:r>
    </w:p>
    <w:p w:rsidR="00B121EC" w:rsidRPr="00A87DA7" w:rsidRDefault="00B121EC" w:rsidP="00B121EC">
      <w:pPr>
        <w:numPr>
          <w:ilvl w:val="0"/>
          <w:numId w:val="1"/>
        </w:numPr>
        <w:tabs>
          <w:tab w:val="clear" w:pos="720"/>
          <w:tab w:val="num" w:pos="240"/>
        </w:tabs>
        <w:ind w:left="240" w:hanging="240"/>
        <w:rPr>
          <w:sz w:val="18"/>
          <w:szCs w:val="18"/>
        </w:rPr>
      </w:pPr>
      <w:r>
        <w:rPr>
          <w:sz w:val="18"/>
        </w:rPr>
        <w:t xml:space="preserve">asistir al menos a una reunión anual y </w:t>
      </w:r>
      <w:r w:rsidR="008757F8">
        <w:rPr>
          <w:sz w:val="18"/>
        </w:rPr>
        <w:t xml:space="preserve">a </w:t>
      </w:r>
      <w:r>
        <w:rPr>
          <w:sz w:val="18"/>
        </w:rPr>
        <w:t>varias reuniones virtuales (no excederán de una por mes)</w:t>
      </w:r>
    </w:p>
    <w:p w:rsidR="00B121EC" w:rsidRPr="0014043A" w:rsidRDefault="007E644F" w:rsidP="00B121EC">
      <w:pPr>
        <w:numPr>
          <w:ilvl w:val="0"/>
          <w:numId w:val="1"/>
        </w:numPr>
        <w:tabs>
          <w:tab w:val="clear" w:pos="720"/>
          <w:tab w:val="num" w:pos="240"/>
        </w:tabs>
        <w:ind w:left="240" w:hanging="240"/>
        <w:rPr>
          <w:sz w:val="18"/>
          <w:szCs w:val="18"/>
        </w:rPr>
      </w:pPr>
      <w:r>
        <w:rPr>
          <w:sz w:val="18"/>
        </w:rPr>
        <w:t>participar en el grupo técnico durante la totalidad del quinquenio</w:t>
      </w:r>
    </w:p>
    <w:p w:rsidR="00B121EC" w:rsidRDefault="00BD4C9D" w:rsidP="00B121EC">
      <w:pPr>
        <w:numPr>
          <w:ilvl w:val="0"/>
          <w:numId w:val="1"/>
        </w:numPr>
        <w:tabs>
          <w:tab w:val="clear" w:pos="720"/>
          <w:tab w:val="num" w:pos="240"/>
        </w:tabs>
        <w:ind w:left="240" w:hanging="240"/>
        <w:rPr>
          <w:sz w:val="18"/>
          <w:szCs w:val="18"/>
        </w:rPr>
      </w:pPr>
      <w:r>
        <w:rPr>
          <w:sz w:val="18"/>
        </w:rPr>
        <w:t>otras funciones que se le asignen</w:t>
      </w:r>
    </w:p>
    <w:p w:rsidR="00BD4C9D" w:rsidRDefault="008757F8" w:rsidP="00B121EC">
      <w:pPr>
        <w:numPr>
          <w:ilvl w:val="0"/>
          <w:numId w:val="1"/>
        </w:numPr>
        <w:tabs>
          <w:tab w:val="clear" w:pos="720"/>
          <w:tab w:val="num" w:pos="240"/>
        </w:tabs>
        <w:ind w:left="240" w:hanging="240"/>
        <w:rPr>
          <w:sz w:val="18"/>
          <w:szCs w:val="18"/>
        </w:rPr>
      </w:pPr>
      <w:r>
        <w:rPr>
          <w:sz w:val="18"/>
        </w:rPr>
        <w:t>l</w:t>
      </w:r>
      <w:r w:rsidR="00D35B10">
        <w:rPr>
          <w:sz w:val="18"/>
        </w:rPr>
        <w:t xml:space="preserve">os miembros </w:t>
      </w:r>
      <w:r>
        <w:rPr>
          <w:sz w:val="18"/>
        </w:rPr>
        <w:t>del grupo</w:t>
      </w:r>
      <w:r w:rsidR="00D35B10">
        <w:rPr>
          <w:sz w:val="18"/>
        </w:rPr>
        <w:t xml:space="preserve"> técnico sobre protocolos de diagnóstico aceptan garantizar </w:t>
      </w:r>
      <w:r>
        <w:rPr>
          <w:sz w:val="18"/>
        </w:rPr>
        <w:t>la marcha de</w:t>
      </w:r>
      <w:r w:rsidR="00D35B10">
        <w:rPr>
          <w:sz w:val="18"/>
        </w:rPr>
        <w:t xml:space="preserve"> la elaboración de </w:t>
      </w:r>
      <w:r>
        <w:rPr>
          <w:sz w:val="18"/>
        </w:rPr>
        <w:t xml:space="preserve">los </w:t>
      </w:r>
      <w:r w:rsidR="00D35B10">
        <w:rPr>
          <w:sz w:val="18"/>
        </w:rPr>
        <w:t>protocolos de diagnóstico individuales que se les asignen, comunicarse e intercambiar opiniones con los grupos editoriales y autores según sea necesario, e intervenir, según convenga, a fin de garantizar que los protocolos de diagnóstico se elaboren y examinen, según lo acordado</w:t>
      </w:r>
      <w:r>
        <w:rPr>
          <w:sz w:val="18"/>
        </w:rPr>
        <w:t xml:space="preserve"> en el plan de trabajo de este g</w:t>
      </w:r>
      <w:r w:rsidR="00D35B10">
        <w:rPr>
          <w:sz w:val="18"/>
        </w:rPr>
        <w:t>rupo técnico.  Proporcionar actualizaciones a la Secretaría de la CIPF sobre cada protocolo de diagnóstico cuando se solicite.</w:t>
      </w:r>
    </w:p>
    <w:p w:rsidR="00FB3D6A" w:rsidRPr="00FB3D6A" w:rsidRDefault="00D35B10" w:rsidP="00FB3D6A">
      <w:pPr>
        <w:numPr>
          <w:ilvl w:val="0"/>
          <w:numId w:val="1"/>
        </w:numPr>
        <w:tabs>
          <w:tab w:val="clear" w:pos="720"/>
          <w:tab w:val="num" w:pos="240"/>
        </w:tabs>
        <w:ind w:left="240" w:hanging="240"/>
        <w:rPr>
          <w:sz w:val="18"/>
          <w:szCs w:val="18"/>
        </w:rPr>
      </w:pPr>
      <w:r>
        <w:rPr>
          <w:sz w:val="18"/>
        </w:rPr>
        <w:t xml:space="preserve">Los miembros </w:t>
      </w:r>
      <w:r w:rsidR="008757F8">
        <w:rPr>
          <w:sz w:val="18"/>
        </w:rPr>
        <w:t>del grupo</w:t>
      </w:r>
      <w:r>
        <w:rPr>
          <w:sz w:val="18"/>
        </w:rPr>
        <w:t xml:space="preserve"> técnico sobre tratamientos fitosanitarios aceptan asegurar el adelanto de los trabajos de elaboración de tratamientos fitosanitarios que se les hayan asignado e intervenir, según proceda, para asegurar la elaboración y examen de tratamientos fitosanitarios, de conformidad con el plan de trabajo de este Grupo técnico. Como dirección del Grupo técnico para cada </w:t>
      </w:r>
      <w:r w:rsidR="008806C6">
        <w:rPr>
          <w:sz w:val="18"/>
        </w:rPr>
        <w:t>tratamiento</w:t>
      </w:r>
      <w:r>
        <w:rPr>
          <w:sz w:val="18"/>
        </w:rPr>
        <w:t xml:space="preserve"> fitosanitario, proporcionar actualizaciones por escrito a la Secretaría de la CIPF sobre cada </w:t>
      </w:r>
      <w:r w:rsidR="008806C6">
        <w:rPr>
          <w:sz w:val="18"/>
        </w:rPr>
        <w:t>tratamiento</w:t>
      </w:r>
      <w:r>
        <w:rPr>
          <w:sz w:val="18"/>
        </w:rPr>
        <w:t xml:space="preserve"> fitosanitario antes de cada reunión virtual (mensual a trimestralmente).</w:t>
      </w:r>
    </w:p>
    <w:p w:rsidR="00B121EC" w:rsidRPr="0014043A" w:rsidRDefault="00B121EC" w:rsidP="00B121EC">
      <w:pPr>
        <w:spacing w:before="120"/>
        <w:rPr>
          <w:sz w:val="18"/>
          <w:szCs w:val="18"/>
        </w:rPr>
      </w:pPr>
      <w:r>
        <w:rPr>
          <w:sz w:val="18"/>
        </w:rPr>
        <w:lastRenderedPageBreak/>
        <w:t xml:space="preserve">Se proporcionan más detalles en el </w:t>
      </w:r>
      <w:r>
        <w:rPr>
          <w:i/>
          <w:sz w:val="18"/>
        </w:rPr>
        <w:t>Manual de procedimiento</w:t>
      </w:r>
      <w:r>
        <w:rPr>
          <w:sz w:val="18"/>
        </w:rPr>
        <w:t xml:space="preserve"> de la CIPF y en el PFI (www.ippc.int):</w:t>
      </w:r>
    </w:p>
    <w:p w:rsidR="00B121EC" w:rsidRPr="0014043A" w:rsidRDefault="00B121EC" w:rsidP="003F031A">
      <w:pPr>
        <w:numPr>
          <w:ilvl w:val="0"/>
          <w:numId w:val="25"/>
        </w:numPr>
        <w:rPr>
          <w:sz w:val="18"/>
          <w:szCs w:val="18"/>
        </w:rPr>
      </w:pPr>
      <w:r>
        <w:rPr>
          <w:sz w:val="18"/>
        </w:rPr>
        <w:t xml:space="preserve">Atribuciones y reglamento de los </w:t>
      </w:r>
      <w:r w:rsidR="008806C6">
        <w:rPr>
          <w:sz w:val="18"/>
        </w:rPr>
        <w:t>tratamientos</w:t>
      </w:r>
      <w:r>
        <w:rPr>
          <w:sz w:val="18"/>
        </w:rPr>
        <w:t xml:space="preserve"> fitosanitarios</w:t>
      </w:r>
    </w:p>
    <w:p w:rsidR="00B121EC" w:rsidRPr="0014043A" w:rsidRDefault="00B121EC" w:rsidP="003F031A">
      <w:pPr>
        <w:numPr>
          <w:ilvl w:val="0"/>
          <w:numId w:val="25"/>
        </w:numPr>
        <w:rPr>
          <w:sz w:val="18"/>
          <w:szCs w:val="18"/>
        </w:rPr>
      </w:pPr>
      <w:r>
        <w:rPr>
          <w:sz w:val="18"/>
        </w:rPr>
        <w:t>Directrices para la composición y organización de los grupos de trabajo de expertos</w:t>
      </w:r>
    </w:p>
    <w:p w:rsidR="00B121EC" w:rsidRDefault="00B121EC" w:rsidP="003F031A">
      <w:pPr>
        <w:numPr>
          <w:ilvl w:val="0"/>
          <w:numId w:val="25"/>
        </w:numPr>
        <w:rPr>
          <w:sz w:val="18"/>
          <w:szCs w:val="18"/>
        </w:rPr>
      </w:pPr>
      <w:r>
        <w:rPr>
          <w:sz w:val="18"/>
        </w:rPr>
        <w:t>Directrices para el funcionamiento de los grupos de trabajo de expertos</w:t>
      </w:r>
    </w:p>
    <w:p w:rsidR="00946F4B" w:rsidRPr="0014043A" w:rsidRDefault="00946F4B" w:rsidP="003F031A">
      <w:pPr>
        <w:numPr>
          <w:ilvl w:val="0"/>
          <w:numId w:val="25"/>
        </w:numPr>
        <w:rPr>
          <w:sz w:val="18"/>
          <w:szCs w:val="18"/>
        </w:rPr>
      </w:pPr>
      <w:r>
        <w:rPr>
          <w:sz w:val="18"/>
        </w:rPr>
        <w:t>Especificaciones</w:t>
      </w:r>
    </w:p>
    <w:p w:rsidR="00B121EC" w:rsidRPr="0014043A" w:rsidRDefault="00B121EC" w:rsidP="00B121EC">
      <w:pPr>
        <w:ind w:left="240"/>
        <w:rPr>
          <w:sz w:val="18"/>
          <w:szCs w:val="18"/>
        </w:rPr>
      </w:pPr>
    </w:p>
    <w:p w:rsidR="00B121EC" w:rsidRPr="0014043A" w:rsidRDefault="00B121EC" w:rsidP="00B121EC">
      <w:pPr>
        <w:tabs>
          <w:tab w:val="left" w:pos="0"/>
        </w:tabs>
        <w:rPr>
          <w:sz w:val="18"/>
          <w:szCs w:val="18"/>
        </w:rPr>
      </w:pPr>
      <w:r>
        <w:rPr>
          <w:b/>
          <w:sz w:val="18"/>
        </w:rPr>
        <w:t>Funciones de los miembros del grupo de trabajo de expertos (o grupo especializado), además de las anteriores obligaciones generales:</w:t>
      </w:r>
    </w:p>
    <w:p w:rsidR="00B121EC" w:rsidRPr="003E2BD8" w:rsidRDefault="003E2BD8" w:rsidP="003E2BD8">
      <w:pPr>
        <w:numPr>
          <w:ilvl w:val="0"/>
          <w:numId w:val="1"/>
        </w:numPr>
        <w:tabs>
          <w:tab w:val="clear" w:pos="720"/>
          <w:tab w:val="num" w:pos="240"/>
        </w:tabs>
        <w:ind w:left="240" w:hanging="240"/>
        <w:rPr>
          <w:sz w:val="18"/>
          <w:szCs w:val="18"/>
        </w:rPr>
      </w:pPr>
      <w:r>
        <w:rPr>
          <w:sz w:val="18"/>
        </w:rPr>
        <w:t>asistir al menos a una reunión y, si se requiere, a varias reuniones virtuales (no excederán de una por mes)</w:t>
      </w:r>
    </w:p>
    <w:p w:rsidR="00B121EC" w:rsidRPr="0014043A" w:rsidRDefault="00B121EC" w:rsidP="00B121EC">
      <w:pPr>
        <w:numPr>
          <w:ilvl w:val="0"/>
          <w:numId w:val="1"/>
        </w:numPr>
        <w:tabs>
          <w:tab w:val="clear" w:pos="720"/>
          <w:tab w:val="num" w:pos="240"/>
        </w:tabs>
        <w:ind w:left="240" w:hanging="240"/>
        <w:rPr>
          <w:sz w:val="18"/>
          <w:szCs w:val="18"/>
        </w:rPr>
      </w:pPr>
      <w:r>
        <w:rPr>
          <w:sz w:val="18"/>
        </w:rPr>
        <w:t>otras funciones que se le asignen.</w:t>
      </w:r>
    </w:p>
    <w:p w:rsidR="00B121EC" w:rsidRPr="0014043A" w:rsidRDefault="00B121EC" w:rsidP="00B121EC">
      <w:pPr>
        <w:spacing w:before="120"/>
        <w:rPr>
          <w:sz w:val="18"/>
          <w:szCs w:val="18"/>
        </w:rPr>
      </w:pPr>
      <w:r>
        <w:rPr>
          <w:sz w:val="18"/>
        </w:rPr>
        <w:t xml:space="preserve">Se proporcionan más detalles en el </w:t>
      </w:r>
      <w:r>
        <w:rPr>
          <w:i/>
          <w:sz w:val="18"/>
        </w:rPr>
        <w:t>Manual de procedimiento</w:t>
      </w:r>
      <w:r>
        <w:rPr>
          <w:sz w:val="18"/>
        </w:rPr>
        <w:t xml:space="preserve"> de la CIPF:</w:t>
      </w:r>
    </w:p>
    <w:p w:rsidR="00B121EC" w:rsidRPr="0014043A" w:rsidRDefault="00B121EC" w:rsidP="003F031A">
      <w:pPr>
        <w:numPr>
          <w:ilvl w:val="0"/>
          <w:numId w:val="25"/>
        </w:numPr>
        <w:rPr>
          <w:sz w:val="18"/>
          <w:szCs w:val="18"/>
        </w:rPr>
      </w:pPr>
      <w:r>
        <w:rPr>
          <w:sz w:val="18"/>
        </w:rPr>
        <w:t>Directrices para la composición y organización de los grupos de trabajo de expertos</w:t>
      </w:r>
    </w:p>
    <w:p w:rsidR="00B121EC" w:rsidRPr="0014043A" w:rsidRDefault="00B121EC" w:rsidP="003F031A">
      <w:pPr>
        <w:numPr>
          <w:ilvl w:val="0"/>
          <w:numId w:val="25"/>
        </w:numPr>
        <w:rPr>
          <w:sz w:val="18"/>
          <w:szCs w:val="18"/>
        </w:rPr>
      </w:pPr>
      <w:r>
        <w:rPr>
          <w:sz w:val="18"/>
        </w:rPr>
        <w:t>Directrices para el funcionamiento de los grupos de trabajo de expertos</w:t>
      </w:r>
    </w:p>
    <w:p w:rsidR="00B121EC" w:rsidRPr="0014043A" w:rsidRDefault="00B121EC" w:rsidP="00B121EC">
      <w:pPr>
        <w:ind w:left="240"/>
        <w:rPr>
          <w:sz w:val="18"/>
          <w:szCs w:val="18"/>
        </w:rPr>
      </w:pPr>
    </w:p>
    <w:p w:rsidR="00B121EC" w:rsidRPr="0014043A" w:rsidRDefault="00B121EC" w:rsidP="00B121EC">
      <w:pPr>
        <w:tabs>
          <w:tab w:val="left" w:pos="0"/>
        </w:tabs>
        <w:rPr>
          <w:sz w:val="18"/>
          <w:szCs w:val="18"/>
        </w:rPr>
      </w:pPr>
      <w:r>
        <w:rPr>
          <w:b/>
          <w:sz w:val="18"/>
        </w:rPr>
        <w:t>Funciones de los autores principales y miembros del grupo de redacción de los protocolos de diagnóstico, además de las anteriores obligaciones generales:</w:t>
      </w:r>
    </w:p>
    <w:p w:rsidR="00C05292" w:rsidRPr="0014043A" w:rsidRDefault="008806C6" w:rsidP="00C05292">
      <w:pPr>
        <w:numPr>
          <w:ilvl w:val="0"/>
          <w:numId w:val="1"/>
        </w:numPr>
        <w:tabs>
          <w:tab w:val="clear" w:pos="720"/>
          <w:tab w:val="num" w:pos="240"/>
        </w:tabs>
        <w:ind w:left="240" w:hanging="240"/>
        <w:rPr>
          <w:b/>
          <w:bCs/>
          <w:sz w:val="18"/>
          <w:szCs w:val="18"/>
        </w:rPr>
      </w:pPr>
      <w:r>
        <w:rPr>
          <w:sz w:val="18"/>
        </w:rPr>
        <w:t>Los autores principales y</w:t>
      </w:r>
      <w:r w:rsidR="00C05292">
        <w:rPr>
          <w:sz w:val="18"/>
        </w:rPr>
        <w:t xml:space="preserve"> los miembros del grupo de redacción aceptan participar plenamente en </w:t>
      </w:r>
      <w:proofErr w:type="gramStart"/>
      <w:r w:rsidR="00C05292">
        <w:rPr>
          <w:sz w:val="18"/>
        </w:rPr>
        <w:t>la  elaboración</w:t>
      </w:r>
      <w:proofErr w:type="gramEnd"/>
      <w:r w:rsidR="00C05292">
        <w:rPr>
          <w:sz w:val="18"/>
        </w:rPr>
        <w:t xml:space="preserve"> de todos los protocolos de diagnóstico y responder a las observaciones, así como revisar los protocolos de diagnóstico según sea necesario, hasta su aprobación.</w:t>
      </w:r>
    </w:p>
    <w:p w:rsidR="00B121EC" w:rsidRPr="00BD4C9D" w:rsidRDefault="00FB3D6A" w:rsidP="00B121EC">
      <w:pPr>
        <w:numPr>
          <w:ilvl w:val="0"/>
          <w:numId w:val="1"/>
        </w:numPr>
        <w:tabs>
          <w:tab w:val="clear" w:pos="720"/>
          <w:tab w:val="num" w:pos="240"/>
        </w:tabs>
        <w:ind w:left="240" w:hanging="240"/>
        <w:rPr>
          <w:b/>
          <w:bCs/>
          <w:sz w:val="18"/>
          <w:szCs w:val="18"/>
        </w:rPr>
      </w:pPr>
      <w:r>
        <w:rPr>
          <w:sz w:val="18"/>
        </w:rPr>
        <w:t>Los autores principales aceptan realizar consultas periódicas con los miembros del grupo de redacción, por teléfono, correo electrónico o por medios virtuales, para asegurar el enlace con la dirección de la disciplina, e informar a ésta sobre cualquier cambio que repercuta en la elaboración de sus protocolos.</w:t>
      </w:r>
    </w:p>
    <w:p w:rsidR="00B121EC" w:rsidRPr="0014043A" w:rsidRDefault="00B121EC" w:rsidP="00B121EC">
      <w:pPr>
        <w:spacing w:before="120"/>
        <w:rPr>
          <w:sz w:val="18"/>
          <w:szCs w:val="18"/>
        </w:rPr>
      </w:pPr>
      <w:r>
        <w:rPr>
          <w:sz w:val="18"/>
        </w:rPr>
        <w:t>Se proporcionan más detalles en la NIMF 27 (</w:t>
      </w:r>
      <w:r>
        <w:rPr>
          <w:i/>
          <w:color w:val="000000"/>
          <w:sz w:val="18"/>
        </w:rPr>
        <w:t>Protocolos de diagnóstico de plagas reglamentadas</w:t>
      </w:r>
      <w:r>
        <w:rPr>
          <w:sz w:val="18"/>
        </w:rPr>
        <w:t xml:space="preserve">) y en el </w:t>
      </w:r>
      <w:r>
        <w:rPr>
          <w:i/>
          <w:sz w:val="18"/>
        </w:rPr>
        <w:t>Manual de procedimiento</w:t>
      </w:r>
      <w:r>
        <w:rPr>
          <w:sz w:val="18"/>
        </w:rPr>
        <w:t xml:space="preserve"> de la CIPF:</w:t>
      </w:r>
    </w:p>
    <w:p w:rsidR="00B73CF1" w:rsidRPr="00946F4B" w:rsidRDefault="00B121EC" w:rsidP="00946F4B">
      <w:pPr>
        <w:numPr>
          <w:ilvl w:val="0"/>
          <w:numId w:val="5"/>
        </w:numPr>
        <w:tabs>
          <w:tab w:val="clear" w:pos="2160"/>
          <w:tab w:val="num" w:pos="600"/>
        </w:tabs>
        <w:ind w:left="600" w:hanging="360"/>
        <w:rPr>
          <w:sz w:val="18"/>
          <w:szCs w:val="18"/>
        </w:rPr>
      </w:pPr>
      <w:r>
        <w:rPr>
          <w:sz w:val="18"/>
        </w:rPr>
        <w:t>Instrucciones para los autores de los protocolos de diagnóstico.</w:t>
      </w:r>
    </w:p>
    <w:sectPr w:rsidR="00B73CF1" w:rsidRPr="00946F4B" w:rsidSect="0014043A">
      <w:pgSz w:w="11907" w:h="16840" w:code="9"/>
      <w:pgMar w:top="15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32F" w:rsidRDefault="0037632F">
      <w:r>
        <w:separator/>
      </w:r>
    </w:p>
  </w:endnote>
  <w:endnote w:type="continuationSeparator" w:id="0">
    <w:p w:rsidR="0037632F" w:rsidRDefault="0037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D60" w:rsidRDefault="00072D40" w:rsidP="00072D40">
    <w:pPr>
      <w:pStyle w:val="IPPFooter"/>
      <w:tabs>
        <w:tab w:val="clear" w:pos="9072"/>
        <w:tab w:val="right" w:pos="9071"/>
      </w:tabs>
      <w:jc w:val="center"/>
    </w:pPr>
    <w:r>
      <w:t xml:space="preserve">p. </w:t>
    </w:r>
    <w:r w:rsidR="003A3D60">
      <w:rPr>
        <w:sz w:val="24"/>
      </w:rPr>
      <w:fldChar w:fldCharType="begin"/>
    </w:r>
    <w:r w:rsidR="003A3D60">
      <w:instrText xml:space="preserve"> PAGE </w:instrText>
    </w:r>
    <w:r w:rsidR="003A3D60">
      <w:rPr>
        <w:sz w:val="24"/>
      </w:rPr>
      <w:fldChar w:fldCharType="separate"/>
    </w:r>
    <w:r w:rsidR="008806C6">
      <w:rPr>
        <w:noProof/>
      </w:rPr>
      <w:t>4</w:t>
    </w:r>
    <w:r w:rsidR="003A3D60">
      <w:rPr>
        <w:sz w:val="24"/>
      </w:rPr>
      <w:fldChar w:fldCharType="end"/>
    </w:r>
    <w:r w:rsidR="003A3D60">
      <w:t xml:space="preserve"> de </w:t>
    </w:r>
    <w:fldSimple w:instr=" NUMPAGES  ">
      <w:r w:rsidR="008806C6">
        <w:rPr>
          <w:noProof/>
        </w:rPr>
        <w:t>5</w:t>
      </w:r>
    </w:fldSimple>
    <w:r w:rsidR="003A3D60">
      <w:rPr>
        <w:sz w:val="24"/>
      </w:rPr>
      <w:t xml:space="preserve"> </w:t>
    </w:r>
    <w:r>
      <w:tab/>
    </w:r>
    <w:r w:rsidR="003A3D60">
      <w:t>Convención Internacional de Protección Fitosanitaria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D60" w:rsidRDefault="003A3D60" w:rsidP="00C17D01">
    <w:pPr>
      <w:pStyle w:val="IPPFooter"/>
      <w:tabs>
        <w:tab w:val="clear" w:pos="9072"/>
        <w:tab w:val="right" w:pos="9071"/>
      </w:tabs>
      <w:jc w:val="both"/>
    </w:pPr>
    <w:r>
      <w:t>Convención Internacional de Protección Fitosanitaria</w:t>
    </w:r>
    <w:r>
      <w:tab/>
    </w:r>
    <w:r w:rsidR="00072D40">
      <w:t>p.</w:t>
    </w:r>
    <w:r>
      <w:t xml:space="preserve"> </w:t>
    </w:r>
    <w:r>
      <w:rPr>
        <w:sz w:val="24"/>
      </w:rPr>
      <w:fldChar w:fldCharType="begin"/>
    </w:r>
    <w:r>
      <w:instrText xml:space="preserve"> PAGE </w:instrText>
    </w:r>
    <w:r>
      <w:rPr>
        <w:sz w:val="24"/>
      </w:rPr>
      <w:fldChar w:fldCharType="separate"/>
    </w:r>
    <w:r w:rsidR="008806C6">
      <w:rPr>
        <w:noProof/>
      </w:rPr>
      <w:t>5</w:t>
    </w:r>
    <w:r>
      <w:rPr>
        <w:sz w:val="24"/>
      </w:rPr>
      <w:fldChar w:fldCharType="end"/>
    </w:r>
    <w:r>
      <w:t xml:space="preserve"> de </w:t>
    </w:r>
    <w:fldSimple w:instr=" NUMPAGES  ">
      <w:r w:rsidR="008806C6">
        <w:rPr>
          <w:noProof/>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D60" w:rsidRPr="00C17D01" w:rsidRDefault="003A3D60" w:rsidP="00C17D01">
    <w:pPr>
      <w:pStyle w:val="IPPFooter"/>
      <w:jc w:val="both"/>
    </w:pPr>
    <w:r>
      <w:t>Convención Internacional de Protección Fitosanitaria</w:t>
    </w:r>
    <w:r>
      <w:tab/>
    </w:r>
    <w:r w:rsidR="008F16EA">
      <w:t>p.</w:t>
    </w:r>
    <w:r>
      <w:t xml:space="preserve"> </w:t>
    </w:r>
    <w:r>
      <w:rPr>
        <w:sz w:val="24"/>
      </w:rPr>
      <w:fldChar w:fldCharType="begin"/>
    </w:r>
    <w:r>
      <w:instrText xml:space="preserve"> PAGE </w:instrText>
    </w:r>
    <w:r>
      <w:rPr>
        <w:sz w:val="24"/>
      </w:rPr>
      <w:fldChar w:fldCharType="separate"/>
    </w:r>
    <w:r w:rsidR="008806C6">
      <w:rPr>
        <w:noProof/>
      </w:rPr>
      <w:t>1</w:t>
    </w:r>
    <w:r>
      <w:rPr>
        <w:sz w:val="24"/>
      </w:rPr>
      <w:fldChar w:fldCharType="end"/>
    </w:r>
    <w:r>
      <w:t xml:space="preserve"> de </w:t>
    </w:r>
    <w:fldSimple w:instr=" NUMPAGES  ">
      <w:r w:rsidR="008806C6">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32F" w:rsidRDefault="0037632F">
      <w:r>
        <w:separator/>
      </w:r>
    </w:p>
  </w:footnote>
  <w:footnote w:type="continuationSeparator" w:id="0">
    <w:p w:rsidR="0037632F" w:rsidRDefault="0037632F">
      <w:r>
        <w:continuationSeparator/>
      </w:r>
    </w:p>
  </w:footnote>
  <w:footnote w:id="1">
    <w:p w:rsidR="003A3D60" w:rsidRPr="00A87DA7" w:rsidRDefault="003A3D60" w:rsidP="00B121EC">
      <w:pPr>
        <w:pStyle w:val="Textonotapie"/>
        <w:rPr>
          <w:sz w:val="16"/>
          <w:szCs w:val="16"/>
        </w:rPr>
      </w:pPr>
      <w:r>
        <w:rPr>
          <w:rStyle w:val="Refdenotaalpie"/>
          <w:sz w:val="16"/>
        </w:rPr>
        <w:footnoteRef/>
      </w:r>
      <w:r>
        <w:rPr>
          <w:sz w:val="16"/>
        </w:rPr>
        <w:t xml:space="preserve"> Como se recomendó en la segunda reunión de la Comisión Interina de Medidas Fitosanitarias (1999), siempre que sea posible, los participantes en las actividades de la CIPF financian voluntariamente sus gastos de viaje y dietas para asistir a las reuniones. Los participantes podrán solicitar asistencia financiera, con el entendimiento de que los recursos son limitados y que se da prioridad en materia de asistencia financiera a los participantes de los países en desarrollo. Las solicitudes de ayuda financiera se evaluarán con los </w:t>
      </w:r>
      <w:r>
        <w:rPr>
          <w:i/>
          <w:sz w:val="16"/>
        </w:rPr>
        <w:t>Criterios para establecer prioridades de los participantes para recibir asistencia para gastos de viaje a fin de asistir a reuniones organizadas por la Secretaría de la CIPF,</w:t>
      </w:r>
      <w:r>
        <w:rPr>
          <w:sz w:val="16"/>
        </w:rPr>
        <w:t xml:space="preserve">  vigentes en el momento de esta declaración de compromiso (</w:t>
      </w:r>
      <w:hyperlink r:id="rId1">
        <w:r>
          <w:rPr>
            <w:rStyle w:val="Hipervnculo"/>
            <w:sz w:val="16"/>
          </w:rPr>
          <w:t>https://www.ippc.int/publications/criteria-used-prioritizing-participants-receive-travel-assistance-attend-meetings</w:t>
        </w:r>
      </w:hyperlink>
      <w:r>
        <w:rPr>
          <w:sz w:val="16"/>
        </w:rPr>
        <w:t>). La información estadística vigente al momento de la firma de esta declaración de compromiso se aplicará durante el plazo de participación en el correspondiente órgano de la CIPF.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D60" w:rsidRDefault="003A3D60" w:rsidP="0014043A">
    <w:pPr>
      <w:pStyle w:val="IPPHeader"/>
    </w:pPr>
    <w:r>
      <w:t xml:space="preserve">Declaración de compromiso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D60" w:rsidRPr="00C17D01" w:rsidRDefault="003A3D60" w:rsidP="0068615B">
    <w:pPr>
      <w:pStyle w:val="IPPHeader"/>
    </w:pPr>
    <w:r>
      <w:tab/>
    </w:r>
    <w:r>
      <w:tab/>
      <w:t>Declaración de compromiso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D60" w:rsidRPr="00C17D01" w:rsidRDefault="003A3D60" w:rsidP="00C17D01">
    <w:pPr>
      <w:pStyle w:val="IPPHeader"/>
    </w:pPr>
    <w:r>
      <w:rPr>
        <w:noProof/>
        <w:lang w:val="es-MX" w:eastAsia="es-MX" w:bidi="ar-SA"/>
      </w:rPr>
      <w:drawing>
        <wp:inline distT="0" distB="0" distL="0" distR="0">
          <wp:extent cx="632460" cy="327660"/>
          <wp:effectExtent l="0" t="0" r="0" b="0"/>
          <wp:docPr id="1" name="Imagen 1"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327660"/>
                  </a:xfrm>
                  <a:prstGeom prst="rect">
                    <a:avLst/>
                  </a:prstGeom>
                  <a:noFill/>
                  <a:ln>
                    <a:noFill/>
                  </a:ln>
                </pic:spPr>
              </pic:pic>
            </a:graphicData>
          </a:graphic>
        </wp:inline>
      </w:drawing>
    </w:r>
    <w:r>
      <w:t xml:space="preserve">Convención Internacional de Protección Fitosanitaria                            Declaración de compromiso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142C2F64"/>
    <w:lvl w:ilvl="0" w:tplc="66984840">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013CBA4C">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685E703E" w:tentative="1">
      <w:start w:val="1"/>
      <w:numFmt w:val="bullet"/>
      <w:lvlText w:val="o"/>
      <w:lvlJc w:val="left"/>
      <w:pPr>
        <w:ind w:left="1440" w:hanging="360"/>
      </w:pPr>
      <w:rPr>
        <w:rFonts w:ascii="Courier New" w:hAnsi="Courier New" w:hint="default"/>
      </w:rPr>
    </w:lvl>
    <w:lvl w:ilvl="2" w:tplc="5D8C2A7A" w:tentative="1">
      <w:start w:val="1"/>
      <w:numFmt w:val="bullet"/>
      <w:lvlText w:val=""/>
      <w:lvlJc w:val="left"/>
      <w:pPr>
        <w:ind w:left="2160" w:hanging="360"/>
      </w:pPr>
      <w:rPr>
        <w:rFonts w:ascii="Wingdings" w:hAnsi="Wingdings" w:hint="default"/>
      </w:rPr>
    </w:lvl>
    <w:lvl w:ilvl="3" w:tplc="FDAAF352" w:tentative="1">
      <w:start w:val="1"/>
      <w:numFmt w:val="bullet"/>
      <w:lvlText w:val=""/>
      <w:lvlJc w:val="left"/>
      <w:pPr>
        <w:ind w:left="2880" w:hanging="360"/>
      </w:pPr>
      <w:rPr>
        <w:rFonts w:ascii="Symbol" w:hAnsi="Symbol" w:hint="default"/>
      </w:rPr>
    </w:lvl>
    <w:lvl w:ilvl="4" w:tplc="13A63406" w:tentative="1">
      <w:start w:val="1"/>
      <w:numFmt w:val="bullet"/>
      <w:lvlText w:val="o"/>
      <w:lvlJc w:val="left"/>
      <w:pPr>
        <w:ind w:left="3600" w:hanging="360"/>
      </w:pPr>
      <w:rPr>
        <w:rFonts w:ascii="Courier New" w:hAnsi="Courier New" w:hint="default"/>
      </w:rPr>
    </w:lvl>
    <w:lvl w:ilvl="5" w:tplc="25244D6A" w:tentative="1">
      <w:start w:val="1"/>
      <w:numFmt w:val="bullet"/>
      <w:lvlText w:val=""/>
      <w:lvlJc w:val="left"/>
      <w:pPr>
        <w:ind w:left="4320" w:hanging="360"/>
      </w:pPr>
      <w:rPr>
        <w:rFonts w:ascii="Wingdings" w:hAnsi="Wingdings" w:hint="default"/>
      </w:rPr>
    </w:lvl>
    <w:lvl w:ilvl="6" w:tplc="6032E398" w:tentative="1">
      <w:start w:val="1"/>
      <w:numFmt w:val="bullet"/>
      <w:lvlText w:val=""/>
      <w:lvlJc w:val="left"/>
      <w:pPr>
        <w:ind w:left="5040" w:hanging="360"/>
      </w:pPr>
      <w:rPr>
        <w:rFonts w:ascii="Symbol" w:hAnsi="Symbol" w:hint="default"/>
      </w:rPr>
    </w:lvl>
    <w:lvl w:ilvl="7" w:tplc="BA9ED74E" w:tentative="1">
      <w:start w:val="1"/>
      <w:numFmt w:val="bullet"/>
      <w:lvlText w:val="o"/>
      <w:lvlJc w:val="left"/>
      <w:pPr>
        <w:ind w:left="5760" w:hanging="360"/>
      </w:pPr>
      <w:rPr>
        <w:rFonts w:ascii="Courier New" w:hAnsi="Courier New" w:hint="default"/>
      </w:rPr>
    </w:lvl>
    <w:lvl w:ilvl="8" w:tplc="76FE5C9C" w:tentative="1">
      <w:start w:val="1"/>
      <w:numFmt w:val="bullet"/>
      <w:lvlText w:val=""/>
      <w:lvlJc w:val="left"/>
      <w:pPr>
        <w:ind w:left="6480" w:hanging="360"/>
      </w:pPr>
      <w:rPr>
        <w:rFonts w:ascii="Wingdings" w:hAnsi="Wingdings" w:hint="default"/>
      </w:rPr>
    </w:lvl>
  </w:abstractNum>
  <w:abstractNum w:abstractNumId="3" w15:restartNumberingAfterBreak="0">
    <w:nsid w:val="180D63E2"/>
    <w:multiLevelType w:val="hybridMultilevel"/>
    <w:tmpl w:val="58228562"/>
    <w:lvl w:ilvl="0" w:tplc="04090001">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205B006B"/>
    <w:multiLevelType w:val="hybridMultilevel"/>
    <w:tmpl w:val="66BCAA02"/>
    <w:lvl w:ilvl="0" w:tplc="AEA6C0E6">
      <w:start w:val="1"/>
      <w:numFmt w:val="bullet"/>
      <w:lvlText w:val=""/>
      <w:lvlJc w:val="left"/>
      <w:pPr>
        <w:tabs>
          <w:tab w:val="num" w:pos="2160"/>
        </w:tabs>
        <w:ind w:left="2160" w:hanging="720"/>
      </w:pPr>
      <w:rPr>
        <w:rFonts w:ascii="Symbol" w:hAnsi="Symbol" w:hint="default"/>
        <w:sz w:val="16"/>
        <w:szCs w:val="16"/>
      </w:rPr>
    </w:lvl>
    <w:lvl w:ilvl="1" w:tplc="08090019">
      <w:start w:val="1"/>
      <w:numFmt w:val="bullet"/>
      <w:lvlText w:val="o"/>
      <w:lvlJc w:val="left"/>
      <w:pPr>
        <w:tabs>
          <w:tab w:val="num" w:pos="2520"/>
        </w:tabs>
        <w:ind w:left="2520" w:hanging="360"/>
      </w:pPr>
      <w:rPr>
        <w:rFonts w:ascii="Courier New" w:hAnsi="Courier New" w:cs="Courier New" w:hint="default"/>
      </w:rPr>
    </w:lvl>
    <w:lvl w:ilvl="2" w:tplc="0809001B" w:tentative="1">
      <w:start w:val="1"/>
      <w:numFmt w:val="bullet"/>
      <w:lvlText w:val=""/>
      <w:lvlJc w:val="left"/>
      <w:pPr>
        <w:tabs>
          <w:tab w:val="num" w:pos="3240"/>
        </w:tabs>
        <w:ind w:left="3240" w:hanging="360"/>
      </w:pPr>
      <w:rPr>
        <w:rFonts w:ascii="Wingdings" w:hAnsi="Wingdings" w:hint="default"/>
      </w:rPr>
    </w:lvl>
    <w:lvl w:ilvl="3" w:tplc="0809000F" w:tentative="1">
      <w:start w:val="1"/>
      <w:numFmt w:val="bullet"/>
      <w:lvlText w:val=""/>
      <w:lvlJc w:val="left"/>
      <w:pPr>
        <w:tabs>
          <w:tab w:val="num" w:pos="3960"/>
        </w:tabs>
        <w:ind w:left="3960" w:hanging="360"/>
      </w:pPr>
      <w:rPr>
        <w:rFonts w:ascii="Symbol" w:hAnsi="Symbol" w:hint="default"/>
      </w:rPr>
    </w:lvl>
    <w:lvl w:ilvl="4" w:tplc="08090019" w:tentative="1">
      <w:start w:val="1"/>
      <w:numFmt w:val="bullet"/>
      <w:lvlText w:val="o"/>
      <w:lvlJc w:val="left"/>
      <w:pPr>
        <w:tabs>
          <w:tab w:val="num" w:pos="4680"/>
        </w:tabs>
        <w:ind w:left="4680" w:hanging="360"/>
      </w:pPr>
      <w:rPr>
        <w:rFonts w:ascii="Courier New" w:hAnsi="Courier New" w:cs="Courier New" w:hint="default"/>
      </w:rPr>
    </w:lvl>
    <w:lvl w:ilvl="5" w:tplc="0809001B" w:tentative="1">
      <w:start w:val="1"/>
      <w:numFmt w:val="bullet"/>
      <w:lvlText w:val=""/>
      <w:lvlJc w:val="left"/>
      <w:pPr>
        <w:tabs>
          <w:tab w:val="num" w:pos="5400"/>
        </w:tabs>
        <w:ind w:left="5400" w:hanging="360"/>
      </w:pPr>
      <w:rPr>
        <w:rFonts w:ascii="Wingdings" w:hAnsi="Wingdings" w:hint="default"/>
      </w:rPr>
    </w:lvl>
    <w:lvl w:ilvl="6" w:tplc="0809000F" w:tentative="1">
      <w:start w:val="1"/>
      <w:numFmt w:val="bullet"/>
      <w:lvlText w:val=""/>
      <w:lvlJc w:val="left"/>
      <w:pPr>
        <w:tabs>
          <w:tab w:val="num" w:pos="6120"/>
        </w:tabs>
        <w:ind w:left="6120" w:hanging="360"/>
      </w:pPr>
      <w:rPr>
        <w:rFonts w:ascii="Symbol" w:hAnsi="Symbol" w:hint="default"/>
      </w:rPr>
    </w:lvl>
    <w:lvl w:ilvl="7" w:tplc="08090019" w:tentative="1">
      <w:start w:val="1"/>
      <w:numFmt w:val="bullet"/>
      <w:lvlText w:val="o"/>
      <w:lvlJc w:val="left"/>
      <w:pPr>
        <w:tabs>
          <w:tab w:val="num" w:pos="6840"/>
        </w:tabs>
        <w:ind w:left="6840" w:hanging="360"/>
      </w:pPr>
      <w:rPr>
        <w:rFonts w:ascii="Courier New" w:hAnsi="Courier New" w:cs="Courier New" w:hint="default"/>
      </w:rPr>
    </w:lvl>
    <w:lvl w:ilvl="8" w:tplc="0809001B"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C377A89"/>
    <w:multiLevelType w:val="hybridMultilevel"/>
    <w:tmpl w:val="40D47DE4"/>
    <w:lvl w:ilvl="0" w:tplc="04090001">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8" w15:restartNumberingAfterBreak="0">
    <w:nsid w:val="3B0874F3"/>
    <w:multiLevelType w:val="hybridMultilevel"/>
    <w:tmpl w:val="3860451C"/>
    <w:lvl w:ilvl="0" w:tplc="354CF504">
      <w:start w:val="1"/>
      <w:numFmt w:val="decimal"/>
      <w:pStyle w:val="IPPHdg1Num"/>
      <w:lvlText w:val="%1."/>
      <w:lvlJc w:val="left"/>
      <w:pPr>
        <w:ind w:left="720" w:hanging="360"/>
      </w:pPr>
      <w:rPr>
        <w:rFonts w:hint="default"/>
      </w:rPr>
    </w:lvl>
    <w:lvl w:ilvl="1" w:tplc="377AA914" w:tentative="1">
      <w:start w:val="1"/>
      <w:numFmt w:val="lowerLetter"/>
      <w:lvlText w:val="%2."/>
      <w:lvlJc w:val="left"/>
      <w:pPr>
        <w:ind w:left="1440" w:hanging="360"/>
      </w:pPr>
    </w:lvl>
    <w:lvl w:ilvl="2" w:tplc="1936977E" w:tentative="1">
      <w:start w:val="1"/>
      <w:numFmt w:val="lowerRoman"/>
      <w:lvlText w:val="%3."/>
      <w:lvlJc w:val="right"/>
      <w:pPr>
        <w:ind w:left="2160" w:hanging="180"/>
      </w:pPr>
    </w:lvl>
    <w:lvl w:ilvl="3" w:tplc="55E46B20" w:tentative="1">
      <w:start w:val="1"/>
      <w:numFmt w:val="decimal"/>
      <w:lvlText w:val="%4."/>
      <w:lvlJc w:val="left"/>
      <w:pPr>
        <w:ind w:left="2880" w:hanging="360"/>
      </w:pPr>
    </w:lvl>
    <w:lvl w:ilvl="4" w:tplc="442E2B0C" w:tentative="1">
      <w:start w:val="1"/>
      <w:numFmt w:val="lowerLetter"/>
      <w:lvlText w:val="%5."/>
      <w:lvlJc w:val="left"/>
      <w:pPr>
        <w:ind w:left="3600" w:hanging="360"/>
      </w:pPr>
    </w:lvl>
    <w:lvl w:ilvl="5" w:tplc="B4128D58" w:tentative="1">
      <w:start w:val="1"/>
      <w:numFmt w:val="lowerRoman"/>
      <w:lvlText w:val="%6."/>
      <w:lvlJc w:val="right"/>
      <w:pPr>
        <w:ind w:left="4320" w:hanging="180"/>
      </w:pPr>
    </w:lvl>
    <w:lvl w:ilvl="6" w:tplc="FC002810" w:tentative="1">
      <w:start w:val="1"/>
      <w:numFmt w:val="decimal"/>
      <w:lvlText w:val="%7."/>
      <w:lvlJc w:val="left"/>
      <w:pPr>
        <w:ind w:left="5040" w:hanging="360"/>
      </w:pPr>
    </w:lvl>
    <w:lvl w:ilvl="7" w:tplc="5BE83A60" w:tentative="1">
      <w:start w:val="1"/>
      <w:numFmt w:val="lowerLetter"/>
      <w:lvlText w:val="%8."/>
      <w:lvlJc w:val="left"/>
      <w:pPr>
        <w:ind w:left="5760" w:hanging="360"/>
      </w:pPr>
    </w:lvl>
    <w:lvl w:ilvl="8" w:tplc="FBB2816A" w:tentative="1">
      <w:start w:val="1"/>
      <w:numFmt w:val="lowerRoman"/>
      <w:lvlText w:val="%9."/>
      <w:lvlJc w:val="right"/>
      <w:pPr>
        <w:ind w:left="6480" w:hanging="180"/>
      </w:pPr>
    </w:lvl>
  </w:abstractNum>
  <w:abstractNum w:abstractNumId="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8A4992"/>
    <w:multiLevelType w:val="hybridMultilevel"/>
    <w:tmpl w:val="CFB8799E"/>
    <w:lvl w:ilvl="0" w:tplc="AEA6C0E6">
      <w:start w:val="1"/>
      <w:numFmt w:val="bullet"/>
      <w:lvlText w:val="-"/>
      <w:lvlJc w:val="left"/>
      <w:pPr>
        <w:tabs>
          <w:tab w:val="num" w:pos="720"/>
        </w:tabs>
        <w:ind w:left="720" w:hanging="360"/>
      </w:pPr>
      <w:rPr>
        <w:rFonts w:ascii="Arial" w:eastAsia="Times New Roman" w:hAnsi="Arial" w:cs="Aria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A776E5"/>
    <w:multiLevelType w:val="hybridMultilevel"/>
    <w:tmpl w:val="2496F78A"/>
    <w:lvl w:ilvl="0" w:tplc="13B0A58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5B9C37FB"/>
    <w:multiLevelType w:val="hybridMultilevel"/>
    <w:tmpl w:val="A08451D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
      <w:lvlJc w:val="left"/>
      <w:pPr>
        <w:tabs>
          <w:tab w:val="num" w:pos="1800"/>
        </w:tabs>
        <w:ind w:left="1800" w:hanging="72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031DED"/>
    <w:multiLevelType w:val="hybridMultilevel"/>
    <w:tmpl w:val="F7CCD0FE"/>
    <w:lvl w:ilvl="0" w:tplc="4CF25BF2">
      <w:start w:val="1"/>
      <w:numFmt w:val="bullet"/>
      <w:lvlText w:val=""/>
      <w:lvlJc w:val="left"/>
      <w:pPr>
        <w:tabs>
          <w:tab w:val="num" w:pos="2160"/>
        </w:tabs>
        <w:ind w:left="2160" w:hanging="720"/>
      </w:pPr>
      <w:rPr>
        <w:rFonts w:ascii="Symbol" w:hAnsi="Symbol" w:hint="default"/>
        <w:sz w:val="16"/>
        <w:szCs w:val="16"/>
      </w:rPr>
    </w:lvl>
    <w:lvl w:ilvl="1" w:tplc="6D88613C"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F58BB"/>
    <w:multiLevelType w:val="hybridMultilevel"/>
    <w:tmpl w:val="98A443A0"/>
    <w:lvl w:ilvl="0" w:tplc="FFFFFFFF">
      <w:start w:val="1"/>
      <w:numFmt w:val="bullet"/>
      <w:lvlText w:val=""/>
      <w:lvlJc w:val="left"/>
      <w:pPr>
        <w:tabs>
          <w:tab w:val="num" w:pos="2160"/>
        </w:tabs>
        <w:ind w:left="2160" w:hanging="720"/>
      </w:pPr>
      <w:rPr>
        <w:rFonts w:ascii="Symbol" w:hAnsi="Symbol" w:hint="default"/>
        <w:sz w:val="16"/>
        <w:szCs w:val="16"/>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751D2757"/>
    <w:multiLevelType w:val="hybridMultilevel"/>
    <w:tmpl w:val="E1784FF2"/>
    <w:lvl w:ilvl="0" w:tplc="7942738C">
      <w:start w:val="1"/>
      <w:numFmt w:val="bullet"/>
      <w:pStyle w:val="IPPBullet2"/>
      <w:lvlText w:val=""/>
      <w:lvlJc w:val="left"/>
      <w:pPr>
        <w:tabs>
          <w:tab w:val="num" w:pos="1134"/>
        </w:tabs>
        <w:ind w:left="1134" w:hanging="567"/>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F2818"/>
    <w:multiLevelType w:val="hybridMultilevel"/>
    <w:tmpl w:val="D1646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2"/>
  </w:num>
  <w:num w:numId="3">
    <w:abstractNumId w:val="13"/>
  </w:num>
  <w:num w:numId="4">
    <w:abstractNumId w:val="5"/>
  </w:num>
  <w:num w:numId="5">
    <w:abstractNumId w:val="15"/>
  </w:num>
  <w:num w:numId="6">
    <w:abstractNumId w:val="14"/>
  </w:num>
  <w:num w:numId="7">
    <w:abstractNumId w:val="2"/>
  </w:num>
  <w:num w:numId="8">
    <w:abstractNumId w:val="1"/>
  </w:num>
  <w:num w:numId="9">
    <w:abstractNumId w:val="7"/>
  </w:num>
  <w:num w:numId="10">
    <w:abstractNumId w:val="16"/>
  </w:num>
  <w:num w:numId="11">
    <w:abstractNumId w:val="11"/>
  </w:num>
  <w:num w:numId="12">
    <w:abstractNumId w:val="8"/>
  </w:num>
  <w:num w:numId="13">
    <w:abstractNumId w:val="18"/>
  </w:num>
  <w:num w:numId="14">
    <w:abstractNumId w:val="4"/>
  </w:num>
  <w:num w:numId="15">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17"/>
  </w:num>
  <w:num w:numId="22">
    <w:abstractNumId w:val="0"/>
  </w:num>
  <w:num w:numId="23">
    <w:abstractNumId w:val="9"/>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B9"/>
    <w:rsid w:val="00067640"/>
    <w:rsid w:val="00072D40"/>
    <w:rsid w:val="00077F96"/>
    <w:rsid w:val="00084590"/>
    <w:rsid w:val="000A31A4"/>
    <w:rsid w:val="000A499A"/>
    <w:rsid w:val="000C2ECD"/>
    <w:rsid w:val="0014043A"/>
    <w:rsid w:val="00146C3E"/>
    <w:rsid w:val="001A4A9D"/>
    <w:rsid w:val="00227AC1"/>
    <w:rsid w:val="0026223B"/>
    <w:rsid w:val="00264F6D"/>
    <w:rsid w:val="00287B03"/>
    <w:rsid w:val="002A21E9"/>
    <w:rsid w:val="002A22D0"/>
    <w:rsid w:val="002A3920"/>
    <w:rsid w:val="002B40AB"/>
    <w:rsid w:val="002C113F"/>
    <w:rsid w:val="002F52D0"/>
    <w:rsid w:val="002F5612"/>
    <w:rsid w:val="00302D0B"/>
    <w:rsid w:val="0037632F"/>
    <w:rsid w:val="003A3D60"/>
    <w:rsid w:val="003D7E8D"/>
    <w:rsid w:val="003E2BD8"/>
    <w:rsid w:val="003F031A"/>
    <w:rsid w:val="003F1AE8"/>
    <w:rsid w:val="003F23BE"/>
    <w:rsid w:val="004117BC"/>
    <w:rsid w:val="00420E89"/>
    <w:rsid w:val="00444DB7"/>
    <w:rsid w:val="00493BEB"/>
    <w:rsid w:val="004971F6"/>
    <w:rsid w:val="004C5F2C"/>
    <w:rsid w:val="004D78EF"/>
    <w:rsid w:val="005136AC"/>
    <w:rsid w:val="00535549"/>
    <w:rsid w:val="00551033"/>
    <w:rsid w:val="00570421"/>
    <w:rsid w:val="00575CB9"/>
    <w:rsid w:val="005919DB"/>
    <w:rsid w:val="00593E19"/>
    <w:rsid w:val="005E13E3"/>
    <w:rsid w:val="0068615B"/>
    <w:rsid w:val="006A1A00"/>
    <w:rsid w:val="006F0444"/>
    <w:rsid w:val="00713D0E"/>
    <w:rsid w:val="0075025A"/>
    <w:rsid w:val="0079094C"/>
    <w:rsid w:val="00793277"/>
    <w:rsid w:val="007A041E"/>
    <w:rsid w:val="007C6E9A"/>
    <w:rsid w:val="007D7E3B"/>
    <w:rsid w:val="007E016E"/>
    <w:rsid w:val="007E644F"/>
    <w:rsid w:val="00816CAF"/>
    <w:rsid w:val="00860D35"/>
    <w:rsid w:val="00863640"/>
    <w:rsid w:val="008757F8"/>
    <w:rsid w:val="008806C6"/>
    <w:rsid w:val="008C094E"/>
    <w:rsid w:val="008E30B9"/>
    <w:rsid w:val="008F16EA"/>
    <w:rsid w:val="00946F4B"/>
    <w:rsid w:val="009614D7"/>
    <w:rsid w:val="00990CB8"/>
    <w:rsid w:val="009B5E34"/>
    <w:rsid w:val="009E6A90"/>
    <w:rsid w:val="00A01C4F"/>
    <w:rsid w:val="00A028A8"/>
    <w:rsid w:val="00A87DA7"/>
    <w:rsid w:val="00AA527B"/>
    <w:rsid w:val="00AB3331"/>
    <w:rsid w:val="00AB7E23"/>
    <w:rsid w:val="00AC1AB5"/>
    <w:rsid w:val="00AC1B0C"/>
    <w:rsid w:val="00B058AD"/>
    <w:rsid w:val="00B121EC"/>
    <w:rsid w:val="00B168C6"/>
    <w:rsid w:val="00B55FB9"/>
    <w:rsid w:val="00B73CF1"/>
    <w:rsid w:val="00B80558"/>
    <w:rsid w:val="00BA7361"/>
    <w:rsid w:val="00BD4C9D"/>
    <w:rsid w:val="00BE3047"/>
    <w:rsid w:val="00BE55CE"/>
    <w:rsid w:val="00BF072F"/>
    <w:rsid w:val="00C0030F"/>
    <w:rsid w:val="00C05292"/>
    <w:rsid w:val="00C079A8"/>
    <w:rsid w:val="00C07F13"/>
    <w:rsid w:val="00C17D01"/>
    <w:rsid w:val="00C303BF"/>
    <w:rsid w:val="00C56A4A"/>
    <w:rsid w:val="00C67027"/>
    <w:rsid w:val="00C8246C"/>
    <w:rsid w:val="00C961E1"/>
    <w:rsid w:val="00CC59C3"/>
    <w:rsid w:val="00CE5BDF"/>
    <w:rsid w:val="00D33AEF"/>
    <w:rsid w:val="00D35B10"/>
    <w:rsid w:val="00D429E2"/>
    <w:rsid w:val="00D43E7E"/>
    <w:rsid w:val="00D708AF"/>
    <w:rsid w:val="00D730A0"/>
    <w:rsid w:val="00D77130"/>
    <w:rsid w:val="00DA5434"/>
    <w:rsid w:val="00E11BD8"/>
    <w:rsid w:val="00E56169"/>
    <w:rsid w:val="00E60815"/>
    <w:rsid w:val="00E750C9"/>
    <w:rsid w:val="00E851C0"/>
    <w:rsid w:val="00EA168E"/>
    <w:rsid w:val="00ED2B97"/>
    <w:rsid w:val="00ED4A8C"/>
    <w:rsid w:val="00EF6415"/>
    <w:rsid w:val="00F12FED"/>
    <w:rsid w:val="00F2352C"/>
    <w:rsid w:val="00F25BED"/>
    <w:rsid w:val="00F640AF"/>
    <w:rsid w:val="00F80ABF"/>
    <w:rsid w:val="00FA3978"/>
    <w:rsid w:val="00FA535A"/>
    <w:rsid w:val="00FB3D6A"/>
    <w:rsid w:val="00FB7112"/>
    <w:rsid w:val="00FC0CFF"/>
    <w:rsid w:val="00FE3D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C7D9C"/>
  <w15:chartTrackingRefBased/>
  <w15:docId w15:val="{9F82824A-C29B-48AD-BFF1-71A90ACD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079A8"/>
    <w:pPr>
      <w:jc w:val="both"/>
    </w:pPr>
    <w:rPr>
      <w:rFonts w:eastAsia="MS Mincho"/>
      <w:sz w:val="22"/>
      <w:szCs w:val="24"/>
    </w:rPr>
  </w:style>
  <w:style w:type="paragraph" w:styleId="Ttulo1">
    <w:name w:val="heading 1"/>
    <w:basedOn w:val="Normal"/>
    <w:next w:val="Normal"/>
    <w:link w:val="Ttulo1Car"/>
    <w:qFormat/>
    <w:rsid w:val="00C079A8"/>
    <w:pPr>
      <w:keepNext/>
      <w:overflowPunct w:val="0"/>
      <w:autoSpaceDE w:val="0"/>
      <w:autoSpaceDN w:val="0"/>
      <w:adjustRightInd w:val="0"/>
      <w:textAlignment w:val="baseline"/>
      <w:outlineLvl w:val="0"/>
    </w:pPr>
    <w:rPr>
      <w:b/>
      <w:bCs/>
    </w:rPr>
  </w:style>
  <w:style w:type="paragraph" w:styleId="Ttulo2">
    <w:name w:val="heading 2"/>
    <w:basedOn w:val="Normal"/>
    <w:next w:val="Normal"/>
    <w:link w:val="Ttulo2Car"/>
    <w:qFormat/>
    <w:rsid w:val="00C079A8"/>
    <w:pPr>
      <w:keepNext/>
      <w:spacing w:before="240" w:after="60"/>
      <w:outlineLvl w:val="1"/>
    </w:pPr>
    <w:rPr>
      <w:rFonts w:ascii="Calibri" w:hAnsi="Calibri"/>
      <w:b/>
      <w:bCs/>
      <w:i/>
      <w:iCs/>
      <w:sz w:val="28"/>
      <w:szCs w:val="28"/>
    </w:rPr>
  </w:style>
  <w:style w:type="paragraph" w:styleId="Ttulo3">
    <w:name w:val="heading 3"/>
    <w:basedOn w:val="Normal"/>
    <w:next w:val="Normal"/>
    <w:link w:val="Ttulo3Car"/>
    <w:qFormat/>
    <w:rsid w:val="00C079A8"/>
    <w:pPr>
      <w:keepNext/>
      <w:spacing w:before="240" w:after="60"/>
      <w:outlineLvl w:val="2"/>
    </w:pPr>
    <w:rPr>
      <w:rFonts w:ascii="Calibri" w:hAnsi="Calibr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Style2">
    <w:name w:val="Table Style2"/>
    <w:basedOn w:val="Tablaconcuadrcula"/>
    <w:rsid w:val="00E60815"/>
    <w:pPr>
      <w:tabs>
        <w:tab w:val="left" w:pos="720"/>
      </w:tabs>
      <w:jc w:val="both"/>
    </w:pPr>
    <w:rPr>
      <w:sz w:val="22"/>
      <w:szCs w:val="22"/>
    </w:rPr>
    <w:tblPr>
      <w:tblCellMar>
        <w:left w:w="85" w:type="dxa"/>
        <w:right w:w="85" w:type="dxa"/>
      </w:tblCellMar>
    </w:tblPr>
  </w:style>
  <w:style w:type="table" w:styleId="Tablaconcuadrcula">
    <w:name w:val="Table Grid"/>
    <w:basedOn w:val="Tablanormal"/>
    <w:rsid w:val="00C079A8"/>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文字) (文字) Char (文字) (文字) Char"/>
    <w:basedOn w:val="Normal"/>
    <w:rsid w:val="00B121EC"/>
    <w:pPr>
      <w:spacing w:after="160" w:line="240" w:lineRule="exact"/>
    </w:pPr>
    <w:rPr>
      <w:rFonts w:ascii="Tahoma" w:hAnsi="Tahoma"/>
      <w:sz w:val="20"/>
      <w:szCs w:val="20"/>
    </w:rPr>
  </w:style>
  <w:style w:type="character" w:styleId="Hipervnculo">
    <w:name w:val="Hyperlink"/>
    <w:rsid w:val="00B121EC"/>
    <w:rPr>
      <w:color w:val="0000FF"/>
      <w:u w:val="single"/>
    </w:rPr>
  </w:style>
  <w:style w:type="paragraph" w:styleId="Textonotapie">
    <w:name w:val="footnote text"/>
    <w:basedOn w:val="Normal"/>
    <w:link w:val="TextonotapieCar"/>
    <w:semiHidden/>
    <w:rsid w:val="00C079A8"/>
    <w:pPr>
      <w:spacing w:before="60"/>
    </w:pPr>
    <w:rPr>
      <w:sz w:val="20"/>
    </w:rPr>
  </w:style>
  <w:style w:type="character" w:styleId="Refdenotaalpie">
    <w:name w:val="footnote reference"/>
    <w:semiHidden/>
    <w:rsid w:val="00C079A8"/>
    <w:rPr>
      <w:vertAlign w:val="superscript"/>
    </w:rPr>
  </w:style>
  <w:style w:type="paragraph" w:styleId="Piedepgina">
    <w:name w:val="footer"/>
    <w:basedOn w:val="Normal"/>
    <w:link w:val="PiedepginaCar"/>
    <w:rsid w:val="00C079A8"/>
    <w:pPr>
      <w:tabs>
        <w:tab w:val="center" w:pos="4680"/>
        <w:tab w:val="right" w:pos="9360"/>
      </w:tabs>
    </w:pPr>
  </w:style>
  <w:style w:type="character" w:styleId="Nmerodepgina">
    <w:name w:val="page number"/>
    <w:rsid w:val="00C079A8"/>
    <w:rPr>
      <w:rFonts w:ascii="Arial" w:hAnsi="Arial"/>
      <w:b/>
      <w:sz w:val="18"/>
    </w:rPr>
  </w:style>
  <w:style w:type="paragraph" w:styleId="Encabezado">
    <w:name w:val="header"/>
    <w:basedOn w:val="Normal"/>
    <w:link w:val="EncabezadoCar"/>
    <w:rsid w:val="00C079A8"/>
    <w:pPr>
      <w:tabs>
        <w:tab w:val="center" w:pos="4680"/>
        <w:tab w:val="right" w:pos="9360"/>
      </w:tabs>
    </w:pPr>
  </w:style>
  <w:style w:type="character" w:customStyle="1" w:styleId="Ttulo1Car">
    <w:name w:val="Título 1 Car"/>
    <w:link w:val="Ttulo1"/>
    <w:rsid w:val="00C079A8"/>
    <w:rPr>
      <w:rFonts w:eastAsia="MS Mincho"/>
      <w:b/>
      <w:bCs/>
      <w:sz w:val="22"/>
      <w:szCs w:val="24"/>
      <w:lang w:val="es-ES"/>
    </w:rPr>
  </w:style>
  <w:style w:type="character" w:customStyle="1" w:styleId="Ttulo2Car">
    <w:name w:val="Título 2 Car"/>
    <w:link w:val="Ttulo2"/>
    <w:rsid w:val="00C079A8"/>
    <w:rPr>
      <w:rFonts w:ascii="Calibri" w:eastAsia="MS Mincho" w:hAnsi="Calibri"/>
      <w:b/>
      <w:bCs/>
      <w:i/>
      <w:iCs/>
      <w:sz w:val="28"/>
      <w:szCs w:val="28"/>
      <w:lang w:val="es-ES"/>
    </w:rPr>
  </w:style>
  <w:style w:type="character" w:customStyle="1" w:styleId="Ttulo3Car">
    <w:name w:val="Título 3 Car"/>
    <w:link w:val="Ttulo3"/>
    <w:rsid w:val="00C079A8"/>
    <w:rPr>
      <w:rFonts w:ascii="Calibri" w:eastAsia="MS Mincho" w:hAnsi="Calibri"/>
      <w:b/>
      <w:bCs/>
      <w:sz w:val="26"/>
      <w:szCs w:val="26"/>
      <w:lang w:val="es-ES"/>
    </w:rPr>
  </w:style>
  <w:style w:type="paragraph" w:customStyle="1" w:styleId="Style">
    <w:name w:val="Style"/>
    <w:basedOn w:val="Piedepgina"/>
    <w:autoRedefine/>
    <w:qFormat/>
    <w:rsid w:val="00C079A8"/>
    <w:pPr>
      <w:pBdr>
        <w:top w:val="single" w:sz="4" w:space="1" w:color="auto"/>
      </w:pBdr>
      <w:tabs>
        <w:tab w:val="clear" w:pos="4680"/>
        <w:tab w:val="clear" w:pos="9360"/>
        <w:tab w:val="right" w:pos="9072"/>
      </w:tabs>
      <w:spacing w:after="120"/>
      <w:jc w:val="left"/>
    </w:pPr>
    <w:rPr>
      <w:rFonts w:ascii="Arial" w:eastAsia="Times" w:hAnsi="Arial"/>
      <w:sz w:val="18"/>
    </w:rPr>
  </w:style>
  <w:style w:type="paragraph" w:customStyle="1" w:styleId="IPPArialFootnote">
    <w:name w:val="IPP Arial Footnote"/>
    <w:basedOn w:val="IPPArialTable"/>
    <w:qFormat/>
    <w:rsid w:val="00C079A8"/>
    <w:pPr>
      <w:tabs>
        <w:tab w:val="left" w:pos="28"/>
      </w:tabs>
      <w:ind w:left="284" w:hanging="284"/>
    </w:pPr>
    <w:rPr>
      <w:sz w:val="16"/>
    </w:rPr>
  </w:style>
  <w:style w:type="paragraph" w:customStyle="1" w:styleId="IPPContentsHead">
    <w:name w:val="IPP ContentsHead"/>
    <w:basedOn w:val="IPPSubhead"/>
    <w:next w:val="IPPNormal"/>
    <w:qFormat/>
    <w:rsid w:val="00C079A8"/>
    <w:pPr>
      <w:spacing w:after="240"/>
    </w:pPr>
    <w:rPr>
      <w:sz w:val="24"/>
    </w:rPr>
  </w:style>
  <w:style w:type="character" w:customStyle="1" w:styleId="PiedepginaCar">
    <w:name w:val="Pie de página Car"/>
    <w:link w:val="Piedepgina"/>
    <w:rsid w:val="00C079A8"/>
    <w:rPr>
      <w:rFonts w:eastAsia="MS Mincho"/>
      <w:sz w:val="22"/>
      <w:szCs w:val="24"/>
      <w:lang w:val="es-ES"/>
    </w:rPr>
  </w:style>
  <w:style w:type="paragraph" w:styleId="Textodeglobo">
    <w:name w:val="Balloon Text"/>
    <w:basedOn w:val="Normal"/>
    <w:link w:val="TextodegloboCar"/>
    <w:rsid w:val="00C079A8"/>
    <w:rPr>
      <w:rFonts w:ascii="Tahoma" w:hAnsi="Tahoma"/>
      <w:sz w:val="16"/>
      <w:szCs w:val="16"/>
    </w:rPr>
  </w:style>
  <w:style w:type="character" w:customStyle="1" w:styleId="TextodegloboCar">
    <w:name w:val="Texto de globo Car"/>
    <w:link w:val="Textodeglobo"/>
    <w:rsid w:val="00C079A8"/>
    <w:rPr>
      <w:rFonts w:ascii="Tahoma" w:eastAsia="MS Mincho" w:hAnsi="Tahoma" w:cs="Tahoma"/>
      <w:sz w:val="16"/>
      <w:szCs w:val="16"/>
      <w:lang w:val="es-ES"/>
    </w:rPr>
  </w:style>
  <w:style w:type="paragraph" w:customStyle="1" w:styleId="IPPBullet2">
    <w:name w:val="IPP Bullet2"/>
    <w:basedOn w:val="IPPNormal"/>
    <w:next w:val="IPPBullet1"/>
    <w:qFormat/>
    <w:rsid w:val="00C079A8"/>
    <w:pPr>
      <w:numPr>
        <w:numId w:val="10"/>
      </w:numPr>
      <w:tabs>
        <w:tab w:val="left" w:pos="567"/>
      </w:tabs>
      <w:spacing w:after="60"/>
    </w:pPr>
  </w:style>
  <w:style w:type="paragraph" w:customStyle="1" w:styleId="IPPQuote">
    <w:name w:val="IPP Quote"/>
    <w:basedOn w:val="IPPNormal"/>
    <w:qFormat/>
    <w:rsid w:val="00C079A8"/>
    <w:pPr>
      <w:ind w:left="851" w:right="851"/>
    </w:pPr>
    <w:rPr>
      <w:sz w:val="18"/>
    </w:rPr>
  </w:style>
  <w:style w:type="paragraph" w:customStyle="1" w:styleId="IPPNormal">
    <w:name w:val="IPP Normal"/>
    <w:basedOn w:val="Normal"/>
    <w:qFormat/>
    <w:rsid w:val="00C079A8"/>
    <w:pPr>
      <w:spacing w:after="180"/>
    </w:pPr>
    <w:rPr>
      <w:rFonts w:eastAsia="Times"/>
    </w:rPr>
  </w:style>
  <w:style w:type="paragraph" w:customStyle="1" w:styleId="IPPIndentClose">
    <w:name w:val="IPP Indent Close"/>
    <w:basedOn w:val="IPPNormal"/>
    <w:qFormat/>
    <w:rsid w:val="00C079A8"/>
    <w:pPr>
      <w:tabs>
        <w:tab w:val="left" w:pos="2835"/>
      </w:tabs>
      <w:spacing w:after="60"/>
      <w:ind w:left="567"/>
    </w:pPr>
  </w:style>
  <w:style w:type="paragraph" w:customStyle="1" w:styleId="IPPIndent">
    <w:name w:val="IPP Indent"/>
    <w:basedOn w:val="IPPIndentClose"/>
    <w:qFormat/>
    <w:rsid w:val="00C079A8"/>
    <w:pPr>
      <w:spacing w:after="180"/>
    </w:pPr>
  </w:style>
  <w:style w:type="paragraph" w:customStyle="1" w:styleId="IPPFootnote">
    <w:name w:val="IPP Footnote"/>
    <w:basedOn w:val="IPPArialFootnote"/>
    <w:qFormat/>
    <w:rsid w:val="00C079A8"/>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 3"/>
    <w:basedOn w:val="IPPNormal"/>
    <w:qFormat/>
    <w:rsid w:val="00C079A8"/>
    <w:pPr>
      <w:keepNext/>
      <w:tabs>
        <w:tab w:val="left" w:pos="567"/>
      </w:tabs>
      <w:spacing w:before="120" w:after="120"/>
      <w:ind w:left="567" w:hanging="567"/>
    </w:pPr>
    <w:rPr>
      <w:b/>
      <w:i/>
    </w:rPr>
  </w:style>
  <w:style w:type="character" w:customStyle="1" w:styleId="IPPnormalitalics">
    <w:name w:val="IPP normal italics"/>
    <w:rsid w:val="00C079A8"/>
    <w:rPr>
      <w:rFonts w:ascii="Times New Roman" w:hAnsi="Times New Roman"/>
      <w:i/>
      <w:sz w:val="22"/>
      <w:lang w:val="es-ES"/>
    </w:rPr>
  </w:style>
  <w:style w:type="character" w:customStyle="1" w:styleId="IPPNormalbold">
    <w:name w:val="IPP Normal bold"/>
    <w:rsid w:val="00C079A8"/>
    <w:rPr>
      <w:rFonts w:ascii="Times New Roman" w:eastAsia="Times" w:hAnsi="Times New Roman"/>
      <w:b/>
      <w:sz w:val="22"/>
      <w:szCs w:val="21"/>
      <w:lang w:val="es-ES"/>
    </w:rPr>
  </w:style>
  <w:style w:type="paragraph" w:customStyle="1" w:styleId="IPPHeadSection">
    <w:name w:val="IPP HeadSection"/>
    <w:basedOn w:val="Normal"/>
    <w:next w:val="Normal"/>
    <w:qFormat/>
    <w:rsid w:val="00C079A8"/>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C079A8"/>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C079A8"/>
    <w:pPr>
      <w:keepNext/>
      <w:ind w:left="567" w:hanging="567"/>
      <w:jc w:val="left"/>
    </w:pPr>
    <w:rPr>
      <w:b/>
      <w:bCs/>
      <w:iCs/>
      <w:szCs w:val="22"/>
    </w:rPr>
  </w:style>
  <w:style w:type="character" w:customStyle="1" w:styleId="IPPNormalunderlined">
    <w:name w:val="IPP Normal underlined"/>
    <w:rsid w:val="00C079A8"/>
    <w:rPr>
      <w:rFonts w:ascii="Times New Roman" w:hAnsi="Times New Roman"/>
      <w:sz w:val="22"/>
      <w:u w:val="single"/>
      <w:lang w:val="es-ES"/>
    </w:rPr>
  </w:style>
  <w:style w:type="paragraph" w:customStyle="1" w:styleId="IPPBullet1">
    <w:name w:val="IPP Bullet1"/>
    <w:basedOn w:val="IPPBullet1Last"/>
    <w:qFormat/>
    <w:rsid w:val="00C079A8"/>
    <w:pPr>
      <w:spacing w:after="60"/>
    </w:pPr>
  </w:style>
  <w:style w:type="paragraph" w:customStyle="1" w:styleId="IPPBullet1Last">
    <w:name w:val="IPP Bullet1Last"/>
    <w:basedOn w:val="IPPNormal"/>
    <w:next w:val="IPPNormal"/>
    <w:autoRedefine/>
    <w:qFormat/>
    <w:rsid w:val="00C079A8"/>
    <w:pPr>
      <w:numPr>
        <w:numId w:val="11"/>
      </w:numPr>
    </w:pPr>
  </w:style>
  <w:style w:type="character" w:customStyle="1" w:styleId="IPPNormalstrikethrough">
    <w:name w:val="IPP Normal strikethrough"/>
    <w:rsid w:val="00C079A8"/>
    <w:rPr>
      <w:rFonts w:ascii="Times New Roman" w:hAnsi="Times New Roman"/>
      <w:strike/>
      <w:dstrike w:val="0"/>
      <w:sz w:val="22"/>
    </w:rPr>
  </w:style>
  <w:style w:type="paragraph" w:customStyle="1" w:styleId="IPPTitle16pt">
    <w:name w:val="IPP Title16pt"/>
    <w:basedOn w:val="Normal"/>
    <w:qFormat/>
    <w:rsid w:val="00C079A8"/>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C079A8"/>
    <w:pPr>
      <w:spacing w:after="360"/>
      <w:jc w:val="center"/>
    </w:pPr>
    <w:rPr>
      <w:rFonts w:ascii="Arial" w:hAnsi="Arial" w:cs="Arial"/>
      <w:b/>
      <w:bCs/>
      <w:sz w:val="36"/>
      <w:szCs w:val="36"/>
    </w:rPr>
  </w:style>
  <w:style w:type="paragraph" w:customStyle="1" w:styleId="IPPHeader">
    <w:name w:val="IPP Header"/>
    <w:basedOn w:val="Normal"/>
    <w:qFormat/>
    <w:rsid w:val="00C079A8"/>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rsid w:val="00C079A8"/>
    <w:pPr>
      <w:keepNext/>
      <w:tabs>
        <w:tab w:val="left" w:pos="567"/>
      </w:tabs>
      <w:spacing w:before="120"/>
      <w:jc w:val="left"/>
      <w:outlineLvl w:val="1"/>
    </w:pPr>
    <w:rPr>
      <w:b/>
      <w:sz w:val="24"/>
    </w:rPr>
  </w:style>
  <w:style w:type="numbering" w:customStyle="1" w:styleId="IPPParagraphnumberedlist">
    <w:name w:val="IPP Paragraph numbered list"/>
    <w:rsid w:val="00C079A8"/>
    <w:pPr>
      <w:numPr>
        <w:numId w:val="9"/>
      </w:numPr>
    </w:pPr>
  </w:style>
  <w:style w:type="paragraph" w:customStyle="1" w:styleId="IPPNormalCloseSpace">
    <w:name w:val="IPP NormalCloseSpace"/>
    <w:basedOn w:val="Normal"/>
    <w:qFormat/>
    <w:rsid w:val="00C079A8"/>
    <w:pPr>
      <w:keepNext/>
      <w:spacing w:after="60"/>
    </w:pPr>
  </w:style>
  <w:style w:type="paragraph" w:customStyle="1" w:styleId="IPPHeading2">
    <w:name w:val="IPP Heading2"/>
    <w:basedOn w:val="IPPNormal"/>
    <w:next w:val="IPPNormal"/>
    <w:qFormat/>
    <w:rsid w:val="00C079A8"/>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Textosinformato"/>
    <w:qFormat/>
    <w:rsid w:val="00C079A8"/>
    <w:pPr>
      <w:pBdr>
        <w:top w:val="single" w:sz="4" w:space="4" w:color="auto"/>
        <w:bottom w:val="none" w:sz="0" w:space="0" w:color="auto"/>
      </w:pBdr>
      <w:tabs>
        <w:tab w:val="clear" w:pos="1134"/>
      </w:tabs>
      <w:jc w:val="right"/>
    </w:pPr>
    <w:rPr>
      <w:b/>
    </w:rPr>
  </w:style>
  <w:style w:type="paragraph" w:styleId="TDC1">
    <w:name w:val="toc 1"/>
    <w:basedOn w:val="IPPNormalCloseSpace"/>
    <w:next w:val="Normal"/>
    <w:autoRedefine/>
    <w:uiPriority w:val="39"/>
    <w:rsid w:val="00C079A8"/>
    <w:pPr>
      <w:tabs>
        <w:tab w:val="right" w:leader="dot" w:pos="9072"/>
      </w:tabs>
      <w:spacing w:before="240"/>
      <w:ind w:left="567" w:hanging="567"/>
    </w:pPr>
  </w:style>
  <w:style w:type="paragraph" w:styleId="TDC2">
    <w:name w:val="toc 2"/>
    <w:basedOn w:val="TDC1"/>
    <w:next w:val="Normal"/>
    <w:autoRedefine/>
    <w:uiPriority w:val="39"/>
    <w:rsid w:val="00C079A8"/>
    <w:pPr>
      <w:keepNext w:val="0"/>
      <w:tabs>
        <w:tab w:val="left" w:pos="425"/>
      </w:tabs>
      <w:spacing w:before="120" w:after="0"/>
      <w:ind w:left="425" w:right="284" w:hanging="425"/>
    </w:pPr>
  </w:style>
  <w:style w:type="paragraph" w:styleId="TDC3">
    <w:name w:val="toc 3"/>
    <w:basedOn w:val="TDC2"/>
    <w:next w:val="Normal"/>
    <w:autoRedefine/>
    <w:uiPriority w:val="39"/>
    <w:rsid w:val="00C079A8"/>
    <w:pPr>
      <w:tabs>
        <w:tab w:val="left" w:pos="1276"/>
      </w:tabs>
      <w:spacing w:before="60"/>
      <w:ind w:left="1276" w:hanging="851"/>
    </w:pPr>
    <w:rPr>
      <w:rFonts w:eastAsia="Times"/>
    </w:rPr>
  </w:style>
  <w:style w:type="paragraph" w:styleId="TDC4">
    <w:name w:val="toc 4"/>
    <w:basedOn w:val="Normal"/>
    <w:next w:val="Normal"/>
    <w:autoRedefine/>
    <w:uiPriority w:val="39"/>
    <w:rsid w:val="00C079A8"/>
    <w:pPr>
      <w:spacing w:after="120"/>
      <w:ind w:left="660"/>
    </w:pPr>
    <w:rPr>
      <w:rFonts w:eastAsia="Times"/>
    </w:rPr>
  </w:style>
  <w:style w:type="paragraph" w:styleId="TDC5">
    <w:name w:val="toc 5"/>
    <w:basedOn w:val="Normal"/>
    <w:next w:val="Normal"/>
    <w:autoRedefine/>
    <w:uiPriority w:val="39"/>
    <w:rsid w:val="00C079A8"/>
    <w:pPr>
      <w:spacing w:after="120"/>
      <w:ind w:left="880"/>
    </w:pPr>
    <w:rPr>
      <w:rFonts w:eastAsia="Times"/>
    </w:rPr>
  </w:style>
  <w:style w:type="paragraph" w:styleId="TDC6">
    <w:name w:val="toc 6"/>
    <w:basedOn w:val="Normal"/>
    <w:next w:val="Normal"/>
    <w:autoRedefine/>
    <w:uiPriority w:val="39"/>
    <w:rsid w:val="00C079A8"/>
    <w:pPr>
      <w:spacing w:after="120"/>
      <w:ind w:left="1100"/>
    </w:pPr>
    <w:rPr>
      <w:rFonts w:eastAsia="Times"/>
    </w:rPr>
  </w:style>
  <w:style w:type="paragraph" w:styleId="TDC7">
    <w:name w:val="toc 7"/>
    <w:basedOn w:val="Normal"/>
    <w:next w:val="Normal"/>
    <w:autoRedefine/>
    <w:uiPriority w:val="39"/>
    <w:rsid w:val="00C079A8"/>
    <w:pPr>
      <w:spacing w:after="120"/>
      <w:ind w:left="1320"/>
    </w:pPr>
    <w:rPr>
      <w:rFonts w:eastAsia="Times"/>
    </w:rPr>
  </w:style>
  <w:style w:type="paragraph" w:styleId="TDC8">
    <w:name w:val="toc 8"/>
    <w:basedOn w:val="Normal"/>
    <w:next w:val="Normal"/>
    <w:autoRedefine/>
    <w:uiPriority w:val="39"/>
    <w:rsid w:val="00C079A8"/>
    <w:pPr>
      <w:spacing w:after="120"/>
      <w:ind w:left="1540"/>
    </w:pPr>
    <w:rPr>
      <w:rFonts w:eastAsia="Times"/>
    </w:rPr>
  </w:style>
  <w:style w:type="paragraph" w:styleId="TDC9">
    <w:name w:val="toc 9"/>
    <w:basedOn w:val="Normal"/>
    <w:next w:val="Normal"/>
    <w:autoRedefine/>
    <w:uiPriority w:val="39"/>
    <w:rsid w:val="00C079A8"/>
    <w:pPr>
      <w:spacing w:after="120"/>
      <w:ind w:left="1760"/>
    </w:pPr>
    <w:rPr>
      <w:rFonts w:eastAsia="Times"/>
    </w:rPr>
  </w:style>
  <w:style w:type="paragraph" w:customStyle="1" w:styleId="IPPReferences">
    <w:name w:val="IPP References"/>
    <w:basedOn w:val="IPPNormal"/>
    <w:qFormat/>
    <w:rsid w:val="00C079A8"/>
    <w:pPr>
      <w:spacing w:after="60"/>
      <w:ind w:left="567" w:hanging="567"/>
    </w:pPr>
  </w:style>
  <w:style w:type="paragraph" w:customStyle="1" w:styleId="IPPArial">
    <w:name w:val="IPP Arial"/>
    <w:basedOn w:val="IPPNormal"/>
    <w:qFormat/>
    <w:rsid w:val="00C079A8"/>
    <w:pPr>
      <w:spacing w:after="0"/>
    </w:pPr>
    <w:rPr>
      <w:rFonts w:ascii="Arial" w:hAnsi="Arial"/>
      <w:sz w:val="18"/>
    </w:rPr>
  </w:style>
  <w:style w:type="paragraph" w:customStyle="1" w:styleId="IPPArialTable">
    <w:name w:val="IPP Arial Table"/>
    <w:basedOn w:val="IPPArial"/>
    <w:qFormat/>
    <w:rsid w:val="00C079A8"/>
    <w:pPr>
      <w:spacing w:before="60" w:after="60"/>
      <w:jc w:val="left"/>
    </w:pPr>
  </w:style>
  <w:style w:type="character" w:customStyle="1" w:styleId="TextonotapieCar">
    <w:name w:val="Texto nota pie Car"/>
    <w:link w:val="Textonotapie"/>
    <w:semiHidden/>
    <w:rsid w:val="00C079A8"/>
    <w:rPr>
      <w:rFonts w:eastAsia="MS Mincho"/>
      <w:szCs w:val="24"/>
      <w:lang w:val="es-ES"/>
    </w:rPr>
  </w:style>
  <w:style w:type="paragraph" w:customStyle="1" w:styleId="IPPHeaderlandscape">
    <w:name w:val="IPP Header landscape"/>
    <w:basedOn w:val="IPPHeader"/>
    <w:qFormat/>
    <w:rsid w:val="00C079A8"/>
    <w:pPr>
      <w:tabs>
        <w:tab w:val="clear" w:pos="9072"/>
        <w:tab w:val="right" w:pos="13892"/>
      </w:tabs>
      <w:spacing w:after="0"/>
    </w:pPr>
  </w:style>
  <w:style w:type="paragraph" w:styleId="Textosinformato">
    <w:name w:val="Plain Text"/>
    <w:basedOn w:val="Normal"/>
    <w:link w:val="TextosinformatoCar"/>
    <w:uiPriority w:val="99"/>
    <w:unhideWhenUsed/>
    <w:rsid w:val="00C079A8"/>
    <w:pPr>
      <w:jc w:val="left"/>
    </w:pPr>
    <w:rPr>
      <w:rFonts w:ascii="Courier" w:eastAsia="Times" w:hAnsi="Courier"/>
      <w:sz w:val="21"/>
      <w:szCs w:val="21"/>
    </w:rPr>
  </w:style>
  <w:style w:type="character" w:customStyle="1" w:styleId="TextosinformatoCar">
    <w:name w:val="Texto sin formato Car"/>
    <w:link w:val="Textosinformato"/>
    <w:uiPriority w:val="99"/>
    <w:rsid w:val="00C079A8"/>
    <w:rPr>
      <w:rFonts w:ascii="Courier" w:eastAsia="Times" w:hAnsi="Courier"/>
      <w:sz w:val="21"/>
      <w:szCs w:val="21"/>
      <w:lang w:val="es-ES"/>
    </w:rPr>
  </w:style>
  <w:style w:type="paragraph" w:customStyle="1" w:styleId="IPPLetterList">
    <w:name w:val="IPP LetterList"/>
    <w:basedOn w:val="IPPBullet2"/>
    <w:qFormat/>
    <w:rsid w:val="00C079A8"/>
    <w:pPr>
      <w:numPr>
        <w:numId w:val="6"/>
      </w:numPr>
      <w:jc w:val="left"/>
    </w:pPr>
  </w:style>
  <w:style w:type="paragraph" w:customStyle="1" w:styleId="IPPLetterListIndent">
    <w:name w:val="IPP LetterList Indent"/>
    <w:basedOn w:val="IPPLetterList"/>
    <w:qFormat/>
    <w:rsid w:val="00C079A8"/>
    <w:pPr>
      <w:numPr>
        <w:numId w:val="7"/>
      </w:numPr>
    </w:pPr>
  </w:style>
  <w:style w:type="paragraph" w:customStyle="1" w:styleId="IPPFooterLandscape">
    <w:name w:val="IPP Footer Landscape"/>
    <w:basedOn w:val="IPPHeaderlandscape"/>
    <w:qFormat/>
    <w:rsid w:val="00C079A8"/>
    <w:pPr>
      <w:pBdr>
        <w:top w:val="single" w:sz="4" w:space="1" w:color="auto"/>
        <w:bottom w:val="none" w:sz="0" w:space="0" w:color="auto"/>
      </w:pBdr>
    </w:pPr>
    <w:rPr>
      <w:b/>
    </w:rPr>
  </w:style>
  <w:style w:type="paragraph" w:customStyle="1" w:styleId="IPPSubheadSpace">
    <w:name w:val="IPP Subhead Space"/>
    <w:basedOn w:val="IPPSubhead"/>
    <w:qFormat/>
    <w:rsid w:val="00C079A8"/>
    <w:pPr>
      <w:tabs>
        <w:tab w:val="left" w:pos="567"/>
      </w:tabs>
      <w:spacing w:before="60" w:after="60"/>
    </w:pPr>
  </w:style>
  <w:style w:type="paragraph" w:customStyle="1" w:styleId="IPPSubheadSpaceAfter">
    <w:name w:val="IPP Subhead SpaceAfter"/>
    <w:basedOn w:val="IPPSubhead"/>
    <w:qFormat/>
    <w:rsid w:val="00C079A8"/>
    <w:pPr>
      <w:spacing w:after="60"/>
    </w:pPr>
  </w:style>
  <w:style w:type="paragraph" w:customStyle="1" w:styleId="IPPHdg1Num">
    <w:name w:val="IPP Hdg1Num"/>
    <w:basedOn w:val="IPPHeading1"/>
    <w:next w:val="IPPNormal"/>
    <w:qFormat/>
    <w:rsid w:val="00C079A8"/>
    <w:pPr>
      <w:numPr>
        <w:numId w:val="12"/>
      </w:numPr>
    </w:pPr>
  </w:style>
  <w:style w:type="paragraph" w:customStyle="1" w:styleId="IPPHdg2Num">
    <w:name w:val="IPP Hdg2Num"/>
    <w:basedOn w:val="IPPHeading2"/>
    <w:next w:val="IPPNormal"/>
    <w:qFormat/>
    <w:rsid w:val="00C079A8"/>
    <w:pPr>
      <w:numPr>
        <w:ilvl w:val="1"/>
        <w:numId w:val="13"/>
      </w:numPr>
    </w:pPr>
  </w:style>
  <w:style w:type="character" w:styleId="Hipervnculovisitado">
    <w:name w:val="FollowedHyperlink"/>
    <w:uiPriority w:val="99"/>
    <w:semiHidden/>
    <w:unhideWhenUsed/>
    <w:rsid w:val="00D33AEF"/>
    <w:rPr>
      <w:color w:val="800080"/>
      <w:u w:val="single"/>
    </w:rPr>
  </w:style>
  <w:style w:type="character" w:styleId="Refdecomentario">
    <w:name w:val="annotation reference"/>
    <w:uiPriority w:val="99"/>
    <w:semiHidden/>
    <w:unhideWhenUsed/>
    <w:rsid w:val="00816CAF"/>
    <w:rPr>
      <w:sz w:val="16"/>
      <w:szCs w:val="16"/>
    </w:rPr>
  </w:style>
  <w:style w:type="paragraph" w:styleId="Textocomentario">
    <w:name w:val="annotation text"/>
    <w:basedOn w:val="Normal"/>
    <w:link w:val="TextocomentarioCar"/>
    <w:uiPriority w:val="99"/>
    <w:semiHidden/>
    <w:unhideWhenUsed/>
    <w:rsid w:val="00816CAF"/>
    <w:rPr>
      <w:rFonts w:eastAsia="Times New Roman"/>
      <w:sz w:val="20"/>
      <w:szCs w:val="20"/>
    </w:rPr>
  </w:style>
  <w:style w:type="character" w:customStyle="1" w:styleId="TextocomentarioCar">
    <w:name w:val="Texto comentario Car"/>
    <w:link w:val="Textocomentario"/>
    <w:uiPriority w:val="99"/>
    <w:semiHidden/>
    <w:rsid w:val="00816CAF"/>
    <w:rPr>
      <w:lang w:val="es-ES"/>
    </w:rPr>
  </w:style>
  <w:style w:type="paragraph" w:styleId="Asuntodelcomentario">
    <w:name w:val="annotation subject"/>
    <w:basedOn w:val="Textocomentario"/>
    <w:next w:val="Textocomentario"/>
    <w:link w:val="AsuntodelcomentarioCar"/>
    <w:uiPriority w:val="99"/>
    <w:semiHidden/>
    <w:unhideWhenUsed/>
    <w:rsid w:val="00816CAF"/>
    <w:rPr>
      <w:b/>
      <w:bCs/>
    </w:rPr>
  </w:style>
  <w:style w:type="character" w:customStyle="1" w:styleId="AsuntodelcomentarioCar">
    <w:name w:val="Asunto del comentario Car"/>
    <w:link w:val="Asuntodelcomentario"/>
    <w:uiPriority w:val="99"/>
    <w:semiHidden/>
    <w:rsid w:val="00816CAF"/>
    <w:rPr>
      <w:b/>
      <w:bCs/>
      <w:lang w:val="es-ES"/>
    </w:rPr>
  </w:style>
  <w:style w:type="paragraph" w:customStyle="1" w:styleId="IPPNumberedList">
    <w:name w:val="IPP NumberedList"/>
    <w:basedOn w:val="IPPBullet1"/>
    <w:qFormat/>
    <w:rsid w:val="00C079A8"/>
    <w:pPr>
      <w:numPr>
        <w:numId w:val="22"/>
      </w:numPr>
    </w:pPr>
  </w:style>
  <w:style w:type="character" w:customStyle="1" w:styleId="EncabezadoCar">
    <w:name w:val="Encabezado Car"/>
    <w:link w:val="Encabezado"/>
    <w:rsid w:val="00C079A8"/>
    <w:rPr>
      <w:rFonts w:eastAsia="MS Mincho"/>
      <w:sz w:val="22"/>
      <w:szCs w:val="24"/>
      <w:lang w:val="es-ES"/>
    </w:rPr>
  </w:style>
  <w:style w:type="character" w:styleId="Textoennegrita">
    <w:name w:val="Strong"/>
    <w:qFormat/>
    <w:rsid w:val="00C079A8"/>
    <w:rPr>
      <w:b/>
      <w:bCs/>
    </w:rPr>
  </w:style>
  <w:style w:type="paragraph" w:styleId="Prrafodelista">
    <w:name w:val="List Paragraph"/>
    <w:basedOn w:val="Normal"/>
    <w:uiPriority w:val="34"/>
    <w:qFormat/>
    <w:rsid w:val="00C079A8"/>
    <w:pPr>
      <w:spacing w:line="240" w:lineRule="atLeast"/>
      <w:ind w:leftChars="400" w:left="800"/>
    </w:pPr>
    <w:rPr>
      <w:rFonts w:ascii="Verdana" w:eastAsia="Times New Roman"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69426">
      <w:bodyDiv w:val="1"/>
      <w:marLeft w:val="0"/>
      <w:marRight w:val="0"/>
      <w:marTop w:val="0"/>
      <w:marBottom w:val="0"/>
      <w:divBdr>
        <w:top w:val="none" w:sz="0" w:space="0" w:color="auto"/>
        <w:left w:val="none" w:sz="0" w:space="0" w:color="auto"/>
        <w:bottom w:val="none" w:sz="0" w:space="0" w:color="auto"/>
        <w:right w:val="none" w:sz="0" w:space="0" w:color="auto"/>
      </w:divBdr>
      <w:divsChild>
        <w:div w:id="1698845322">
          <w:marLeft w:val="0"/>
          <w:marRight w:val="0"/>
          <w:marTop w:val="0"/>
          <w:marBottom w:val="0"/>
          <w:divBdr>
            <w:top w:val="none" w:sz="0" w:space="0" w:color="auto"/>
            <w:left w:val="none" w:sz="0" w:space="0" w:color="auto"/>
            <w:bottom w:val="none" w:sz="0" w:space="0" w:color="auto"/>
            <w:right w:val="none" w:sz="0" w:space="0" w:color="auto"/>
          </w:divBdr>
          <w:divsChild>
            <w:div w:id="1298221677">
              <w:marLeft w:val="0"/>
              <w:marRight w:val="0"/>
              <w:marTop w:val="0"/>
              <w:marBottom w:val="0"/>
              <w:divBdr>
                <w:top w:val="none" w:sz="0" w:space="0" w:color="auto"/>
                <w:left w:val="none" w:sz="0" w:space="0" w:color="auto"/>
                <w:bottom w:val="none" w:sz="0" w:space="0" w:color="auto"/>
                <w:right w:val="none" w:sz="0" w:space="0" w:color="auto"/>
              </w:divBdr>
              <w:divsChild>
                <w:div w:id="2137748123">
                  <w:marLeft w:val="0"/>
                  <w:marRight w:val="0"/>
                  <w:marTop w:val="0"/>
                  <w:marBottom w:val="0"/>
                  <w:divBdr>
                    <w:top w:val="none" w:sz="0" w:space="0" w:color="auto"/>
                    <w:left w:val="none" w:sz="0" w:space="0" w:color="auto"/>
                    <w:bottom w:val="none" w:sz="0" w:space="0" w:color="auto"/>
                    <w:right w:val="none" w:sz="0" w:space="0" w:color="auto"/>
                  </w:divBdr>
                  <w:divsChild>
                    <w:div w:id="2238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72419">
      <w:bodyDiv w:val="1"/>
      <w:marLeft w:val="0"/>
      <w:marRight w:val="0"/>
      <w:marTop w:val="0"/>
      <w:marBottom w:val="0"/>
      <w:divBdr>
        <w:top w:val="none" w:sz="0" w:space="0" w:color="auto"/>
        <w:left w:val="none" w:sz="0" w:space="0" w:color="auto"/>
        <w:bottom w:val="none" w:sz="0" w:space="0" w:color="auto"/>
        <w:right w:val="none" w:sz="0" w:space="0" w:color="auto"/>
      </w:divBdr>
    </w:div>
    <w:div w:id="212326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ippc.int/core-activities/ippc-standard-setting-procedure-manua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ppc.int/publications/criteria-used-prioritizing-participants-receive-travel-assistance-attend-meeting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AppData\Roaming\Microsoft\Templates\IPP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IPPC</Template>
  <TotalTime>238</TotalTime>
  <Pages>5</Pages>
  <Words>1662</Words>
  <Characters>9146</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INTERNATIONAL PLANT PROTECTION CONVENTION (IPPC)</vt:lpstr>
      <vt:lpstr>INTERNATIONAL PLANT PROTECTION CONVENTION (IPPC)</vt:lpstr>
    </vt:vector>
  </TitlesOfParts>
  <Company>FAO of the UN</Company>
  <LinksUpToDate>false</LinksUpToDate>
  <CharactersWithSpaces>10787</CharactersWithSpaces>
  <SharedDoc>false</SharedDoc>
  <HLinks>
    <vt:vector size="12" baseType="variant">
      <vt:variant>
        <vt:i4>2687031</vt:i4>
      </vt:variant>
      <vt:variant>
        <vt:i4>0</vt:i4>
      </vt:variant>
      <vt:variant>
        <vt:i4>0</vt:i4>
      </vt:variant>
      <vt:variant>
        <vt:i4>5</vt:i4>
      </vt:variant>
      <vt:variant>
        <vt:lpwstr>https://www.ippc.int/core-activities/ippc-standard-setting-procedure-manual</vt:lpwstr>
      </vt:variant>
      <vt:variant>
        <vt:lpwstr/>
      </vt:variant>
      <vt:variant>
        <vt:i4>8060969</vt:i4>
      </vt:variant>
      <vt:variant>
        <vt:i4>0</vt:i4>
      </vt:variant>
      <vt:variant>
        <vt:i4>0</vt:i4>
      </vt:variant>
      <vt:variant>
        <vt:i4>5</vt:i4>
      </vt:variant>
      <vt:variant>
        <vt:lpwstr>https://www.ippc.int/publications/criteria-used-prioritizing-participants-receive-travel-assistance-attend-meetings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PLANT PROTECTION CONVENTION (IPPC)</dc:title>
  <dc:subject/>
  <dc:creator>Johnston, Stacie (AGPP)</dc:creator>
  <cp:keywords/>
  <cp:lastModifiedBy>Rosamaría Nuñez</cp:lastModifiedBy>
  <cp:revision>10</cp:revision>
  <cp:lastPrinted>2012-11-27T21:08:00Z</cp:lastPrinted>
  <dcterms:created xsi:type="dcterms:W3CDTF">2016-04-18T13:44:00Z</dcterms:created>
  <dcterms:modified xsi:type="dcterms:W3CDTF">2016-04-18T22:45:00Z</dcterms:modified>
</cp:coreProperties>
</file>