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D6" w:rsidRDefault="00680002">
      <w:pPr>
        <w:jc w:val="center"/>
      </w:pPr>
      <w:bookmarkStart w:id="0" w:name="_GoBack"/>
      <w:bookmarkEnd w:id="0"/>
      <w:r>
        <w:rPr>
          <w:rStyle w:val="PleaseReviewParagraphId"/>
          <w:noProof/>
          <w:sz w:val="20"/>
        </w:rPr>
        <w:t>[PleaseReview document review. Review title: 2019 First Consultation: Draft PT Cold treatment for Bactrocera tryoni on Vitis vinifera (2017-023B). Document title: 2017-023B_DraftPT_CT_B_tryoni_grape_2019-05-10_es.docx]</w:t>
      </w:r>
    </w:p>
    <w:p w:rsidR="001A24D6" w:rsidRDefault="00680002">
      <w:pPr>
        <w:pStyle w:val="IPPHeadSection"/>
        <w:rPr>
          <w:caps w:val="0"/>
        </w:rPr>
      </w:pPr>
      <w:r>
        <w:rPr>
          <w:rStyle w:val="PleaseReviewParagraphId"/>
          <w:b w:val="0"/>
        </w:rPr>
        <w:t>[1]</w:t>
      </w:r>
      <w:r>
        <w:t xml:space="preserve">PROYECTO DE ANEXO DE LA NIMF 28: </w:t>
      </w:r>
      <w:r>
        <w:rPr>
          <w:caps w:val="0"/>
        </w:rPr>
        <w:t xml:space="preserve">Tratamiento con frío contra </w:t>
      </w:r>
      <w:r>
        <w:rPr>
          <w:i/>
          <w:caps w:val="0"/>
        </w:rPr>
        <w:t>Bactrocera tryoni</w:t>
      </w:r>
      <w:r>
        <w:rPr>
          <w:caps w:val="0"/>
        </w:rPr>
        <w:t xml:space="preserve"> en </w:t>
      </w:r>
      <w:r>
        <w:rPr>
          <w:i/>
          <w:caps w:val="0"/>
        </w:rPr>
        <w:t>Vitis vinifera</w:t>
      </w:r>
      <w:r>
        <w:rPr>
          <w:caps w:val="0"/>
        </w:rPr>
        <w:t xml:space="preserve"> (2017-023B)</w:t>
      </w:r>
    </w:p>
    <w:tbl>
      <w:tblPr>
        <w:tblStyle w:val="TableGrid"/>
        <w:tblW w:w="0" w:type="auto"/>
        <w:tblLook w:val="04A0" w:firstRow="1" w:lastRow="0" w:firstColumn="1" w:lastColumn="0" w:noHBand="0" w:noVBand="1"/>
      </w:tblPr>
      <w:tblGrid>
        <w:gridCol w:w="3085"/>
        <w:gridCol w:w="5617"/>
      </w:tblGrid>
      <w:tr w:rsidR="001A24D6">
        <w:tc>
          <w:tcPr>
            <w:tcW w:w="8702" w:type="dxa"/>
            <w:gridSpan w:val="2"/>
          </w:tcPr>
          <w:p w:rsidR="001A24D6" w:rsidRDefault="00680002">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1A24D6">
        <w:tc>
          <w:tcPr>
            <w:tcW w:w="8702" w:type="dxa"/>
            <w:gridSpan w:val="2"/>
          </w:tcPr>
          <w:p w:rsidR="001A24D6" w:rsidRDefault="00680002">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 la adopción será modificada por la Secretaría de la CIPF.</w:t>
            </w:r>
          </w:p>
        </w:tc>
      </w:tr>
      <w:tr w:rsidR="001A24D6">
        <w:tc>
          <w:tcPr>
            <w:tcW w:w="3085" w:type="dxa"/>
          </w:tcPr>
          <w:p w:rsidR="001A24D6" w:rsidRDefault="00680002">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617" w:type="dxa"/>
          </w:tcPr>
          <w:p w:rsidR="001A24D6" w:rsidRDefault="00680002">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1A24D6">
        <w:tc>
          <w:tcPr>
            <w:tcW w:w="3085" w:type="dxa"/>
          </w:tcPr>
          <w:p w:rsidR="001A24D6" w:rsidRDefault="00680002">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617" w:type="dxa"/>
          </w:tcPr>
          <w:p w:rsidR="001A24D6" w:rsidRDefault="00680002">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1A24D6">
        <w:tc>
          <w:tcPr>
            <w:tcW w:w="3085" w:type="dxa"/>
          </w:tcPr>
          <w:p w:rsidR="001A24D6" w:rsidRDefault="00680002">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617" w:type="dxa"/>
          </w:tcPr>
          <w:p w:rsidR="001A24D6" w:rsidRDefault="00680002">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617" w:type="dxa"/>
          </w:tcPr>
          <w:p w:rsidR="001A24D6" w:rsidRDefault="00680002">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 tratamiento se presentó en respuesta a la solicitud de tratamientos de 2017-02 (</w:t>
            </w:r>
            <w:r>
              <w:rPr>
                <w:rFonts w:asciiTheme="majorHAnsi" w:hAnsiTheme="majorHAnsi" w:cstheme="majorHAnsi"/>
                <w:i/>
                <w:sz w:val="18"/>
              </w:rPr>
              <w:t>Tratamiento con frío de las uvas de mesa australianas contra la mosca mediterránea de la fruta y la mosca de la fruta de Queensland</w:t>
            </w:r>
            <w:r>
              <w:rPr>
                <w:rFonts w:asciiTheme="majorHAnsi" w:hAnsiTheme="majorHAnsi" w:cstheme="majorHAnsi"/>
                <w:sz w:val="18"/>
              </w:rPr>
              <w:t>).</w:t>
            </w:r>
          </w:p>
          <w:p w:rsidR="001A24D6" w:rsidRDefault="00680002">
            <w:pPr>
              <w:rPr>
                <w:rFonts w:asciiTheme="majorHAnsi" w:hAnsiTheme="majorHAnsi" w:cstheme="majorHAnsi"/>
                <w:sz w:val="18"/>
                <w:szCs w:val="18"/>
              </w:rPr>
            </w:pPr>
            <w:r>
              <w:rPr>
                <w:rStyle w:val="PleaseReviewParagraphId"/>
              </w:rPr>
              <w:t>[12]</w:t>
            </w:r>
            <w:r>
              <w:rPr>
                <w:rFonts w:asciiTheme="majorHAnsi" w:hAnsiTheme="majorHAnsi" w:cstheme="majorHAnsi"/>
                <w:sz w:val="18"/>
              </w:rPr>
              <w:t>2017-07: El Grupo técnico sobre tratamientos fitosanitarios (GTTF) examinó la propuesta.</w:t>
            </w:r>
          </w:p>
          <w:p w:rsidR="001A24D6" w:rsidRDefault="00680002">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uvas de mesa contra</w:t>
            </w:r>
            <w:r>
              <w:rPr>
                <w:rFonts w:asciiTheme="majorHAnsi" w:hAnsiTheme="majorHAnsi" w:cstheme="majorHAnsi"/>
                <w:sz w:val="18"/>
              </w:rPr>
              <w:t xml:space="preserve"> Bactrocera tryoni (2017-023B) al programa de trabajo del GTTF con prioridad 1.</w:t>
            </w:r>
          </w:p>
          <w:p w:rsidR="001A24D6" w:rsidRDefault="00680002">
            <w:pPr>
              <w:contextualSpacing/>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la primera consulta.</w:t>
            </w:r>
          </w:p>
          <w:p w:rsidR="001A24D6" w:rsidRDefault="00680002">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1A24D6" w:rsidRDefault="00680002">
            <w:pPr>
              <w:contextualSpacing/>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(2019_eSC_May_11).</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617" w:type="dxa"/>
          </w:tcPr>
          <w:p w:rsidR="001A24D6" w:rsidRDefault="00680002">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[19]</w:t>
            </w:r>
            <w:r>
              <w:rPr>
                <w:rFonts w:asciiTheme="majorHAnsi" w:hAnsiTheme="majorHAnsi" w:cstheme="majorHAnsi"/>
                <w:b/>
                <w:sz w:val="18"/>
              </w:rPr>
              <w:t>Notas</w:t>
            </w:r>
          </w:p>
        </w:tc>
        <w:tc>
          <w:tcPr>
            <w:tcW w:w="5617" w:type="dxa"/>
          </w:tcPr>
          <w:p w:rsidR="001A24D6" w:rsidRDefault="00680002">
            <w:pPr>
              <w:rPr>
                <w:rFonts w:asciiTheme="majorHAnsi" w:hAnsiTheme="majorHAnsi" w:cstheme="majorHAnsi"/>
                <w:sz w:val="18"/>
                <w:szCs w:val="18"/>
              </w:rPr>
            </w:pPr>
            <w:r>
              <w:rPr>
                <w:rStyle w:val="PleaseReviewParagraphId"/>
              </w:rPr>
              <w:t>[20]</w:t>
            </w:r>
            <w:r>
              <w:rPr>
                <w:rFonts w:asciiTheme="majorHAnsi" w:hAnsiTheme="majorHAnsi" w:cstheme="majorHAnsi"/>
                <w:sz w:val="18"/>
              </w:rPr>
              <w:t xml:space="preserve">2018-06: Reunión del GTTF: el protocolo propuesto originalmente como protocolo 2 se suprimió porque su eficacia era </w:t>
            </w:r>
            <w:r>
              <w:rPr>
                <w:rFonts w:asciiTheme="majorHAnsi" w:hAnsiTheme="majorHAnsi" w:cstheme="majorHAnsi"/>
                <w:sz w:val="18"/>
              </w:rPr>
              <w:lastRenderedPageBreak/>
              <w:t xml:space="preserve">menor que la del protocolo propuesto originalmente como protocolo 3. </w:t>
            </w:r>
            <w:r>
              <w:rPr>
                <w:rFonts w:asciiTheme="majorHAnsi" w:hAnsiTheme="majorHAnsi" w:cstheme="majorHAnsi"/>
                <w:sz w:val="18"/>
              </w:rPr>
              <w:br/>
              <w:t>2018-07: Editado.</w:t>
            </w:r>
          </w:p>
        </w:tc>
      </w:tr>
    </w:tbl>
    <w:p w:rsidR="001A24D6" w:rsidRDefault="00680002">
      <w:pPr>
        <w:pStyle w:val="IPPHeading1"/>
        <w:keepLines/>
      </w:pPr>
      <w:r>
        <w:rPr>
          <w:rStyle w:val="PleaseReviewParagraphId"/>
          <w:b w:val="0"/>
        </w:rPr>
        <w:lastRenderedPageBreak/>
        <w:t>[21]</w:t>
      </w:r>
      <w:r>
        <w:t>Ámbito del tratamiento</w:t>
      </w:r>
    </w:p>
    <w:p w:rsidR="001A24D6" w:rsidRDefault="00680002">
      <w:pPr>
        <w:pStyle w:val="IPPParagraphnumbering"/>
        <w:keepNext/>
        <w:keepLines/>
        <w:numPr>
          <w:ilvl w:val="0"/>
          <w:numId w:val="0"/>
        </w:numPr>
      </w:pPr>
      <w:r>
        <w:rPr>
          <w:rStyle w:val="PleaseReviewParagraphId"/>
        </w:rPr>
        <w:t>[22]</w:t>
      </w:r>
      <w:r>
        <w:t xml:space="preserve">Este tratamiento describe la aplicación de frío a frutos de </w:t>
      </w:r>
      <w:r>
        <w:rPr>
          <w:i/>
        </w:rPr>
        <w:t>Vitis vinifera</w:t>
      </w:r>
      <w:r>
        <w:t xml:space="preserve"> (uvas de mesa) para inducir la mortalidad de los huevos y larvas de </w:t>
      </w:r>
      <w:r>
        <w:rPr>
          <w:i/>
        </w:rPr>
        <w:t xml:space="preserve">Bactrocera tryoni </w:t>
      </w:r>
      <w:r>
        <w:t>con la eficacia indicada</w:t>
      </w:r>
      <w:r>
        <w:rPr>
          <w:rStyle w:val="FootnoteReference"/>
          <w:rFonts w:asciiTheme="majorHAnsi" w:hAnsiTheme="majorHAnsi" w:cstheme="majorHAnsi"/>
          <w:sz w:val="18"/>
        </w:rPr>
        <w:footnoteReference w:id="1"/>
      </w:r>
      <w:r>
        <w:t>.</w:t>
      </w:r>
    </w:p>
    <w:p w:rsidR="001A24D6" w:rsidRDefault="00680002">
      <w:pPr>
        <w:pStyle w:val="IPPHeading1"/>
        <w:keepLines/>
      </w:pPr>
      <w:r>
        <w:rPr>
          <w:rStyle w:val="PleaseReviewParagraphId"/>
          <w:b w:val="0"/>
        </w:rPr>
        <w:t>[24]</w:t>
      </w:r>
      <w:r>
        <w:t>Descripción del tratamiento</w:t>
      </w:r>
    </w:p>
    <w:p w:rsidR="001A24D6" w:rsidRDefault="00680002">
      <w:pPr>
        <w:pStyle w:val="IPPParagraphnumbering"/>
        <w:numPr>
          <w:ilvl w:val="0"/>
          <w:numId w:val="0"/>
        </w:numPr>
        <w:tabs>
          <w:tab w:val="left" w:pos="2552"/>
        </w:tabs>
      </w:pPr>
      <w:r>
        <w:rPr>
          <w:rStyle w:val="PleaseReviewParagraphId"/>
        </w:rPr>
        <w:t>[25]</w:t>
      </w:r>
      <w:r>
        <w:rPr>
          <w:b/>
        </w:rPr>
        <w:t>Nombre del tratamiento</w:t>
      </w:r>
      <w:r>
        <w:tab/>
        <w:t xml:space="preserve">Tratamiento con frío contra </w:t>
      </w:r>
      <w:r>
        <w:rPr>
          <w:i/>
        </w:rPr>
        <w:t>Bactrocera tryoni</w:t>
      </w:r>
      <w:r>
        <w:t xml:space="preserve"> en </w:t>
      </w:r>
      <w:r>
        <w:rPr>
          <w:i/>
        </w:rPr>
        <w:t>Vitis vinifera</w:t>
      </w:r>
    </w:p>
    <w:p w:rsidR="001A24D6" w:rsidRDefault="00680002">
      <w:pPr>
        <w:pStyle w:val="IPPParagraphnumbering"/>
        <w:numPr>
          <w:ilvl w:val="0"/>
          <w:numId w:val="0"/>
        </w:numPr>
        <w:tabs>
          <w:tab w:val="left" w:pos="2552"/>
        </w:tabs>
      </w:pPr>
      <w:r>
        <w:rPr>
          <w:rStyle w:val="PleaseReviewParagraphId"/>
        </w:rPr>
        <w:t>[26]</w:t>
      </w:r>
      <w:r>
        <w:rPr>
          <w:b/>
        </w:rPr>
        <w:t>Ingrediente activo</w:t>
      </w:r>
      <w:r>
        <w:tab/>
        <w:t>No aplicable</w:t>
      </w:r>
    </w:p>
    <w:p w:rsidR="001A24D6" w:rsidRDefault="00680002">
      <w:pPr>
        <w:pStyle w:val="IPPParagraphnumbering"/>
        <w:numPr>
          <w:ilvl w:val="0"/>
          <w:numId w:val="0"/>
        </w:numPr>
        <w:tabs>
          <w:tab w:val="left" w:pos="2552"/>
        </w:tabs>
      </w:pPr>
      <w:r>
        <w:rPr>
          <w:rStyle w:val="PleaseReviewParagraphId"/>
        </w:rPr>
        <w:t>[27]</w:t>
      </w:r>
      <w:r>
        <w:rPr>
          <w:b/>
        </w:rPr>
        <w:t>Tipo de tratamiento</w:t>
      </w:r>
      <w:r>
        <w:tab/>
        <w:t>Físico (frío)</w:t>
      </w:r>
    </w:p>
    <w:p w:rsidR="001A24D6" w:rsidRDefault="00680002">
      <w:pPr>
        <w:pStyle w:val="IPPParagraphnumbering"/>
        <w:numPr>
          <w:ilvl w:val="0"/>
          <w:numId w:val="0"/>
        </w:numPr>
        <w:tabs>
          <w:tab w:val="left" w:pos="2552"/>
        </w:tabs>
      </w:pPr>
      <w:r>
        <w:rPr>
          <w:rStyle w:val="PleaseReviewParagraphId"/>
        </w:rPr>
        <w:t>[28]</w:t>
      </w:r>
      <w:r>
        <w:rPr>
          <w:b/>
        </w:rPr>
        <w:t>Plaga objetivo</w:t>
      </w:r>
      <w:r>
        <w:tab/>
      </w:r>
      <w:r>
        <w:rPr>
          <w:i/>
        </w:rPr>
        <w:t xml:space="preserve">Bactrocera tryoni </w:t>
      </w:r>
      <w:r>
        <w:t>(Froggatt, 1897) (Diptera: Tephritidae)</w:t>
      </w:r>
    </w:p>
    <w:p w:rsidR="001A24D6" w:rsidRDefault="00680002">
      <w:pPr>
        <w:pStyle w:val="IPPParagraphnumbering"/>
        <w:numPr>
          <w:ilvl w:val="0"/>
          <w:numId w:val="0"/>
        </w:numPr>
        <w:tabs>
          <w:tab w:val="left" w:pos="2552"/>
        </w:tabs>
      </w:pPr>
      <w:r>
        <w:rPr>
          <w:rStyle w:val="PleaseReviewParagraphId"/>
        </w:rPr>
        <w:t>[29]</w:t>
      </w:r>
      <w:r>
        <w:rPr>
          <w:b/>
        </w:rPr>
        <w:t>Artículos reglamentados objeto del tratamiento</w:t>
      </w:r>
      <w:r>
        <w:tab/>
        <w:t xml:space="preserve">Frutos de </w:t>
      </w:r>
      <w:r>
        <w:rPr>
          <w:i/>
        </w:rPr>
        <w:t>Vitis vinifera</w:t>
      </w:r>
      <w:r>
        <w:t xml:space="preserve"> </w:t>
      </w:r>
    </w:p>
    <w:p w:rsidR="001A24D6" w:rsidRDefault="00680002">
      <w:pPr>
        <w:pStyle w:val="IPPHeading1"/>
      </w:pPr>
      <w:r>
        <w:rPr>
          <w:rStyle w:val="PleaseReviewParagraphId"/>
          <w:b w:val="0"/>
        </w:rPr>
        <w:t>[30]</w:t>
      </w:r>
      <w:r>
        <w:t xml:space="preserve">Protocolo de tratamiento </w:t>
      </w:r>
    </w:p>
    <w:p w:rsidR="001A24D6" w:rsidRDefault="00680002">
      <w:pPr>
        <w:pStyle w:val="IPPParagraphnumbering"/>
        <w:numPr>
          <w:ilvl w:val="0"/>
          <w:numId w:val="0"/>
        </w:numPr>
        <w:rPr>
          <w:b/>
        </w:rPr>
      </w:pPr>
      <w:r>
        <w:rPr>
          <w:rStyle w:val="PleaseReviewParagraphId"/>
        </w:rPr>
        <w:t>[31]</w:t>
      </w:r>
      <w:r>
        <w:rPr>
          <w:b/>
        </w:rPr>
        <w:t>Protocolo 1: 12 días consecutivos a 1 °C o temperatura inferior</w:t>
      </w:r>
    </w:p>
    <w:p w:rsidR="001A24D6" w:rsidRDefault="00680002">
      <w:pPr>
        <w:pStyle w:val="IPPParagraphnumbering"/>
        <w:numPr>
          <w:ilvl w:val="0"/>
          <w:numId w:val="0"/>
        </w:numPr>
        <w:rPr>
          <w:i/>
          <w:iCs/>
        </w:rPr>
      </w:pPr>
      <w:r>
        <w:rPr>
          <w:rStyle w:val="PleaseReviewParagraphId"/>
        </w:rPr>
        <w:t>[32]</w:t>
      </w:r>
      <w:r>
        <w:t xml:space="preserve">Se tiene un nivel de confianza del 95 % en que el tratamiento conforme a este protocolo prevenga el desarrollo de puparios en no menos del 99,9964 % de los huevos y las larvas de </w:t>
      </w:r>
      <w:r>
        <w:rPr>
          <w:i/>
        </w:rPr>
        <w:t>Bactrocera tryoni</w:t>
      </w:r>
      <w:r>
        <w:t>.</w:t>
      </w:r>
    </w:p>
    <w:p w:rsidR="001A24D6" w:rsidRDefault="00680002">
      <w:pPr>
        <w:pStyle w:val="IPPParagraphnumbering"/>
        <w:numPr>
          <w:ilvl w:val="0"/>
          <w:numId w:val="0"/>
        </w:numPr>
        <w:rPr>
          <w:b/>
        </w:rPr>
      </w:pPr>
      <w:r>
        <w:rPr>
          <w:rStyle w:val="PleaseReviewParagraphId"/>
        </w:rPr>
        <w:lastRenderedPageBreak/>
        <w:t>[33]</w:t>
      </w:r>
      <w:r>
        <w:rPr>
          <w:b/>
        </w:rPr>
        <w:t>Protocolo 2: 14 días consecutivos a 3 °C o temperatura inferior</w:t>
      </w:r>
    </w:p>
    <w:p w:rsidR="001A24D6" w:rsidRDefault="00680002">
      <w:pPr>
        <w:pStyle w:val="IPPParagraphnumbering"/>
        <w:numPr>
          <w:ilvl w:val="0"/>
          <w:numId w:val="0"/>
        </w:numPr>
        <w:rPr>
          <w:i/>
          <w:iCs/>
        </w:rPr>
      </w:pPr>
      <w:r>
        <w:rPr>
          <w:rStyle w:val="PleaseReviewParagraphId"/>
        </w:rPr>
        <w:t>[34]</w:t>
      </w:r>
      <w:r>
        <w:t xml:space="preserve">Se tiene un nivel de confianza del 95 % en que el tratamiento conforme a este protocolo prevenga el desarrollo de puparios en no menos del 99,9984% de los huevos y las larvas de </w:t>
      </w:r>
      <w:r>
        <w:rPr>
          <w:i/>
        </w:rPr>
        <w:t>Bactrocera tryoni</w:t>
      </w:r>
      <w:r>
        <w:t>.</w:t>
      </w:r>
    </w:p>
    <w:p w:rsidR="001A24D6" w:rsidRDefault="00680002">
      <w:pPr>
        <w:pStyle w:val="IPPParagraphnumbering"/>
        <w:numPr>
          <w:ilvl w:val="0"/>
          <w:numId w:val="0"/>
        </w:numPr>
      </w:pPr>
      <w:r>
        <w:rPr>
          <w:rStyle w:val="PleaseReviewParagraphId"/>
        </w:rPr>
        <w:t>[35]</w:t>
      </w:r>
      <w:r>
        <w:t>En ambos protocolos, la fruta debe alcanzar la temperatura de tratamiento antes de que comience a registrarse el tiempo de exposición. Debería controlarse y registrarse la temperatura de la fruta, que no debería superar el nivel especificado en toda la duración del tratamiento.</w:t>
      </w:r>
    </w:p>
    <w:p w:rsidR="001A24D6" w:rsidRDefault="00680002">
      <w:pPr>
        <w:pStyle w:val="IPPParagraphnumbering"/>
        <w:numPr>
          <w:ilvl w:val="0"/>
          <w:numId w:val="0"/>
        </w:numPr>
      </w:pPr>
      <w:r>
        <w:rPr>
          <w:rStyle w:val="PleaseReviewParagraphId"/>
        </w:rPr>
        <w:t>[36]</w:t>
      </w:r>
      <w:r>
        <w:t>Este tratamiento debería aplicarse de conformidad con los requisitos establecidos en la NIMF 42 (</w:t>
      </w:r>
      <w:r>
        <w:rPr>
          <w:i/>
        </w:rPr>
        <w:t>Requisitos para el uso de tratamientos térmicos como medidas fitosanitarias</w:t>
      </w:r>
      <w:r>
        <w:t>).</w:t>
      </w:r>
    </w:p>
    <w:p w:rsidR="001A24D6" w:rsidRDefault="00680002">
      <w:pPr>
        <w:pStyle w:val="IPPHeading1"/>
      </w:pPr>
      <w:r>
        <w:rPr>
          <w:rStyle w:val="PleaseReviewParagraphId"/>
          <w:b w:val="0"/>
        </w:rPr>
        <w:t>[37]</w:t>
      </w:r>
      <w:r>
        <w:t>Otra información pertinente</w:t>
      </w:r>
    </w:p>
    <w:p w:rsidR="001A24D6" w:rsidRDefault="00680002">
      <w:pPr>
        <w:pStyle w:val="IPPParagraphnumbering"/>
        <w:numPr>
          <w:ilvl w:val="0"/>
          <w:numId w:val="0"/>
        </w:numPr>
      </w:pPr>
      <w:r>
        <w:rPr>
          <w:rStyle w:val="PleaseReviewParagraphId"/>
        </w:rPr>
        <w:t>[38]</w:t>
      </w:r>
      <w:r>
        <w:t xml:space="preserve">Al evaluar este tratamiento, el Grupo técnico sobre tratamientos fitosanitarios consideró cuestiones relativas a los regímenes de temperaturas y el acondicionamiento térmico, teniendo en cuenta el trabajo de Hallman y Mangan (1997). </w:t>
      </w:r>
    </w:p>
    <w:p w:rsidR="001A24D6" w:rsidRDefault="00680002">
      <w:pPr>
        <w:pStyle w:val="IPPParagraphnumbering"/>
        <w:numPr>
          <w:ilvl w:val="0"/>
          <w:numId w:val="0"/>
        </w:numPr>
      </w:pPr>
      <w:r>
        <w:rPr>
          <w:rStyle w:val="PleaseReviewParagraphId"/>
        </w:rPr>
        <w:t>[39]</w:t>
      </w:r>
      <w:r>
        <w:t>La eficacia de los protocolos 1 y 2 se calculó sobre la base de números estimados de larvas tratadas, sin supervivientes, de 82 863 y 182 450, respectivamente.</w:t>
      </w:r>
    </w:p>
    <w:p w:rsidR="001A24D6" w:rsidRDefault="00680002">
      <w:pPr>
        <w:pStyle w:val="IPPParagraphnumbering"/>
        <w:numPr>
          <w:ilvl w:val="0"/>
          <w:numId w:val="0"/>
        </w:numPr>
      </w:pPr>
      <w:r>
        <w:rPr>
          <w:rStyle w:val="PleaseReviewParagraphId"/>
        </w:rPr>
        <w:t>[40]</w:t>
      </w:r>
      <w:r>
        <w:t xml:space="preserve">Los protocolos 1 y 2, que se basan en el trabajo de De Lima </w:t>
      </w:r>
      <w:r>
        <w:rPr>
          <w:i/>
        </w:rPr>
        <w:t>et al</w:t>
      </w:r>
      <w:r>
        <w:t>. (2011) y del NSW DPI (2007), se elaboraron utilizando la ausencia de desarrollo del pupario como medida de la mortalidad.</w:t>
      </w:r>
    </w:p>
    <w:p w:rsidR="001A24D6" w:rsidRDefault="00680002">
      <w:pPr>
        <w:pStyle w:val="IPPParagraphnumbering"/>
        <w:numPr>
          <w:ilvl w:val="0"/>
          <w:numId w:val="0"/>
        </w:numPr>
      </w:pPr>
      <w:r>
        <w:rPr>
          <w:rStyle w:val="PleaseReviewParagraphId"/>
        </w:rPr>
        <w:t>[41]</w:t>
      </w:r>
      <w:r>
        <w:t>El protocolo 1 se elaboró utilizando los cultivares ‘Ruby Seedless’, ‘Flame Seedless’ y ‘Thompson Seedless’.</w:t>
      </w:r>
    </w:p>
    <w:p w:rsidR="001A24D6" w:rsidRDefault="00680002">
      <w:pPr>
        <w:pStyle w:val="IPPParagraphnumbering"/>
        <w:numPr>
          <w:ilvl w:val="0"/>
          <w:numId w:val="0"/>
        </w:numPr>
      </w:pPr>
      <w:r>
        <w:rPr>
          <w:rStyle w:val="PleaseReviewParagraphId"/>
        </w:rPr>
        <w:t>[42]</w:t>
      </w:r>
      <w:r>
        <w:t>El protocolo 2 se elaboró utilizando los cultivares ‘Red Globe’, ‘Crimson Seedless’ y ‘Thompson Seedless’.</w:t>
      </w:r>
    </w:p>
    <w:p w:rsidR="001A24D6" w:rsidRDefault="00680002">
      <w:pPr>
        <w:pStyle w:val="IPPHeading1"/>
      </w:pPr>
      <w:r>
        <w:rPr>
          <w:rStyle w:val="PleaseReviewParagraphId"/>
          <w:b w:val="0"/>
        </w:rPr>
        <w:t>[43]</w:t>
      </w:r>
      <w:r>
        <w:t>Referencias</w:t>
      </w:r>
    </w:p>
    <w:p w:rsidR="001A24D6" w:rsidRDefault="00680002">
      <w:pPr>
        <w:pStyle w:val="IPPParagraphnumbering"/>
        <w:numPr>
          <w:ilvl w:val="0"/>
          <w:numId w:val="0"/>
        </w:numPr>
        <w:rPr>
          <w:b/>
        </w:rPr>
      </w:pPr>
      <w:r>
        <w:rPr>
          <w:rStyle w:val="PleaseReviewParagraphId"/>
        </w:rPr>
        <w:t>[44]</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1A24D6" w:rsidRDefault="00680002">
      <w:pPr>
        <w:pStyle w:val="IPPReferences"/>
      </w:pPr>
      <w:r>
        <w:rPr>
          <w:rStyle w:val="PleaseReviewParagraphId"/>
        </w:rPr>
        <w:t>[45]</w:t>
      </w:r>
      <w:r>
        <w:rPr>
          <w:b/>
        </w:rPr>
        <w:t>De Lima, C.P.F., Jessup, A.J., Mansfield, E.R. y Daniels, D.</w:t>
      </w:r>
      <w:r>
        <w:t xml:space="preserve"> 2011. Cold treatment of table grapes infested with Mediterranean fruit fly </w:t>
      </w:r>
      <w:r>
        <w:rPr>
          <w:i/>
        </w:rPr>
        <w:t>Ceratitis capitata</w:t>
      </w:r>
      <w:r>
        <w:t xml:space="preserve"> (Wiedemann) </w:t>
      </w:r>
      <w:r>
        <w:lastRenderedPageBreak/>
        <w:t xml:space="preserve">and Queensland fruit fly </w:t>
      </w:r>
      <w:r>
        <w:rPr>
          <w:i/>
        </w:rPr>
        <w:t>Bactrocera tryoni</w:t>
      </w:r>
      <w:r>
        <w:t xml:space="preserve"> (Froggatt) Diptera: Tephritidae. </w:t>
      </w:r>
      <w:r>
        <w:rPr>
          <w:i/>
        </w:rPr>
        <w:t>New Zealand Journal of Crop and Horticultural Science</w:t>
      </w:r>
      <w:r>
        <w:t>, 39 (2): 95-105.</w:t>
      </w:r>
    </w:p>
    <w:p w:rsidR="001A24D6" w:rsidRDefault="00680002">
      <w:pPr>
        <w:pStyle w:val="IPPReferences"/>
      </w:pPr>
      <w:r>
        <w:rPr>
          <w:rStyle w:val="PleaseReviewParagraphId"/>
        </w:rPr>
        <w:t>[46]</w:t>
      </w:r>
      <w:r>
        <w:rPr>
          <w:b/>
        </w:rPr>
        <w:t xml:space="preserve">Hallman, G.J. y Mangan, R.L. </w:t>
      </w:r>
      <w:r>
        <w:t>1997. Concerns with temperature quarantine treatment research. En:</w:t>
      </w:r>
      <w:r>
        <w:rPr>
          <w:b/>
        </w:rPr>
        <w:t xml:space="preserve"> </w:t>
      </w:r>
      <w:r>
        <w:t>G.L. Obenauf, ed. Proceedings of the Annual International Research Conference on Methyl Bromide Alternatives and Emissions Reduction, San Diego, CA, 3-5 de noviembre de 1997, págs. 79-1 a 79-4.</w:t>
      </w:r>
    </w:p>
    <w:p w:rsidR="001A24D6" w:rsidRDefault="00680002">
      <w:pPr>
        <w:pStyle w:val="IPPReferences"/>
        <w:spacing w:after="240"/>
      </w:pPr>
      <w:r>
        <w:rPr>
          <w:rStyle w:val="PleaseReviewParagraphId"/>
        </w:rPr>
        <w:t>[47]</w:t>
      </w:r>
      <w:r>
        <w:rPr>
          <w:b/>
        </w:rPr>
        <w:t xml:space="preserve">NSW DPI </w:t>
      </w:r>
      <w:r>
        <w:t xml:space="preserve">(Departamento de Industrias Primarias de Nueva Gales del Sur). 2007. </w:t>
      </w:r>
      <w:r>
        <w:rPr>
          <w:i/>
        </w:rPr>
        <w:t>Cold treatment of Australian table grapes infested with eggs and larvae of the Queensland fruit fly (</w:t>
      </w:r>
      <w:r>
        <w:t>Bactrocera tryoni</w:t>
      </w:r>
      <w:r>
        <w:rPr>
          <w:i/>
        </w:rPr>
        <w:t xml:space="preserve"> (Froggatt)) Diptera: Tephritidae</w:t>
      </w:r>
      <w:r>
        <w:t xml:space="preserve">. Gosford (Australia), NSW DPI. </w:t>
      </w:r>
    </w:p>
    <w:sectPr w:rsidR="001A24D6">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A0" w:rsidRDefault="003B4BA0">
      <w:r>
        <w:rPr>
          <w:rStyle w:val="PleaseReviewParagraphId"/>
        </w:rPr>
        <w:t>[]</w:t>
      </w:r>
      <w:r>
        <w:separator/>
      </w:r>
    </w:p>
  </w:endnote>
  <w:endnote w:type="continuationSeparator" w:id="0">
    <w:p w:rsidR="003B4BA0" w:rsidRDefault="003B4BA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A0" w:rsidRDefault="003B4BA0">
      <w:r>
        <w:rPr>
          <w:rStyle w:val="PleaseReviewParagraphId"/>
        </w:rPr>
        <w:t>[]</w:t>
      </w:r>
      <w:r>
        <w:separator/>
      </w:r>
    </w:p>
  </w:footnote>
  <w:footnote w:type="continuationSeparator" w:id="0">
    <w:p w:rsidR="003B4BA0" w:rsidRDefault="003B4BA0">
      <w:r>
        <w:rPr>
          <w:rStyle w:val="PleaseReviewParagraphId"/>
        </w:rPr>
        <w:t>[]</w:t>
      </w:r>
      <w:r>
        <w:continuationSeparator/>
      </w:r>
    </w:p>
  </w:footnote>
  <w:footnote w:id="1">
    <w:p w:rsidR="001A24D6" w:rsidRDefault="00680002">
      <w:pPr>
        <w:pStyle w:val="IPPFootnote"/>
      </w:pPr>
      <w:r>
        <w:rPr>
          <w:rStyle w:val="PleaseReviewParagraphId"/>
        </w:rPr>
        <w:t>[23]</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7736"/>
    <w:rsid w:val="00013D7D"/>
    <w:rsid w:val="000150F1"/>
    <w:rsid w:val="0002100A"/>
    <w:rsid w:val="00047904"/>
    <w:rsid w:val="0005786A"/>
    <w:rsid w:val="000622BA"/>
    <w:rsid w:val="00062D6C"/>
    <w:rsid w:val="00067B26"/>
    <w:rsid w:val="000A089C"/>
    <w:rsid w:val="000A609B"/>
    <w:rsid w:val="000B0226"/>
    <w:rsid w:val="000B1526"/>
    <w:rsid w:val="000E5160"/>
    <w:rsid w:val="000E577C"/>
    <w:rsid w:val="000E664C"/>
    <w:rsid w:val="0010220C"/>
    <w:rsid w:val="001149E7"/>
    <w:rsid w:val="0016065E"/>
    <w:rsid w:val="001622B9"/>
    <w:rsid w:val="001A24D6"/>
    <w:rsid w:val="001B58AF"/>
    <w:rsid w:val="001E22A5"/>
    <w:rsid w:val="001E4745"/>
    <w:rsid w:val="001E7B6B"/>
    <w:rsid w:val="0020483A"/>
    <w:rsid w:val="0021221A"/>
    <w:rsid w:val="00212625"/>
    <w:rsid w:val="00221B5B"/>
    <w:rsid w:val="002234C4"/>
    <w:rsid w:val="002439FB"/>
    <w:rsid w:val="0027587F"/>
    <w:rsid w:val="00283AF9"/>
    <w:rsid w:val="00284B1B"/>
    <w:rsid w:val="002A55BC"/>
    <w:rsid w:val="002A63F7"/>
    <w:rsid w:val="002B05EE"/>
    <w:rsid w:val="002C4131"/>
    <w:rsid w:val="002D4D20"/>
    <w:rsid w:val="002E34CA"/>
    <w:rsid w:val="00314907"/>
    <w:rsid w:val="00336A48"/>
    <w:rsid w:val="00372805"/>
    <w:rsid w:val="0037428F"/>
    <w:rsid w:val="00381B48"/>
    <w:rsid w:val="00391508"/>
    <w:rsid w:val="003A1960"/>
    <w:rsid w:val="003B4BA0"/>
    <w:rsid w:val="003D0318"/>
    <w:rsid w:val="003E2882"/>
    <w:rsid w:val="003E3C7A"/>
    <w:rsid w:val="003E69FE"/>
    <w:rsid w:val="003E7842"/>
    <w:rsid w:val="003F1CDC"/>
    <w:rsid w:val="00431205"/>
    <w:rsid w:val="004532F8"/>
    <w:rsid w:val="0047651B"/>
    <w:rsid w:val="004820C5"/>
    <w:rsid w:val="00494079"/>
    <w:rsid w:val="004A6439"/>
    <w:rsid w:val="004B4329"/>
    <w:rsid w:val="004B7589"/>
    <w:rsid w:val="004B7BFC"/>
    <w:rsid w:val="004F39AF"/>
    <w:rsid w:val="005201DC"/>
    <w:rsid w:val="005332F0"/>
    <w:rsid w:val="00561B9F"/>
    <w:rsid w:val="0057386F"/>
    <w:rsid w:val="005964AF"/>
    <w:rsid w:val="005B419D"/>
    <w:rsid w:val="005E7EB6"/>
    <w:rsid w:val="0060370D"/>
    <w:rsid w:val="00612158"/>
    <w:rsid w:val="00631826"/>
    <w:rsid w:val="0063799F"/>
    <w:rsid w:val="00655844"/>
    <w:rsid w:val="006572BE"/>
    <w:rsid w:val="006712C6"/>
    <w:rsid w:val="00680002"/>
    <w:rsid w:val="006A6CFA"/>
    <w:rsid w:val="006B08B8"/>
    <w:rsid w:val="006B1330"/>
    <w:rsid w:val="006E1A17"/>
    <w:rsid w:val="00715ACA"/>
    <w:rsid w:val="00730CB4"/>
    <w:rsid w:val="00774472"/>
    <w:rsid w:val="00781961"/>
    <w:rsid w:val="007B57A8"/>
    <w:rsid w:val="007D6289"/>
    <w:rsid w:val="007F68DD"/>
    <w:rsid w:val="00821691"/>
    <w:rsid w:val="008572C1"/>
    <w:rsid w:val="00862351"/>
    <w:rsid w:val="00872432"/>
    <w:rsid w:val="00891D13"/>
    <w:rsid w:val="00893B78"/>
    <w:rsid w:val="008A07FF"/>
    <w:rsid w:val="008C6ABF"/>
    <w:rsid w:val="009164CC"/>
    <w:rsid w:val="0092026A"/>
    <w:rsid w:val="00930F65"/>
    <w:rsid w:val="00943448"/>
    <w:rsid w:val="00984366"/>
    <w:rsid w:val="0098548D"/>
    <w:rsid w:val="00990CDD"/>
    <w:rsid w:val="009B44C6"/>
    <w:rsid w:val="009F7EFA"/>
    <w:rsid w:val="00A123C7"/>
    <w:rsid w:val="00A2375C"/>
    <w:rsid w:val="00A23D92"/>
    <w:rsid w:val="00A2595C"/>
    <w:rsid w:val="00A44294"/>
    <w:rsid w:val="00A54B26"/>
    <w:rsid w:val="00A633D8"/>
    <w:rsid w:val="00AA44DB"/>
    <w:rsid w:val="00AC68F6"/>
    <w:rsid w:val="00AF0C3F"/>
    <w:rsid w:val="00B11B90"/>
    <w:rsid w:val="00B23BA9"/>
    <w:rsid w:val="00B27889"/>
    <w:rsid w:val="00B5431A"/>
    <w:rsid w:val="00B71D56"/>
    <w:rsid w:val="00BB38DE"/>
    <w:rsid w:val="00BC6B30"/>
    <w:rsid w:val="00BE4F27"/>
    <w:rsid w:val="00C45F33"/>
    <w:rsid w:val="00C55A83"/>
    <w:rsid w:val="00C562A8"/>
    <w:rsid w:val="00C65056"/>
    <w:rsid w:val="00CA020F"/>
    <w:rsid w:val="00CB3887"/>
    <w:rsid w:val="00CB5ABA"/>
    <w:rsid w:val="00CC0CA7"/>
    <w:rsid w:val="00CC0FF3"/>
    <w:rsid w:val="00CD3874"/>
    <w:rsid w:val="00CE0B56"/>
    <w:rsid w:val="00D13F58"/>
    <w:rsid w:val="00D170C6"/>
    <w:rsid w:val="00D271CE"/>
    <w:rsid w:val="00D3635E"/>
    <w:rsid w:val="00D66F3B"/>
    <w:rsid w:val="00D75E17"/>
    <w:rsid w:val="00D86618"/>
    <w:rsid w:val="00DF2D9E"/>
    <w:rsid w:val="00E021E6"/>
    <w:rsid w:val="00E05069"/>
    <w:rsid w:val="00E302F8"/>
    <w:rsid w:val="00E3502E"/>
    <w:rsid w:val="00E662EA"/>
    <w:rsid w:val="00E74451"/>
    <w:rsid w:val="00EB23A6"/>
    <w:rsid w:val="00EB434D"/>
    <w:rsid w:val="00EC0413"/>
    <w:rsid w:val="00EC2F0F"/>
    <w:rsid w:val="00EC5B6F"/>
    <w:rsid w:val="00ED7C96"/>
    <w:rsid w:val="00EE2BC3"/>
    <w:rsid w:val="00EF7797"/>
    <w:rsid w:val="00F14A25"/>
    <w:rsid w:val="00F16024"/>
    <w:rsid w:val="00F17FB0"/>
    <w:rsid w:val="00F26A4F"/>
    <w:rsid w:val="00F26BA5"/>
    <w:rsid w:val="00F5466F"/>
    <w:rsid w:val="00F55FFB"/>
    <w:rsid w:val="00F77115"/>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E6"/>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021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1E6"/>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A8CA907-AE70-4D75-ABEC-9A0C9087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2019-05-06T16:59:00Z</cp:lastPrinted>
  <dcterms:created xsi:type="dcterms:W3CDTF">2020-06-29T09:32:00Z</dcterms:created>
  <dcterms:modified xsi:type="dcterms:W3CDTF">2020-06-29T09:32:00Z</dcterms:modified>
</cp:coreProperties>
</file>