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36" w:rsidRDefault="008C05EC">
      <w:pPr>
        <w:jc w:val="center"/>
      </w:pPr>
      <w:bookmarkStart w:id="0" w:name="_GoBack"/>
      <w:bookmarkEnd w:id="0"/>
      <w:r>
        <w:rPr>
          <w:rStyle w:val="PleaseReviewParagraphId"/>
          <w:noProof/>
          <w:sz w:val="20"/>
        </w:rPr>
        <w:t xml:space="preserve">[PleaseReview document review. Review title: 2020 first consultation Draft PT: Draft PT Irradiation Treatment for Tortricidae on fruits (2017-011). Document title: Draft PT Tratamiento </w:t>
      </w:r>
      <w:r>
        <w:rPr>
          <w:rStyle w:val="PleaseReviewParagraphId"/>
          <w:noProof/>
          <w:sz w:val="20"/>
        </w:rPr>
        <w:t>de irradiaciónTortricidae en frutas (2017-011)_es.docx]</w:t>
      </w:r>
    </w:p>
    <w:p w:rsidR="00BB5836" w:rsidRDefault="008C05EC">
      <w:pPr>
        <w:pStyle w:val="IPPHeading1"/>
      </w:pPr>
      <w:r>
        <w:rPr>
          <w:rStyle w:val="PleaseReviewParagraphId"/>
          <w:b w:val="0"/>
        </w:rPr>
        <w:t>[1]</w:t>
      </w:r>
      <w:bookmarkStart w:id="1" w:name="_Toc121913536"/>
      <w:r>
        <w:t>PROYECTO DE ANEXO DE LA NIMF 28: Tratamiento de irradiación contra Tortricidae en frutas (2017-011)</w:t>
      </w:r>
    </w:p>
    <w:p w:rsidR="00BB5836" w:rsidRDefault="008C05EC">
      <w:pPr>
        <w:pStyle w:val="IPPArialTable"/>
        <w:rPr>
          <w:b/>
          <w:bCs/>
        </w:rPr>
      </w:pPr>
      <w:r>
        <w:rPr>
          <w:rStyle w:val="PleaseReviewParagraphId"/>
        </w:rPr>
        <w:t>[2]</w:t>
      </w:r>
      <w:r>
        <w:rPr>
          <w:b/>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BB5836">
        <w:trPr>
          <w:trHeight w:val="286"/>
        </w:trPr>
        <w:tc>
          <w:tcPr>
            <w:tcW w:w="9039" w:type="dxa"/>
            <w:gridSpan w:val="2"/>
            <w:tcBorders>
              <w:top w:val="single" w:sz="4" w:space="0" w:color="auto"/>
              <w:left w:val="single" w:sz="4" w:space="0" w:color="auto"/>
              <w:right w:val="single" w:sz="4" w:space="0" w:color="auto"/>
            </w:tcBorders>
          </w:tcPr>
          <w:p w:rsidR="00BB5836" w:rsidRDefault="008C05EC">
            <w:pPr>
              <w:pStyle w:val="IPPArialTable"/>
            </w:pPr>
            <w:r>
              <w:rPr>
                <w:rStyle w:val="PleaseReviewParagraphId"/>
              </w:rPr>
              <w:t>[3]</w:t>
            </w:r>
            <w:r>
              <w:t>Esta no es una parte oficial de la norma; después de la adopción s</w:t>
            </w:r>
            <w:r>
              <w:t>erá modificada por la Secretaría de la CIPF.</w:t>
            </w:r>
          </w:p>
        </w:tc>
      </w:tr>
      <w:tr w:rsidR="00BB5836">
        <w:trPr>
          <w:trHeight w:val="286"/>
        </w:trPr>
        <w:tc>
          <w:tcPr>
            <w:tcW w:w="2273" w:type="dxa"/>
            <w:tcBorders>
              <w:left w:val="single" w:sz="4" w:space="0" w:color="auto"/>
            </w:tcBorders>
          </w:tcPr>
          <w:p w:rsidR="00BB5836" w:rsidRDefault="008C05EC">
            <w:pPr>
              <w:pStyle w:val="IPPArialTable"/>
              <w:rPr>
                <w:b/>
                <w:bCs/>
              </w:rPr>
            </w:pPr>
            <w:r>
              <w:rPr>
                <w:rStyle w:val="PleaseReviewParagraphId"/>
              </w:rPr>
              <w:t>[4]</w:t>
            </w:r>
            <w:r>
              <w:rPr>
                <w:b/>
              </w:rPr>
              <w:t>Fecha de este documento</w:t>
            </w:r>
          </w:p>
        </w:tc>
        <w:tc>
          <w:tcPr>
            <w:tcW w:w="6766" w:type="dxa"/>
            <w:tcBorders>
              <w:right w:val="single" w:sz="4" w:space="0" w:color="auto"/>
            </w:tcBorders>
          </w:tcPr>
          <w:p w:rsidR="00BB5836" w:rsidRDefault="008C05EC">
            <w:pPr>
              <w:pStyle w:val="IPPArialTable"/>
            </w:pPr>
            <w:r>
              <w:rPr>
                <w:rStyle w:val="PleaseReviewParagraphId"/>
              </w:rPr>
              <w:t>[5]</w:t>
            </w:r>
            <w:r>
              <w:t>2020-03-05</w:t>
            </w:r>
          </w:p>
        </w:tc>
      </w:tr>
      <w:tr w:rsidR="00BB5836">
        <w:trPr>
          <w:trHeight w:val="286"/>
        </w:trPr>
        <w:tc>
          <w:tcPr>
            <w:tcW w:w="2273" w:type="dxa"/>
            <w:tcBorders>
              <w:left w:val="single" w:sz="4" w:space="0" w:color="auto"/>
            </w:tcBorders>
          </w:tcPr>
          <w:p w:rsidR="00BB5836" w:rsidRDefault="008C05EC">
            <w:pPr>
              <w:pStyle w:val="IPPArialTable"/>
              <w:rPr>
                <w:b/>
                <w:bCs/>
              </w:rPr>
            </w:pPr>
            <w:r>
              <w:rPr>
                <w:rStyle w:val="PleaseReviewParagraphId"/>
              </w:rPr>
              <w:t>[6]</w:t>
            </w:r>
            <w:r>
              <w:rPr>
                <w:b/>
              </w:rPr>
              <w:t>Categoría del documento</w:t>
            </w:r>
          </w:p>
        </w:tc>
        <w:tc>
          <w:tcPr>
            <w:tcW w:w="6766" w:type="dxa"/>
            <w:tcBorders>
              <w:right w:val="single" w:sz="4" w:space="0" w:color="auto"/>
            </w:tcBorders>
          </w:tcPr>
          <w:p w:rsidR="00BB5836" w:rsidRDefault="008C05EC">
            <w:pPr>
              <w:pStyle w:val="IPPArialTable"/>
              <w:rPr>
                <w:highlight w:val="cyan"/>
              </w:rPr>
            </w:pPr>
            <w:r>
              <w:rPr>
                <w:rStyle w:val="PleaseReviewParagraphId"/>
              </w:rPr>
              <w:t>[7]</w:t>
            </w:r>
            <w:r>
              <w:t>Proyecto de anexo de la NIMF 28</w:t>
            </w:r>
          </w:p>
        </w:tc>
      </w:tr>
      <w:tr w:rsidR="00BB5836">
        <w:trPr>
          <w:trHeight w:val="299"/>
        </w:trPr>
        <w:tc>
          <w:tcPr>
            <w:tcW w:w="2273" w:type="dxa"/>
            <w:tcBorders>
              <w:left w:val="single" w:sz="4" w:space="0" w:color="auto"/>
            </w:tcBorders>
          </w:tcPr>
          <w:p w:rsidR="00BB5836" w:rsidRDefault="008C05EC">
            <w:pPr>
              <w:pStyle w:val="IPPArialTable"/>
              <w:rPr>
                <w:b/>
                <w:bCs/>
              </w:rPr>
            </w:pPr>
            <w:r>
              <w:rPr>
                <w:rStyle w:val="PleaseReviewParagraphId"/>
              </w:rPr>
              <w:t>[8]</w:t>
            </w:r>
            <w:r>
              <w:rPr>
                <w:b/>
              </w:rPr>
              <w:t>Etapa actual del documento</w:t>
            </w:r>
          </w:p>
        </w:tc>
        <w:tc>
          <w:tcPr>
            <w:tcW w:w="6766" w:type="dxa"/>
            <w:tcBorders>
              <w:right w:val="single" w:sz="4" w:space="0" w:color="auto"/>
            </w:tcBorders>
          </w:tcPr>
          <w:p w:rsidR="00BB5836" w:rsidRDefault="008C05EC">
            <w:pPr>
              <w:pStyle w:val="IPPArialTable"/>
            </w:pPr>
            <w:r>
              <w:rPr>
                <w:rStyle w:val="PleaseReviewParagraphId"/>
              </w:rPr>
              <w:t>[9]</w:t>
            </w:r>
            <w:r>
              <w:t>Para primera consulta</w:t>
            </w:r>
          </w:p>
        </w:tc>
      </w:tr>
      <w:tr w:rsidR="00BB5836">
        <w:trPr>
          <w:trHeight w:val="491"/>
        </w:trPr>
        <w:tc>
          <w:tcPr>
            <w:tcW w:w="2273" w:type="dxa"/>
            <w:tcBorders>
              <w:left w:val="single" w:sz="4" w:space="0" w:color="auto"/>
              <w:bottom w:val="single" w:sz="2" w:space="0" w:color="7F7F7F"/>
            </w:tcBorders>
          </w:tcPr>
          <w:p w:rsidR="00BB5836" w:rsidRDefault="008C05EC">
            <w:pPr>
              <w:pStyle w:val="IPPArialTable"/>
              <w:rPr>
                <w:b/>
                <w:bCs/>
              </w:rPr>
            </w:pPr>
            <w:r>
              <w:rPr>
                <w:rStyle w:val="PleaseReviewParagraphId"/>
              </w:rPr>
              <w:t>[10]</w:t>
            </w:r>
            <w:r>
              <w:rPr>
                <w:b/>
              </w:rPr>
              <w:t>Etapas principales</w:t>
            </w:r>
          </w:p>
        </w:tc>
        <w:tc>
          <w:tcPr>
            <w:tcW w:w="6766" w:type="dxa"/>
            <w:tcBorders>
              <w:bottom w:val="single" w:sz="2" w:space="0" w:color="7F7F7F"/>
              <w:right w:val="single" w:sz="4" w:space="0" w:color="auto"/>
            </w:tcBorders>
          </w:tcPr>
          <w:p w:rsidR="00BB5836" w:rsidRDefault="008C05EC">
            <w:pPr>
              <w:pStyle w:val="IPPArialTable"/>
            </w:pPr>
            <w:r>
              <w:rPr>
                <w:rStyle w:val="PleaseReviewParagraphId"/>
              </w:rPr>
              <w:t>[11]</w:t>
            </w:r>
            <w:r>
              <w:t xml:space="preserve">2017-06: El </w:t>
            </w:r>
            <w:r>
              <w:t>tratamiento se presentó en respuesta a la solicitud de tratamientos de 2017-02.</w:t>
            </w:r>
          </w:p>
          <w:p w:rsidR="00BB5836" w:rsidRDefault="008C05EC">
            <w:pPr>
              <w:pStyle w:val="IPPArialTable"/>
            </w:pPr>
            <w:r>
              <w:rPr>
                <w:rStyle w:val="PleaseReviewParagraphId"/>
              </w:rPr>
              <w:t>[12]</w:t>
            </w:r>
            <w:r>
              <w:t>2017-07: El Grupo técnico sobre tratamientos fitosanitarios (GTTF) examinó el tratamiento y solicitó más información del proponente.</w:t>
            </w:r>
          </w:p>
          <w:p w:rsidR="00BB5836" w:rsidRDefault="008C05EC">
            <w:pPr>
              <w:pStyle w:val="IPPArialTable"/>
            </w:pPr>
            <w:r>
              <w:rPr>
                <w:rStyle w:val="PleaseReviewParagraphId"/>
              </w:rPr>
              <w:t>[13]</w:t>
            </w:r>
            <w:r>
              <w:t>2018-05: El Comité de Normas (CN) a</w:t>
            </w:r>
            <w:r>
              <w:t xml:space="preserve">ñadió el tema </w:t>
            </w:r>
            <w:r>
              <w:rPr>
                <w:i/>
                <w:iCs/>
              </w:rPr>
              <w:t>Tratamiento de irradiación contra huevos y larvas de la familia Tortricidae (genérico)</w:t>
            </w:r>
            <w:r>
              <w:t xml:space="preserve"> (2017-11) al programa de trabajo del GTTF con prioridad 1.</w:t>
            </w:r>
          </w:p>
          <w:p w:rsidR="00BB5836" w:rsidRDefault="008C05EC">
            <w:pPr>
              <w:pStyle w:val="IPPArialTable"/>
            </w:pPr>
            <w:r>
              <w:rPr>
                <w:rStyle w:val="PleaseReviewParagraphId"/>
              </w:rPr>
              <w:t>[14]</w:t>
            </w:r>
            <w:r>
              <w:t>2018-06: El GTTF revisó el proyecto y pidió información adicional al proponente.</w:t>
            </w:r>
          </w:p>
          <w:p w:rsidR="00BB5836" w:rsidRDefault="008C05EC">
            <w:pPr>
              <w:pStyle w:val="IPPArialTable"/>
            </w:pPr>
            <w:r>
              <w:rPr>
                <w:rStyle w:val="PleaseReviewParagraphId"/>
              </w:rPr>
              <w:t>[15]</w:t>
            </w:r>
            <w:r>
              <w:t>2019-07</w:t>
            </w:r>
            <w:r>
              <w:t>: El GTTF revisó el proyecto, limitó su ámbito a las frutas y lo recomendó al CN para que lo aprobara a efectos de la primera consulta.</w:t>
            </w:r>
          </w:p>
          <w:p w:rsidR="00BB5836" w:rsidRDefault="008C05EC">
            <w:pPr>
              <w:pStyle w:val="IPPArialTable"/>
              <w:tabs>
                <w:tab w:val="left" w:pos="5084"/>
              </w:tabs>
            </w:pPr>
            <w:r>
              <w:rPr>
                <w:rStyle w:val="PleaseReviewParagraphId"/>
              </w:rPr>
              <w:t>[16]</w:t>
            </w:r>
            <w:r>
              <w:t>2020-02: El CN aprobó, mediante decisión por vía electrónica, el proyecto para la primera consulta (2020_eSC_May_07)</w:t>
            </w:r>
            <w:r>
              <w:t>.</w:t>
            </w:r>
            <w:r>
              <w:tab/>
            </w:r>
          </w:p>
        </w:tc>
      </w:tr>
      <w:tr w:rsidR="00BB5836">
        <w:trPr>
          <w:trHeight w:val="491"/>
        </w:trPr>
        <w:tc>
          <w:tcPr>
            <w:tcW w:w="2273" w:type="dxa"/>
            <w:tcBorders>
              <w:left w:val="single" w:sz="4" w:space="0" w:color="auto"/>
              <w:bottom w:val="single" w:sz="4" w:space="0" w:color="auto"/>
            </w:tcBorders>
          </w:tcPr>
          <w:p w:rsidR="00BB5836" w:rsidRDefault="008C05EC">
            <w:pPr>
              <w:pStyle w:val="IPPArialTable"/>
              <w:rPr>
                <w:b/>
                <w:bCs/>
              </w:rPr>
            </w:pPr>
            <w:r>
              <w:rPr>
                <w:rStyle w:val="PleaseReviewParagraphId"/>
              </w:rPr>
              <w:t>[17]</w:t>
            </w:r>
            <w:r>
              <w:rPr>
                <w:b/>
              </w:rPr>
              <w:t>Expertos principales del tratamiento</w:t>
            </w:r>
          </w:p>
        </w:tc>
        <w:tc>
          <w:tcPr>
            <w:tcW w:w="6766" w:type="dxa"/>
            <w:tcBorders>
              <w:bottom w:val="single" w:sz="4" w:space="0" w:color="auto"/>
              <w:right w:val="single" w:sz="4" w:space="0" w:color="auto"/>
            </w:tcBorders>
          </w:tcPr>
          <w:p w:rsidR="00BB5836" w:rsidRDefault="008C05EC">
            <w:pPr>
              <w:pStyle w:val="IPPArialTable"/>
              <w:rPr>
                <w:lang w:val="fr-FR"/>
              </w:rPr>
            </w:pPr>
            <w:r>
              <w:rPr>
                <w:rStyle w:val="PleaseReviewParagraphId"/>
              </w:rPr>
              <w:t>[18]</w:t>
            </w:r>
            <w:r>
              <w:rPr>
                <w:lang w:val="fr-FR"/>
              </w:rPr>
              <w:t>2018-06: Sr. Matthew SMYTH (AU)</w:t>
            </w:r>
          </w:p>
          <w:p w:rsidR="00BB5836" w:rsidRDefault="008C05EC">
            <w:pPr>
              <w:pStyle w:val="IPPArialTable"/>
              <w:rPr>
                <w:lang w:val="fr-FR"/>
              </w:rPr>
            </w:pPr>
            <w:r>
              <w:rPr>
                <w:rStyle w:val="PleaseReviewParagraphId"/>
              </w:rPr>
              <w:t>[19]</w:t>
            </w:r>
            <w:r>
              <w:rPr>
                <w:lang w:val="fr-FR"/>
              </w:rPr>
              <w:t>2017-07: Sr. Glenn BOWMANN (AU)</w:t>
            </w:r>
          </w:p>
        </w:tc>
      </w:tr>
      <w:tr w:rsidR="00BB5836">
        <w:trPr>
          <w:trHeight w:val="491"/>
        </w:trPr>
        <w:tc>
          <w:tcPr>
            <w:tcW w:w="2273" w:type="dxa"/>
            <w:tcBorders>
              <w:top w:val="single" w:sz="4" w:space="0" w:color="auto"/>
            </w:tcBorders>
          </w:tcPr>
          <w:p w:rsidR="00BB5836" w:rsidRDefault="008C05EC">
            <w:pPr>
              <w:pStyle w:val="IPPArialTable"/>
              <w:rPr>
                <w:b/>
                <w:bCs/>
              </w:rPr>
            </w:pPr>
            <w:r>
              <w:rPr>
                <w:rStyle w:val="PleaseReviewParagraphId"/>
              </w:rPr>
              <w:t>[20]</w:t>
            </w:r>
            <w:r>
              <w:rPr>
                <w:b/>
              </w:rPr>
              <w:t>Notas</w:t>
            </w:r>
          </w:p>
        </w:tc>
        <w:tc>
          <w:tcPr>
            <w:tcW w:w="6766" w:type="dxa"/>
            <w:tcBorders>
              <w:top w:val="single" w:sz="4" w:space="0" w:color="auto"/>
            </w:tcBorders>
          </w:tcPr>
          <w:p w:rsidR="00BB5836" w:rsidRDefault="008C05EC">
            <w:pPr>
              <w:pStyle w:val="IPPArialTable"/>
            </w:pPr>
            <w:r>
              <w:rPr>
                <w:rStyle w:val="PleaseReviewParagraphId"/>
              </w:rPr>
              <w:t>[21]</w:t>
            </w:r>
            <w:r>
              <w:t>2020-02: Editado.</w:t>
            </w:r>
          </w:p>
        </w:tc>
      </w:tr>
    </w:tbl>
    <w:p w:rsidR="00BB5836" w:rsidRDefault="008C05EC">
      <w:pPr>
        <w:pStyle w:val="IPPHeading1"/>
      </w:pPr>
      <w:r>
        <w:rPr>
          <w:rStyle w:val="PleaseReviewParagraphId"/>
          <w:b w:val="0"/>
        </w:rPr>
        <w:t>[22]</w:t>
      </w:r>
      <w:r>
        <w:t>Ámbito del tratamiento</w:t>
      </w:r>
    </w:p>
    <w:p w:rsidR="00BB5836" w:rsidRDefault="008C05EC">
      <w:pPr>
        <w:pStyle w:val="IPPParagraphnumbering"/>
        <w:numPr>
          <w:ilvl w:val="0"/>
          <w:numId w:val="0"/>
        </w:numPr>
      </w:pPr>
      <w:r>
        <w:rPr>
          <w:rStyle w:val="PleaseReviewParagraphId"/>
        </w:rPr>
        <w:t>[23]</w:t>
      </w:r>
      <w:r>
        <w:t xml:space="preserve">El tratamiento describe la irradiación de frutas con una dosis absorbida </w:t>
      </w:r>
      <w:r>
        <w:t>mínima de 250 Gy para prevenir el desarrollo de adultos viables de Tortricidae con la eficacia establecida</w:t>
      </w:r>
      <w:r>
        <w:rPr>
          <w:rStyle w:val="FootnoteReference"/>
          <w:lang w:val="en-GB"/>
        </w:rPr>
        <w:footnoteReference w:id="1"/>
      </w:r>
      <w:r>
        <w:t xml:space="preserve">. </w:t>
      </w:r>
    </w:p>
    <w:p w:rsidR="00BB5836" w:rsidRDefault="008C05EC">
      <w:pPr>
        <w:pStyle w:val="IPPHeading1"/>
      </w:pPr>
      <w:r>
        <w:rPr>
          <w:rStyle w:val="PleaseReviewParagraphId"/>
          <w:b w:val="0"/>
        </w:rPr>
        <w:t>[25]</w:t>
      </w:r>
      <w:r>
        <w:t>Descripción del tratamiento</w:t>
      </w:r>
    </w:p>
    <w:p w:rsidR="00BB5836" w:rsidRDefault="008C05EC">
      <w:pPr>
        <w:pStyle w:val="IPPParagraphnumbering"/>
        <w:numPr>
          <w:ilvl w:val="0"/>
          <w:numId w:val="0"/>
        </w:numPr>
        <w:tabs>
          <w:tab w:val="left" w:pos="2552"/>
        </w:tabs>
      </w:pPr>
      <w:r>
        <w:rPr>
          <w:rStyle w:val="PleaseReviewParagraphId"/>
        </w:rPr>
        <w:t>[26]</w:t>
      </w:r>
      <w:r>
        <w:rPr>
          <w:b/>
        </w:rPr>
        <w:t>Nombre del tratamiento</w:t>
      </w:r>
      <w:r>
        <w:tab/>
        <w:t>Tratamiento de irradiación contra Tortricidae en frutas</w:t>
      </w:r>
    </w:p>
    <w:p w:rsidR="00BB5836" w:rsidRDefault="008C05EC">
      <w:pPr>
        <w:pStyle w:val="IPPParagraphnumbering"/>
        <w:numPr>
          <w:ilvl w:val="0"/>
          <w:numId w:val="0"/>
        </w:numPr>
        <w:tabs>
          <w:tab w:val="left" w:pos="2552"/>
        </w:tabs>
      </w:pPr>
      <w:r>
        <w:rPr>
          <w:rStyle w:val="PleaseReviewParagraphId"/>
        </w:rPr>
        <w:t>[27]</w:t>
      </w:r>
      <w:r>
        <w:rPr>
          <w:b/>
        </w:rPr>
        <w:t>Ingrediente activo</w:t>
      </w:r>
      <w:r>
        <w:tab/>
        <w:t xml:space="preserve">No </w:t>
      </w:r>
      <w:r>
        <w:t>aplicable</w:t>
      </w:r>
    </w:p>
    <w:p w:rsidR="00BB5836" w:rsidRDefault="008C05EC">
      <w:pPr>
        <w:pStyle w:val="IPPParagraphnumbering"/>
        <w:numPr>
          <w:ilvl w:val="0"/>
          <w:numId w:val="0"/>
        </w:numPr>
        <w:tabs>
          <w:tab w:val="left" w:pos="2552"/>
        </w:tabs>
      </w:pPr>
      <w:r>
        <w:rPr>
          <w:rStyle w:val="PleaseReviewParagraphId"/>
        </w:rPr>
        <w:t>[28]</w:t>
      </w:r>
      <w:r>
        <w:rPr>
          <w:b/>
        </w:rPr>
        <w:t>Tipo de tratamiento</w:t>
      </w:r>
      <w:r>
        <w:tab/>
        <w:t>Irradiación</w:t>
      </w:r>
    </w:p>
    <w:p w:rsidR="00BB5836" w:rsidRDefault="008C05EC">
      <w:pPr>
        <w:pStyle w:val="IPPParagraphnumbering"/>
        <w:numPr>
          <w:ilvl w:val="0"/>
          <w:numId w:val="0"/>
        </w:numPr>
        <w:tabs>
          <w:tab w:val="left" w:pos="2552"/>
        </w:tabs>
      </w:pPr>
      <w:r>
        <w:rPr>
          <w:rStyle w:val="PleaseReviewParagraphId"/>
        </w:rPr>
        <w:lastRenderedPageBreak/>
        <w:t>[29]</w:t>
      </w:r>
      <w:r>
        <w:rPr>
          <w:b/>
        </w:rPr>
        <w:t>Plaga objetivo</w:t>
      </w:r>
      <w:r>
        <w:tab/>
        <w:t>Especies de la familia Tortricidae (Lepidoptera)</w:t>
      </w:r>
    </w:p>
    <w:p w:rsidR="00BB5836" w:rsidRDefault="008C05EC">
      <w:pPr>
        <w:pStyle w:val="IPPParagraphnumbering"/>
        <w:numPr>
          <w:ilvl w:val="0"/>
          <w:numId w:val="0"/>
        </w:numPr>
        <w:tabs>
          <w:tab w:val="left" w:pos="2552"/>
        </w:tabs>
      </w:pPr>
      <w:r>
        <w:rPr>
          <w:rStyle w:val="PleaseReviewParagraphId"/>
        </w:rPr>
        <w:t>[30]</w:t>
      </w:r>
      <w:r>
        <w:rPr>
          <w:b/>
        </w:rPr>
        <w:t>Artículos reglamentados objetivo</w:t>
      </w:r>
      <w:r>
        <w:tab/>
        <w:t>Todas las frutas que sean huéspedes de las especies de la familia Tortricidae</w:t>
      </w:r>
    </w:p>
    <w:p w:rsidR="00BB5836" w:rsidRDefault="008C05EC">
      <w:pPr>
        <w:pStyle w:val="IPPHeading1"/>
      </w:pPr>
      <w:r>
        <w:rPr>
          <w:rStyle w:val="PleaseReviewParagraphId"/>
          <w:b w:val="0"/>
        </w:rPr>
        <w:t>[31]</w:t>
      </w:r>
      <w:r>
        <w:t>Protocolo de tratamient</w:t>
      </w:r>
      <w:r>
        <w:t>o</w:t>
      </w:r>
    </w:p>
    <w:p w:rsidR="00BB5836" w:rsidRDefault="008C05EC">
      <w:pPr>
        <w:pStyle w:val="IPPParagraphnumbering"/>
        <w:numPr>
          <w:ilvl w:val="0"/>
          <w:numId w:val="0"/>
        </w:numPr>
      </w:pPr>
      <w:r>
        <w:rPr>
          <w:rStyle w:val="PleaseReviewParagraphId"/>
        </w:rPr>
        <w:t>[32]</w:t>
      </w:r>
      <w:r>
        <w:t>Dosis absorbida mínima de 250 Gy para prevenir el desarrollo de adultos viables a partir de huevos y larvas de Tortricidae irradiados.</w:t>
      </w:r>
    </w:p>
    <w:p w:rsidR="00BB5836" w:rsidRDefault="008C05EC">
      <w:pPr>
        <w:pStyle w:val="IPPParagraphnumbering"/>
        <w:numPr>
          <w:ilvl w:val="0"/>
          <w:numId w:val="0"/>
        </w:numPr>
      </w:pPr>
      <w:r>
        <w:rPr>
          <w:rStyle w:val="PleaseReviewParagraphId"/>
        </w:rPr>
        <w:t>[33]</w:t>
      </w:r>
      <w:bookmarkStart w:id="2" w:name="_Hlk32412319"/>
      <w:r>
        <w:t xml:space="preserve">Se tiene un nivel de confianza del 95 % en que el tratamiento conforme a este protocolo </w:t>
      </w:r>
      <w:bookmarkStart w:id="3" w:name="_Hlk32412763"/>
      <w:r>
        <w:t xml:space="preserve">prevenga el desarrollo </w:t>
      </w:r>
      <w:r>
        <w:t>de adultos de aspecto normal en no menos del 99,9949 % de los huevos y las larvas de Tortricidae</w:t>
      </w:r>
      <w:bookmarkEnd w:id="2"/>
      <w:bookmarkEnd w:id="3"/>
      <w:r>
        <w:t>.</w:t>
      </w:r>
    </w:p>
    <w:p w:rsidR="00BB5836" w:rsidRDefault="008C05EC">
      <w:pPr>
        <w:pStyle w:val="IPPParagraphnumbering"/>
        <w:numPr>
          <w:ilvl w:val="0"/>
          <w:numId w:val="0"/>
        </w:numPr>
        <w:rPr>
          <w:rFonts w:eastAsia="Times New Roman"/>
        </w:rPr>
      </w:pPr>
      <w:r>
        <w:rPr>
          <w:rStyle w:val="PleaseReviewParagraphId"/>
        </w:rPr>
        <w:t>[34]</w:t>
      </w:r>
      <w:r>
        <w:t>Este tratamiento debería aplicarse de conformidad con los requisitos establecidos en la NIMF 18 (</w:t>
      </w:r>
      <w:r>
        <w:rPr>
          <w:i/>
        </w:rPr>
        <w:t>Directrices para utilizar la irradiación como medida fito</w:t>
      </w:r>
      <w:r>
        <w:rPr>
          <w:i/>
        </w:rPr>
        <w:t>sanitaria</w:t>
      </w:r>
      <w:r>
        <w:t>).</w:t>
      </w:r>
    </w:p>
    <w:p w:rsidR="00BB5836" w:rsidRDefault="008C05EC">
      <w:pPr>
        <w:pStyle w:val="IPPParagraphnumbering"/>
        <w:numPr>
          <w:ilvl w:val="0"/>
          <w:numId w:val="0"/>
        </w:numPr>
        <w:rPr>
          <w:rFonts w:eastAsia="Times New Roman"/>
        </w:rPr>
      </w:pPr>
      <w:r>
        <w:rPr>
          <w:rStyle w:val="PleaseReviewParagraphId"/>
        </w:rPr>
        <w:t>[35]</w:t>
      </w:r>
      <w:r>
        <w:t>Este tratamiento no se debería aplicar a las frutas almacenadas en una atmósfera modificada porque esta podrá afectar a la eficacia del tratamiento.</w:t>
      </w:r>
    </w:p>
    <w:p w:rsidR="00BB5836" w:rsidRDefault="008C05EC">
      <w:pPr>
        <w:pStyle w:val="IPPHeading1"/>
      </w:pPr>
      <w:r>
        <w:rPr>
          <w:rStyle w:val="PleaseReviewParagraphId"/>
          <w:b w:val="0"/>
        </w:rPr>
        <w:t>[36]</w:t>
      </w:r>
      <w:r>
        <w:t>Otra información pertinente</w:t>
      </w:r>
    </w:p>
    <w:p w:rsidR="00BB5836" w:rsidRDefault="008C05EC">
      <w:pPr>
        <w:pStyle w:val="IPPParagraphnumbering"/>
        <w:numPr>
          <w:ilvl w:val="0"/>
          <w:numId w:val="0"/>
        </w:numPr>
      </w:pPr>
      <w:r>
        <w:rPr>
          <w:rStyle w:val="PleaseReviewParagraphId"/>
        </w:rPr>
        <w:t>[37]</w:t>
      </w:r>
      <w:r>
        <w:t>Puesto que la irradiación podrá no ocasionar inmediatam</w:t>
      </w:r>
      <w:r>
        <w:t xml:space="preserve">ente la muerte, los inspectores podrán encontrar huevos o larvas vivos pero no viables de Tortricidae, o adultos deformes, durante el proceso de inspección. Esto no implica que el tratamiento sea ineficaz. </w:t>
      </w:r>
    </w:p>
    <w:p w:rsidR="00BB5836" w:rsidRDefault="008C05EC">
      <w:pPr>
        <w:pStyle w:val="IPPParagraphnumbering"/>
        <w:numPr>
          <w:ilvl w:val="0"/>
          <w:numId w:val="0"/>
        </w:numPr>
      </w:pPr>
      <w:r>
        <w:rPr>
          <w:rStyle w:val="PleaseReviewParagraphId"/>
        </w:rPr>
        <w:t>[38]</w:t>
      </w:r>
      <w:r>
        <w:t>El Grupo técnico sobre tratamientos fitosanit</w:t>
      </w:r>
      <w:r>
        <w:t xml:space="preserve">arios (GTTF) basó su evaluación de este tratamiento en el estudio publicado por Hallman </w:t>
      </w:r>
      <w:r>
        <w:rPr>
          <w:i/>
        </w:rPr>
        <w:t>et al.</w:t>
      </w:r>
      <w:r>
        <w:t xml:space="preserve"> (2013), en el que se respaldó la eficacia de la irradiación como tratamiento contra Tortricidae en productos huéspedes. </w:t>
      </w:r>
    </w:p>
    <w:p w:rsidR="00BB5836" w:rsidRDefault="008C05EC">
      <w:pPr>
        <w:pStyle w:val="IPPParagraphnumbering"/>
        <w:numPr>
          <w:ilvl w:val="0"/>
          <w:numId w:val="0"/>
        </w:numPr>
      </w:pPr>
      <w:r>
        <w:rPr>
          <w:rStyle w:val="PleaseReviewParagraphId"/>
        </w:rPr>
        <w:t>[39]</w:t>
      </w:r>
      <w:r>
        <w:t>La eficacia del presente protocolo s</w:t>
      </w:r>
      <w:r>
        <w:t xml:space="preserve">e calculó basándose en el tratamiento de un total de 58 779 larvas de </w:t>
      </w:r>
      <w:r>
        <w:rPr>
          <w:i/>
          <w:iCs/>
        </w:rPr>
        <w:t>Grapholita molesta</w:t>
      </w:r>
      <w:r>
        <w:t xml:space="preserve"> en el quinto estadio, que no dieron lugar a ningún adulto viable; en el grupo de control, el 94,8 % de las larvas dio lugar a adultos viables. Se utilizaron datos rela</w:t>
      </w:r>
      <w:r>
        <w:t xml:space="preserve">tivos a </w:t>
      </w:r>
      <w:r>
        <w:rPr>
          <w:i/>
          <w:iCs/>
        </w:rPr>
        <w:t>G. molesta</w:t>
      </w:r>
      <w:r>
        <w:t xml:space="preserve"> porque se considera que es la especie estudiada más tolerante a la radiación. </w:t>
      </w:r>
    </w:p>
    <w:p w:rsidR="00BB5836" w:rsidRDefault="008C05EC">
      <w:pPr>
        <w:pStyle w:val="IPPParagraphnumbering"/>
        <w:numPr>
          <w:ilvl w:val="0"/>
          <w:numId w:val="0"/>
        </w:numPr>
      </w:pPr>
      <w:r>
        <w:rPr>
          <w:rStyle w:val="PleaseReviewParagraphId"/>
        </w:rPr>
        <w:t>[40]</w:t>
      </w:r>
      <w:r>
        <w:t xml:space="preserve">El GTTF también consideró Arthur (2004), Arthur </w:t>
      </w:r>
      <w:r>
        <w:rPr>
          <w:i/>
        </w:rPr>
        <w:t>et al.</w:t>
      </w:r>
      <w:r>
        <w:t xml:space="preserve"> </w:t>
      </w:r>
      <w:r>
        <w:rPr>
          <w:lang w:val="fr-FR"/>
        </w:rPr>
        <w:t xml:space="preserve">(2016a, b), Batchelor </w:t>
      </w:r>
      <w:r>
        <w:rPr>
          <w:i/>
          <w:lang w:val="fr-FR"/>
        </w:rPr>
        <w:t>et al.</w:t>
      </w:r>
      <w:r>
        <w:rPr>
          <w:lang w:val="fr-FR"/>
        </w:rPr>
        <w:t xml:space="preserve"> (1984), Bestagno </w:t>
      </w:r>
      <w:r>
        <w:rPr>
          <w:i/>
          <w:lang w:val="fr-FR"/>
        </w:rPr>
        <w:t>et al.</w:t>
      </w:r>
      <w:r>
        <w:rPr>
          <w:lang w:val="fr-FR"/>
        </w:rPr>
        <w:t xml:space="preserve"> </w:t>
      </w:r>
      <w:r>
        <w:t>(1973), Burditt (1986), Burditt y Hungate (198</w:t>
      </w:r>
      <w:r>
        <w:t xml:space="preserve">9), Burditt y Moffitt (1985), Dentener </w:t>
      </w:r>
      <w:r>
        <w:rPr>
          <w:i/>
        </w:rPr>
        <w:t>et al.</w:t>
      </w:r>
      <w:r>
        <w:t xml:space="preserve"> (1990), Faria </w:t>
      </w:r>
      <w:r>
        <w:rPr>
          <w:i/>
        </w:rPr>
        <w:t>et al.</w:t>
      </w:r>
      <w:r>
        <w:t xml:space="preserve"> (1998), Follett (2008), Follett y Lower (2000), Follett y Snook (2012), Hallman (2004), Hallman </w:t>
      </w:r>
      <w:r>
        <w:rPr>
          <w:i/>
        </w:rPr>
        <w:t>et al.</w:t>
      </w:r>
      <w:r>
        <w:t xml:space="preserve"> (2013), Hofmeyr </w:t>
      </w:r>
      <w:r>
        <w:rPr>
          <w:i/>
        </w:rPr>
        <w:t>et al.</w:t>
      </w:r>
      <w:r>
        <w:t xml:space="preserve"> (2016a, b), Lester y Barrington (1997), Lin </w:t>
      </w:r>
      <w:r>
        <w:rPr>
          <w:i/>
        </w:rPr>
        <w:t>et al.</w:t>
      </w:r>
      <w:r>
        <w:t xml:space="preserve"> (2003), Mansour (2003), Mansour y Al-Attar (2014), Nadal </w:t>
      </w:r>
      <w:r>
        <w:rPr>
          <w:i/>
        </w:rPr>
        <w:t>et al.</w:t>
      </w:r>
      <w:r>
        <w:t xml:space="preserve"> (2018) y Wit y van de Vrie (1986).</w:t>
      </w:r>
    </w:p>
    <w:p w:rsidR="00BB5836" w:rsidRDefault="008C05EC">
      <w:pPr>
        <w:pStyle w:val="IPPParagraphnumbering"/>
        <w:numPr>
          <w:ilvl w:val="0"/>
          <w:numId w:val="0"/>
        </w:numPr>
      </w:pPr>
      <w:r>
        <w:rPr>
          <w:rStyle w:val="PleaseReviewParagraphId"/>
        </w:rPr>
        <w:t>[41]</w:t>
      </w:r>
      <w:r>
        <w:t>La extrapolación de la eficacia del tratamiento a todas las frutas tomó como base tanto la experiencia y el conocimiento de que los sistemas de dosimetr</w:t>
      </w:r>
      <w:r>
        <w:t>ía cuantifican la dosis real de radiación absorbida por la plaga en cuestión independientemente del producto huésped, como los datos extraídos de los estudios de investigación sobre diversas plagas y productos que se recogen en la bibliografía. No obstante</w:t>
      </w:r>
      <w:r>
        <w:t>, se reconoce que no se ha comprobado la eficacia del tratamiento en todas las frutas que son hospedantes potenciales de la plaga en cuestión. En el caso de que se obtengan datos que muestren que la extrapolación del tratamiento a todas las frutas huéspede</w:t>
      </w:r>
      <w:r>
        <w:t>s de Tortricidae es incorrecta, se revisará el tratamiento.</w:t>
      </w:r>
    </w:p>
    <w:p w:rsidR="00BB5836" w:rsidRDefault="008C05EC">
      <w:pPr>
        <w:pStyle w:val="IPPHeading1"/>
      </w:pPr>
      <w:r>
        <w:rPr>
          <w:rStyle w:val="PleaseReviewParagraphId"/>
          <w:b w:val="0"/>
        </w:rPr>
        <w:t>[42]</w:t>
      </w:r>
      <w:r>
        <w:t>Bibliografía</w:t>
      </w:r>
    </w:p>
    <w:p w:rsidR="00BB5836" w:rsidRDefault="008C05EC">
      <w:pPr>
        <w:pStyle w:val="IPPParagraphnumbering"/>
        <w:numPr>
          <w:ilvl w:val="0"/>
          <w:numId w:val="0"/>
        </w:numPr>
      </w:pPr>
      <w:r>
        <w:rPr>
          <w:rStyle w:val="PleaseReviewParagraphId"/>
        </w:rPr>
        <w:t>[43]</w:t>
      </w:r>
      <w:r>
        <w:t xml:space="preserve">En el presente anexo podrá hacerse referencia a las NIMF. Las NIMF están disponibles en el Portal fitosanitario internacional (PFI): </w:t>
      </w:r>
      <w:hyperlink r:id="rId11" w:history="1">
        <w:r>
          <w:rPr>
            <w:rStyle w:val="Hyperlink"/>
          </w:rPr>
          <w:t>https://www.ippc.int/es/core-activities/standards-setting/ispms</w:t>
        </w:r>
      </w:hyperlink>
      <w:r>
        <w:t>.</w:t>
      </w:r>
    </w:p>
    <w:bookmarkEnd w:id="1"/>
    <w:p w:rsidR="00BB5836" w:rsidRDefault="008C05EC">
      <w:pPr>
        <w:pStyle w:val="IPPReferences"/>
      </w:pPr>
      <w:r>
        <w:rPr>
          <w:rStyle w:val="PleaseReviewParagraphId"/>
        </w:rPr>
        <w:t>[44]</w:t>
      </w:r>
      <w:r>
        <w:rPr>
          <w:b/>
          <w:lang w:val="en-US"/>
        </w:rPr>
        <w:t>Arthur, V.</w:t>
      </w:r>
      <w:r>
        <w:rPr>
          <w:lang w:val="en-US"/>
        </w:rPr>
        <w:t xml:space="preserve"> 2004. Use of gamma radiation to control three Lepidopteran pests in Brazil. En: </w:t>
      </w:r>
      <w:r>
        <w:rPr>
          <w:i/>
          <w:lang w:val="en-US"/>
        </w:rPr>
        <w:t>Irradiation as a phytosanitary treatment of food and agric</w:t>
      </w:r>
      <w:r>
        <w:rPr>
          <w:i/>
          <w:lang w:val="en-US"/>
        </w:rPr>
        <w:t>ultural commodities</w:t>
      </w:r>
      <w:r>
        <w:rPr>
          <w:lang w:val="en-US"/>
        </w:rPr>
        <w:t xml:space="preserve">. Proceedings of a final research coordination meeting organized by the Joint FAO/IAEA Division of Nuclear </w:t>
      </w:r>
      <w:r>
        <w:rPr>
          <w:lang w:val="en-US"/>
        </w:rPr>
        <w:lastRenderedPageBreak/>
        <w:t xml:space="preserve">Techniques in Food and Agriculture 2002, págs. </w:t>
      </w:r>
      <w:r>
        <w:t>45-50. IAEA-TECDOC-1427. Viena, Organismo Internacional de Energía Atómica (OIEA).</w:t>
      </w:r>
    </w:p>
    <w:p w:rsidR="00BB5836" w:rsidRDefault="008C05EC">
      <w:pPr>
        <w:pStyle w:val="IPPReferences"/>
        <w:rPr>
          <w:lang w:val="en-US"/>
        </w:rPr>
      </w:pPr>
      <w:r>
        <w:rPr>
          <w:rStyle w:val="PleaseReviewParagraphId"/>
        </w:rPr>
        <w:t>[45]</w:t>
      </w:r>
      <w:r>
        <w:rPr>
          <w:b/>
        </w:rPr>
        <w:t>Arthur, V., Arthur, P.B. y Machi, A.R.</w:t>
      </w:r>
      <w:r>
        <w:t xml:space="preserve"> 2016a. </w:t>
      </w:r>
      <w:r>
        <w:rPr>
          <w:lang w:val="en-US"/>
        </w:rPr>
        <w:t xml:space="preserve">Irradiation of </w:t>
      </w:r>
      <w:r>
        <w:rPr>
          <w:i/>
          <w:lang w:val="en-US"/>
        </w:rPr>
        <w:t>Ecdytolopha aurantiana</w:t>
      </w:r>
      <w:r>
        <w:rPr>
          <w:lang w:val="en-US"/>
        </w:rPr>
        <w:t xml:space="preserve"> (Lepidoptera: Tortricidae) pupae in oxygen requires a lower dose to strongly reduce adult emergence and prevent reproduction than irradiation in air. </w:t>
      </w:r>
      <w:r>
        <w:rPr>
          <w:i/>
          <w:lang w:val="en-US"/>
        </w:rPr>
        <w:t>Florida Entomologi</w:t>
      </w:r>
      <w:r>
        <w:rPr>
          <w:i/>
          <w:lang w:val="en-US"/>
        </w:rPr>
        <w:t>st</w:t>
      </w:r>
      <w:r>
        <w:rPr>
          <w:lang w:val="en-US"/>
        </w:rPr>
        <w:t>, 99: 38–42.</w:t>
      </w:r>
    </w:p>
    <w:p w:rsidR="00BB5836" w:rsidRDefault="008C05EC">
      <w:pPr>
        <w:pStyle w:val="IPPReferences"/>
        <w:rPr>
          <w:lang w:val="en-US"/>
        </w:rPr>
      </w:pPr>
      <w:r>
        <w:rPr>
          <w:rStyle w:val="PleaseReviewParagraphId"/>
        </w:rPr>
        <w:t>[46]</w:t>
      </w:r>
      <w:r>
        <w:rPr>
          <w:b/>
          <w:lang w:val="en-US"/>
        </w:rPr>
        <w:t>Arthur, V., Machi, A.R. y Arthur, P.B.</w:t>
      </w:r>
      <w:r>
        <w:rPr>
          <w:lang w:val="en-US"/>
        </w:rPr>
        <w:t xml:space="preserve"> 2016b. Adult emergence and F</w:t>
      </w:r>
      <w:r>
        <w:rPr>
          <w:vertAlign w:val="subscript"/>
          <w:lang w:val="en-US"/>
        </w:rPr>
        <w:t>1</w:t>
      </w:r>
      <w:r>
        <w:rPr>
          <w:lang w:val="en-US"/>
        </w:rPr>
        <w:t xml:space="preserve"> generation egg and larval production after </w:t>
      </w:r>
      <w:r>
        <w:t>γ</w:t>
      </w:r>
      <w:r>
        <w:rPr>
          <w:lang w:val="en-US"/>
        </w:rPr>
        <w:t xml:space="preserve">-irradiation of late pupae of </w:t>
      </w:r>
      <w:r>
        <w:rPr>
          <w:i/>
          <w:lang w:val="en-US"/>
        </w:rPr>
        <w:t>Grapholita molesta</w:t>
      </w:r>
      <w:r>
        <w:rPr>
          <w:lang w:val="en-US"/>
        </w:rPr>
        <w:t xml:space="preserve"> (Lepidoptera: Tortricidae). </w:t>
      </w:r>
      <w:r>
        <w:rPr>
          <w:i/>
          <w:lang w:val="en-US"/>
        </w:rPr>
        <w:t>Florida Entomologist</w:t>
      </w:r>
      <w:r>
        <w:rPr>
          <w:lang w:val="en-US"/>
        </w:rPr>
        <w:t>, 99: 67–68.</w:t>
      </w:r>
    </w:p>
    <w:p w:rsidR="00BB5836" w:rsidRDefault="008C05EC">
      <w:pPr>
        <w:pStyle w:val="IPPReferences"/>
        <w:rPr>
          <w:lang w:val="en-US"/>
        </w:rPr>
      </w:pPr>
      <w:r>
        <w:rPr>
          <w:rStyle w:val="PleaseReviewParagraphId"/>
        </w:rPr>
        <w:t>[47]</w:t>
      </w:r>
      <w:r>
        <w:rPr>
          <w:b/>
          <w:lang w:val="en-US"/>
        </w:rPr>
        <w:t>Batchelor,</w:t>
      </w:r>
      <w:r>
        <w:rPr>
          <w:b/>
          <w:lang w:val="en-US"/>
        </w:rPr>
        <w:t xml:space="preserve"> T.A., O’Donnell, R.L. y Roby, J.R.</w:t>
      </w:r>
      <w:r>
        <w:rPr>
          <w:lang w:val="en-US"/>
        </w:rPr>
        <w:t xml:space="preserve"> 1984. Irradiation as a quarantine treatment for ‘Granny Smith’ apples infested with </w:t>
      </w:r>
      <w:r>
        <w:rPr>
          <w:i/>
          <w:lang w:val="en-US"/>
        </w:rPr>
        <w:t>Epiphyas postvittana</w:t>
      </w:r>
      <w:r>
        <w:rPr>
          <w:lang w:val="en-US"/>
        </w:rPr>
        <w:t xml:space="preserve"> (Walk.) (light brown apple moth) stages. En: O.T. McCarthy y G.L. Robertson, eds. </w:t>
      </w:r>
      <w:r>
        <w:rPr>
          <w:i/>
          <w:lang w:val="en-US"/>
        </w:rPr>
        <w:t>Proceedings of the National Sympo</w:t>
      </w:r>
      <w:r>
        <w:rPr>
          <w:i/>
          <w:lang w:val="en-US"/>
        </w:rPr>
        <w:t>sium on Food Irradiation</w:t>
      </w:r>
      <w:r>
        <w:rPr>
          <w:lang w:val="en-US"/>
        </w:rPr>
        <w:t>, 10 y 11 de octubre de 1984, Palmerston North (Nueva Zelandia), págs. 127-151. Palmerston North, Nueva Zelandia, Massey University Printery. 223 págs.</w:t>
      </w:r>
    </w:p>
    <w:p w:rsidR="00BB5836" w:rsidRDefault="008C05EC">
      <w:pPr>
        <w:pStyle w:val="IPPReferences"/>
        <w:rPr>
          <w:lang w:val="en-US"/>
        </w:rPr>
      </w:pPr>
      <w:r>
        <w:rPr>
          <w:rStyle w:val="PleaseReviewParagraphId"/>
        </w:rPr>
        <w:t>[48]</w:t>
      </w:r>
      <w:r>
        <w:rPr>
          <w:b/>
          <w:lang w:val="es-419"/>
        </w:rPr>
        <w:t>Bestagno, G., Piana, S., Roberti, L. y Rota, P.</w:t>
      </w:r>
      <w:r>
        <w:rPr>
          <w:lang w:val="es-419"/>
        </w:rPr>
        <w:t xml:space="preserve"> 1973. Radiazioni ionizzanti </w:t>
      </w:r>
      <w:r>
        <w:rPr>
          <w:lang w:val="es-419"/>
        </w:rPr>
        <w:t xml:space="preserve">contro le tortrici del garofano. </w:t>
      </w:r>
      <w:r>
        <w:rPr>
          <w:i/>
          <w:lang w:val="en-US"/>
        </w:rPr>
        <w:t>Not. sulle Mal. delle Piante</w:t>
      </w:r>
      <w:r>
        <w:rPr>
          <w:lang w:val="en-US"/>
        </w:rPr>
        <w:t>, 88–89: 195–220.</w:t>
      </w:r>
    </w:p>
    <w:p w:rsidR="00BB5836" w:rsidRDefault="008C05EC">
      <w:pPr>
        <w:pStyle w:val="IPPReferences"/>
        <w:rPr>
          <w:lang w:val="en-US"/>
        </w:rPr>
      </w:pPr>
      <w:r>
        <w:rPr>
          <w:rStyle w:val="PleaseReviewParagraphId"/>
        </w:rPr>
        <w:t>[49]</w:t>
      </w:r>
      <w:r>
        <w:rPr>
          <w:b/>
          <w:lang w:val="en-US"/>
        </w:rPr>
        <w:t>Burditt Jr, A.K.</w:t>
      </w:r>
      <w:r>
        <w:rPr>
          <w:lang w:val="en-US"/>
        </w:rPr>
        <w:t xml:space="preserve"> 1986. </w:t>
      </w:r>
      <w:r>
        <w:t>γ</w:t>
      </w:r>
      <w:r>
        <w:rPr>
          <w:lang w:val="en-US"/>
        </w:rPr>
        <w:t xml:space="preserve"> irradiation as a quarantine treatment for walnuts infested with codling moths (Lepidoptera: Tortricidae). </w:t>
      </w:r>
      <w:r>
        <w:rPr>
          <w:i/>
          <w:lang w:val="en-US"/>
        </w:rPr>
        <w:t>Journal of Economic Entomology</w:t>
      </w:r>
      <w:r>
        <w:rPr>
          <w:lang w:val="en-US"/>
        </w:rPr>
        <w:t>, 79: 1577–1</w:t>
      </w:r>
      <w:r>
        <w:rPr>
          <w:lang w:val="en-US"/>
        </w:rPr>
        <w:t>579.</w:t>
      </w:r>
    </w:p>
    <w:p w:rsidR="00BB5836" w:rsidRDefault="008C05EC">
      <w:pPr>
        <w:pStyle w:val="IPPReferences"/>
        <w:rPr>
          <w:lang w:val="en-US"/>
        </w:rPr>
      </w:pPr>
      <w:r>
        <w:rPr>
          <w:rStyle w:val="PleaseReviewParagraphId"/>
        </w:rPr>
        <w:t>[50]</w:t>
      </w:r>
      <w:r>
        <w:rPr>
          <w:b/>
          <w:lang w:val="en-US"/>
        </w:rPr>
        <w:t>Burditt Jr, A.K. y Hungate, F.P.</w:t>
      </w:r>
      <w:r>
        <w:rPr>
          <w:lang w:val="en-US"/>
        </w:rPr>
        <w:t xml:space="preserve"> 1989. Gamma irradiation as a quarantine treatment for apples infested by codling moth (Lepidoptera: Tortricidae). </w:t>
      </w:r>
      <w:r>
        <w:rPr>
          <w:i/>
          <w:lang w:val="en-US"/>
        </w:rPr>
        <w:t>Journal of Economic Entomology</w:t>
      </w:r>
      <w:r>
        <w:rPr>
          <w:lang w:val="en-US"/>
        </w:rPr>
        <w:t>, 82: 1386–1390.</w:t>
      </w:r>
    </w:p>
    <w:p w:rsidR="00BB5836" w:rsidRDefault="008C05EC">
      <w:pPr>
        <w:pStyle w:val="IPPReferences"/>
        <w:rPr>
          <w:lang w:val="en-US"/>
        </w:rPr>
      </w:pPr>
      <w:r>
        <w:rPr>
          <w:rStyle w:val="PleaseReviewParagraphId"/>
        </w:rPr>
        <w:t>[51]</w:t>
      </w:r>
      <w:r>
        <w:rPr>
          <w:b/>
          <w:lang w:val="en-US"/>
        </w:rPr>
        <w:t>Burditt Jr, A.K. y Moffitt, H.R.</w:t>
      </w:r>
      <w:r>
        <w:rPr>
          <w:lang w:val="en-US"/>
        </w:rPr>
        <w:t xml:space="preserve"> 1985. Irradiatio</w:t>
      </w:r>
      <w:r>
        <w:rPr>
          <w:lang w:val="en-US"/>
        </w:rPr>
        <w:t xml:space="preserve">n as a quarantine treatment for fruit subject to infestation by codling moth larvae. En: J.H. Moy, ed. </w:t>
      </w:r>
      <w:r>
        <w:rPr>
          <w:i/>
          <w:lang w:val="en-US"/>
        </w:rPr>
        <w:t>Radiation disinfestation of food and agricultural products</w:t>
      </w:r>
      <w:r>
        <w:rPr>
          <w:lang w:val="en-US"/>
        </w:rPr>
        <w:t>.</w:t>
      </w:r>
      <w:r>
        <w:rPr>
          <w:i/>
          <w:lang w:val="en-US"/>
        </w:rPr>
        <w:t xml:space="preserve"> </w:t>
      </w:r>
      <w:r>
        <w:rPr>
          <w:lang w:val="en-US"/>
        </w:rPr>
        <w:t xml:space="preserve">Proceedings of the International Conference, Honolulu, 1983, págs. </w:t>
      </w:r>
      <w:r>
        <w:t xml:space="preserve">87-97. </w:t>
      </w:r>
      <w:r>
        <w:rPr>
          <w:lang w:val="en-US"/>
        </w:rPr>
        <w:t xml:space="preserve">Honolulu, HI, </w:t>
      </w:r>
      <w:r>
        <w:rPr>
          <w:lang w:val="en-US"/>
        </w:rPr>
        <w:t>University of Hawaii en Manoa.</w:t>
      </w:r>
    </w:p>
    <w:p w:rsidR="00BB5836" w:rsidRDefault="008C05EC">
      <w:pPr>
        <w:pStyle w:val="IPPReferences"/>
        <w:rPr>
          <w:lang w:val="en-US"/>
        </w:rPr>
      </w:pPr>
      <w:r>
        <w:rPr>
          <w:rStyle w:val="PleaseReviewParagraphId"/>
        </w:rPr>
        <w:t>[52]</w:t>
      </w:r>
      <w:r>
        <w:rPr>
          <w:b/>
          <w:lang w:val="en-US"/>
        </w:rPr>
        <w:t>Dentener, P.R., Waddell, B.C. y Batchelor, T.A.</w:t>
      </w:r>
      <w:r>
        <w:rPr>
          <w:lang w:val="en-US"/>
        </w:rPr>
        <w:t xml:space="preserve"> 1990. Disinfestation of lightbrown apple moth: a discussion of three disinfestation methods. En: </w:t>
      </w:r>
      <w:r>
        <w:rPr>
          <w:i/>
          <w:lang w:val="en-US"/>
        </w:rPr>
        <w:t>Managing postharvest horticulture in Australasia</w:t>
      </w:r>
      <w:r>
        <w:rPr>
          <w:lang w:val="en-US"/>
        </w:rPr>
        <w:t>.</w:t>
      </w:r>
      <w:r>
        <w:rPr>
          <w:i/>
          <w:lang w:val="en-US"/>
        </w:rPr>
        <w:t xml:space="preserve"> </w:t>
      </w:r>
      <w:r>
        <w:rPr>
          <w:lang w:val="en-US"/>
        </w:rPr>
        <w:t xml:space="preserve">Proceedings of the </w:t>
      </w:r>
      <w:r>
        <w:rPr>
          <w:lang w:val="en-US"/>
        </w:rPr>
        <w:t>Australian Conference on Postharvest Horticulture. Australian Institute of Science Occasional Publication No. 46, págs. 166-177.</w:t>
      </w:r>
    </w:p>
    <w:p w:rsidR="00BB5836" w:rsidRDefault="008C05EC">
      <w:pPr>
        <w:pStyle w:val="IPPReferences"/>
        <w:rPr>
          <w:lang w:val="en-US"/>
        </w:rPr>
      </w:pPr>
      <w:r>
        <w:rPr>
          <w:rStyle w:val="PleaseReviewParagraphId"/>
        </w:rPr>
        <w:t>[53]</w:t>
      </w:r>
      <w:r>
        <w:rPr>
          <w:b/>
          <w:lang w:val="en-US"/>
        </w:rPr>
        <w:t>Faria, J.T., Arthur, V., Wiendl, T.A. y Wiendl, F.M.</w:t>
      </w:r>
      <w:r>
        <w:rPr>
          <w:lang w:val="en-US"/>
        </w:rPr>
        <w:t xml:space="preserve"> 1998. Gamma radiation effects on immature stages of the orange fruit b</w:t>
      </w:r>
      <w:r>
        <w:rPr>
          <w:lang w:val="en-US"/>
        </w:rPr>
        <w:t xml:space="preserve">orer, </w:t>
      </w:r>
      <w:r>
        <w:rPr>
          <w:i/>
          <w:lang w:val="en-US"/>
        </w:rPr>
        <w:t>Ecdytolopha arantiana</w:t>
      </w:r>
      <w:r>
        <w:rPr>
          <w:lang w:val="en-US"/>
        </w:rPr>
        <w:t xml:space="preserve"> (Lima). </w:t>
      </w:r>
      <w:r>
        <w:rPr>
          <w:i/>
          <w:lang w:val="en-US"/>
        </w:rPr>
        <w:t>Journal of Nuclear Agriculture and Biology</w:t>
      </w:r>
      <w:r>
        <w:rPr>
          <w:lang w:val="en-US"/>
        </w:rPr>
        <w:t>, 21: 52–56.</w:t>
      </w:r>
    </w:p>
    <w:p w:rsidR="00BB5836" w:rsidRDefault="008C05EC">
      <w:pPr>
        <w:pStyle w:val="IPPReferences"/>
        <w:rPr>
          <w:lang w:val="en-US"/>
        </w:rPr>
      </w:pPr>
      <w:r>
        <w:rPr>
          <w:rStyle w:val="PleaseReviewParagraphId"/>
        </w:rPr>
        <w:t>[54]</w:t>
      </w:r>
      <w:r>
        <w:rPr>
          <w:b/>
          <w:lang w:val="en-US"/>
        </w:rPr>
        <w:t>Follett, P.A.</w:t>
      </w:r>
      <w:r>
        <w:rPr>
          <w:lang w:val="en-US"/>
        </w:rPr>
        <w:t xml:space="preserve"> 2008. Effect of irradiation on Mexican leafroller (Lepidoptera: Tortricidae) development and reproduction. </w:t>
      </w:r>
      <w:r>
        <w:rPr>
          <w:i/>
          <w:lang w:val="en-US"/>
        </w:rPr>
        <w:t>Journal of Economic Entomology</w:t>
      </w:r>
      <w:r>
        <w:rPr>
          <w:lang w:val="en-US"/>
        </w:rPr>
        <w:t>, 101: 710</w:t>
      </w:r>
      <w:r>
        <w:rPr>
          <w:lang w:val="en-US"/>
        </w:rPr>
        <w:t>–715.</w:t>
      </w:r>
    </w:p>
    <w:p w:rsidR="00BB5836" w:rsidRDefault="008C05EC">
      <w:pPr>
        <w:pStyle w:val="IPPReferences"/>
        <w:rPr>
          <w:lang w:val="en-US"/>
        </w:rPr>
      </w:pPr>
      <w:r>
        <w:rPr>
          <w:rStyle w:val="PleaseReviewParagraphId"/>
        </w:rPr>
        <w:t>[55]</w:t>
      </w:r>
      <w:r>
        <w:rPr>
          <w:b/>
          <w:lang w:val="en-US"/>
        </w:rPr>
        <w:t>Follett, P.A. y Lower, R.A.</w:t>
      </w:r>
      <w:r>
        <w:rPr>
          <w:lang w:val="en-US"/>
        </w:rPr>
        <w:t xml:space="preserve"> 2000. Irradiation to ensure quarantine security for </w:t>
      </w:r>
      <w:r>
        <w:rPr>
          <w:i/>
          <w:lang w:val="en-US"/>
        </w:rPr>
        <w:t>Cryptophlebia</w:t>
      </w:r>
      <w:r>
        <w:rPr>
          <w:lang w:val="en-US"/>
        </w:rPr>
        <w:t xml:space="preserve"> spp. (Lepidoptera: Tortricidae) in sapindaceous fruits from Hawaii. </w:t>
      </w:r>
      <w:r>
        <w:rPr>
          <w:i/>
          <w:lang w:val="en-US"/>
        </w:rPr>
        <w:t>Journal of Economic Entomology</w:t>
      </w:r>
      <w:r>
        <w:rPr>
          <w:lang w:val="en-US"/>
        </w:rPr>
        <w:t>, 93: 1848–1854.</w:t>
      </w:r>
    </w:p>
    <w:p w:rsidR="00BB5836" w:rsidRDefault="008C05EC">
      <w:pPr>
        <w:pStyle w:val="IPPReferences"/>
        <w:rPr>
          <w:lang w:val="en-US"/>
        </w:rPr>
      </w:pPr>
      <w:r>
        <w:rPr>
          <w:rStyle w:val="PleaseReviewParagraphId"/>
        </w:rPr>
        <w:t>[56]</w:t>
      </w:r>
      <w:r>
        <w:rPr>
          <w:b/>
          <w:lang w:val="en-US"/>
        </w:rPr>
        <w:t>Follett, P.A. y Snook, K.</w:t>
      </w:r>
      <w:r>
        <w:rPr>
          <w:lang w:val="en-US"/>
        </w:rPr>
        <w:t xml:space="preserve"> 2012. I</w:t>
      </w:r>
      <w:r>
        <w:rPr>
          <w:lang w:val="en-US"/>
        </w:rPr>
        <w:t xml:space="preserve">rradiation for quarantine control of the invasive light brown apple moth (Lepidoptera: Tortricidae) and a generic dose for tortricid eggs and larvae. </w:t>
      </w:r>
      <w:r>
        <w:rPr>
          <w:i/>
          <w:lang w:val="en-US"/>
        </w:rPr>
        <w:t>Journal of Economic Entomology</w:t>
      </w:r>
      <w:r>
        <w:rPr>
          <w:lang w:val="en-US"/>
        </w:rPr>
        <w:t>, 105: 1971–1978.</w:t>
      </w:r>
    </w:p>
    <w:p w:rsidR="00BB5836" w:rsidRDefault="008C05EC">
      <w:pPr>
        <w:pStyle w:val="IPPReferences"/>
        <w:rPr>
          <w:lang w:val="en-US"/>
        </w:rPr>
      </w:pPr>
      <w:r>
        <w:rPr>
          <w:rStyle w:val="PleaseReviewParagraphId"/>
        </w:rPr>
        <w:t>[57]</w:t>
      </w:r>
      <w:r>
        <w:rPr>
          <w:b/>
          <w:lang w:val="en-US"/>
        </w:rPr>
        <w:t>Hallman, G.J.</w:t>
      </w:r>
      <w:r>
        <w:rPr>
          <w:lang w:val="en-US"/>
        </w:rPr>
        <w:t xml:space="preserve"> 2004. Ionizing irradiation quarantine tr</w:t>
      </w:r>
      <w:r>
        <w:rPr>
          <w:lang w:val="en-US"/>
        </w:rPr>
        <w:t xml:space="preserve">eatment against oriental fruit moth (Lepidoptera: Tortricidae) in ambient and hypoxic atmospheres. </w:t>
      </w:r>
      <w:r>
        <w:rPr>
          <w:i/>
          <w:lang w:val="en-US"/>
        </w:rPr>
        <w:t>Journal of Economic Entomology</w:t>
      </w:r>
      <w:r>
        <w:rPr>
          <w:lang w:val="en-US"/>
        </w:rPr>
        <w:t>, 97: 824–827.</w:t>
      </w:r>
    </w:p>
    <w:p w:rsidR="00BB5836" w:rsidRDefault="008C05EC">
      <w:pPr>
        <w:pStyle w:val="IPPReferences"/>
        <w:rPr>
          <w:lang w:val="en-US"/>
        </w:rPr>
      </w:pPr>
      <w:r>
        <w:rPr>
          <w:rStyle w:val="PleaseReviewParagraphId"/>
        </w:rPr>
        <w:t>[58]</w:t>
      </w:r>
      <w:r>
        <w:rPr>
          <w:b/>
          <w:lang w:val="en-US"/>
        </w:rPr>
        <w:t>Hallman, G.J., Arthur, V., Blackburn, C.M. y Parker, A.G.</w:t>
      </w:r>
      <w:r>
        <w:rPr>
          <w:lang w:val="en-US"/>
        </w:rPr>
        <w:t xml:space="preserve"> 2013. The case for a generic phytosanitary irradia</w:t>
      </w:r>
      <w:r>
        <w:rPr>
          <w:lang w:val="en-US"/>
        </w:rPr>
        <w:t xml:space="preserve">tion dose of 250 Gy for Lepidoptera eggs and larvae. </w:t>
      </w:r>
      <w:r>
        <w:rPr>
          <w:i/>
          <w:lang w:val="en-US"/>
        </w:rPr>
        <w:t>Radiation Physics and Chemistry</w:t>
      </w:r>
      <w:r>
        <w:rPr>
          <w:lang w:val="en-US"/>
        </w:rPr>
        <w:t>, 89: 70–75.</w:t>
      </w:r>
    </w:p>
    <w:p w:rsidR="00BB5836" w:rsidRDefault="008C05EC">
      <w:pPr>
        <w:pStyle w:val="IPPReferences"/>
        <w:rPr>
          <w:lang w:val="en-US"/>
        </w:rPr>
      </w:pPr>
      <w:r>
        <w:rPr>
          <w:rStyle w:val="PleaseReviewParagraphId"/>
        </w:rPr>
        <w:t>[59]</w:t>
      </w:r>
      <w:bookmarkStart w:id="4" w:name="_Hlk517001982"/>
      <w:r>
        <w:rPr>
          <w:b/>
          <w:lang w:val="en-US"/>
        </w:rPr>
        <w:t>Hofmeyr</w:t>
      </w:r>
      <w:bookmarkEnd w:id="4"/>
      <w:r>
        <w:rPr>
          <w:b/>
          <w:lang w:val="en-US"/>
        </w:rPr>
        <w:t>, H., Hofmeyr, M. y Slabbert, K.</w:t>
      </w:r>
      <w:r>
        <w:rPr>
          <w:lang w:val="en-US"/>
        </w:rPr>
        <w:t xml:space="preserve"> 2016a. Postharvest phytosanitary disinfestation of </w:t>
      </w:r>
      <w:r>
        <w:rPr>
          <w:i/>
          <w:lang w:val="en-US"/>
        </w:rPr>
        <w:t>Thaumatotibia leucotreta</w:t>
      </w:r>
      <w:r>
        <w:rPr>
          <w:lang w:val="en-US"/>
        </w:rPr>
        <w:t xml:space="preserve"> (Lepidoptera: Tortricidae) in citrus fr</w:t>
      </w:r>
      <w:r>
        <w:rPr>
          <w:lang w:val="en-US"/>
        </w:rPr>
        <w:t xml:space="preserve">uit: Tolerance of eggs and larvae to ionizing radiation. </w:t>
      </w:r>
      <w:r>
        <w:rPr>
          <w:i/>
          <w:lang w:val="en-US"/>
        </w:rPr>
        <w:t>Florida Entomologist</w:t>
      </w:r>
      <w:r>
        <w:rPr>
          <w:lang w:val="en-US"/>
        </w:rPr>
        <w:t>, 99: 48–53.</w:t>
      </w:r>
    </w:p>
    <w:p w:rsidR="00BB5836" w:rsidRDefault="008C05EC">
      <w:pPr>
        <w:pStyle w:val="IPPReferences"/>
        <w:rPr>
          <w:lang w:val="en-US"/>
        </w:rPr>
      </w:pPr>
      <w:r>
        <w:rPr>
          <w:rStyle w:val="PleaseReviewParagraphId"/>
        </w:rPr>
        <w:t>[60]</w:t>
      </w:r>
      <w:r>
        <w:rPr>
          <w:b/>
          <w:lang w:val="en-US"/>
        </w:rPr>
        <w:t>Hofmeyr, H., Hattingh, V., Hofmeyr, M. y Slabbert, K.</w:t>
      </w:r>
      <w:r>
        <w:rPr>
          <w:lang w:val="en-US"/>
        </w:rPr>
        <w:t xml:space="preserve"> 2016b. Postharvest phytosanitary disinfestation of </w:t>
      </w:r>
      <w:r>
        <w:rPr>
          <w:i/>
          <w:lang w:val="en-US"/>
        </w:rPr>
        <w:t>Thaumatotibia leucotreta</w:t>
      </w:r>
      <w:r>
        <w:rPr>
          <w:lang w:val="en-US"/>
        </w:rPr>
        <w:t xml:space="preserve"> (Lepidoptera: Tortricidae) in ci</w:t>
      </w:r>
      <w:r>
        <w:rPr>
          <w:lang w:val="en-US"/>
        </w:rPr>
        <w:t xml:space="preserve">trus fruit: Validation of an ionizing radiation treatment. </w:t>
      </w:r>
      <w:r>
        <w:rPr>
          <w:i/>
          <w:lang w:val="en-US"/>
        </w:rPr>
        <w:t>Florida Entomologist</w:t>
      </w:r>
      <w:r>
        <w:rPr>
          <w:lang w:val="en-US"/>
        </w:rPr>
        <w:t>, 99: 54–58.</w:t>
      </w:r>
    </w:p>
    <w:p w:rsidR="00BB5836" w:rsidRDefault="008C05EC">
      <w:pPr>
        <w:pStyle w:val="IPPReferences"/>
        <w:rPr>
          <w:lang w:val="en-US"/>
        </w:rPr>
      </w:pPr>
      <w:r>
        <w:rPr>
          <w:rStyle w:val="PleaseReviewParagraphId"/>
        </w:rPr>
        <w:lastRenderedPageBreak/>
        <w:t>[61]</w:t>
      </w:r>
      <w:r>
        <w:rPr>
          <w:b/>
          <w:lang w:val="en-US"/>
        </w:rPr>
        <w:t>Lester, P.J. y Barrington, A.M.</w:t>
      </w:r>
      <w:r>
        <w:rPr>
          <w:lang w:val="en-US"/>
        </w:rPr>
        <w:t xml:space="preserve"> 1997. Gamma irradiation for postharvest disinfestation of </w:t>
      </w:r>
      <w:r>
        <w:rPr>
          <w:i/>
          <w:lang w:val="en-US"/>
        </w:rPr>
        <w:t>Ctenopseustis obliquana</w:t>
      </w:r>
      <w:r>
        <w:rPr>
          <w:lang w:val="en-US"/>
        </w:rPr>
        <w:t xml:space="preserve"> (Walker) (Lep., Tortricidae). </w:t>
      </w:r>
      <w:r>
        <w:rPr>
          <w:i/>
          <w:lang w:val="en-US"/>
        </w:rPr>
        <w:t>Journal of Appli</w:t>
      </w:r>
      <w:r>
        <w:rPr>
          <w:i/>
          <w:lang w:val="en-US"/>
        </w:rPr>
        <w:t>ed Entomology</w:t>
      </w:r>
      <w:r>
        <w:rPr>
          <w:lang w:val="en-US"/>
        </w:rPr>
        <w:t>, 121: 107–110.</w:t>
      </w:r>
    </w:p>
    <w:p w:rsidR="00BB5836" w:rsidRDefault="008C05EC">
      <w:pPr>
        <w:pStyle w:val="IPPReferences"/>
        <w:rPr>
          <w:lang w:val="en-US"/>
        </w:rPr>
      </w:pPr>
      <w:r>
        <w:rPr>
          <w:rStyle w:val="PleaseReviewParagraphId"/>
        </w:rPr>
        <w:t>[62]</w:t>
      </w:r>
      <w:r>
        <w:rPr>
          <w:b/>
          <w:lang w:val="en-US"/>
        </w:rPr>
        <w:t>Lin, J.Y., Horng, S.B. y Hung, C.C.</w:t>
      </w:r>
      <w:r>
        <w:rPr>
          <w:lang w:val="en-US"/>
        </w:rPr>
        <w:t xml:space="preserve"> 2003. Effects of gamma radiation on survival and reproduction of the carambola fruit borer, </w:t>
      </w:r>
      <w:r>
        <w:rPr>
          <w:i/>
          <w:lang w:val="en-US"/>
        </w:rPr>
        <w:t>Eucosma notanthes</w:t>
      </w:r>
      <w:r>
        <w:rPr>
          <w:lang w:val="en-US"/>
        </w:rPr>
        <w:t xml:space="preserve"> Meyrick (Lepidoptera: Tortricidae). </w:t>
      </w:r>
      <w:r>
        <w:rPr>
          <w:i/>
          <w:lang w:val="en-US"/>
        </w:rPr>
        <w:t>Formosan Entomologist</w:t>
      </w:r>
      <w:r>
        <w:rPr>
          <w:lang w:val="en-US"/>
        </w:rPr>
        <w:t>, 23: 189–197.</w:t>
      </w:r>
    </w:p>
    <w:p w:rsidR="00BB5836" w:rsidRDefault="008C05EC">
      <w:pPr>
        <w:pStyle w:val="IPPReferences"/>
        <w:rPr>
          <w:lang w:val="en-US"/>
        </w:rPr>
      </w:pPr>
      <w:r>
        <w:rPr>
          <w:rStyle w:val="PleaseReviewParagraphId"/>
        </w:rPr>
        <w:t>[63]</w:t>
      </w:r>
      <w:r>
        <w:rPr>
          <w:b/>
          <w:lang w:val="en-US"/>
        </w:rPr>
        <w:t>M</w:t>
      </w:r>
      <w:r>
        <w:rPr>
          <w:b/>
          <w:lang w:val="en-US"/>
        </w:rPr>
        <w:t>ansour, M.</w:t>
      </w:r>
      <w:r>
        <w:rPr>
          <w:lang w:val="en-US"/>
        </w:rPr>
        <w:t xml:space="preserve"> 2003. Gamma irradiation as a quarantine treatment for apples infested by codling moth (Lep., Tortricidae). </w:t>
      </w:r>
      <w:r>
        <w:rPr>
          <w:i/>
          <w:lang w:val="en-US"/>
        </w:rPr>
        <w:t>Journal of Applied Entomology</w:t>
      </w:r>
      <w:r>
        <w:rPr>
          <w:lang w:val="en-US"/>
        </w:rPr>
        <w:t>, 127: 137–141.</w:t>
      </w:r>
    </w:p>
    <w:p w:rsidR="00BB5836" w:rsidRDefault="008C05EC">
      <w:pPr>
        <w:pStyle w:val="IPPReferences"/>
        <w:rPr>
          <w:lang w:val="en-US"/>
        </w:rPr>
      </w:pPr>
      <w:r>
        <w:rPr>
          <w:rStyle w:val="PleaseReviewParagraphId"/>
        </w:rPr>
        <w:t>[64]</w:t>
      </w:r>
      <w:r>
        <w:rPr>
          <w:b/>
          <w:lang w:val="en-US"/>
        </w:rPr>
        <w:t>Mansour, M. y Attar, J. Al-.</w:t>
      </w:r>
      <w:r>
        <w:rPr>
          <w:lang w:val="en-US"/>
        </w:rPr>
        <w:t xml:space="preserve"> 2014. Effects of gamma irradiation on the grape vine moth, </w:t>
      </w:r>
      <w:r>
        <w:rPr>
          <w:i/>
          <w:lang w:val="en-US"/>
        </w:rPr>
        <w:t>Lobesia botrana</w:t>
      </w:r>
      <w:r>
        <w:rPr>
          <w:lang w:val="en-US"/>
        </w:rPr>
        <w:t xml:space="preserve">, mature larvae. </w:t>
      </w:r>
      <w:r>
        <w:rPr>
          <w:i/>
          <w:lang w:val="en-US"/>
        </w:rPr>
        <w:t>Radiation Physics and Chemistry</w:t>
      </w:r>
      <w:r>
        <w:rPr>
          <w:lang w:val="en-US"/>
        </w:rPr>
        <w:t>, 97: 370–373.</w:t>
      </w:r>
    </w:p>
    <w:p w:rsidR="00BB5836" w:rsidRDefault="008C05EC">
      <w:pPr>
        <w:pStyle w:val="IPPReferences"/>
        <w:rPr>
          <w:szCs w:val="22"/>
          <w:lang w:val="en-US"/>
        </w:rPr>
      </w:pPr>
      <w:r>
        <w:rPr>
          <w:rStyle w:val="PleaseReviewParagraphId"/>
        </w:rPr>
        <w:t>[65]</w:t>
      </w:r>
      <w:r>
        <w:rPr>
          <w:b/>
          <w:lang w:val="en-US"/>
        </w:rPr>
        <w:t>Nadel, H., Follett, P.A., Perry, C.L. y Mack, R.G.</w:t>
      </w:r>
      <w:r>
        <w:rPr>
          <w:lang w:val="en-US"/>
        </w:rPr>
        <w:t xml:space="preserve"> 2018. Postharvest irradiation treatment for quarantine control of the invasive </w:t>
      </w:r>
      <w:r>
        <w:rPr>
          <w:i/>
          <w:lang w:val="en-US"/>
        </w:rPr>
        <w:t>Lobesia botrana</w:t>
      </w:r>
      <w:r>
        <w:rPr>
          <w:lang w:val="en-US"/>
        </w:rPr>
        <w:t xml:space="preserve"> (Lepidoptera: Tortricidae). </w:t>
      </w:r>
      <w:r>
        <w:rPr>
          <w:i/>
          <w:lang w:val="en-US"/>
        </w:rPr>
        <w:t>Journal of Economic Entomology</w:t>
      </w:r>
      <w:r>
        <w:rPr>
          <w:lang w:val="en-US"/>
        </w:rPr>
        <w:t>, 111: 127–134.</w:t>
      </w:r>
    </w:p>
    <w:p w:rsidR="00BB5836" w:rsidRDefault="008C05EC">
      <w:pPr>
        <w:pStyle w:val="IPPReferences"/>
      </w:pPr>
      <w:r>
        <w:rPr>
          <w:rStyle w:val="PleaseReviewParagraphId"/>
        </w:rPr>
        <w:t>[66]</w:t>
      </w:r>
      <w:r>
        <w:rPr>
          <w:b/>
          <w:lang w:val="en-US"/>
        </w:rPr>
        <w:t>Wit, A.K.H. y van de Vrie, M.</w:t>
      </w:r>
      <w:r>
        <w:rPr>
          <w:lang w:val="en-US"/>
        </w:rPr>
        <w:t xml:space="preserve"> 1986. Possibilities for irradiation to control insects and mites in cut flowers after harvest. Irradiation as a quarantine disinfestation treatment. Report of the 1st Meeting o</w:t>
      </w:r>
      <w:r>
        <w:rPr>
          <w:lang w:val="en-US"/>
        </w:rPr>
        <w:t xml:space="preserve">f the Coordinated Research Project, Chiang Mai. </w:t>
      </w:r>
      <w:r>
        <w:t>Viena, OIEA. 11 págs.</w:t>
      </w:r>
    </w:p>
    <w:sectPr w:rsidR="00BB5836">
      <w:pgSz w:w="11906" w:h="16838" w:code="9"/>
      <w:pgMar w:top="1350"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B6D33" w16cid:durableId="21ED03A4"/>
  <w16cid:commentId w16cid:paraId="75AF0F8D" w16cid:durableId="21ED26A7"/>
  <w16cid:commentId w16cid:paraId="35509C93" w16cid:durableId="21EE63CF"/>
  <w16cid:commentId w16cid:paraId="1E7A28C2" w16cid:durableId="21F1B761"/>
  <w16cid:commentId w16cid:paraId="5F9C83FB" w16cid:durableId="21EE96E8"/>
  <w16cid:commentId w16cid:paraId="2CD1684C" w16cid:durableId="21EE994A"/>
  <w16cid:commentId w16cid:paraId="2CCCAB75" w16cid:durableId="21F02F10"/>
  <w16cid:commentId w16cid:paraId="2BAC915E" w16cid:durableId="21EE99B4"/>
  <w16cid:commentId w16cid:paraId="3FA682F5" w16cid:durableId="21F02FB4"/>
  <w16cid:commentId w16cid:paraId="45D0C964" w16cid:durableId="21F0147B"/>
  <w16cid:commentId w16cid:paraId="6696A748" w16cid:durableId="21F015BC"/>
  <w16cid:commentId w16cid:paraId="253EAEE4" w16cid:durableId="21F036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EC" w:rsidRDefault="008C05EC">
      <w:r>
        <w:rPr>
          <w:rStyle w:val="PleaseReviewParagraphId"/>
        </w:rPr>
        <w:t>[]</w:t>
      </w:r>
      <w:r>
        <w:separator/>
      </w:r>
    </w:p>
  </w:endnote>
  <w:endnote w:type="continuationSeparator" w:id="0">
    <w:p w:rsidR="008C05EC" w:rsidRDefault="008C05E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EC" w:rsidRDefault="008C05EC">
      <w:r>
        <w:rPr>
          <w:rStyle w:val="PleaseReviewParagraphId"/>
        </w:rPr>
        <w:t>[]</w:t>
      </w:r>
      <w:r>
        <w:separator/>
      </w:r>
    </w:p>
  </w:footnote>
  <w:footnote w:type="continuationSeparator" w:id="0">
    <w:p w:rsidR="008C05EC" w:rsidRDefault="008C05EC">
      <w:r>
        <w:rPr>
          <w:rStyle w:val="PleaseReviewParagraphId"/>
        </w:rPr>
        <w:t>[]</w:t>
      </w:r>
      <w:r>
        <w:continuationSeparator/>
      </w:r>
    </w:p>
  </w:footnote>
  <w:footnote w:id="1">
    <w:p w:rsidR="00BB5836" w:rsidRDefault="008C05EC">
      <w:pPr>
        <w:pStyle w:val="IPPFootnote"/>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para la aprobación de tratamientos</w:t>
      </w:r>
      <w:r>
        <w:t xml:space="preserve"> por las partes contratantes. Los tratamientos adoptados por la Comisión de Medidas Fitosanitarias podrán no proporcionar información sobre efectos específicos en la salud humana o la inocuidad alimentaria, los cuales deberían abordarse mediante procedimie</w:t>
      </w:r>
      <w:r>
        <w:t>ntos nacionales antes de que las partes contratantes aprueben un tratamiento. Por otra parte, para ciertos productos hospedantes se consideran, antes de la adopción internacional del tratamiento, sus posibles repercusiones en la calidad. Sin embargo, la ev</w:t>
      </w:r>
      <w:r>
        <w:t>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A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es-419"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763E"/>
    <w:rsid w:val="0001089D"/>
    <w:rsid w:val="000141E4"/>
    <w:rsid w:val="00021786"/>
    <w:rsid w:val="00032883"/>
    <w:rsid w:val="00037ECF"/>
    <w:rsid w:val="00045EF4"/>
    <w:rsid w:val="000509EE"/>
    <w:rsid w:val="000610D5"/>
    <w:rsid w:val="00085F5A"/>
    <w:rsid w:val="00087A75"/>
    <w:rsid w:val="000915EC"/>
    <w:rsid w:val="000922FC"/>
    <w:rsid w:val="000937F9"/>
    <w:rsid w:val="00097E56"/>
    <w:rsid w:val="000A1C6C"/>
    <w:rsid w:val="000A2570"/>
    <w:rsid w:val="000A3CBB"/>
    <w:rsid w:val="000A4747"/>
    <w:rsid w:val="000A62EB"/>
    <w:rsid w:val="000A6F75"/>
    <w:rsid w:val="000B0CD7"/>
    <w:rsid w:val="000C59AE"/>
    <w:rsid w:val="000D0828"/>
    <w:rsid w:val="000D0C67"/>
    <w:rsid w:val="000D7354"/>
    <w:rsid w:val="000F11BA"/>
    <w:rsid w:val="000F32DF"/>
    <w:rsid w:val="000F331E"/>
    <w:rsid w:val="00100EC0"/>
    <w:rsid w:val="00100F36"/>
    <w:rsid w:val="0010591A"/>
    <w:rsid w:val="00107DFB"/>
    <w:rsid w:val="0011347D"/>
    <w:rsid w:val="001149C3"/>
    <w:rsid w:val="00114BFA"/>
    <w:rsid w:val="00121528"/>
    <w:rsid w:val="00131D1A"/>
    <w:rsid w:val="0013718F"/>
    <w:rsid w:val="00140B4F"/>
    <w:rsid w:val="00141DE9"/>
    <w:rsid w:val="00143698"/>
    <w:rsid w:val="00156F91"/>
    <w:rsid w:val="001628B0"/>
    <w:rsid w:val="001675EF"/>
    <w:rsid w:val="0017245B"/>
    <w:rsid w:val="00175B5F"/>
    <w:rsid w:val="00182CF6"/>
    <w:rsid w:val="001A1707"/>
    <w:rsid w:val="001A3A2F"/>
    <w:rsid w:val="001A5734"/>
    <w:rsid w:val="001B7BFD"/>
    <w:rsid w:val="001B7E08"/>
    <w:rsid w:val="001D1FF3"/>
    <w:rsid w:val="001D35E5"/>
    <w:rsid w:val="001D4C87"/>
    <w:rsid w:val="001F1C3A"/>
    <w:rsid w:val="001F3B80"/>
    <w:rsid w:val="001F69BF"/>
    <w:rsid w:val="00202757"/>
    <w:rsid w:val="00206716"/>
    <w:rsid w:val="00206B1C"/>
    <w:rsid w:val="00207822"/>
    <w:rsid w:val="00210FDA"/>
    <w:rsid w:val="002137D1"/>
    <w:rsid w:val="00213F98"/>
    <w:rsid w:val="002145AD"/>
    <w:rsid w:val="00216C20"/>
    <w:rsid w:val="00222207"/>
    <w:rsid w:val="002316C7"/>
    <w:rsid w:val="00240383"/>
    <w:rsid w:val="0025000C"/>
    <w:rsid w:val="0025150B"/>
    <w:rsid w:val="00261F61"/>
    <w:rsid w:val="00265BE4"/>
    <w:rsid w:val="00267EA1"/>
    <w:rsid w:val="00270C1B"/>
    <w:rsid w:val="00284515"/>
    <w:rsid w:val="002A3B60"/>
    <w:rsid w:val="002B2C55"/>
    <w:rsid w:val="002B5063"/>
    <w:rsid w:val="002B5A03"/>
    <w:rsid w:val="002B6546"/>
    <w:rsid w:val="002B7E64"/>
    <w:rsid w:val="002C59F3"/>
    <w:rsid w:val="002D0AB9"/>
    <w:rsid w:val="002D27AB"/>
    <w:rsid w:val="002E210F"/>
    <w:rsid w:val="002E233E"/>
    <w:rsid w:val="002E4091"/>
    <w:rsid w:val="002F1CFC"/>
    <w:rsid w:val="002F34FC"/>
    <w:rsid w:val="002F4AF7"/>
    <w:rsid w:val="00300575"/>
    <w:rsid w:val="00312B00"/>
    <w:rsid w:val="003208F9"/>
    <w:rsid w:val="0033234E"/>
    <w:rsid w:val="00341EE1"/>
    <w:rsid w:val="00342198"/>
    <w:rsid w:val="00345D98"/>
    <w:rsid w:val="00345ED9"/>
    <w:rsid w:val="0036473A"/>
    <w:rsid w:val="003648D0"/>
    <w:rsid w:val="003724B9"/>
    <w:rsid w:val="00372724"/>
    <w:rsid w:val="003730D8"/>
    <w:rsid w:val="00383889"/>
    <w:rsid w:val="00384EF9"/>
    <w:rsid w:val="0039408C"/>
    <w:rsid w:val="003A2D8F"/>
    <w:rsid w:val="003A3B4E"/>
    <w:rsid w:val="003B2EA8"/>
    <w:rsid w:val="003B3306"/>
    <w:rsid w:val="003B34D1"/>
    <w:rsid w:val="003C4924"/>
    <w:rsid w:val="003C636B"/>
    <w:rsid w:val="003D0A11"/>
    <w:rsid w:val="003D3923"/>
    <w:rsid w:val="003D74C1"/>
    <w:rsid w:val="003E05AB"/>
    <w:rsid w:val="003E1D61"/>
    <w:rsid w:val="003E2276"/>
    <w:rsid w:val="003E3904"/>
    <w:rsid w:val="003E53BB"/>
    <w:rsid w:val="003E794D"/>
    <w:rsid w:val="003F13BB"/>
    <w:rsid w:val="003F654A"/>
    <w:rsid w:val="004001C8"/>
    <w:rsid w:val="00404C7A"/>
    <w:rsid w:val="004159A4"/>
    <w:rsid w:val="00424D07"/>
    <w:rsid w:val="00433741"/>
    <w:rsid w:val="00433EEC"/>
    <w:rsid w:val="004345E8"/>
    <w:rsid w:val="00446DC9"/>
    <w:rsid w:val="004533B2"/>
    <w:rsid w:val="0045590A"/>
    <w:rsid w:val="004650A6"/>
    <w:rsid w:val="004676F9"/>
    <w:rsid w:val="004821F5"/>
    <w:rsid w:val="004829A6"/>
    <w:rsid w:val="00485A7F"/>
    <w:rsid w:val="004A49DC"/>
    <w:rsid w:val="004A53CD"/>
    <w:rsid w:val="004B361F"/>
    <w:rsid w:val="004C1EFB"/>
    <w:rsid w:val="004E0039"/>
    <w:rsid w:val="004E37AF"/>
    <w:rsid w:val="004E6A47"/>
    <w:rsid w:val="004F2981"/>
    <w:rsid w:val="00511E7F"/>
    <w:rsid w:val="00516E3C"/>
    <w:rsid w:val="0053315D"/>
    <w:rsid w:val="00537268"/>
    <w:rsid w:val="00540BCB"/>
    <w:rsid w:val="0057454D"/>
    <w:rsid w:val="00575300"/>
    <w:rsid w:val="00576028"/>
    <w:rsid w:val="0058366F"/>
    <w:rsid w:val="00584A8D"/>
    <w:rsid w:val="0058601F"/>
    <w:rsid w:val="00591BDD"/>
    <w:rsid w:val="00593300"/>
    <w:rsid w:val="00595B63"/>
    <w:rsid w:val="005971C5"/>
    <w:rsid w:val="005A0F6D"/>
    <w:rsid w:val="005A1778"/>
    <w:rsid w:val="005C2C5E"/>
    <w:rsid w:val="005C4993"/>
    <w:rsid w:val="005C726E"/>
    <w:rsid w:val="005C77C1"/>
    <w:rsid w:val="005D0460"/>
    <w:rsid w:val="005D3471"/>
    <w:rsid w:val="005E783F"/>
    <w:rsid w:val="005F28F7"/>
    <w:rsid w:val="005F796A"/>
    <w:rsid w:val="00601606"/>
    <w:rsid w:val="0060469D"/>
    <w:rsid w:val="006048EB"/>
    <w:rsid w:val="006111B7"/>
    <w:rsid w:val="00611BFA"/>
    <w:rsid w:val="006140B3"/>
    <w:rsid w:val="006433B8"/>
    <w:rsid w:val="00646A3D"/>
    <w:rsid w:val="00647B5E"/>
    <w:rsid w:val="00651D28"/>
    <w:rsid w:val="00653381"/>
    <w:rsid w:val="0065401B"/>
    <w:rsid w:val="00671AE1"/>
    <w:rsid w:val="0068385F"/>
    <w:rsid w:val="00683A8F"/>
    <w:rsid w:val="006958F5"/>
    <w:rsid w:val="006A2271"/>
    <w:rsid w:val="006A6DA8"/>
    <w:rsid w:val="006A7A47"/>
    <w:rsid w:val="006B3510"/>
    <w:rsid w:val="006B4290"/>
    <w:rsid w:val="006B4B47"/>
    <w:rsid w:val="006B6E7D"/>
    <w:rsid w:val="006C3B67"/>
    <w:rsid w:val="006C4A4A"/>
    <w:rsid w:val="006D3C89"/>
    <w:rsid w:val="006D3F64"/>
    <w:rsid w:val="006E25F3"/>
    <w:rsid w:val="006F65C2"/>
    <w:rsid w:val="006F79B6"/>
    <w:rsid w:val="00711561"/>
    <w:rsid w:val="0071382D"/>
    <w:rsid w:val="00716275"/>
    <w:rsid w:val="007214DE"/>
    <w:rsid w:val="00722380"/>
    <w:rsid w:val="0072264C"/>
    <w:rsid w:val="00731331"/>
    <w:rsid w:val="00734926"/>
    <w:rsid w:val="00760762"/>
    <w:rsid w:val="0076558F"/>
    <w:rsid w:val="00780CAF"/>
    <w:rsid w:val="007812FE"/>
    <w:rsid w:val="00781778"/>
    <w:rsid w:val="007827E1"/>
    <w:rsid w:val="0079105C"/>
    <w:rsid w:val="00793AB9"/>
    <w:rsid w:val="00796C14"/>
    <w:rsid w:val="007A1D3F"/>
    <w:rsid w:val="007B5869"/>
    <w:rsid w:val="007B7328"/>
    <w:rsid w:val="007C2ED8"/>
    <w:rsid w:val="007C395E"/>
    <w:rsid w:val="007C766E"/>
    <w:rsid w:val="007D0295"/>
    <w:rsid w:val="007D300B"/>
    <w:rsid w:val="007D7635"/>
    <w:rsid w:val="007E0A7A"/>
    <w:rsid w:val="007E2702"/>
    <w:rsid w:val="007E2943"/>
    <w:rsid w:val="007E3D34"/>
    <w:rsid w:val="007F141A"/>
    <w:rsid w:val="007F4820"/>
    <w:rsid w:val="007F5DE3"/>
    <w:rsid w:val="00802D55"/>
    <w:rsid w:val="008346AC"/>
    <w:rsid w:val="00840CFF"/>
    <w:rsid w:val="00874066"/>
    <w:rsid w:val="0088112E"/>
    <w:rsid w:val="008904EF"/>
    <w:rsid w:val="00891CFB"/>
    <w:rsid w:val="008965A1"/>
    <w:rsid w:val="00896E8F"/>
    <w:rsid w:val="008A467A"/>
    <w:rsid w:val="008C05EC"/>
    <w:rsid w:val="008C0753"/>
    <w:rsid w:val="008C558A"/>
    <w:rsid w:val="008C617D"/>
    <w:rsid w:val="008C7981"/>
    <w:rsid w:val="008D47C1"/>
    <w:rsid w:val="008D6B45"/>
    <w:rsid w:val="008E3E8A"/>
    <w:rsid w:val="008E4D6A"/>
    <w:rsid w:val="008E63FD"/>
    <w:rsid w:val="008F35E4"/>
    <w:rsid w:val="008F41A9"/>
    <w:rsid w:val="0090119E"/>
    <w:rsid w:val="00901612"/>
    <w:rsid w:val="00906F8A"/>
    <w:rsid w:val="00914557"/>
    <w:rsid w:val="00915EB2"/>
    <w:rsid w:val="00920D58"/>
    <w:rsid w:val="00943DBA"/>
    <w:rsid w:val="009459AD"/>
    <w:rsid w:val="00947DBE"/>
    <w:rsid w:val="009738C6"/>
    <w:rsid w:val="00983AAC"/>
    <w:rsid w:val="00994085"/>
    <w:rsid w:val="009B3F13"/>
    <w:rsid w:val="009B5FF8"/>
    <w:rsid w:val="009B6405"/>
    <w:rsid w:val="009C11E2"/>
    <w:rsid w:val="009D0EA9"/>
    <w:rsid w:val="009D5780"/>
    <w:rsid w:val="009E18F7"/>
    <w:rsid w:val="009E6726"/>
    <w:rsid w:val="009F58BD"/>
    <w:rsid w:val="009F5A26"/>
    <w:rsid w:val="009F6379"/>
    <w:rsid w:val="00A00C03"/>
    <w:rsid w:val="00A029C1"/>
    <w:rsid w:val="00A20A5E"/>
    <w:rsid w:val="00A31AA9"/>
    <w:rsid w:val="00A3237E"/>
    <w:rsid w:val="00A4377B"/>
    <w:rsid w:val="00A47B1F"/>
    <w:rsid w:val="00A569B3"/>
    <w:rsid w:val="00A56FDA"/>
    <w:rsid w:val="00A65E0C"/>
    <w:rsid w:val="00A813EE"/>
    <w:rsid w:val="00A81800"/>
    <w:rsid w:val="00A867B2"/>
    <w:rsid w:val="00A8797A"/>
    <w:rsid w:val="00A95F1A"/>
    <w:rsid w:val="00A96475"/>
    <w:rsid w:val="00AA205E"/>
    <w:rsid w:val="00AA7F53"/>
    <w:rsid w:val="00AB3A2B"/>
    <w:rsid w:val="00AB5123"/>
    <w:rsid w:val="00AE5419"/>
    <w:rsid w:val="00AE7ADF"/>
    <w:rsid w:val="00AF4240"/>
    <w:rsid w:val="00B00A4A"/>
    <w:rsid w:val="00B0330E"/>
    <w:rsid w:val="00B05071"/>
    <w:rsid w:val="00B17C9D"/>
    <w:rsid w:val="00B231F5"/>
    <w:rsid w:val="00B33A85"/>
    <w:rsid w:val="00B36BF2"/>
    <w:rsid w:val="00B37721"/>
    <w:rsid w:val="00B42FFA"/>
    <w:rsid w:val="00B45CFC"/>
    <w:rsid w:val="00B514AD"/>
    <w:rsid w:val="00B54931"/>
    <w:rsid w:val="00B60801"/>
    <w:rsid w:val="00B7631C"/>
    <w:rsid w:val="00B7719F"/>
    <w:rsid w:val="00B80DA5"/>
    <w:rsid w:val="00B90AD4"/>
    <w:rsid w:val="00B92640"/>
    <w:rsid w:val="00BA12BD"/>
    <w:rsid w:val="00BA51B3"/>
    <w:rsid w:val="00BB2518"/>
    <w:rsid w:val="00BB4C31"/>
    <w:rsid w:val="00BB5836"/>
    <w:rsid w:val="00BD0074"/>
    <w:rsid w:val="00BD3052"/>
    <w:rsid w:val="00BD382E"/>
    <w:rsid w:val="00BD50C1"/>
    <w:rsid w:val="00BE3F35"/>
    <w:rsid w:val="00BF4E67"/>
    <w:rsid w:val="00C03CED"/>
    <w:rsid w:val="00C07263"/>
    <w:rsid w:val="00C168AE"/>
    <w:rsid w:val="00C17E5E"/>
    <w:rsid w:val="00C20099"/>
    <w:rsid w:val="00C21320"/>
    <w:rsid w:val="00C302A6"/>
    <w:rsid w:val="00C30FDC"/>
    <w:rsid w:val="00C31414"/>
    <w:rsid w:val="00C32A29"/>
    <w:rsid w:val="00C32F84"/>
    <w:rsid w:val="00C36377"/>
    <w:rsid w:val="00C36B2A"/>
    <w:rsid w:val="00C40334"/>
    <w:rsid w:val="00C467E9"/>
    <w:rsid w:val="00C51219"/>
    <w:rsid w:val="00C5253A"/>
    <w:rsid w:val="00C525F0"/>
    <w:rsid w:val="00C63B38"/>
    <w:rsid w:val="00C66AAD"/>
    <w:rsid w:val="00C83932"/>
    <w:rsid w:val="00CA3EB3"/>
    <w:rsid w:val="00CA600A"/>
    <w:rsid w:val="00CB05E7"/>
    <w:rsid w:val="00CB0712"/>
    <w:rsid w:val="00CB4B33"/>
    <w:rsid w:val="00CC14C1"/>
    <w:rsid w:val="00CC1EDA"/>
    <w:rsid w:val="00CD24DC"/>
    <w:rsid w:val="00CD7512"/>
    <w:rsid w:val="00CE182A"/>
    <w:rsid w:val="00CE594E"/>
    <w:rsid w:val="00CF0B03"/>
    <w:rsid w:val="00CF724C"/>
    <w:rsid w:val="00D06F0C"/>
    <w:rsid w:val="00D12375"/>
    <w:rsid w:val="00D158BB"/>
    <w:rsid w:val="00D17533"/>
    <w:rsid w:val="00D21768"/>
    <w:rsid w:val="00D27EC6"/>
    <w:rsid w:val="00D41FE7"/>
    <w:rsid w:val="00D4695A"/>
    <w:rsid w:val="00D606CF"/>
    <w:rsid w:val="00D61FB8"/>
    <w:rsid w:val="00D83139"/>
    <w:rsid w:val="00DB2382"/>
    <w:rsid w:val="00DB33B5"/>
    <w:rsid w:val="00DC4DE5"/>
    <w:rsid w:val="00DD2157"/>
    <w:rsid w:val="00DD21E8"/>
    <w:rsid w:val="00DD2EA9"/>
    <w:rsid w:val="00DD3471"/>
    <w:rsid w:val="00DD5E0A"/>
    <w:rsid w:val="00DE1B04"/>
    <w:rsid w:val="00DF5D9D"/>
    <w:rsid w:val="00DF5E68"/>
    <w:rsid w:val="00DF65A8"/>
    <w:rsid w:val="00E0199E"/>
    <w:rsid w:val="00E02E51"/>
    <w:rsid w:val="00E0425F"/>
    <w:rsid w:val="00E0695F"/>
    <w:rsid w:val="00E10005"/>
    <w:rsid w:val="00E15011"/>
    <w:rsid w:val="00E1723A"/>
    <w:rsid w:val="00E21462"/>
    <w:rsid w:val="00E3092F"/>
    <w:rsid w:val="00E45131"/>
    <w:rsid w:val="00E6085E"/>
    <w:rsid w:val="00E65986"/>
    <w:rsid w:val="00E76787"/>
    <w:rsid w:val="00E81634"/>
    <w:rsid w:val="00E90B6D"/>
    <w:rsid w:val="00EA1BD3"/>
    <w:rsid w:val="00ED416D"/>
    <w:rsid w:val="00ED71F0"/>
    <w:rsid w:val="00EE3F9B"/>
    <w:rsid w:val="00EE5D68"/>
    <w:rsid w:val="00F23EDE"/>
    <w:rsid w:val="00F2598B"/>
    <w:rsid w:val="00F27AEE"/>
    <w:rsid w:val="00F352C6"/>
    <w:rsid w:val="00F35759"/>
    <w:rsid w:val="00F4087B"/>
    <w:rsid w:val="00F421BB"/>
    <w:rsid w:val="00F4496E"/>
    <w:rsid w:val="00F64C14"/>
    <w:rsid w:val="00F65B6F"/>
    <w:rsid w:val="00F83DE4"/>
    <w:rsid w:val="00F84DFE"/>
    <w:rsid w:val="00F955E3"/>
    <w:rsid w:val="00FA6EA5"/>
    <w:rsid w:val="00FB27A8"/>
    <w:rsid w:val="00FD480D"/>
    <w:rsid w:val="00FD4999"/>
    <w:rsid w:val="00FD623E"/>
    <w:rsid w:val="00FE6446"/>
    <w:rsid w:val="00FF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2890ED-EC53-49AC-8264-DF96F784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E1"/>
    <w:pPr>
      <w:jc w:val="both"/>
    </w:pPr>
    <w:rPr>
      <w:rFonts w:eastAsia="MS Mincho"/>
      <w:sz w:val="22"/>
      <w:szCs w:val="24"/>
      <w:lang w:val="en-GB"/>
    </w:rPr>
  </w:style>
  <w:style w:type="paragraph" w:styleId="Heading1">
    <w:name w:val="heading 1"/>
    <w:aliases w:val="IPPC Headsection"/>
    <w:basedOn w:val="Normal"/>
    <w:next w:val="Normal"/>
    <w:link w:val="Heading1Char"/>
    <w:qFormat/>
    <w:rsid w:val="00671AE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71AE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71AE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71A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AE1"/>
  </w:style>
  <w:style w:type="paragraph" w:styleId="Header">
    <w:name w:val="header"/>
    <w:basedOn w:val="Normal"/>
    <w:link w:val="HeaderChar"/>
    <w:rsid w:val="00671AE1"/>
    <w:pPr>
      <w:tabs>
        <w:tab w:val="center" w:pos="4680"/>
        <w:tab w:val="right" w:pos="9360"/>
      </w:tabs>
    </w:pPr>
  </w:style>
  <w:style w:type="character" w:customStyle="1" w:styleId="HeaderChar">
    <w:name w:val="Header Char"/>
    <w:basedOn w:val="DefaultParagraphFont"/>
    <w:link w:val="Header"/>
    <w:rsid w:val="00671AE1"/>
    <w:rPr>
      <w:rFonts w:eastAsia="MS Mincho"/>
      <w:sz w:val="22"/>
      <w:szCs w:val="24"/>
      <w:lang w:val="en-GB"/>
    </w:rPr>
  </w:style>
  <w:style w:type="paragraph" w:styleId="Footer">
    <w:name w:val="footer"/>
    <w:basedOn w:val="Normal"/>
    <w:link w:val="FooterChar"/>
    <w:rsid w:val="00671AE1"/>
    <w:pPr>
      <w:tabs>
        <w:tab w:val="center" w:pos="4680"/>
        <w:tab w:val="right" w:pos="9360"/>
      </w:tabs>
    </w:pPr>
  </w:style>
  <w:style w:type="character" w:customStyle="1" w:styleId="FooterChar">
    <w:name w:val="Footer Char"/>
    <w:basedOn w:val="DefaultParagraphFont"/>
    <w:link w:val="Footer"/>
    <w:rsid w:val="00671AE1"/>
    <w:rPr>
      <w:rFonts w:eastAsia="MS Mincho"/>
      <w:sz w:val="22"/>
      <w:szCs w:val="24"/>
      <w:lang w:val="en-GB"/>
    </w:rPr>
  </w:style>
  <w:style w:type="character" w:customStyle="1" w:styleId="Heading1Char">
    <w:name w:val="Heading 1 Char"/>
    <w:aliases w:val="IPPC Headsection Char"/>
    <w:basedOn w:val="DefaultParagraphFont"/>
    <w:link w:val="Heading1"/>
    <w:rsid w:val="00671AE1"/>
    <w:rPr>
      <w:rFonts w:eastAsia="MS Mincho"/>
      <w:b/>
      <w:bCs/>
      <w:sz w:val="22"/>
      <w:szCs w:val="24"/>
      <w:lang w:val="en-GB"/>
    </w:rPr>
  </w:style>
  <w:style w:type="paragraph" w:customStyle="1" w:styleId="IPPArialFootnote">
    <w:name w:val="IPP Arial Footnote"/>
    <w:basedOn w:val="IPPArialTable"/>
    <w:qFormat/>
    <w:rsid w:val="00671AE1"/>
    <w:pPr>
      <w:tabs>
        <w:tab w:val="left" w:pos="28"/>
      </w:tabs>
      <w:ind w:left="284" w:hanging="284"/>
    </w:pPr>
    <w:rPr>
      <w:sz w:val="16"/>
    </w:rPr>
  </w:style>
  <w:style w:type="paragraph" w:customStyle="1" w:styleId="IPPContentsHead">
    <w:name w:val="IPP ContentsHead"/>
    <w:basedOn w:val="IPPSubhead"/>
    <w:next w:val="IPPNormal"/>
    <w:qFormat/>
    <w:rsid w:val="00671AE1"/>
    <w:pPr>
      <w:spacing w:after="240"/>
    </w:pPr>
    <w:rPr>
      <w:sz w:val="24"/>
    </w:rPr>
  </w:style>
  <w:style w:type="paragraph" w:customStyle="1" w:styleId="IPPBullet2">
    <w:name w:val="IPP Bullet2"/>
    <w:basedOn w:val="IPPNormal"/>
    <w:next w:val="IPPBullet1"/>
    <w:qFormat/>
    <w:rsid w:val="00671AE1"/>
    <w:pPr>
      <w:numPr>
        <w:numId w:val="4"/>
      </w:numPr>
      <w:tabs>
        <w:tab w:val="left" w:pos="1134"/>
      </w:tabs>
      <w:spacing w:after="60"/>
      <w:ind w:left="1134" w:hanging="567"/>
    </w:pPr>
  </w:style>
  <w:style w:type="paragraph" w:customStyle="1" w:styleId="IPPQuote">
    <w:name w:val="IPP Quote"/>
    <w:basedOn w:val="IPPNormal"/>
    <w:qFormat/>
    <w:rsid w:val="00671AE1"/>
    <w:pPr>
      <w:ind w:left="851" w:right="851"/>
    </w:pPr>
    <w:rPr>
      <w:sz w:val="18"/>
    </w:rPr>
  </w:style>
  <w:style w:type="paragraph" w:customStyle="1" w:styleId="IPPNormal">
    <w:name w:val="IPP Normal"/>
    <w:basedOn w:val="Normal"/>
    <w:link w:val="IPPNormalChar"/>
    <w:qFormat/>
    <w:rsid w:val="00671AE1"/>
    <w:pPr>
      <w:spacing w:after="180"/>
    </w:pPr>
    <w:rPr>
      <w:rFonts w:eastAsia="Times"/>
    </w:rPr>
  </w:style>
  <w:style w:type="paragraph" w:customStyle="1" w:styleId="IPPIndentClose">
    <w:name w:val="IPP Indent Close"/>
    <w:basedOn w:val="IPPNormal"/>
    <w:qFormat/>
    <w:rsid w:val="00671AE1"/>
    <w:pPr>
      <w:tabs>
        <w:tab w:val="left" w:pos="2835"/>
      </w:tabs>
      <w:spacing w:after="60"/>
      <w:ind w:left="567"/>
    </w:pPr>
  </w:style>
  <w:style w:type="paragraph" w:customStyle="1" w:styleId="IPPIndent">
    <w:name w:val="IPP Indent"/>
    <w:basedOn w:val="IPPIndentClose"/>
    <w:qFormat/>
    <w:rsid w:val="00671AE1"/>
    <w:pPr>
      <w:spacing w:after="180"/>
    </w:pPr>
  </w:style>
  <w:style w:type="paragraph" w:customStyle="1" w:styleId="IPPFootnote">
    <w:name w:val="IPP Footnote"/>
    <w:basedOn w:val="IPPArialFootnote"/>
    <w:qFormat/>
    <w:rsid w:val="00671AE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71AE1"/>
    <w:pPr>
      <w:keepNext/>
      <w:tabs>
        <w:tab w:val="left" w:pos="567"/>
      </w:tabs>
      <w:spacing w:before="120" w:after="120"/>
      <w:ind w:left="567" w:hanging="567"/>
    </w:pPr>
    <w:rPr>
      <w:b/>
      <w:i/>
    </w:rPr>
  </w:style>
  <w:style w:type="character" w:customStyle="1" w:styleId="IPPnormalitalics">
    <w:name w:val="IPP normal italics"/>
    <w:basedOn w:val="DefaultParagraphFont"/>
    <w:rsid w:val="00671AE1"/>
    <w:rPr>
      <w:rFonts w:ascii="Times New Roman" w:hAnsi="Times New Roman"/>
      <w:i/>
      <w:sz w:val="22"/>
      <w:lang w:val="en-US"/>
    </w:rPr>
  </w:style>
  <w:style w:type="character" w:customStyle="1" w:styleId="IPPNormalbold">
    <w:name w:val="IPP Normal bold"/>
    <w:basedOn w:val="PlainTextChar"/>
    <w:rsid w:val="00671AE1"/>
    <w:rPr>
      <w:rFonts w:ascii="Times New Roman" w:eastAsia="Times" w:hAnsi="Times New Roman"/>
      <w:b/>
      <w:sz w:val="22"/>
      <w:szCs w:val="21"/>
      <w:lang w:val="en-AU"/>
    </w:rPr>
  </w:style>
  <w:style w:type="paragraph" w:customStyle="1" w:styleId="IPPHeadSection">
    <w:name w:val="IPP HeadSection"/>
    <w:basedOn w:val="Normal"/>
    <w:next w:val="Normal"/>
    <w:qFormat/>
    <w:rsid w:val="00671AE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71AE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71AE1"/>
    <w:pPr>
      <w:keepNext/>
      <w:ind w:left="567" w:hanging="567"/>
      <w:jc w:val="left"/>
    </w:pPr>
    <w:rPr>
      <w:b/>
      <w:bCs/>
      <w:iCs/>
      <w:szCs w:val="22"/>
    </w:rPr>
  </w:style>
  <w:style w:type="character" w:customStyle="1" w:styleId="IPPNormalunderlined">
    <w:name w:val="IPP Normal underlined"/>
    <w:basedOn w:val="DefaultParagraphFont"/>
    <w:rsid w:val="00671AE1"/>
    <w:rPr>
      <w:rFonts w:ascii="Times New Roman" w:hAnsi="Times New Roman"/>
      <w:sz w:val="22"/>
      <w:u w:val="single"/>
      <w:lang w:val="en-US"/>
    </w:rPr>
  </w:style>
  <w:style w:type="paragraph" w:customStyle="1" w:styleId="IPPBullet1">
    <w:name w:val="IPP Bullet1"/>
    <w:basedOn w:val="IPPBullet1Last"/>
    <w:qFormat/>
    <w:rsid w:val="00671AE1"/>
    <w:pPr>
      <w:numPr>
        <w:numId w:val="24"/>
      </w:numPr>
      <w:spacing w:after="60"/>
      <w:ind w:left="567" w:hanging="567"/>
    </w:pPr>
    <w:rPr>
      <w:lang w:val="en-US"/>
    </w:rPr>
  </w:style>
  <w:style w:type="paragraph" w:customStyle="1" w:styleId="IPPBullet1Last">
    <w:name w:val="IPP Bullet1Last"/>
    <w:basedOn w:val="IPPNormal"/>
    <w:next w:val="IPPNormal"/>
    <w:autoRedefine/>
    <w:qFormat/>
    <w:rsid w:val="00671AE1"/>
    <w:pPr>
      <w:numPr>
        <w:numId w:val="13"/>
      </w:numPr>
    </w:pPr>
  </w:style>
  <w:style w:type="character" w:customStyle="1" w:styleId="IPPNormalstrikethrough">
    <w:name w:val="IPP Normal strikethrough"/>
    <w:rsid w:val="00671AE1"/>
    <w:rPr>
      <w:rFonts w:ascii="Times New Roman" w:hAnsi="Times New Roman"/>
      <w:strike/>
      <w:dstrike w:val="0"/>
      <w:sz w:val="22"/>
    </w:rPr>
  </w:style>
  <w:style w:type="paragraph" w:customStyle="1" w:styleId="IPPTitle16pt">
    <w:name w:val="IPP Title16pt"/>
    <w:basedOn w:val="Normal"/>
    <w:qFormat/>
    <w:rsid w:val="00671AE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71AE1"/>
    <w:pPr>
      <w:spacing w:after="360"/>
      <w:jc w:val="center"/>
    </w:pPr>
    <w:rPr>
      <w:rFonts w:ascii="Arial" w:hAnsi="Arial" w:cs="Arial"/>
      <w:b/>
      <w:bCs/>
      <w:sz w:val="36"/>
      <w:szCs w:val="36"/>
    </w:rPr>
  </w:style>
  <w:style w:type="paragraph" w:customStyle="1" w:styleId="IPPHeader">
    <w:name w:val="IPP Header"/>
    <w:basedOn w:val="Normal"/>
    <w:qFormat/>
    <w:rsid w:val="00671AE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71AE1"/>
    <w:pPr>
      <w:keepNext/>
      <w:tabs>
        <w:tab w:val="left" w:pos="567"/>
      </w:tabs>
      <w:spacing w:before="120"/>
      <w:jc w:val="left"/>
      <w:outlineLvl w:val="1"/>
    </w:pPr>
    <w:rPr>
      <w:b/>
      <w:sz w:val="24"/>
    </w:rPr>
  </w:style>
  <w:style w:type="numbering" w:customStyle="1" w:styleId="IPPParagraphnumberedlist">
    <w:name w:val="IPP Paragraph numbered list"/>
    <w:rsid w:val="00671AE1"/>
    <w:pPr>
      <w:numPr>
        <w:numId w:val="37"/>
      </w:numPr>
    </w:pPr>
  </w:style>
  <w:style w:type="paragraph" w:customStyle="1" w:styleId="IPPNormalCloseSpace">
    <w:name w:val="IPP NormalCloseSpace"/>
    <w:basedOn w:val="Normal"/>
    <w:qFormat/>
    <w:rsid w:val="00671AE1"/>
    <w:pPr>
      <w:keepNext/>
      <w:spacing w:after="60"/>
    </w:pPr>
  </w:style>
  <w:style w:type="paragraph" w:customStyle="1" w:styleId="IPPHeading2">
    <w:name w:val="IPP Heading2"/>
    <w:basedOn w:val="IPPNormal"/>
    <w:next w:val="IPPNormal"/>
    <w:qFormat/>
    <w:rsid w:val="00671AE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71AE1"/>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671AE1"/>
    <w:pPr>
      <w:spacing w:after="60"/>
      <w:ind w:left="567" w:hanging="567"/>
    </w:pPr>
  </w:style>
  <w:style w:type="paragraph" w:customStyle="1" w:styleId="IPPArial">
    <w:name w:val="IPP Arial"/>
    <w:basedOn w:val="IPPNormal"/>
    <w:qFormat/>
    <w:rsid w:val="00671AE1"/>
    <w:pPr>
      <w:spacing w:after="0"/>
    </w:pPr>
    <w:rPr>
      <w:rFonts w:ascii="Arial" w:hAnsi="Arial"/>
      <w:sz w:val="18"/>
    </w:rPr>
  </w:style>
  <w:style w:type="paragraph" w:customStyle="1" w:styleId="IPPArialTable">
    <w:name w:val="IPP Arial Table"/>
    <w:basedOn w:val="IPPArial"/>
    <w:qFormat/>
    <w:rsid w:val="00671AE1"/>
    <w:pPr>
      <w:spacing w:before="60" w:after="60"/>
      <w:jc w:val="left"/>
    </w:pPr>
  </w:style>
  <w:style w:type="paragraph" w:customStyle="1" w:styleId="IPPHeaderlandscape">
    <w:name w:val="IPP Header landscape"/>
    <w:basedOn w:val="IPPHeader"/>
    <w:qFormat/>
    <w:rsid w:val="00671AE1"/>
    <w:pPr>
      <w:pBdr>
        <w:bottom w:val="single" w:sz="4" w:space="1" w:color="auto"/>
      </w:pBdr>
      <w:tabs>
        <w:tab w:val="clear" w:pos="9072"/>
        <w:tab w:val="right" w:pos="14034"/>
      </w:tabs>
      <w:spacing w:after="0"/>
      <w:ind w:right="-32"/>
    </w:pPr>
    <w:rPr>
      <w:noProof/>
    </w:rPr>
  </w:style>
  <w:style w:type="character" w:styleId="PageNumber">
    <w:name w:val="page number"/>
    <w:rsid w:val="00671AE1"/>
    <w:rPr>
      <w:rFonts w:ascii="Arial" w:hAnsi="Arial"/>
      <w:b/>
      <w:sz w:val="18"/>
    </w:rPr>
  </w:style>
  <w:style w:type="character" w:customStyle="1" w:styleId="Heading2Char">
    <w:name w:val="Heading 2 Char"/>
    <w:basedOn w:val="DefaultParagraphFont"/>
    <w:link w:val="Heading2"/>
    <w:rsid w:val="00671AE1"/>
    <w:rPr>
      <w:rFonts w:ascii="Calibri" w:eastAsia="MS Mincho" w:hAnsi="Calibri"/>
      <w:b/>
      <w:bCs/>
      <w:i/>
      <w:iCs/>
      <w:sz w:val="28"/>
      <w:szCs w:val="28"/>
      <w:lang w:val="en-GB"/>
    </w:rPr>
  </w:style>
  <w:style w:type="character" w:customStyle="1" w:styleId="Heading3Char">
    <w:name w:val="Heading 3 Char"/>
    <w:basedOn w:val="DefaultParagraphFont"/>
    <w:link w:val="Heading3"/>
    <w:rsid w:val="00671AE1"/>
    <w:rPr>
      <w:rFonts w:ascii="Calibri" w:eastAsia="MS Mincho" w:hAnsi="Calibri"/>
      <w:b/>
      <w:bCs/>
      <w:sz w:val="26"/>
      <w:szCs w:val="26"/>
      <w:lang w:val="en-GB"/>
    </w:rPr>
  </w:style>
  <w:style w:type="paragraph" w:styleId="FootnoteText">
    <w:name w:val="footnote text"/>
    <w:basedOn w:val="Normal"/>
    <w:link w:val="FootnoteTextChar"/>
    <w:semiHidden/>
    <w:rsid w:val="00671AE1"/>
    <w:pPr>
      <w:spacing w:before="60"/>
    </w:pPr>
    <w:rPr>
      <w:sz w:val="20"/>
    </w:rPr>
  </w:style>
  <w:style w:type="character" w:customStyle="1" w:styleId="FootnoteTextChar">
    <w:name w:val="Footnote Text Char"/>
    <w:basedOn w:val="DefaultParagraphFont"/>
    <w:link w:val="FootnoteText"/>
    <w:semiHidden/>
    <w:rsid w:val="00671AE1"/>
    <w:rPr>
      <w:rFonts w:eastAsia="MS Mincho"/>
      <w:szCs w:val="24"/>
      <w:lang w:val="en-GB"/>
    </w:rPr>
  </w:style>
  <w:style w:type="character" w:styleId="FootnoteReference">
    <w:name w:val="footnote reference"/>
    <w:basedOn w:val="DefaultParagraphFont"/>
    <w:semiHidden/>
    <w:rsid w:val="00671AE1"/>
    <w:rPr>
      <w:vertAlign w:val="superscript"/>
    </w:rPr>
  </w:style>
  <w:style w:type="paragraph" w:customStyle="1" w:styleId="Style">
    <w:name w:val="Style"/>
    <w:basedOn w:val="Footer"/>
    <w:autoRedefine/>
    <w:qFormat/>
    <w:rsid w:val="00671AE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671AE1"/>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1AE1"/>
    <w:rPr>
      <w:rFonts w:ascii="Tahoma" w:hAnsi="Tahoma" w:cs="Tahoma"/>
      <w:sz w:val="16"/>
      <w:szCs w:val="16"/>
    </w:rPr>
  </w:style>
  <w:style w:type="character" w:customStyle="1" w:styleId="BalloonTextChar">
    <w:name w:val="Balloon Text Char"/>
    <w:basedOn w:val="DefaultParagraphFont"/>
    <w:link w:val="BalloonText"/>
    <w:rsid w:val="00671AE1"/>
    <w:rPr>
      <w:rFonts w:ascii="Tahoma" w:eastAsia="MS Mincho" w:hAnsi="Tahoma" w:cs="Tahoma"/>
      <w:sz w:val="16"/>
      <w:szCs w:val="16"/>
      <w:lang w:val="en-GB"/>
    </w:rPr>
  </w:style>
  <w:style w:type="paragraph" w:customStyle="1" w:styleId="IPPLetterList">
    <w:name w:val="IPP LetterList"/>
    <w:basedOn w:val="IPPBullet2"/>
    <w:qFormat/>
    <w:rsid w:val="00671AE1"/>
    <w:pPr>
      <w:numPr>
        <w:numId w:val="1"/>
      </w:numPr>
      <w:jc w:val="left"/>
    </w:pPr>
  </w:style>
  <w:style w:type="paragraph" w:customStyle="1" w:styleId="IPPLetterListIndent">
    <w:name w:val="IPP LetterList Indent"/>
    <w:basedOn w:val="IPPLetterList"/>
    <w:qFormat/>
    <w:rsid w:val="00671AE1"/>
    <w:pPr>
      <w:numPr>
        <w:numId w:val="2"/>
      </w:numPr>
    </w:pPr>
  </w:style>
  <w:style w:type="paragraph" w:customStyle="1" w:styleId="IPPFooterLandscape">
    <w:name w:val="IPP Footer Landscape"/>
    <w:basedOn w:val="IPPHeaderlandscape"/>
    <w:qFormat/>
    <w:rsid w:val="00671AE1"/>
    <w:pPr>
      <w:pBdr>
        <w:top w:val="single" w:sz="4" w:space="1" w:color="auto"/>
        <w:bottom w:val="none" w:sz="0" w:space="0" w:color="auto"/>
      </w:pBdr>
      <w:jc w:val="right"/>
    </w:pPr>
    <w:rPr>
      <w:b/>
    </w:rPr>
  </w:style>
  <w:style w:type="paragraph" w:customStyle="1" w:styleId="IPPSubheadSpace">
    <w:name w:val="IPP Subhead Space"/>
    <w:basedOn w:val="IPPSubhead"/>
    <w:qFormat/>
    <w:rsid w:val="00671AE1"/>
    <w:pPr>
      <w:tabs>
        <w:tab w:val="left" w:pos="567"/>
      </w:tabs>
      <w:spacing w:before="60" w:after="60"/>
    </w:pPr>
  </w:style>
  <w:style w:type="paragraph" w:customStyle="1" w:styleId="IPPSubheadSpaceAfter">
    <w:name w:val="IPP Subhead SpaceAfter"/>
    <w:basedOn w:val="IPPSubhead"/>
    <w:qFormat/>
    <w:rsid w:val="00671AE1"/>
    <w:pPr>
      <w:spacing w:after="60"/>
    </w:pPr>
  </w:style>
  <w:style w:type="paragraph" w:customStyle="1" w:styleId="IPPHdg1Num">
    <w:name w:val="IPP Hdg1Num"/>
    <w:basedOn w:val="IPPHeading1"/>
    <w:next w:val="IPPNormal"/>
    <w:qFormat/>
    <w:rsid w:val="00671AE1"/>
    <w:pPr>
      <w:numPr>
        <w:numId w:val="14"/>
      </w:numPr>
    </w:pPr>
  </w:style>
  <w:style w:type="paragraph" w:customStyle="1" w:styleId="IPPHdg2Num">
    <w:name w:val="IPP Hdg2Num"/>
    <w:basedOn w:val="IPPHeading2"/>
    <w:next w:val="IPPNormal"/>
    <w:qFormat/>
    <w:rsid w:val="00671AE1"/>
    <w:pPr>
      <w:numPr>
        <w:ilvl w:val="1"/>
        <w:numId w:val="15"/>
      </w:numPr>
    </w:pPr>
  </w:style>
  <w:style w:type="paragraph" w:customStyle="1" w:styleId="IPPNumberedList">
    <w:name w:val="IPP NumberedList"/>
    <w:basedOn w:val="IPPBullet1"/>
    <w:qFormat/>
    <w:rsid w:val="00671AE1"/>
    <w:pPr>
      <w:numPr>
        <w:numId w:val="9"/>
      </w:numPr>
    </w:pPr>
  </w:style>
  <w:style w:type="paragraph" w:customStyle="1" w:styleId="IPPParagraphnumbering">
    <w:name w:val="IPP Paragraph numbering"/>
    <w:basedOn w:val="IPPNormal"/>
    <w:qFormat/>
    <w:rsid w:val="00671AE1"/>
    <w:pPr>
      <w:numPr>
        <w:numId w:val="38"/>
      </w:numPr>
    </w:pPr>
    <w:rPr>
      <w:lang w:val="en-US"/>
    </w:rPr>
  </w:style>
  <w:style w:type="paragraph" w:styleId="TOC1">
    <w:name w:val="toc 1"/>
    <w:basedOn w:val="IPPNormalCloseSpace"/>
    <w:next w:val="Normal"/>
    <w:autoRedefine/>
    <w:uiPriority w:val="39"/>
    <w:rsid w:val="00671AE1"/>
    <w:pPr>
      <w:tabs>
        <w:tab w:val="right" w:leader="dot" w:pos="9072"/>
      </w:tabs>
      <w:spacing w:before="240"/>
      <w:ind w:left="567" w:hanging="567"/>
    </w:pPr>
  </w:style>
  <w:style w:type="paragraph" w:styleId="TOC2">
    <w:name w:val="toc 2"/>
    <w:basedOn w:val="TOC1"/>
    <w:next w:val="Normal"/>
    <w:autoRedefine/>
    <w:uiPriority w:val="39"/>
    <w:rsid w:val="00671AE1"/>
    <w:pPr>
      <w:keepNext w:val="0"/>
      <w:tabs>
        <w:tab w:val="left" w:pos="425"/>
      </w:tabs>
      <w:spacing w:before="120" w:after="0"/>
      <w:ind w:left="425" w:right="284" w:hanging="425"/>
    </w:pPr>
  </w:style>
  <w:style w:type="paragraph" w:styleId="TOC3">
    <w:name w:val="toc 3"/>
    <w:basedOn w:val="TOC2"/>
    <w:next w:val="Normal"/>
    <w:autoRedefine/>
    <w:uiPriority w:val="39"/>
    <w:rsid w:val="00671AE1"/>
    <w:pPr>
      <w:tabs>
        <w:tab w:val="left" w:pos="1276"/>
      </w:tabs>
      <w:spacing w:before="60"/>
      <w:ind w:left="1276" w:hanging="851"/>
    </w:pPr>
    <w:rPr>
      <w:rFonts w:eastAsia="Times"/>
    </w:rPr>
  </w:style>
  <w:style w:type="paragraph" w:styleId="TOC4">
    <w:name w:val="toc 4"/>
    <w:basedOn w:val="Normal"/>
    <w:next w:val="Normal"/>
    <w:autoRedefine/>
    <w:uiPriority w:val="39"/>
    <w:rsid w:val="00671AE1"/>
    <w:pPr>
      <w:spacing w:after="120"/>
      <w:ind w:left="660"/>
    </w:pPr>
    <w:rPr>
      <w:rFonts w:eastAsia="Times"/>
      <w:lang w:val="en-AU"/>
    </w:rPr>
  </w:style>
  <w:style w:type="paragraph" w:styleId="TOC5">
    <w:name w:val="toc 5"/>
    <w:basedOn w:val="Normal"/>
    <w:next w:val="Normal"/>
    <w:autoRedefine/>
    <w:uiPriority w:val="39"/>
    <w:rsid w:val="00671AE1"/>
    <w:pPr>
      <w:spacing w:after="120"/>
      <w:ind w:left="880"/>
    </w:pPr>
    <w:rPr>
      <w:rFonts w:eastAsia="Times"/>
      <w:lang w:val="en-AU"/>
    </w:rPr>
  </w:style>
  <w:style w:type="paragraph" w:styleId="TOC6">
    <w:name w:val="toc 6"/>
    <w:basedOn w:val="Normal"/>
    <w:next w:val="Normal"/>
    <w:autoRedefine/>
    <w:uiPriority w:val="39"/>
    <w:rsid w:val="00671AE1"/>
    <w:pPr>
      <w:spacing w:after="120"/>
      <w:ind w:left="1100"/>
    </w:pPr>
    <w:rPr>
      <w:rFonts w:eastAsia="Times"/>
      <w:lang w:val="en-AU"/>
    </w:rPr>
  </w:style>
  <w:style w:type="paragraph" w:styleId="TOC7">
    <w:name w:val="toc 7"/>
    <w:basedOn w:val="Normal"/>
    <w:next w:val="Normal"/>
    <w:autoRedefine/>
    <w:uiPriority w:val="39"/>
    <w:rsid w:val="00671AE1"/>
    <w:pPr>
      <w:spacing w:after="120"/>
      <w:ind w:left="1320"/>
    </w:pPr>
    <w:rPr>
      <w:rFonts w:eastAsia="Times"/>
      <w:lang w:val="en-AU"/>
    </w:rPr>
  </w:style>
  <w:style w:type="paragraph" w:styleId="TOC8">
    <w:name w:val="toc 8"/>
    <w:basedOn w:val="Normal"/>
    <w:next w:val="Normal"/>
    <w:autoRedefine/>
    <w:uiPriority w:val="39"/>
    <w:rsid w:val="00671AE1"/>
    <w:pPr>
      <w:spacing w:after="120"/>
      <w:ind w:left="1540"/>
    </w:pPr>
    <w:rPr>
      <w:rFonts w:eastAsia="Times"/>
      <w:lang w:val="en-AU"/>
    </w:rPr>
  </w:style>
  <w:style w:type="paragraph" w:styleId="TOC9">
    <w:name w:val="toc 9"/>
    <w:basedOn w:val="Normal"/>
    <w:next w:val="Normal"/>
    <w:autoRedefine/>
    <w:uiPriority w:val="39"/>
    <w:rsid w:val="00671AE1"/>
    <w:pPr>
      <w:spacing w:after="120"/>
      <w:ind w:left="1760"/>
    </w:pPr>
    <w:rPr>
      <w:rFonts w:eastAsia="Times"/>
      <w:lang w:val="en-AU"/>
    </w:rPr>
  </w:style>
  <w:style w:type="paragraph" w:customStyle="1" w:styleId="IPPParagraphnumberingclose">
    <w:name w:val="IPP Paragraph numbering close"/>
    <w:basedOn w:val="IPPParagraphnumbering"/>
    <w:qFormat/>
    <w:rsid w:val="00671AE1"/>
    <w:pPr>
      <w:keepNext/>
      <w:spacing w:after="60"/>
    </w:pPr>
  </w:style>
  <w:style w:type="paragraph" w:styleId="PlainText">
    <w:name w:val="Plain Text"/>
    <w:basedOn w:val="Normal"/>
    <w:link w:val="PlainTextChar"/>
    <w:uiPriority w:val="99"/>
    <w:unhideWhenUsed/>
    <w:rsid w:val="00671AE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71AE1"/>
    <w:rPr>
      <w:rFonts w:ascii="Courier" w:eastAsia="Times" w:hAnsi="Courier"/>
      <w:sz w:val="21"/>
      <w:szCs w:val="21"/>
      <w:lang w:val="en-AU"/>
    </w:rPr>
  </w:style>
  <w:style w:type="paragraph" w:customStyle="1" w:styleId="IPPNumberedListLast">
    <w:name w:val="IPP NumberedListLast"/>
    <w:basedOn w:val="IPPNumberedList"/>
    <w:qFormat/>
    <w:rsid w:val="00671AE1"/>
    <w:pPr>
      <w:spacing w:after="180"/>
    </w:pPr>
  </w:style>
  <w:style w:type="character" w:styleId="Strong">
    <w:name w:val="Strong"/>
    <w:basedOn w:val="DefaultParagraphFont"/>
    <w:qFormat/>
    <w:rsid w:val="00671AE1"/>
    <w:rPr>
      <w:b/>
      <w:bCs/>
    </w:rPr>
  </w:style>
  <w:style w:type="paragraph" w:styleId="ListParagraph">
    <w:name w:val="List Paragraph"/>
    <w:basedOn w:val="Normal"/>
    <w:uiPriority w:val="34"/>
    <w:qFormat/>
    <w:rsid w:val="00671AE1"/>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9156">
      <w:bodyDiv w:val="1"/>
      <w:marLeft w:val="0"/>
      <w:marRight w:val="0"/>
      <w:marTop w:val="0"/>
      <w:marBottom w:val="0"/>
      <w:divBdr>
        <w:top w:val="none" w:sz="0" w:space="0" w:color="auto"/>
        <w:left w:val="none" w:sz="0" w:space="0" w:color="auto"/>
        <w:bottom w:val="none" w:sz="0" w:space="0" w:color="auto"/>
        <w:right w:val="none" w:sz="0" w:space="0" w:color="auto"/>
      </w:divBdr>
    </w:div>
    <w:div w:id="982849222">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DAC533B-31F9-488F-B37E-6B00FCCF9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65A28-D27E-4924-85A5-F5796E4F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30235-5569-48F3-A2BE-E9235B409F36}">
  <ds:schemaRefs>
    <ds:schemaRef ds:uri="http://schemas.microsoft.com/sharepoint/v3/contenttype/forms"/>
  </ds:schemaRefs>
</ds:datastoreItem>
</file>

<file path=customXml/itemProps4.xml><?xml version="1.0" encoding="utf-8"?>
<ds:datastoreItem xmlns:ds="http://schemas.openxmlformats.org/officeDocument/2006/customXml" ds:itemID="{21A4FA1A-E814-4AC3-81E9-197CE433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JimenezTabares, Alejandra (AGDI)</cp:lastModifiedBy>
  <cp:revision>2</cp:revision>
  <dcterms:created xsi:type="dcterms:W3CDTF">2020-06-29T09:48:00Z</dcterms:created>
  <dcterms:modified xsi:type="dcterms:W3CDTF">2020-06-29T09:48:00Z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