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C10" w:rsidRDefault="00991994">
      <w:pPr>
        <w:jc w:val="center"/>
      </w:pPr>
      <w:bookmarkStart w:id="0" w:name="_GoBack"/>
      <w:bookmarkEnd w:id="0"/>
      <w:r>
        <w:rPr>
          <w:rStyle w:val="PleaseReviewParagraphId"/>
          <w:noProof/>
          <w:sz w:val="20"/>
        </w:rPr>
        <w:t>[PleaseReview document review. Review title: 2020 First Consultation: Draft 2019 and 2020 Amendments to ISPM 5 (1994-001). Document title: ND085_1994-001_Amendments_2020_ISPM5_es.docx]</w:t>
      </w:r>
    </w:p>
    <w:p w:rsidR="003A0C10" w:rsidRDefault="00991994">
      <w:pPr>
        <w:pStyle w:val="IPPHeadSection"/>
        <w:jc w:val="center"/>
      </w:pPr>
      <w:r>
        <w:rPr>
          <w:rStyle w:val="PleaseReviewParagraphId"/>
          <w:b w:val="0"/>
        </w:rPr>
        <w:t>[1]</w:t>
      </w:r>
      <w:r>
        <w:t xml:space="preserve">PROYECTO DE 2019 Y 2020 DE ENMIENDAS A LA NIMF 5: </w:t>
      </w:r>
      <w:r>
        <w:br/>
      </w:r>
      <w:r>
        <w:rPr>
          <w:i/>
        </w:rPr>
        <w:t>Glosario de términos fitosanitarios</w:t>
      </w:r>
      <w:r>
        <w:t xml:space="preserve"> (1994-001)</w:t>
      </w:r>
    </w:p>
    <w:p w:rsidR="003A0C10" w:rsidRDefault="00991994">
      <w:pPr>
        <w:pStyle w:val="IPPNormal"/>
        <w:tabs>
          <w:tab w:val="left" w:pos="2078"/>
        </w:tabs>
        <w:spacing w:after="120"/>
        <w:rPr>
          <w:rFonts w:ascii="Arial" w:hAnsi="Arial" w:cs="Arial"/>
          <w:sz w:val="18"/>
          <w:szCs w:val="18"/>
        </w:rPr>
      </w:pPr>
      <w:r>
        <w:rPr>
          <w:rStyle w:val="PleaseReviewParagraphId"/>
        </w:rPr>
        <w:t>[2]</w:t>
      </w:r>
      <w:r>
        <w:rPr>
          <w:rFonts w:ascii="Arial" w:hAnsi="Arial"/>
          <w:b/>
          <w:sz w:val="18"/>
        </w:rPr>
        <w:t>Historia de la publicación</w:t>
      </w:r>
    </w:p>
    <w:p w:rsidR="003A0C10" w:rsidRDefault="00991994">
      <w:pPr>
        <w:pStyle w:val="IPPNormal"/>
        <w:tabs>
          <w:tab w:val="left" w:pos="2078"/>
        </w:tabs>
        <w:rPr>
          <w:rFonts w:ascii="Arial" w:hAnsi="Arial" w:cs="Arial"/>
          <w:i/>
          <w:iCs/>
          <w:sz w:val="18"/>
          <w:szCs w:val="18"/>
        </w:rPr>
      </w:pPr>
      <w:r>
        <w:rPr>
          <w:rStyle w:val="PleaseReviewParagraphId"/>
        </w:rPr>
        <w:t>[3]</w:t>
      </w:r>
      <w:r>
        <w:rPr>
          <w:rFonts w:ascii="Arial" w:hAnsi="Arial"/>
          <w:i/>
          <w:sz w:val="18"/>
        </w:rPr>
        <w:t>(Esta no es una parte oficial de la norma)</w:t>
      </w:r>
    </w:p>
    <w:tbl>
      <w:tblPr>
        <w:tblW w:w="5029" w:type="pct"/>
        <w:jc w:val="center"/>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A0" w:firstRow="1" w:lastRow="0" w:firstColumn="1" w:lastColumn="0" w:noHBand="0" w:noVBand="0"/>
      </w:tblPr>
      <w:tblGrid>
        <w:gridCol w:w="2686"/>
        <w:gridCol w:w="6377"/>
      </w:tblGrid>
      <w:tr w:rsidR="003A0C10">
        <w:trPr>
          <w:tblCellSpacing w:w="0" w:type="dxa"/>
          <w:jc w:val="center"/>
        </w:trPr>
        <w:tc>
          <w:tcPr>
            <w:tcW w:w="2686" w:type="dxa"/>
            <w:tcBorders>
              <w:top w:val="outset" w:sz="6" w:space="0" w:color="00000A"/>
              <w:bottom w:val="outset" w:sz="6" w:space="0" w:color="00000A"/>
              <w:right w:val="outset" w:sz="6" w:space="0" w:color="00000A"/>
            </w:tcBorders>
          </w:tcPr>
          <w:p w:rsidR="003A0C10" w:rsidRDefault="00991994">
            <w:pPr>
              <w:pStyle w:val="NormalWeb"/>
              <w:spacing w:before="58" w:beforeAutospacing="0"/>
              <w:rPr>
                <w:rFonts w:ascii="Arial" w:hAnsi="Arial" w:cs="Arial"/>
                <w:sz w:val="18"/>
                <w:szCs w:val="18"/>
              </w:rPr>
            </w:pPr>
            <w:r>
              <w:rPr>
                <w:rStyle w:val="PleaseReviewParagraphId"/>
              </w:rPr>
              <w:t>[4]</w:t>
            </w:r>
            <w:r>
              <w:rPr>
                <w:rFonts w:ascii="Arial" w:hAnsi="Arial"/>
                <w:b/>
                <w:sz w:val="18"/>
              </w:rPr>
              <w:t>Fecha de este documento</w:t>
            </w:r>
          </w:p>
        </w:tc>
        <w:tc>
          <w:tcPr>
            <w:tcW w:w="6378" w:type="dxa"/>
            <w:tcBorders>
              <w:top w:val="outset" w:sz="6" w:space="0" w:color="00000A"/>
              <w:left w:val="outset" w:sz="6" w:space="0" w:color="00000A"/>
              <w:bottom w:val="outset" w:sz="6" w:space="0" w:color="00000A"/>
            </w:tcBorders>
          </w:tcPr>
          <w:p w:rsidR="003A0C10" w:rsidRDefault="00991994">
            <w:pPr>
              <w:pStyle w:val="NormalWeb"/>
              <w:spacing w:before="58" w:beforeAutospacing="0"/>
              <w:rPr>
                <w:rFonts w:ascii="Arial" w:hAnsi="Arial" w:cs="Arial"/>
                <w:sz w:val="18"/>
                <w:szCs w:val="18"/>
              </w:rPr>
            </w:pPr>
            <w:r>
              <w:rPr>
                <w:rStyle w:val="PleaseReviewParagraphId"/>
              </w:rPr>
              <w:t>[5]</w:t>
            </w:r>
            <w:r>
              <w:rPr>
                <w:rFonts w:ascii="Arial" w:hAnsi="Arial"/>
                <w:sz w:val="18"/>
              </w:rPr>
              <w:t>2020-06-08</w:t>
            </w:r>
          </w:p>
        </w:tc>
      </w:tr>
      <w:tr w:rsidR="003A0C10">
        <w:trPr>
          <w:tblCellSpacing w:w="0" w:type="dxa"/>
          <w:jc w:val="center"/>
        </w:trPr>
        <w:tc>
          <w:tcPr>
            <w:tcW w:w="2686" w:type="dxa"/>
            <w:tcBorders>
              <w:top w:val="outset" w:sz="6" w:space="0" w:color="00000A"/>
              <w:bottom w:val="outset" w:sz="6" w:space="0" w:color="00000A"/>
              <w:right w:val="outset" w:sz="6" w:space="0" w:color="00000A"/>
            </w:tcBorders>
          </w:tcPr>
          <w:p w:rsidR="003A0C10" w:rsidRDefault="00991994">
            <w:pPr>
              <w:pStyle w:val="NormalWeb"/>
              <w:spacing w:before="58" w:beforeAutospacing="0"/>
              <w:rPr>
                <w:rFonts w:ascii="Arial" w:hAnsi="Arial" w:cs="Arial"/>
                <w:sz w:val="18"/>
                <w:szCs w:val="18"/>
              </w:rPr>
            </w:pPr>
            <w:r>
              <w:rPr>
                <w:rStyle w:val="PleaseReviewParagraphId"/>
              </w:rPr>
              <w:t>[6]</w:t>
            </w:r>
            <w:r>
              <w:rPr>
                <w:rFonts w:ascii="Arial" w:hAnsi="Arial"/>
                <w:b/>
                <w:sz w:val="18"/>
              </w:rPr>
              <w:t>Categoría del documento</w:t>
            </w:r>
          </w:p>
        </w:tc>
        <w:tc>
          <w:tcPr>
            <w:tcW w:w="6378" w:type="dxa"/>
            <w:tcBorders>
              <w:top w:val="outset" w:sz="6" w:space="0" w:color="00000A"/>
              <w:left w:val="outset" w:sz="6" w:space="0" w:color="00000A"/>
              <w:bottom w:val="outset" w:sz="6" w:space="0" w:color="00000A"/>
            </w:tcBorders>
          </w:tcPr>
          <w:p w:rsidR="003A0C10" w:rsidRDefault="00991994">
            <w:pPr>
              <w:pStyle w:val="NormalWeb"/>
              <w:spacing w:before="58" w:beforeAutospacing="0"/>
              <w:rPr>
                <w:rFonts w:ascii="Arial" w:hAnsi="Arial" w:cs="Arial"/>
                <w:sz w:val="18"/>
                <w:szCs w:val="18"/>
              </w:rPr>
            </w:pPr>
            <w:r>
              <w:rPr>
                <w:rStyle w:val="PleaseReviewParagraphId"/>
              </w:rPr>
              <w:t>[7]</w:t>
            </w:r>
            <w:r>
              <w:rPr>
                <w:rFonts w:ascii="Arial" w:hAnsi="Arial"/>
                <w:sz w:val="18"/>
              </w:rPr>
              <w:t xml:space="preserve">Proyecto de 2019 y 2020 de enmiendas a la NIMF 5 </w:t>
            </w:r>
            <w:r>
              <w:rPr>
                <w:rFonts w:ascii="Arial" w:hAnsi="Arial"/>
                <w:i/>
                <w:iCs/>
                <w:sz w:val="18"/>
              </w:rPr>
              <w:t>(Glosario de términos fitosanitarios)</w:t>
            </w:r>
            <w:r>
              <w:rPr>
                <w:rFonts w:ascii="Arial" w:hAnsi="Arial"/>
                <w:sz w:val="18"/>
              </w:rPr>
              <w:t xml:space="preserve"> (1994-001)</w:t>
            </w:r>
          </w:p>
        </w:tc>
      </w:tr>
      <w:tr w:rsidR="003A0C10">
        <w:trPr>
          <w:tblCellSpacing w:w="0" w:type="dxa"/>
          <w:jc w:val="center"/>
        </w:trPr>
        <w:tc>
          <w:tcPr>
            <w:tcW w:w="2686" w:type="dxa"/>
            <w:tcBorders>
              <w:top w:val="outset" w:sz="6" w:space="0" w:color="00000A"/>
              <w:bottom w:val="outset" w:sz="6" w:space="0" w:color="00000A"/>
              <w:right w:val="outset" w:sz="6" w:space="0" w:color="00000A"/>
            </w:tcBorders>
          </w:tcPr>
          <w:p w:rsidR="003A0C10" w:rsidRDefault="00991994">
            <w:pPr>
              <w:pStyle w:val="NormalWeb"/>
              <w:spacing w:before="58" w:beforeAutospacing="0"/>
              <w:rPr>
                <w:rFonts w:ascii="Arial" w:hAnsi="Arial" w:cs="Arial"/>
                <w:sz w:val="18"/>
                <w:szCs w:val="18"/>
              </w:rPr>
            </w:pPr>
            <w:r>
              <w:rPr>
                <w:rStyle w:val="PleaseReviewParagraphId"/>
              </w:rPr>
              <w:t>[8]</w:t>
            </w:r>
            <w:r>
              <w:rPr>
                <w:rFonts w:ascii="Arial" w:hAnsi="Arial"/>
                <w:b/>
                <w:sz w:val="18"/>
              </w:rPr>
              <w:t>Etapa actual del documento</w:t>
            </w:r>
          </w:p>
        </w:tc>
        <w:tc>
          <w:tcPr>
            <w:tcW w:w="6378" w:type="dxa"/>
            <w:tcBorders>
              <w:top w:val="outset" w:sz="6" w:space="0" w:color="00000A"/>
              <w:left w:val="outset" w:sz="6" w:space="0" w:color="00000A"/>
              <w:bottom w:val="outset" w:sz="6" w:space="0" w:color="00000A"/>
            </w:tcBorders>
          </w:tcPr>
          <w:p w:rsidR="003A0C10" w:rsidRDefault="00991994">
            <w:pPr>
              <w:pStyle w:val="NormalWeb"/>
              <w:spacing w:before="58" w:beforeAutospacing="0"/>
              <w:rPr>
                <w:rFonts w:ascii="Arial" w:hAnsi="Arial" w:cs="Arial"/>
                <w:sz w:val="18"/>
                <w:szCs w:val="18"/>
              </w:rPr>
            </w:pPr>
            <w:r>
              <w:rPr>
                <w:rStyle w:val="PleaseReviewParagraphId"/>
              </w:rPr>
              <w:t>[9]</w:t>
            </w:r>
            <w:r>
              <w:rPr>
                <w:rFonts w:ascii="Arial" w:hAnsi="Arial"/>
                <w:i/>
                <w:sz w:val="18"/>
              </w:rPr>
              <w:t>Para</w:t>
            </w:r>
            <w:r>
              <w:rPr>
                <w:rFonts w:ascii="Arial" w:hAnsi="Arial"/>
                <w:sz w:val="18"/>
              </w:rPr>
              <w:t xml:space="preserve"> primera consulta</w:t>
            </w:r>
          </w:p>
        </w:tc>
      </w:tr>
      <w:tr w:rsidR="003A0C10">
        <w:trPr>
          <w:tblCellSpacing w:w="0" w:type="dxa"/>
          <w:jc w:val="center"/>
        </w:trPr>
        <w:tc>
          <w:tcPr>
            <w:tcW w:w="2686" w:type="dxa"/>
            <w:tcBorders>
              <w:top w:val="outset" w:sz="6" w:space="0" w:color="00000A"/>
              <w:bottom w:val="outset" w:sz="6" w:space="0" w:color="00000A"/>
              <w:right w:val="outset" w:sz="6" w:space="0" w:color="00000A"/>
            </w:tcBorders>
          </w:tcPr>
          <w:p w:rsidR="003A0C10" w:rsidRDefault="00991994">
            <w:pPr>
              <w:pStyle w:val="NormalWeb"/>
              <w:spacing w:before="58" w:beforeAutospacing="0"/>
              <w:rPr>
                <w:rFonts w:ascii="Arial" w:hAnsi="Arial" w:cs="Arial"/>
                <w:sz w:val="18"/>
                <w:szCs w:val="18"/>
              </w:rPr>
            </w:pPr>
            <w:r>
              <w:rPr>
                <w:rStyle w:val="PleaseReviewParagraphId"/>
              </w:rPr>
              <w:t>[10]</w:t>
            </w:r>
            <w:r>
              <w:rPr>
                <w:rFonts w:ascii="Arial" w:hAnsi="Arial"/>
                <w:b/>
                <w:sz w:val="18"/>
              </w:rPr>
              <w:t>Etapas principales</w:t>
            </w:r>
          </w:p>
        </w:tc>
        <w:tc>
          <w:tcPr>
            <w:tcW w:w="6378" w:type="dxa"/>
            <w:tcBorders>
              <w:top w:val="outset" w:sz="6" w:space="0" w:color="00000A"/>
              <w:left w:val="outset" w:sz="6" w:space="0" w:color="00000A"/>
              <w:bottom w:val="outset" w:sz="6" w:space="0" w:color="00000A"/>
            </w:tcBorders>
          </w:tcPr>
          <w:p w:rsidR="003A0C10" w:rsidRDefault="00991994">
            <w:pPr>
              <w:pStyle w:val="NormalWeb"/>
              <w:spacing w:before="58" w:beforeAutospacing="0" w:after="58" w:afterAutospacing="0"/>
              <w:rPr>
                <w:rFonts w:ascii="Arial" w:hAnsi="Arial" w:cs="Arial"/>
                <w:sz w:val="18"/>
                <w:szCs w:val="18"/>
              </w:rPr>
            </w:pPr>
            <w:r>
              <w:rPr>
                <w:rStyle w:val="PleaseReviewParagraphId"/>
              </w:rPr>
              <w:t>[11]</w:t>
            </w:r>
            <w:r>
              <w:rPr>
                <w:rFonts w:ascii="Arial" w:hAnsi="Arial"/>
                <w:sz w:val="18"/>
              </w:rPr>
              <w:t xml:space="preserve">El Comité de Expertos sobre Medidas Fitosanitarias (1994) añadió el tema: </w:t>
            </w:r>
            <w:r>
              <w:rPr>
                <w:rFonts w:ascii="Arial" w:hAnsi="Arial"/>
                <w:sz w:val="18"/>
              </w:rPr>
              <w:t>1994-001: Enmiendas a la NIMF 5: Glosario de términos fitosanitarios.</w:t>
            </w:r>
          </w:p>
          <w:p w:rsidR="003A0C10" w:rsidRDefault="00991994">
            <w:pPr>
              <w:pStyle w:val="NormalWeb"/>
              <w:spacing w:before="29" w:beforeAutospacing="0" w:after="29" w:afterAutospacing="0"/>
              <w:rPr>
                <w:rFonts w:ascii="Arial" w:hAnsi="Arial" w:cs="Arial"/>
                <w:sz w:val="18"/>
                <w:szCs w:val="18"/>
              </w:rPr>
            </w:pPr>
            <w:r>
              <w:rPr>
                <w:rStyle w:val="PleaseReviewParagraphId"/>
              </w:rPr>
              <w:t>[12]</w:t>
            </w:r>
            <w:r>
              <w:rPr>
                <w:rFonts w:ascii="Arial" w:hAnsi="Arial"/>
                <w:sz w:val="18"/>
              </w:rPr>
              <w:t>2006-05: El Comité de Normas (CN) aprobó la especificación GT 5.</w:t>
            </w:r>
          </w:p>
          <w:p w:rsidR="003A0C10" w:rsidRDefault="00991994">
            <w:pPr>
              <w:pStyle w:val="NormalWeb"/>
              <w:spacing w:before="29" w:beforeAutospacing="0" w:after="29" w:afterAutospacing="0"/>
              <w:rPr>
                <w:rFonts w:ascii="Arial" w:hAnsi="Arial" w:cs="Arial"/>
                <w:sz w:val="18"/>
                <w:szCs w:val="18"/>
              </w:rPr>
            </w:pPr>
            <w:r>
              <w:rPr>
                <w:rStyle w:val="PleaseReviewParagraphId"/>
              </w:rPr>
              <w:t>[13]</w:t>
            </w:r>
            <w:r>
              <w:rPr>
                <w:rFonts w:ascii="Arial" w:hAnsi="Arial"/>
                <w:sz w:val="18"/>
              </w:rPr>
              <w:t>2012-10: El Grupo técnico sobre el glosario (GTG) revisó la especificación.</w:t>
            </w:r>
          </w:p>
          <w:p w:rsidR="003A0C10" w:rsidRDefault="00991994">
            <w:pPr>
              <w:pStyle w:val="NormalWeb"/>
              <w:spacing w:before="29" w:beforeAutospacing="0" w:after="29" w:afterAutospacing="0"/>
              <w:rPr>
                <w:rFonts w:ascii="Arial" w:hAnsi="Arial" w:cs="Arial"/>
                <w:sz w:val="18"/>
                <w:szCs w:val="18"/>
              </w:rPr>
            </w:pPr>
            <w:r>
              <w:rPr>
                <w:rStyle w:val="PleaseReviewParagraphId"/>
              </w:rPr>
              <w:t>[14]</w:t>
            </w:r>
            <w:r>
              <w:rPr>
                <w:rFonts w:ascii="Arial" w:hAnsi="Arial"/>
                <w:sz w:val="18"/>
              </w:rPr>
              <w:t>2012-11: El CN revisó y aprobó la</w:t>
            </w:r>
            <w:r>
              <w:rPr>
                <w:rFonts w:ascii="Arial" w:hAnsi="Arial"/>
                <w:sz w:val="18"/>
              </w:rPr>
              <w:t xml:space="preserve"> especificación revisada y derogó la especificación 1.</w:t>
            </w:r>
          </w:p>
          <w:p w:rsidR="003A0C10" w:rsidRDefault="00991994">
            <w:pPr>
              <w:pStyle w:val="NormalWeb"/>
              <w:spacing w:before="58" w:beforeAutospacing="0" w:after="58" w:afterAutospacing="0"/>
              <w:rPr>
                <w:rFonts w:ascii="Arial" w:hAnsi="Arial" w:cs="Arial"/>
                <w:sz w:val="18"/>
                <w:szCs w:val="18"/>
              </w:rPr>
            </w:pPr>
            <w:r>
              <w:rPr>
                <w:rStyle w:val="PleaseReviewParagraphId"/>
              </w:rPr>
              <w:t>[15]</w:t>
            </w:r>
            <w:r>
              <w:rPr>
                <w:rFonts w:ascii="Arial" w:hAnsi="Arial"/>
                <w:sz w:val="18"/>
              </w:rPr>
              <w:t>2018-12: El GTG redactó el texto relativo a “encuesta de detección” (actualmente, “prospección de detección”) (el CN lo aprobó para primera consulta en 2019).</w:t>
            </w:r>
          </w:p>
          <w:p w:rsidR="003A0C10" w:rsidRDefault="00991994">
            <w:pPr>
              <w:pStyle w:val="NormalWeb"/>
              <w:spacing w:before="58" w:beforeAutospacing="0" w:after="58" w:afterAutospacing="0"/>
              <w:rPr>
                <w:rFonts w:ascii="Arial" w:hAnsi="Arial" w:cs="Arial"/>
                <w:sz w:val="18"/>
                <w:szCs w:val="18"/>
              </w:rPr>
            </w:pPr>
            <w:r>
              <w:rPr>
                <w:rStyle w:val="PleaseReviewParagraphId"/>
              </w:rPr>
              <w:t>[16]</w:t>
            </w:r>
            <w:r>
              <w:rPr>
                <w:rFonts w:ascii="Arial" w:hAnsi="Arial"/>
                <w:sz w:val="18"/>
              </w:rPr>
              <w:t>2019-05: El CN aprobó las enmienda</w:t>
            </w:r>
            <w:r>
              <w:rPr>
                <w:rFonts w:ascii="Arial" w:hAnsi="Arial"/>
                <w:sz w:val="18"/>
              </w:rPr>
              <w:t>s de 2019 para primera consulta que se incluyen a continuación.</w:t>
            </w:r>
          </w:p>
          <w:p w:rsidR="003A0C10" w:rsidRDefault="00991994">
            <w:pPr>
              <w:pStyle w:val="NormalWeb"/>
              <w:spacing w:before="58" w:beforeAutospacing="0" w:after="58" w:afterAutospacing="0"/>
              <w:rPr>
                <w:rFonts w:ascii="Arial" w:hAnsi="Arial" w:cs="Arial"/>
                <w:sz w:val="18"/>
                <w:szCs w:val="18"/>
              </w:rPr>
            </w:pPr>
            <w:r>
              <w:rPr>
                <w:rStyle w:val="PleaseReviewParagraphId"/>
              </w:rPr>
              <w:t>[17]</w:t>
            </w:r>
            <w:r>
              <w:rPr>
                <w:rFonts w:ascii="Arial" w:hAnsi="Arial"/>
                <w:sz w:val="18"/>
              </w:rPr>
              <w:t>2019-11: El GTG propuso las enmiendas de 2020 que se indican a continuación.</w:t>
            </w:r>
          </w:p>
          <w:p w:rsidR="003A0C10" w:rsidRDefault="00991994">
            <w:pPr>
              <w:pStyle w:val="NormalWeb"/>
              <w:spacing w:before="58" w:beforeAutospacing="0" w:after="58" w:afterAutospacing="0"/>
              <w:rPr>
                <w:rFonts w:ascii="Arial" w:hAnsi="Arial" w:cs="Arial"/>
                <w:sz w:val="18"/>
                <w:szCs w:val="18"/>
              </w:rPr>
            </w:pPr>
            <w:r>
              <w:rPr>
                <w:rStyle w:val="PleaseReviewParagraphId"/>
              </w:rPr>
              <w:t>[18]</w:t>
            </w:r>
            <w:r>
              <w:rPr>
                <w:rFonts w:ascii="Arial" w:hAnsi="Arial"/>
                <w:sz w:val="18"/>
              </w:rPr>
              <w:t>2020-04: El CN revisó las enmiendas de 2020 a través del Sistema de comentarios en línea (para sustituir la</w:t>
            </w:r>
            <w:r>
              <w:rPr>
                <w:rFonts w:ascii="Arial" w:hAnsi="Arial"/>
                <w:sz w:val="18"/>
              </w:rPr>
              <w:t xml:space="preserve"> reunión cancelada de mayo de 2020 del CN) y aprobó las enmiendas de 2020 para primera consulta mediante una decisión por vía electrónica (2020_eSC_May_17).</w:t>
            </w:r>
          </w:p>
        </w:tc>
      </w:tr>
      <w:tr w:rsidR="003A0C10">
        <w:trPr>
          <w:tblCellSpacing w:w="0" w:type="dxa"/>
          <w:jc w:val="center"/>
        </w:trPr>
        <w:tc>
          <w:tcPr>
            <w:tcW w:w="2686" w:type="dxa"/>
            <w:tcBorders>
              <w:top w:val="outset" w:sz="6" w:space="0" w:color="00000A"/>
              <w:bottom w:val="outset" w:sz="6" w:space="0" w:color="00000A"/>
              <w:right w:val="outset" w:sz="6" w:space="0" w:color="00000A"/>
            </w:tcBorders>
          </w:tcPr>
          <w:p w:rsidR="003A0C10" w:rsidRDefault="00991994">
            <w:pPr>
              <w:pStyle w:val="NormalWeb"/>
              <w:spacing w:before="58" w:beforeAutospacing="0"/>
              <w:rPr>
                <w:rFonts w:ascii="Arial" w:hAnsi="Arial" w:cs="Arial"/>
                <w:sz w:val="18"/>
                <w:szCs w:val="18"/>
              </w:rPr>
            </w:pPr>
            <w:r>
              <w:rPr>
                <w:rStyle w:val="PleaseReviewParagraphId"/>
              </w:rPr>
              <w:t>[19]</w:t>
            </w:r>
            <w:r>
              <w:rPr>
                <w:rFonts w:ascii="Arial" w:hAnsi="Arial"/>
                <w:b/>
                <w:sz w:val="18"/>
              </w:rPr>
              <w:t>Notas</w:t>
            </w:r>
          </w:p>
        </w:tc>
        <w:tc>
          <w:tcPr>
            <w:tcW w:w="6378" w:type="dxa"/>
            <w:tcBorders>
              <w:top w:val="outset" w:sz="6" w:space="0" w:color="00000A"/>
              <w:left w:val="outset" w:sz="6" w:space="0" w:color="00000A"/>
              <w:bottom w:val="outset" w:sz="6" w:space="0" w:color="00000A"/>
            </w:tcBorders>
          </w:tcPr>
          <w:p w:rsidR="003A0C10" w:rsidRDefault="00991994">
            <w:pPr>
              <w:pStyle w:val="IPPNormal"/>
              <w:rPr>
                <w:rFonts w:ascii="Arial" w:hAnsi="Arial" w:cs="Arial"/>
                <w:sz w:val="18"/>
                <w:szCs w:val="18"/>
              </w:rPr>
            </w:pPr>
            <w:r>
              <w:rPr>
                <w:rStyle w:val="PleaseReviewParagraphId"/>
              </w:rPr>
              <w:t>[20]</w:t>
            </w:r>
            <w:r>
              <w:rPr>
                <w:rFonts w:ascii="Arial" w:hAnsi="Arial"/>
                <w:sz w:val="18"/>
              </w:rPr>
              <w:t xml:space="preserve">Nota a la Secretaría que formateará este documento: el formateado en las </w:t>
            </w:r>
            <w:r>
              <w:rPr>
                <w:rFonts w:ascii="Arial" w:hAnsi="Arial"/>
                <w:sz w:val="18"/>
              </w:rPr>
              <w:t>definiciones y explicaciones (tachado, negrita, cursiva) debe mantenerse.</w:t>
            </w:r>
          </w:p>
        </w:tc>
      </w:tr>
    </w:tbl>
    <w:p w:rsidR="003A0C10" w:rsidRDefault="00991994">
      <w:pPr>
        <w:pStyle w:val="IPPHeading1"/>
        <w:numPr>
          <w:ilvl w:val="0"/>
          <w:numId w:val="37"/>
        </w:numPr>
        <w:tabs>
          <w:tab w:val="clear" w:pos="567"/>
        </w:tabs>
        <w:spacing w:before="480"/>
        <w:ind w:left="567" w:hanging="567"/>
        <w:rPr>
          <w:sz w:val="22"/>
        </w:rPr>
      </w:pPr>
      <w:r>
        <w:rPr>
          <w:rStyle w:val="PleaseReviewParagraphId"/>
          <w:b w:val="0"/>
        </w:rPr>
        <w:t>[21]</w:t>
      </w:r>
      <w:r>
        <w:rPr>
          <w:sz w:val="22"/>
        </w:rPr>
        <w:t>SUPRESIONES</w:t>
      </w:r>
    </w:p>
    <w:p w:rsidR="003A0C10" w:rsidRDefault="00991994">
      <w:pPr>
        <w:pStyle w:val="IPPHeading1"/>
        <w:numPr>
          <w:ilvl w:val="1"/>
          <w:numId w:val="37"/>
        </w:numPr>
        <w:tabs>
          <w:tab w:val="clear" w:pos="567"/>
        </w:tabs>
        <w:spacing w:before="180" w:after="180"/>
        <w:ind w:left="567" w:hanging="567"/>
        <w:rPr>
          <w:b w:val="0"/>
        </w:rPr>
      </w:pPr>
      <w:r>
        <w:rPr>
          <w:rStyle w:val="PleaseReviewParagraphId"/>
          <w:b w:val="0"/>
        </w:rPr>
        <w:t>[22]</w:t>
      </w:r>
      <w:r>
        <w:t>“incidencia” (2018-010)</w:t>
      </w:r>
    </w:p>
    <w:p w:rsidR="003A0C10" w:rsidRDefault="00991994">
      <w:pPr>
        <w:pStyle w:val="IPPParagraphnumbering"/>
        <w:numPr>
          <w:ilvl w:val="0"/>
          <w:numId w:val="0"/>
        </w:numPr>
      </w:pPr>
      <w:r>
        <w:rPr>
          <w:rStyle w:val="PleaseReviewParagraphId"/>
        </w:rPr>
        <w:t>[23]</w:t>
      </w:r>
      <w:r>
        <w:t xml:space="preserve">Durante la solicitud de temas sobre normas y aplicación de 2018, se presentó un tema para revisar la definición del término </w:t>
      </w:r>
      <w:r>
        <w:t>“incidencia” y definir el término “prevalencia”, ya que ambos significados se pueden confundir en el contexto epidemiológico y fitosanitario.</w:t>
      </w:r>
    </w:p>
    <w:p w:rsidR="003A0C10" w:rsidRDefault="00991994">
      <w:pPr>
        <w:pStyle w:val="IPPParagraphnumbering"/>
        <w:numPr>
          <w:ilvl w:val="0"/>
          <w:numId w:val="0"/>
        </w:numPr>
      </w:pPr>
      <w:r>
        <w:rPr>
          <w:rStyle w:val="PleaseReviewParagraphId"/>
        </w:rPr>
        <w:t>[24]</w:t>
      </w:r>
      <w:r>
        <w:t>El Comité de Normas (CN), en su reunión de noviembre de 2018, estudió la recomendación del Grupo de acción sob</w:t>
      </w:r>
      <w:r>
        <w:t>re la presentación de temas y señaló que los términos “incidencia” y “prevalencia” se habían analizado en profundidad anteriormente. El CN propuso que, en lugar de revisar la definición de “incidencia”, que es el único de los términos que se define en el G</w:t>
      </w:r>
      <w:r>
        <w:t xml:space="preserve">losario, y definir “prevalencia”, se suprimiera “incidencia” del Glosario y que, en las Normas Internacionales para Medidas Fitosanitarias (NIMF), se utilizaran ambos términos con el significado común que se les da en los diccionarios. En consecuencia, el </w:t>
      </w:r>
      <w:r>
        <w:t xml:space="preserve">CN añadió el término </w:t>
      </w:r>
      <w:r>
        <w:lastRenderedPageBreak/>
        <w:t xml:space="preserve">“incidencia” a la </w:t>
      </w:r>
      <w:r>
        <w:rPr>
          <w:i/>
        </w:rPr>
        <w:t>Lista de temas de las normas de la CIPF</w:t>
      </w:r>
      <w:r>
        <w:t xml:space="preserve"> y pidió al Grupo técnico sobre el glosario (GTG) que considerara suprimirlo del Glosario.</w:t>
      </w:r>
    </w:p>
    <w:p w:rsidR="003A0C10" w:rsidRDefault="00991994">
      <w:pPr>
        <w:pStyle w:val="IPPParagraphnumbering"/>
        <w:numPr>
          <w:ilvl w:val="0"/>
          <w:numId w:val="0"/>
        </w:numPr>
      </w:pPr>
      <w:r>
        <w:rPr>
          <w:rStyle w:val="PleaseReviewParagraphId"/>
        </w:rPr>
        <w:t>[25]</w:t>
      </w:r>
      <w:r>
        <w:t>En su reunión de noviembre de 2019, el GTG analizó la labor previa realizada por el</w:t>
      </w:r>
      <w:r>
        <w:t xml:space="preserve"> GTG y las decisiones adoptadas por el CN y la Comisión de Medidas Fitosanitarias (CMF) desde 1995 con respecto al término “incidencia” y los términos del Glosario relacionados “área de baja prevalencia de plagas” y “nivel de tolerancia”. El GTG recordó qu</w:t>
      </w:r>
      <w:r>
        <w:t>e la intención inicial había sido definir el término “prevalencia” pero que, tras un proceso dilatado de consideración y consulta sobre los términos “prevalencia”, “incidencia” y “tolerancia”, en 2009 se aprobaron finalmente el término y la definición de “</w:t>
      </w:r>
      <w:r>
        <w:t>incidencia” (así como de “nivel de tolerancia”) y se incluyeron en el Glosario en lugar de “prevalencia”. El GTG analizó todas las ventajas relativas de mantener “incidencia” en el Glosario, de sustituirlo por “prevalencia” o de recoger ambos términos en e</w:t>
      </w:r>
      <w:r>
        <w:t>l Glosario.</w:t>
      </w:r>
    </w:p>
    <w:p w:rsidR="003A0C10" w:rsidRDefault="00991994">
      <w:pPr>
        <w:pStyle w:val="IPPParagraphnumbering"/>
        <w:numPr>
          <w:ilvl w:val="0"/>
          <w:numId w:val="0"/>
        </w:numPr>
      </w:pPr>
      <w:r>
        <w:rPr>
          <w:rStyle w:val="PleaseReviewParagraphId"/>
        </w:rPr>
        <w:t>[26]</w:t>
      </w:r>
      <w:r>
        <w:t>Asimismo, observó que en el Glosario anotado se explica que el término “prevalencia” a veces se utiliza de forma incorrecta en los proyectos de NIMF para indicar “incidencia” y que es preferible utilizar este término, que está definido.</w:t>
      </w:r>
    </w:p>
    <w:p w:rsidR="003A0C10" w:rsidRDefault="00991994">
      <w:pPr>
        <w:pStyle w:val="IPPParagraphnumbering"/>
        <w:numPr>
          <w:ilvl w:val="0"/>
          <w:numId w:val="0"/>
        </w:numPr>
        <w:rPr>
          <w:spacing w:val="-4"/>
        </w:rPr>
      </w:pPr>
      <w:r>
        <w:rPr>
          <w:rStyle w:val="PleaseReviewParagraphId"/>
        </w:rPr>
        <w:t>[27</w:t>
      </w:r>
      <w:r>
        <w:rPr>
          <w:rStyle w:val="PleaseReviewParagraphId"/>
        </w:rPr>
        <w:t>]</w:t>
      </w:r>
      <w:r>
        <w:rPr>
          <w:spacing w:val="-4"/>
        </w:rPr>
        <w:t xml:space="preserve">Considerando los extensos debates que se han realizado con anterioridad sobre la posible definición de los términos “prevalencia” e “incidencia” y los puntos de vista divergentes manifestados, el GTG confirmó que es poco probable que se pueda llegar a un </w:t>
      </w:r>
      <w:r>
        <w:rPr>
          <w:spacing w:val="-4"/>
        </w:rPr>
        <w:t>acuerdo en relación con una definición revisada de “incidencia” en el Glosario y con la adición de la definición de “prevalencia” en el Glosario. Reconociendo la orientación pragmática establecida por el CN, el GTG acordó proponer que se suprimiera el térm</w:t>
      </w:r>
      <w:r>
        <w:rPr>
          <w:spacing w:val="-4"/>
        </w:rPr>
        <w:t>ino “incidencia” del Glosario, sin introducir enmiendas a tinta en la definición de “nivel de tolerancia” (que hace referencia a “incidencia”), y que las palabras “incidencia” y “prevalencia” se utilizaran en las NIMF con el significado general que se reco</w:t>
      </w:r>
      <w:r>
        <w:rPr>
          <w:spacing w:val="-4"/>
        </w:rPr>
        <w:t>ge en los diccionarios. El GTG también observó que, si se suprimía “incidencia”, sería necesario hacer los cambios correspondientes en el Glosario anotado.</w:t>
      </w:r>
    </w:p>
    <w:p w:rsidR="003A0C10" w:rsidRDefault="00991994">
      <w:pPr>
        <w:pStyle w:val="IPPParagraphnumbering"/>
        <w:keepNext/>
        <w:numPr>
          <w:ilvl w:val="0"/>
          <w:numId w:val="0"/>
        </w:numPr>
        <w:spacing w:after="60"/>
      </w:pPr>
      <w:r>
        <w:rPr>
          <w:rStyle w:val="PleaseReviewParagraphId"/>
        </w:rPr>
        <w:t>[28]</w:t>
      </w:r>
      <w:r>
        <w:t>Al examinar la propuesta relativa a la supresión del término “incidencia”, podrán considerarse l</w:t>
      </w:r>
      <w:r>
        <w:t>as siguientes explicaciones:</w:t>
      </w:r>
    </w:p>
    <w:p w:rsidR="003A0C10" w:rsidRDefault="00991994">
      <w:pPr>
        <w:pStyle w:val="IPPParagraphnumbering"/>
        <w:numPr>
          <w:ilvl w:val="0"/>
          <w:numId w:val="15"/>
        </w:numPr>
        <w:spacing w:before="180"/>
        <w:rPr>
          <w:spacing w:val="-2"/>
        </w:rPr>
      </w:pPr>
      <w:r>
        <w:rPr>
          <w:rStyle w:val="PleaseReviewParagraphId"/>
        </w:rPr>
        <w:t>[29]</w:t>
      </w:r>
      <w:r>
        <w:rPr>
          <w:spacing w:val="-2"/>
        </w:rPr>
        <w:t>Aunque la definición actual de “incidencia” en el Glosario encaja bien con el uso del término en el ámbito de la protección vegetal, corresponde a la definición epidemiológica de “prevalencia” que se emplea en los ámbitos d</w:t>
      </w:r>
      <w:r>
        <w:rPr>
          <w:spacing w:val="-2"/>
        </w:rPr>
        <w:t xml:space="preserve">e la salud humana y animal. Por ejemplo, en </w:t>
      </w:r>
      <w:r>
        <w:rPr>
          <w:i/>
          <w:spacing w:val="-2"/>
        </w:rPr>
        <w:t>TERMIUM Plus</w:t>
      </w:r>
      <w:r>
        <w:rPr>
          <w:spacing w:val="-2"/>
        </w:rPr>
        <w:t xml:space="preserve"> se definen ambos términos como sigue en los campos temáticos “Estadística”, “Epidemiología” y “Medicina General, Higiene y Salud”:</w:t>
      </w:r>
    </w:p>
    <w:p w:rsidR="003A0C10" w:rsidRDefault="00991994">
      <w:pPr>
        <w:pStyle w:val="IPPParagraphnumbering"/>
        <w:numPr>
          <w:ilvl w:val="0"/>
          <w:numId w:val="30"/>
        </w:numPr>
        <w:spacing w:before="180"/>
      </w:pPr>
      <w:r>
        <w:rPr>
          <w:rStyle w:val="PleaseReviewParagraphId"/>
        </w:rPr>
        <w:t>[30]</w:t>
      </w:r>
      <w:r>
        <w:rPr>
          <w:u w:val="single"/>
        </w:rPr>
        <w:t>Incidencia:</w:t>
      </w:r>
      <w:r>
        <w:t xml:space="preserve"> Número de nuevos casos de una enfermedad en un lapso</w:t>
      </w:r>
      <w:r>
        <w:t xml:space="preserve"> determinado.</w:t>
      </w:r>
    </w:p>
    <w:p w:rsidR="003A0C10" w:rsidRDefault="00991994">
      <w:pPr>
        <w:pStyle w:val="IPPParagraphnumbering"/>
        <w:numPr>
          <w:ilvl w:val="0"/>
          <w:numId w:val="30"/>
        </w:numPr>
        <w:spacing w:before="180"/>
      </w:pPr>
      <w:r>
        <w:rPr>
          <w:rStyle w:val="PleaseReviewParagraphId"/>
        </w:rPr>
        <w:t>[31]</w:t>
      </w:r>
      <w:r>
        <w:rPr>
          <w:u w:val="single"/>
        </w:rPr>
        <w:t>Prevalencia:</w:t>
      </w:r>
      <w:r>
        <w:t xml:space="preserve"> Número de casos de un evento, por ejemplo una enfermedad, en una población específica y en un momento determinado. Regularmente se expresa en términos de porcentaje.</w:t>
      </w:r>
    </w:p>
    <w:p w:rsidR="003A0C10" w:rsidRDefault="00991994">
      <w:pPr>
        <w:pStyle w:val="IPPParagraphnumbering"/>
        <w:numPr>
          <w:ilvl w:val="0"/>
          <w:numId w:val="15"/>
        </w:numPr>
        <w:spacing w:before="180"/>
      </w:pPr>
      <w:r>
        <w:rPr>
          <w:rStyle w:val="PleaseReviewParagraphId"/>
        </w:rPr>
        <w:t>[32]</w:t>
      </w:r>
      <w:r>
        <w:t>El significado general de “incidencia” en los diccionar</w:t>
      </w:r>
      <w:r>
        <w:t>ios convencionales se corresponde con su definición en el Glosario, que simplemente circunscribe el término al ámbito de la protección fitosanitaria.</w:t>
      </w:r>
    </w:p>
    <w:p w:rsidR="003A0C10" w:rsidRDefault="00991994">
      <w:pPr>
        <w:pStyle w:val="IPPParagraphnumbering"/>
        <w:numPr>
          <w:ilvl w:val="0"/>
          <w:numId w:val="15"/>
        </w:numPr>
        <w:spacing w:before="180"/>
      </w:pPr>
      <w:r>
        <w:rPr>
          <w:rStyle w:val="PleaseReviewParagraphId"/>
        </w:rPr>
        <w:t>[33]</w:t>
      </w:r>
      <w:r>
        <w:t xml:space="preserve">Por consiguiente, el término “incidencia” se puede eliminar del Glosario y los términos “prevalencia” </w:t>
      </w:r>
      <w:r>
        <w:t>e “incidencia” se pueden utilizar en su sentido general.</w:t>
      </w:r>
    </w:p>
    <w:p w:rsidR="003A0C10" w:rsidRDefault="00991994">
      <w:pPr>
        <w:pStyle w:val="IPPParagraphnumbering"/>
        <w:numPr>
          <w:ilvl w:val="0"/>
          <w:numId w:val="0"/>
        </w:numPr>
        <w:spacing w:after="60"/>
        <w:rPr>
          <w:b/>
          <w:i/>
        </w:rPr>
      </w:pPr>
      <w:r>
        <w:rPr>
          <w:rStyle w:val="PleaseReviewParagraphId"/>
        </w:rPr>
        <w:t>[34]</w:t>
      </w:r>
      <w:r>
        <w:rPr>
          <w:b/>
          <w:i/>
        </w:rPr>
        <w:t>Propuesta de supresión</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6804"/>
      </w:tblGrid>
      <w:tr w:rsidR="003A0C10">
        <w:tc>
          <w:tcPr>
            <w:tcW w:w="2694" w:type="dxa"/>
          </w:tcPr>
          <w:p w:rsidR="003A0C10" w:rsidRDefault="00991994">
            <w:pPr>
              <w:autoSpaceDE w:val="0"/>
              <w:autoSpaceDN w:val="0"/>
              <w:adjustRightInd w:val="0"/>
              <w:spacing w:after="160" w:line="259" w:lineRule="auto"/>
              <w:jc w:val="left"/>
              <w:rPr>
                <w:rFonts w:eastAsia="Times New Roman"/>
                <w:color w:val="000000"/>
                <w:sz w:val="24"/>
              </w:rPr>
            </w:pPr>
            <w:r>
              <w:rPr>
                <w:rStyle w:val="PleaseReviewParagraphId"/>
              </w:rPr>
              <w:lastRenderedPageBreak/>
              <w:t>[35]</w:t>
            </w:r>
            <w:r>
              <w:rPr>
                <w:b/>
                <w:color w:val="000000"/>
                <w:sz w:val="24"/>
              </w:rPr>
              <w:t>incidencia</w:t>
            </w:r>
            <w:r>
              <w:rPr>
                <w:color w:val="000000"/>
                <w:sz w:val="24"/>
              </w:rPr>
              <w:t xml:space="preserve"> (de una </w:t>
            </w:r>
            <w:r>
              <w:rPr>
                <w:b/>
                <w:color w:val="000000"/>
                <w:sz w:val="24"/>
              </w:rPr>
              <w:t>plaga</w:t>
            </w:r>
            <w:r>
              <w:rPr>
                <w:color w:val="000000"/>
                <w:sz w:val="24"/>
              </w:rPr>
              <w:t>)</w:t>
            </w:r>
          </w:p>
        </w:tc>
        <w:tc>
          <w:tcPr>
            <w:tcW w:w="6804" w:type="dxa"/>
          </w:tcPr>
          <w:p w:rsidR="003A0C10" w:rsidRDefault="00991994">
            <w:pPr>
              <w:autoSpaceDE w:val="0"/>
              <w:autoSpaceDN w:val="0"/>
              <w:adjustRightInd w:val="0"/>
              <w:spacing w:after="120" w:line="259" w:lineRule="auto"/>
              <w:jc w:val="left"/>
              <w:rPr>
                <w:rFonts w:eastAsia="Times New Roman"/>
                <w:color w:val="000000"/>
                <w:spacing w:val="-4"/>
                <w:sz w:val="24"/>
              </w:rPr>
            </w:pPr>
            <w:r>
              <w:rPr>
                <w:rStyle w:val="PleaseReviewParagraphId"/>
              </w:rPr>
              <w:t>[36]</w:t>
            </w:r>
            <w:r>
              <w:rPr>
                <w:color w:val="000000"/>
                <w:spacing w:val="-4"/>
                <w:sz w:val="24"/>
              </w:rPr>
              <w:t xml:space="preserve">Proporción o número de unidades de una muestra, </w:t>
            </w:r>
            <w:r>
              <w:rPr>
                <w:b/>
                <w:color w:val="000000"/>
                <w:spacing w:val="-4"/>
                <w:sz w:val="24"/>
              </w:rPr>
              <w:t>envío</w:t>
            </w:r>
            <w:r>
              <w:rPr>
                <w:color w:val="000000"/>
                <w:spacing w:val="-4"/>
                <w:sz w:val="24"/>
              </w:rPr>
              <w:t xml:space="preserve">, </w:t>
            </w:r>
            <w:r>
              <w:rPr>
                <w:b/>
                <w:color w:val="000000"/>
                <w:spacing w:val="-4"/>
                <w:sz w:val="24"/>
              </w:rPr>
              <w:t>campo</w:t>
            </w:r>
            <w:r>
              <w:rPr>
                <w:color w:val="000000"/>
                <w:spacing w:val="-4"/>
                <w:sz w:val="24"/>
              </w:rPr>
              <w:t xml:space="preserve"> u otra población definida en las que está presente una </w:t>
            </w:r>
            <w:r>
              <w:rPr>
                <w:b/>
                <w:color w:val="000000"/>
                <w:spacing w:val="-4"/>
                <w:sz w:val="24"/>
              </w:rPr>
              <w:t>plaga</w:t>
            </w:r>
            <w:r>
              <w:rPr>
                <w:color w:val="000000"/>
                <w:spacing w:val="-4"/>
                <w:sz w:val="24"/>
              </w:rPr>
              <w:t xml:space="preserve"> [CMF, 2009]</w:t>
            </w:r>
          </w:p>
        </w:tc>
      </w:tr>
    </w:tbl>
    <w:p w:rsidR="003A0C10" w:rsidRDefault="00991994">
      <w:pPr>
        <w:pStyle w:val="IPPHeading1"/>
        <w:numPr>
          <w:ilvl w:val="0"/>
          <w:numId w:val="37"/>
        </w:numPr>
        <w:tabs>
          <w:tab w:val="clear" w:pos="567"/>
        </w:tabs>
        <w:spacing w:before="480"/>
        <w:ind w:left="567" w:hanging="567"/>
      </w:pPr>
      <w:r>
        <w:rPr>
          <w:rStyle w:val="PleaseReviewParagraphId"/>
          <w:b w:val="0"/>
        </w:rPr>
        <w:t>[37]</w:t>
      </w:r>
      <w:r>
        <w:t>REVISIONES</w:t>
      </w:r>
    </w:p>
    <w:p w:rsidR="003A0C10" w:rsidRDefault="00991994">
      <w:pPr>
        <w:pStyle w:val="IPPHeading1"/>
        <w:numPr>
          <w:ilvl w:val="1"/>
          <w:numId w:val="37"/>
        </w:numPr>
        <w:tabs>
          <w:tab w:val="clear" w:pos="567"/>
        </w:tabs>
        <w:spacing w:before="180" w:after="180"/>
        <w:ind w:left="567" w:hanging="567"/>
      </w:pPr>
      <w:r>
        <w:rPr>
          <w:rStyle w:val="PleaseReviewParagraphId"/>
          <w:b w:val="0"/>
        </w:rPr>
        <w:t>[38]</w:t>
      </w:r>
      <w:r>
        <w:t>“acción de emergencia” (2018-044)</w:t>
      </w:r>
    </w:p>
    <w:p w:rsidR="003A0C10" w:rsidRDefault="00991994">
      <w:pPr>
        <w:pStyle w:val="IPPParagraphnumbering"/>
        <w:numPr>
          <w:ilvl w:val="0"/>
          <w:numId w:val="0"/>
        </w:numPr>
      </w:pPr>
      <w:r>
        <w:rPr>
          <w:rStyle w:val="PleaseReviewParagraphId"/>
        </w:rPr>
        <w:t>[39]</w:t>
      </w:r>
      <w:r>
        <w:t>En su reunión de diciembre de 2018, el GTG, mientras consideraba las observaciones recibidas de la primera consulta sobre la propuesta de revisión de la definición del término “tratamiento” (2017-008</w:t>
      </w:r>
      <w:r>
        <w:t>), analizó cómo se aplicaría el término “acción de emergencia” en el caso de una plaga reglamentada nueva, por reglamentar y que se hubiera descubierto, por ejemplo, en un envío importado.</w:t>
      </w:r>
    </w:p>
    <w:p w:rsidR="003A0C10" w:rsidRDefault="00991994">
      <w:pPr>
        <w:pStyle w:val="IPPParagraphnumbering"/>
        <w:numPr>
          <w:ilvl w:val="0"/>
          <w:numId w:val="0"/>
        </w:numPr>
      </w:pPr>
      <w:r>
        <w:rPr>
          <w:rStyle w:val="PleaseReviewParagraphId"/>
        </w:rPr>
        <w:t>[40]</w:t>
      </w:r>
      <w:r>
        <w:t>El GTG había considerado apropiado que dichas situaciones las p</w:t>
      </w:r>
      <w:r>
        <w:t>udieran gestionar las organizaciones nacionales de protección fitosanitaria (ONPF) mediante “acciones de emergencia”, pero había observado que, como la definición de “acción de emergencia” se refiere a una “acción fitosanitaria” y, por ende, a la aplicació</w:t>
      </w:r>
      <w:r>
        <w:t>n de una “medida fitosanitaria”, actualmente dicha definición solo es válida para las plagas reglamentadas.</w:t>
      </w:r>
    </w:p>
    <w:p w:rsidR="003A0C10" w:rsidRDefault="00991994">
      <w:pPr>
        <w:pStyle w:val="IPPParagraphnumbering"/>
        <w:numPr>
          <w:ilvl w:val="0"/>
          <w:numId w:val="0"/>
        </w:numPr>
        <w:rPr>
          <w:spacing w:val="-2"/>
        </w:rPr>
      </w:pPr>
      <w:r>
        <w:rPr>
          <w:rStyle w:val="PleaseReviewParagraphId"/>
        </w:rPr>
        <w:t>[41]</w:t>
      </w:r>
      <w:r>
        <w:rPr>
          <w:spacing w:val="-2"/>
        </w:rPr>
        <w:t xml:space="preserve">Recordando que en el Artículo VII.6 de la Convención Internacional de Protección Fitosanitaria (CIPF) se establece que “nada de lo dispuesto en </w:t>
      </w:r>
      <w:r>
        <w:rPr>
          <w:spacing w:val="-2"/>
        </w:rPr>
        <w:t xml:space="preserve">este Artículo impedirá a cualquier parte contratante adoptar medidas apropiadas de emergencia ante la detección de una plaga que represente una posible amenaza para sus territorios o la notificación de tal detección”, el GTG había considerado que el texto </w:t>
      </w:r>
      <w:r>
        <w:rPr>
          <w:spacing w:val="-2"/>
        </w:rPr>
        <w:t>de la Convención justifica que las ONPF adopten las medidas oportunas ante cualquier plaga que represente “una posible amenaza”, incluidas las plagas no reglamentadas. En consecuencia, el GTG concluyó que la definición de “acción de emergencia” probablemen</w:t>
      </w:r>
      <w:r>
        <w:rPr>
          <w:spacing w:val="-2"/>
        </w:rPr>
        <w:t xml:space="preserve">te se debía revisar para que abarcara las plagas no reglamentadas y, en mayo de 2019, el CN acordó añadir este término a la </w:t>
      </w:r>
      <w:r>
        <w:rPr>
          <w:i/>
          <w:spacing w:val="-2"/>
        </w:rPr>
        <w:t>Lista de temas de las normas de la CIPF</w:t>
      </w:r>
      <w:r>
        <w:rPr>
          <w:spacing w:val="-2"/>
        </w:rPr>
        <w:t>.</w:t>
      </w:r>
    </w:p>
    <w:p w:rsidR="003A0C10" w:rsidRDefault="00991994">
      <w:pPr>
        <w:pStyle w:val="IPPParagraphnumbering"/>
        <w:numPr>
          <w:ilvl w:val="0"/>
          <w:numId w:val="0"/>
        </w:numPr>
      </w:pPr>
      <w:r>
        <w:rPr>
          <w:rStyle w:val="PleaseReviewParagraphId"/>
        </w:rPr>
        <w:t>[42]</w:t>
      </w:r>
      <w:r>
        <w:t>En su reunión de noviembre de 2019, el GTG analizó la utilización de los términos “acci</w:t>
      </w:r>
      <w:r>
        <w:t>ón de emergencia” y “acción fitosanitaria” en las NIMF aprobadas y propuso que se revisara la definición de “acción de emergencia”. Asimismo, el GTG acordó algunas enmiendas menores a la Nota 10 del Glosario anotado, con vistas a mencionar las acciones fit</w:t>
      </w:r>
      <w:r>
        <w:t>osanitarias para ayudar a distinguirlas de las acciones de emergencia.</w:t>
      </w:r>
    </w:p>
    <w:p w:rsidR="003A0C10" w:rsidRDefault="00991994">
      <w:pPr>
        <w:pStyle w:val="IPPParagraphnumbering"/>
        <w:numPr>
          <w:ilvl w:val="0"/>
          <w:numId w:val="0"/>
        </w:numPr>
      </w:pPr>
      <w:r>
        <w:rPr>
          <w:rStyle w:val="PleaseReviewParagraphId"/>
        </w:rPr>
        <w:t>[43]</w:t>
      </w:r>
      <w:r>
        <w:t>Al examinar la propuesta relativa a la revisión de la definición de “acción de emergencia”, podrán considerarse las siguientes explicaciones:</w:t>
      </w:r>
    </w:p>
    <w:p w:rsidR="003A0C10" w:rsidRDefault="00991994">
      <w:pPr>
        <w:pStyle w:val="IPPParagraphnumbering"/>
        <w:numPr>
          <w:ilvl w:val="0"/>
          <w:numId w:val="15"/>
        </w:numPr>
        <w:spacing w:before="180"/>
      </w:pPr>
      <w:r>
        <w:rPr>
          <w:rStyle w:val="PleaseReviewParagraphId"/>
        </w:rPr>
        <w:t>[44]</w:t>
      </w:r>
      <w:r>
        <w:t>Hay cierta necesidad de sustituir “</w:t>
      </w:r>
      <w:r>
        <w:t xml:space="preserve">fitosanitaria” por “oficial” en el término actual “acción fitosanitaria”, a fin de aclarar que una acción de emergencia puede adoptarse tanto en el caso de una plaga reglamentada como de una no reglamentada y, al mismo tiempo, mantener la idea de que toda </w:t>
      </w:r>
      <w:r>
        <w:t>acción de emergencia debería adoptarse bajo la autoridad de la ONPF.</w:t>
      </w:r>
    </w:p>
    <w:p w:rsidR="003A0C10" w:rsidRDefault="00991994">
      <w:pPr>
        <w:pStyle w:val="IPPParagraphnumbering"/>
        <w:numPr>
          <w:ilvl w:val="0"/>
          <w:numId w:val="15"/>
        </w:numPr>
        <w:spacing w:before="180"/>
      </w:pPr>
      <w:r>
        <w:rPr>
          <w:rStyle w:val="PleaseReviewParagraphId"/>
        </w:rPr>
        <w:t>[45]</w:t>
      </w:r>
      <w:r>
        <w:t>Se propone sustituir “acción” por “operación” en la definición, en favor de la coherencia con la definición de “acción fitosanitaria”, que en el Glosario se define como una “operación</w:t>
      </w:r>
      <w:r>
        <w:t xml:space="preserve"> oficial, tal como inspección, prueba, vigilancia o tratamiento, llevada a cabo para aplicar medidas fitosanitarias”.</w:t>
      </w:r>
    </w:p>
    <w:p w:rsidR="003A0C10" w:rsidRDefault="00991994">
      <w:pPr>
        <w:pStyle w:val="IPPParagraphnumbering"/>
        <w:numPr>
          <w:ilvl w:val="0"/>
          <w:numId w:val="15"/>
        </w:numPr>
        <w:spacing w:before="180"/>
      </w:pPr>
      <w:r>
        <w:rPr>
          <w:rStyle w:val="PleaseReviewParagraphId"/>
        </w:rPr>
        <w:t>[46]</w:t>
      </w:r>
      <w:r>
        <w:t>Con la revisión, se aclara la distinción entre los términos “acción fitosanitaria” y “acción de emergencia” y cómo deberían utilizarse</w:t>
      </w:r>
      <w:r>
        <w:t xml:space="preserve"> correctamente, a saber:</w:t>
      </w:r>
    </w:p>
    <w:p w:rsidR="003A0C10" w:rsidRDefault="00991994">
      <w:pPr>
        <w:pStyle w:val="IPPParagraphnumbering"/>
        <w:numPr>
          <w:ilvl w:val="1"/>
          <w:numId w:val="15"/>
        </w:numPr>
        <w:spacing w:before="180"/>
      </w:pPr>
      <w:r>
        <w:rPr>
          <w:rStyle w:val="PleaseReviewParagraphId"/>
        </w:rPr>
        <w:lastRenderedPageBreak/>
        <w:t>[47]</w:t>
      </w:r>
      <w:r>
        <w:t>el término “acción fitosanitaria” para las operaciones que se lleven a cabo con el fin de aplicar medidas fitosanitarias (por ejemplo, en el caso de que un envío incumpla los requisitos fitosanitarios de importación);</w:t>
      </w:r>
    </w:p>
    <w:p w:rsidR="003A0C10" w:rsidRDefault="00991994">
      <w:pPr>
        <w:pStyle w:val="IPPParagraphnumbering"/>
        <w:numPr>
          <w:ilvl w:val="1"/>
          <w:numId w:val="15"/>
        </w:numPr>
        <w:spacing w:before="180"/>
      </w:pPr>
      <w:r>
        <w:rPr>
          <w:rStyle w:val="PleaseReviewParagraphId"/>
        </w:rPr>
        <w:t>[48]</w:t>
      </w:r>
      <w:r>
        <w:t xml:space="preserve">el </w:t>
      </w:r>
      <w:r>
        <w:t>término “acción de emergencia” para las operaciones que se lleven a cabo en situaciones fitosanitarias nuevas o imprevistas, como la detección en un envío importado de una plaga no evaluada previamente.</w:t>
      </w:r>
    </w:p>
    <w:p w:rsidR="003A0C10" w:rsidRDefault="00991994">
      <w:pPr>
        <w:pStyle w:val="IPPParagraphnumbering"/>
        <w:numPr>
          <w:ilvl w:val="0"/>
          <w:numId w:val="15"/>
        </w:numPr>
        <w:spacing w:before="180"/>
      </w:pPr>
      <w:r>
        <w:rPr>
          <w:rStyle w:val="PleaseReviewParagraphId"/>
        </w:rPr>
        <w:t>[49]</w:t>
      </w:r>
      <w:r>
        <w:t>La revisión propuesta de la definición de “acción</w:t>
      </w:r>
      <w:r>
        <w:t xml:space="preserve"> de emergencia” no necesitaría ninguna enmienda a tinta en las NIMF adoptadas porque es coherente con el uso actual del término.</w:t>
      </w:r>
    </w:p>
    <w:p w:rsidR="003A0C10" w:rsidRDefault="00991994">
      <w:pPr>
        <w:pStyle w:val="IPPParagraphnumbering"/>
        <w:keepNext/>
        <w:numPr>
          <w:ilvl w:val="0"/>
          <w:numId w:val="0"/>
        </w:numPr>
        <w:rPr>
          <w:b/>
          <w:bCs/>
          <w:i/>
          <w:iCs/>
          <w:szCs w:val="22"/>
        </w:rPr>
      </w:pPr>
      <w:r>
        <w:rPr>
          <w:rStyle w:val="PleaseReviewParagraphId"/>
        </w:rPr>
        <w:t>[50]</w:t>
      </w:r>
      <w:r>
        <w:rPr>
          <w:b/>
          <w:i/>
        </w:rPr>
        <w:t>Definición actual</w:t>
      </w:r>
    </w:p>
    <w:tbl>
      <w:tblPr>
        <w:tblW w:w="921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10"/>
        <w:gridCol w:w="6801"/>
      </w:tblGrid>
      <w:tr w:rsidR="003A0C10">
        <w:tc>
          <w:tcPr>
            <w:tcW w:w="2410" w:type="dxa"/>
          </w:tcPr>
          <w:p w:rsidR="003A0C10" w:rsidRDefault="00991994">
            <w:pPr>
              <w:autoSpaceDE w:val="0"/>
              <w:autoSpaceDN w:val="0"/>
              <w:adjustRightInd w:val="0"/>
              <w:rPr>
                <w:b/>
                <w:bCs/>
                <w:sz w:val="24"/>
              </w:rPr>
            </w:pPr>
            <w:r>
              <w:rPr>
                <w:rStyle w:val="PleaseReviewParagraphId"/>
              </w:rPr>
              <w:t>[51]</w:t>
            </w:r>
            <w:r>
              <w:rPr>
                <w:b/>
                <w:color w:val="000000"/>
                <w:sz w:val="24"/>
              </w:rPr>
              <w:t>acción de emergencia</w:t>
            </w:r>
          </w:p>
        </w:tc>
        <w:tc>
          <w:tcPr>
            <w:tcW w:w="6801" w:type="dxa"/>
          </w:tcPr>
          <w:p w:rsidR="003A0C10" w:rsidRDefault="00991994">
            <w:pPr>
              <w:autoSpaceDE w:val="0"/>
              <w:autoSpaceDN w:val="0"/>
              <w:adjustRightInd w:val="0"/>
              <w:spacing w:after="120"/>
              <w:rPr>
                <w:rFonts w:eastAsia="Times New Roman"/>
                <w:color w:val="000000"/>
                <w:sz w:val="24"/>
              </w:rPr>
            </w:pPr>
            <w:r>
              <w:rPr>
                <w:rStyle w:val="PleaseReviewParagraphId"/>
              </w:rPr>
              <w:t>[52]</w:t>
            </w:r>
            <w:r>
              <w:rPr>
                <w:color w:val="000000"/>
                <w:sz w:val="24"/>
              </w:rPr>
              <w:t xml:space="preserve">Acción fitosanitaria rápida llevada a cabo ante una </w:t>
            </w:r>
            <w:r>
              <w:rPr>
                <w:b/>
                <w:color w:val="000000"/>
                <w:sz w:val="24"/>
              </w:rPr>
              <w:t>situación fitosanitaria</w:t>
            </w:r>
            <w:r>
              <w:rPr>
                <w:color w:val="000000"/>
                <w:sz w:val="24"/>
              </w:rPr>
              <w:t xml:space="preserve"> nueva o imprevista [Comisión Interina de Medidas Fitosanitarias, 2001]</w:t>
            </w:r>
          </w:p>
        </w:tc>
      </w:tr>
    </w:tbl>
    <w:p w:rsidR="003A0C10" w:rsidRDefault="00991994">
      <w:pPr>
        <w:pStyle w:val="IPPParagraphnumbering"/>
        <w:numPr>
          <w:ilvl w:val="0"/>
          <w:numId w:val="0"/>
        </w:numPr>
        <w:spacing w:before="180"/>
        <w:rPr>
          <w:b/>
          <w:bCs/>
          <w:i/>
          <w:iCs/>
          <w:szCs w:val="22"/>
        </w:rPr>
      </w:pPr>
      <w:r>
        <w:rPr>
          <w:rStyle w:val="PleaseReviewParagraphId"/>
        </w:rPr>
        <w:t>[53]</w:t>
      </w:r>
      <w:r>
        <w:rPr>
          <w:b/>
          <w:i/>
        </w:rPr>
        <w:t>Propuesta de revisión</w:t>
      </w:r>
    </w:p>
    <w:tbl>
      <w:tblPr>
        <w:tblW w:w="922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10"/>
        <w:gridCol w:w="6812"/>
      </w:tblGrid>
      <w:tr w:rsidR="003A0C10">
        <w:tc>
          <w:tcPr>
            <w:tcW w:w="2410" w:type="dxa"/>
          </w:tcPr>
          <w:p w:rsidR="003A0C10" w:rsidRDefault="00991994">
            <w:pPr>
              <w:keepNext/>
              <w:rPr>
                <w:rFonts w:eastAsia="Times New Roman"/>
                <w:b/>
                <w:sz w:val="24"/>
              </w:rPr>
            </w:pPr>
            <w:r>
              <w:rPr>
                <w:rStyle w:val="PleaseReviewParagraphId"/>
              </w:rPr>
              <w:t>[54]</w:t>
            </w:r>
            <w:r>
              <w:rPr>
                <w:b/>
                <w:sz w:val="24"/>
              </w:rPr>
              <w:t>acción de emergencia</w:t>
            </w:r>
          </w:p>
        </w:tc>
        <w:tc>
          <w:tcPr>
            <w:tcW w:w="6812" w:type="dxa"/>
          </w:tcPr>
          <w:p w:rsidR="003A0C10" w:rsidRDefault="00991994">
            <w:pPr>
              <w:spacing w:after="180"/>
              <w:ind w:right="851"/>
              <w:rPr>
                <w:rFonts w:eastAsia="Times New Roman"/>
                <w:sz w:val="24"/>
                <w:u w:val="single"/>
              </w:rPr>
            </w:pPr>
            <w:r>
              <w:rPr>
                <w:rStyle w:val="PleaseReviewParagraphId"/>
              </w:rPr>
              <w:t>[55]</w:t>
            </w:r>
            <w:r>
              <w:rPr>
                <w:b/>
                <w:strike/>
                <w:sz w:val="24"/>
                <w:u w:val="single"/>
              </w:rPr>
              <w:t>Acción</w:t>
            </w:r>
            <w:r>
              <w:rPr>
                <w:sz w:val="24"/>
                <w:u w:val="single"/>
              </w:rPr>
              <w:t xml:space="preserve"> Operación </w:t>
            </w:r>
            <w:r>
              <w:rPr>
                <w:b/>
                <w:strike/>
                <w:sz w:val="24"/>
              </w:rPr>
              <w:t>fitosanitaria</w:t>
            </w:r>
            <w:r>
              <w:rPr>
                <w:b/>
                <w:sz w:val="24"/>
              </w:rPr>
              <w:t xml:space="preserve"> </w:t>
            </w:r>
            <w:r>
              <w:rPr>
                <w:b/>
                <w:sz w:val="24"/>
                <w:u w:val="single"/>
              </w:rPr>
              <w:t>oficial</w:t>
            </w:r>
            <w:r>
              <w:rPr>
                <w:sz w:val="24"/>
              </w:rPr>
              <w:t xml:space="preserve"> rápida llevada a cabo ante una situación fitosanitaria nueva o imprevista</w:t>
            </w:r>
          </w:p>
        </w:tc>
      </w:tr>
    </w:tbl>
    <w:p w:rsidR="003A0C10" w:rsidRDefault="00991994">
      <w:pPr>
        <w:pStyle w:val="IPPHeading1"/>
        <w:numPr>
          <w:ilvl w:val="1"/>
          <w:numId w:val="37"/>
        </w:numPr>
        <w:tabs>
          <w:tab w:val="clear" w:pos="567"/>
        </w:tabs>
        <w:spacing w:before="180" w:after="180"/>
        <w:ind w:left="567" w:hanging="567"/>
        <w:rPr>
          <w:szCs w:val="24"/>
        </w:rPr>
      </w:pPr>
      <w:r>
        <w:rPr>
          <w:rStyle w:val="PleaseReviewParagraphId"/>
          <w:b w:val="0"/>
        </w:rPr>
        <w:t>[56]</w:t>
      </w:r>
      <w:r>
        <w:t>“aprobación (de un envío)” (2018-045)</w:t>
      </w:r>
    </w:p>
    <w:p w:rsidR="003A0C10" w:rsidRDefault="00991994">
      <w:pPr>
        <w:keepNext/>
        <w:keepLines/>
        <w:spacing w:after="180"/>
        <w:rPr>
          <w:spacing w:val="-2"/>
          <w:sz w:val="24"/>
        </w:rPr>
      </w:pPr>
      <w:r>
        <w:rPr>
          <w:rStyle w:val="PleaseReviewParagraphId"/>
        </w:rPr>
        <w:t>[57]</w:t>
      </w:r>
      <w:r>
        <w:rPr>
          <w:spacing w:val="-2"/>
          <w:sz w:val="24"/>
        </w:rPr>
        <w:t xml:space="preserve">En su reunión de diciembre de 2018, el GTG había observado que la definición de “aprobación (de un envío)” del Glosario no deja claro si la “aprobación” es el </w:t>
      </w:r>
      <w:r>
        <w:rPr>
          <w:i/>
          <w:spacing w:val="-2"/>
          <w:sz w:val="24"/>
        </w:rPr>
        <w:t>resultado</w:t>
      </w:r>
      <w:r>
        <w:rPr>
          <w:spacing w:val="-2"/>
          <w:sz w:val="24"/>
        </w:rPr>
        <w:t xml:space="preserve"> de una “inspección” o el </w:t>
      </w:r>
      <w:r>
        <w:rPr>
          <w:i/>
          <w:spacing w:val="-2"/>
          <w:sz w:val="24"/>
        </w:rPr>
        <w:t>proceso</w:t>
      </w:r>
      <w:r>
        <w:rPr>
          <w:spacing w:val="-2"/>
          <w:sz w:val="24"/>
        </w:rPr>
        <w:t xml:space="preserve"> de un tipo c</w:t>
      </w:r>
      <w:r>
        <w:rPr>
          <w:spacing w:val="-2"/>
          <w:sz w:val="24"/>
        </w:rPr>
        <w:t>oncreto de inspección. En consecuencia, el GTG recomendó que se revisara la definición de “aprobación” para que hiciera referencia explícita al proceso de verificación del cumplimiento de un envío con los reglamentos fitosanitarios y no a la autorización d</w:t>
      </w:r>
      <w:r>
        <w:rPr>
          <w:spacing w:val="-2"/>
          <w:sz w:val="24"/>
        </w:rPr>
        <w:t>e la importación o exportación de un envío. De lo contrario, el término “aprobación (de un envío)” sería redundante y prácticamente sinónimo de “liberación (de un envío)”, que en el Glosario se define como la “autorización para la entrada luego de su aprob</w:t>
      </w:r>
      <w:r>
        <w:rPr>
          <w:spacing w:val="-2"/>
          <w:sz w:val="24"/>
        </w:rPr>
        <w:t>ación”.</w:t>
      </w:r>
    </w:p>
    <w:p w:rsidR="003A0C10" w:rsidRDefault="00991994">
      <w:pPr>
        <w:pStyle w:val="IPPParagraphnumbering"/>
        <w:numPr>
          <w:ilvl w:val="0"/>
          <w:numId w:val="0"/>
        </w:numPr>
      </w:pPr>
      <w:r>
        <w:rPr>
          <w:rStyle w:val="PleaseReviewParagraphId"/>
        </w:rPr>
        <w:t>[58]</w:t>
      </w:r>
      <w:r>
        <w:t xml:space="preserve">Como consecuencia, en mayo de 2019, el CN añadió el término “aprobación (de un envío)” a la </w:t>
      </w:r>
      <w:r>
        <w:rPr>
          <w:i/>
        </w:rPr>
        <w:t>Lista de temas de las normas de la CIPF</w:t>
      </w:r>
      <w:r>
        <w:t xml:space="preserve"> para su posible revisión.</w:t>
      </w:r>
    </w:p>
    <w:p w:rsidR="003A0C10" w:rsidRDefault="00991994">
      <w:pPr>
        <w:spacing w:after="180"/>
        <w:rPr>
          <w:rFonts w:eastAsia="Times New Roman"/>
          <w:sz w:val="24"/>
        </w:rPr>
      </w:pPr>
      <w:r>
        <w:rPr>
          <w:rStyle w:val="PleaseReviewParagraphId"/>
        </w:rPr>
        <w:t>[59]</w:t>
      </w:r>
      <w:r>
        <w:rPr>
          <w:sz w:val="24"/>
        </w:rPr>
        <w:t>En su reunión de noviembre de 2019, el GTG analizó las definiciones de los término</w:t>
      </w:r>
      <w:r>
        <w:rPr>
          <w:sz w:val="24"/>
        </w:rPr>
        <w:t>s del Glosario que guardaban relación con “aprobación”, las definiciones de diccionario de “aprobación” y la utilización del término en las NIMF adoptadas. Durante el debate, el GTG acordó revisar la definición para aclarar que la aprobación es un proceso,</w:t>
      </w:r>
      <w:r>
        <w:rPr>
          <w:sz w:val="24"/>
        </w:rPr>
        <w:t xml:space="preserve"> y señaló que debería aplicarse para la exportación y la importación.</w:t>
      </w:r>
    </w:p>
    <w:p w:rsidR="003A0C10" w:rsidRDefault="00991994">
      <w:pPr>
        <w:pStyle w:val="IPPParagraphnumbering"/>
        <w:numPr>
          <w:ilvl w:val="0"/>
          <w:numId w:val="0"/>
        </w:numPr>
      </w:pPr>
      <w:r>
        <w:rPr>
          <w:rStyle w:val="PleaseReviewParagraphId"/>
        </w:rPr>
        <w:t>[60]</w:t>
      </w:r>
      <w:r>
        <w:t>Al examinar la propuesta relativa a la revisión de la definición de “aprobación (de un envío)”, podrán considerarse las siguientes explicaciones:</w:t>
      </w:r>
    </w:p>
    <w:p w:rsidR="003A0C10" w:rsidRDefault="00991994">
      <w:pPr>
        <w:pStyle w:val="IPPParagraphnumbering"/>
        <w:numPr>
          <w:ilvl w:val="0"/>
          <w:numId w:val="15"/>
        </w:numPr>
        <w:spacing w:before="180"/>
      </w:pPr>
      <w:r>
        <w:rPr>
          <w:rStyle w:val="PleaseReviewParagraphId"/>
        </w:rPr>
        <w:t>[61]</w:t>
      </w:r>
      <w:r>
        <w:t>Se propone sustituir “verificaci</w:t>
      </w:r>
      <w:r>
        <w:t xml:space="preserve">ón de” por “proceso de verificación”, para señalar expresamente que la aprobación es el </w:t>
      </w:r>
      <w:r>
        <w:rPr>
          <w:i/>
        </w:rPr>
        <w:t>proceso</w:t>
      </w:r>
      <w:r>
        <w:t xml:space="preserve"> y no el </w:t>
      </w:r>
      <w:r>
        <w:rPr>
          <w:i/>
        </w:rPr>
        <w:t>resultado</w:t>
      </w:r>
      <w:r>
        <w:t xml:space="preserve"> del proceso de verificación del cumplimiento de los reglamentos fitosanitarios.</w:t>
      </w:r>
    </w:p>
    <w:p w:rsidR="003A0C10" w:rsidRDefault="00991994">
      <w:pPr>
        <w:pStyle w:val="IPPParagraphnumbering"/>
        <w:numPr>
          <w:ilvl w:val="0"/>
          <w:numId w:val="15"/>
        </w:numPr>
        <w:spacing w:before="180"/>
      </w:pPr>
      <w:r>
        <w:rPr>
          <w:rStyle w:val="PleaseReviewParagraphId"/>
        </w:rPr>
        <w:t>[62]</w:t>
      </w:r>
      <w:r>
        <w:t xml:space="preserve">La adición de “oficial” a “proceso” hace hincapié en que </w:t>
      </w:r>
      <w:r>
        <w:t>la aprobación de envíos es responsabilidad de las ONPF.</w:t>
      </w:r>
    </w:p>
    <w:p w:rsidR="003A0C10" w:rsidRDefault="00991994">
      <w:pPr>
        <w:pStyle w:val="IPPParagraphnumbering"/>
        <w:numPr>
          <w:ilvl w:val="0"/>
          <w:numId w:val="15"/>
        </w:numPr>
        <w:spacing w:before="180"/>
      </w:pPr>
      <w:r>
        <w:rPr>
          <w:rStyle w:val="PleaseReviewParagraphId"/>
        </w:rPr>
        <w:lastRenderedPageBreak/>
        <w:t>[63]</w:t>
      </w:r>
      <w:r>
        <w:t>No es necesario indicar por qué medios o métodos (por ejemplo, inspección, prueba, etc.) se podrá llevar a cabo el proceso de aprobación.</w:t>
      </w:r>
    </w:p>
    <w:p w:rsidR="003A0C10" w:rsidRDefault="00991994">
      <w:pPr>
        <w:pStyle w:val="IPPParagraphnumbering"/>
        <w:numPr>
          <w:ilvl w:val="0"/>
          <w:numId w:val="15"/>
        </w:numPr>
        <w:spacing w:before="180"/>
      </w:pPr>
      <w:r>
        <w:rPr>
          <w:rStyle w:val="PleaseReviewParagraphId"/>
        </w:rPr>
        <w:t>[64]</w:t>
      </w:r>
      <w:r>
        <w:t>Tampoco es necesario indicar que el proceso de aprobac</w:t>
      </w:r>
      <w:r>
        <w:t>ión podrá conllevar en la práctica la liberación o intercepción de un envío en el momento de la importación o la emisión o denegación de emisión de una certificación fitosanitaria para la exportación.</w:t>
      </w:r>
    </w:p>
    <w:p w:rsidR="003A0C10" w:rsidRDefault="00991994">
      <w:pPr>
        <w:pStyle w:val="IPPParagraphnumbering"/>
        <w:numPr>
          <w:ilvl w:val="0"/>
          <w:numId w:val="15"/>
        </w:numPr>
        <w:spacing w:before="180"/>
      </w:pPr>
      <w:r>
        <w:rPr>
          <w:rStyle w:val="PleaseReviewParagraphId"/>
        </w:rPr>
        <w:t>[65]</w:t>
      </w:r>
      <w:r>
        <w:t>La revisión propuesta de la definición de “aprobaci</w:t>
      </w:r>
      <w:r>
        <w:t>ón (de un envío)” no necesitaría ninguna enmienda a tinta en las NIMF adoptadas porque es coherente con el uso actual del término.</w:t>
      </w:r>
    </w:p>
    <w:p w:rsidR="003A0C10" w:rsidRDefault="00991994">
      <w:pPr>
        <w:pStyle w:val="IPPParagraphnumbering"/>
        <w:numPr>
          <w:ilvl w:val="0"/>
          <w:numId w:val="0"/>
        </w:numPr>
        <w:spacing w:before="180"/>
        <w:rPr>
          <w:b/>
          <w:bCs/>
          <w:i/>
          <w:iCs/>
          <w:szCs w:val="22"/>
        </w:rPr>
      </w:pPr>
      <w:r>
        <w:rPr>
          <w:rStyle w:val="PleaseReviewParagraphId"/>
        </w:rPr>
        <w:t>[66]</w:t>
      </w:r>
      <w:r>
        <w:rPr>
          <w:b/>
          <w:i/>
        </w:rPr>
        <w:t>Definición actual</w:t>
      </w:r>
    </w:p>
    <w:tbl>
      <w:tblPr>
        <w:tblW w:w="956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60"/>
        <w:gridCol w:w="6804"/>
      </w:tblGrid>
      <w:tr w:rsidR="003A0C10">
        <w:tc>
          <w:tcPr>
            <w:tcW w:w="2760" w:type="dxa"/>
          </w:tcPr>
          <w:p w:rsidR="003A0C10" w:rsidRDefault="00991994">
            <w:pPr>
              <w:jc w:val="left"/>
              <w:rPr>
                <w:b/>
                <w:bCs/>
                <w:sz w:val="24"/>
              </w:rPr>
            </w:pPr>
            <w:r>
              <w:rPr>
                <w:rStyle w:val="PleaseReviewParagraphId"/>
              </w:rPr>
              <w:t>[67]</w:t>
            </w:r>
            <w:r>
              <w:rPr>
                <w:b/>
                <w:sz w:val="24"/>
              </w:rPr>
              <w:t>aprobación</w:t>
            </w:r>
            <w:r>
              <w:rPr>
                <w:sz w:val="24"/>
              </w:rPr>
              <w:t xml:space="preserve"> (de un </w:t>
            </w:r>
            <w:r>
              <w:rPr>
                <w:b/>
                <w:sz w:val="24"/>
              </w:rPr>
              <w:t>envío</w:t>
            </w:r>
            <w:r>
              <w:rPr>
                <w:sz w:val="24"/>
              </w:rPr>
              <w:t>)</w:t>
            </w:r>
          </w:p>
        </w:tc>
        <w:tc>
          <w:tcPr>
            <w:tcW w:w="6804" w:type="dxa"/>
          </w:tcPr>
          <w:p w:rsidR="003A0C10" w:rsidRDefault="00991994">
            <w:pPr>
              <w:autoSpaceDE w:val="0"/>
              <w:autoSpaceDN w:val="0"/>
              <w:adjustRightInd w:val="0"/>
              <w:rPr>
                <w:rFonts w:eastAsia="Times New Roman"/>
                <w:sz w:val="24"/>
              </w:rPr>
            </w:pPr>
            <w:r>
              <w:rPr>
                <w:rStyle w:val="PleaseReviewParagraphId"/>
              </w:rPr>
              <w:t>[68]</w:t>
            </w:r>
            <w:r>
              <w:rPr>
                <w:sz w:val="24"/>
              </w:rPr>
              <w:t xml:space="preserve">Verificación del cumplimiento con las </w:t>
            </w:r>
            <w:r>
              <w:rPr>
                <w:b/>
                <w:sz w:val="24"/>
              </w:rPr>
              <w:t>reglamentaciones fitosanitarias</w:t>
            </w:r>
            <w:r>
              <w:rPr>
                <w:sz w:val="24"/>
              </w:rPr>
              <w:t xml:space="preserve"> [FAO, 1995]</w:t>
            </w:r>
          </w:p>
        </w:tc>
      </w:tr>
    </w:tbl>
    <w:p w:rsidR="003A0C10" w:rsidRDefault="00991994">
      <w:pPr>
        <w:pStyle w:val="IPPParagraphnumbering"/>
        <w:numPr>
          <w:ilvl w:val="0"/>
          <w:numId w:val="0"/>
        </w:numPr>
        <w:spacing w:before="180"/>
        <w:rPr>
          <w:b/>
          <w:bCs/>
          <w:i/>
          <w:iCs/>
          <w:szCs w:val="22"/>
        </w:rPr>
      </w:pPr>
      <w:r>
        <w:rPr>
          <w:rStyle w:val="PleaseReviewParagraphId"/>
        </w:rPr>
        <w:t>[69]</w:t>
      </w:r>
      <w:r>
        <w:rPr>
          <w:b/>
          <w:i/>
        </w:rPr>
        <w:t>Propuesta de revisión</w:t>
      </w:r>
    </w:p>
    <w:tbl>
      <w:tblPr>
        <w:tblW w:w="958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60"/>
        <w:gridCol w:w="6823"/>
      </w:tblGrid>
      <w:tr w:rsidR="003A0C10">
        <w:tc>
          <w:tcPr>
            <w:tcW w:w="2760" w:type="dxa"/>
          </w:tcPr>
          <w:p w:rsidR="003A0C10" w:rsidRDefault="00991994">
            <w:pPr>
              <w:jc w:val="left"/>
              <w:rPr>
                <w:b/>
                <w:bCs/>
                <w:sz w:val="24"/>
              </w:rPr>
            </w:pPr>
            <w:r>
              <w:rPr>
                <w:rStyle w:val="PleaseReviewParagraphId"/>
              </w:rPr>
              <w:t>[70]</w:t>
            </w:r>
            <w:r>
              <w:rPr>
                <w:b/>
                <w:sz w:val="24"/>
              </w:rPr>
              <w:t>aprobación</w:t>
            </w:r>
            <w:r>
              <w:rPr>
                <w:sz w:val="24"/>
              </w:rPr>
              <w:t xml:space="preserve"> (de un </w:t>
            </w:r>
            <w:r>
              <w:rPr>
                <w:b/>
                <w:sz w:val="24"/>
              </w:rPr>
              <w:t>envío</w:t>
            </w:r>
            <w:r>
              <w:rPr>
                <w:sz w:val="24"/>
              </w:rPr>
              <w:t>)</w:t>
            </w:r>
          </w:p>
        </w:tc>
        <w:tc>
          <w:tcPr>
            <w:tcW w:w="6823" w:type="dxa"/>
          </w:tcPr>
          <w:p w:rsidR="003A0C10" w:rsidRDefault="00991994">
            <w:pPr>
              <w:pStyle w:val="IPPQuote"/>
              <w:ind w:left="0"/>
              <w:rPr>
                <w:sz w:val="24"/>
                <w:szCs w:val="24"/>
              </w:rPr>
            </w:pPr>
            <w:r>
              <w:rPr>
                <w:rStyle w:val="PleaseReviewParagraphId"/>
              </w:rPr>
              <w:t>[71]</w:t>
            </w:r>
            <w:r>
              <w:rPr>
                <w:strike/>
                <w:sz w:val="24"/>
              </w:rPr>
              <w:t>Verificación</w:t>
            </w:r>
            <w:r>
              <w:rPr>
                <w:sz w:val="24"/>
              </w:rPr>
              <w:t xml:space="preserve"> </w:t>
            </w:r>
            <w:r>
              <w:rPr>
                <w:sz w:val="24"/>
                <w:u w:val="single"/>
              </w:rPr>
              <w:t xml:space="preserve">Proceso </w:t>
            </w:r>
            <w:r>
              <w:rPr>
                <w:b/>
                <w:sz w:val="24"/>
                <w:u w:val="single"/>
              </w:rPr>
              <w:t>oficial</w:t>
            </w:r>
            <w:r>
              <w:rPr>
                <w:sz w:val="24"/>
              </w:rPr>
              <w:t xml:space="preserve"> de </w:t>
            </w:r>
            <w:r>
              <w:rPr>
                <w:sz w:val="24"/>
                <w:u w:val="single"/>
              </w:rPr>
              <w:t>verificación</w:t>
            </w:r>
            <w:r>
              <w:rPr>
                <w:sz w:val="24"/>
              </w:rPr>
              <w:t xml:space="preserve"> del cumplimiento con las </w:t>
            </w:r>
            <w:r>
              <w:rPr>
                <w:b/>
                <w:sz w:val="24"/>
              </w:rPr>
              <w:t>reglamentaciones fitosanitarias</w:t>
            </w:r>
          </w:p>
        </w:tc>
      </w:tr>
    </w:tbl>
    <w:p w:rsidR="003A0C10" w:rsidRDefault="00991994">
      <w:pPr>
        <w:pStyle w:val="IPPHeading1"/>
        <w:numPr>
          <w:ilvl w:val="1"/>
          <w:numId w:val="37"/>
        </w:numPr>
        <w:tabs>
          <w:tab w:val="clear" w:pos="567"/>
        </w:tabs>
        <w:spacing w:before="180" w:after="180"/>
        <w:ind w:left="567" w:hanging="567"/>
        <w:rPr>
          <w:szCs w:val="24"/>
        </w:rPr>
      </w:pPr>
      <w:r>
        <w:rPr>
          <w:rStyle w:val="PleaseReviewParagraphId"/>
          <w:b w:val="0"/>
        </w:rPr>
        <w:t>[72]</w:t>
      </w:r>
      <w:r>
        <w:t xml:space="preserve">“encuesta de detección” (actualmente, “prospección de detección”) (como </w:t>
      </w:r>
      <w:r>
        <w:t>consecuencia de la revisión de “encuesta” [2015-013])</w:t>
      </w:r>
    </w:p>
    <w:p w:rsidR="003A0C10" w:rsidRDefault="00991994">
      <w:pPr>
        <w:keepNext/>
        <w:keepLines/>
        <w:spacing w:after="180"/>
        <w:rPr>
          <w:sz w:val="24"/>
        </w:rPr>
      </w:pPr>
      <w:r>
        <w:rPr>
          <w:rStyle w:val="PleaseReviewParagraphId"/>
        </w:rPr>
        <w:t>[73]</w:t>
      </w:r>
      <w:r>
        <w:rPr>
          <w:sz w:val="24"/>
        </w:rPr>
        <w:t xml:space="preserve">En mayo de 2013, el CN añadió el término del Glosario “encuesta” (actualmente, “prospección”) a la </w:t>
      </w:r>
      <w:r>
        <w:rPr>
          <w:i/>
          <w:iCs/>
          <w:sz w:val="24"/>
        </w:rPr>
        <w:t>Lista de temas de las normas de la CIPF</w:t>
      </w:r>
      <w:r>
        <w:rPr>
          <w:sz w:val="24"/>
        </w:rPr>
        <w:t>, a fin de que el GTG considerara si se debía incluir el con</w:t>
      </w:r>
      <w:r>
        <w:rPr>
          <w:sz w:val="24"/>
        </w:rPr>
        <w:t>cepto de “ausencia” en su definición. En su reunión de mayo de 2016, el GTG propuso en el proyecto de 2017 de enmiendas que se revisara la definición de “encuesta” (actualmente, “prospección”), de acuerdo con el proyecto de revisión de la NIMF 6, la utiliz</w:t>
      </w:r>
      <w:r>
        <w:rPr>
          <w:sz w:val="24"/>
        </w:rPr>
        <w:t xml:space="preserve">ación del término en otras NIMF y los tres tipos de encuestas (“prospecciones”) definidas en el Glosario. Durante el primer examen de las observaciones recibidas en la primera consulta, el CN en su séptima reunión, celebrada en mayo de 2018, señaló que la </w:t>
      </w:r>
      <w:r>
        <w:rPr>
          <w:sz w:val="24"/>
        </w:rPr>
        <w:t>determinación de la ausencia de una plaga no forma parte de la definición de “encuesta de detección” (actualmente, “prospección de detección”). En su séptima reunión, el CN pidió al GTG que considerara si se debía enmendar a tinta la definición de “encuest</w:t>
      </w:r>
      <w:r>
        <w:rPr>
          <w:sz w:val="24"/>
        </w:rPr>
        <w:t>a de detección” (actualmente, “prospección de detección”) para que incluyera “o ausencia”.</w:t>
      </w:r>
    </w:p>
    <w:p w:rsidR="003A0C10" w:rsidRDefault="00991994">
      <w:pPr>
        <w:pStyle w:val="IPPParagraphnumbering"/>
        <w:numPr>
          <w:ilvl w:val="0"/>
          <w:numId w:val="0"/>
        </w:numPr>
      </w:pPr>
      <w:r>
        <w:rPr>
          <w:rStyle w:val="PleaseReviewParagraphId"/>
        </w:rPr>
        <w:t>[74]</w:t>
      </w:r>
      <w:r>
        <w:t>El GTG analizó el término “encuesta de detección” (actualmente, “prospección de detección”) en su reunión de diciembre de 2018. Al examinar la propuesta relativa</w:t>
      </w:r>
      <w:r>
        <w:t xml:space="preserve"> a la revisión de su definición, podrán considerarse las siguientes explicaciones:</w:t>
      </w:r>
    </w:p>
    <w:p w:rsidR="003A0C10" w:rsidRDefault="00991994">
      <w:pPr>
        <w:pStyle w:val="IPPParagraphnumbering"/>
        <w:numPr>
          <w:ilvl w:val="0"/>
          <w:numId w:val="15"/>
        </w:numPr>
        <w:spacing w:before="180"/>
      </w:pPr>
      <w:r>
        <w:rPr>
          <w:rStyle w:val="PleaseReviewParagraphId"/>
        </w:rPr>
        <w:t>[75]</w:t>
      </w:r>
      <w:r>
        <w:t>Los términos “encuesta de detección” y su forma actual “prospección de detección” se utilizan en varias ocasiones en las NIMF al hacer referencia a la determinación o ve</w:t>
      </w:r>
      <w:r>
        <w:t>rificación de la ausencia de una plaga.</w:t>
      </w:r>
    </w:p>
    <w:p w:rsidR="003A0C10" w:rsidRDefault="00991994">
      <w:pPr>
        <w:pStyle w:val="IPPParagraphnumbering"/>
        <w:numPr>
          <w:ilvl w:val="0"/>
          <w:numId w:val="15"/>
        </w:numPr>
        <w:spacing w:before="180"/>
      </w:pPr>
      <w:r>
        <w:rPr>
          <w:rStyle w:val="PleaseReviewParagraphId"/>
        </w:rPr>
        <w:t>[76]</w:t>
      </w:r>
      <w:r>
        <w:t xml:space="preserve">El objetivo de una “prospección de detección” es determinar si una plaga está presente, lo que significa que la presencia y la ausencia son resultados igualmente posibles de una “prospección de detección” y que, </w:t>
      </w:r>
      <w:r>
        <w:t>por lo tanto, se puede utilizar para determinar si una plaga está ausente.</w:t>
      </w:r>
    </w:p>
    <w:p w:rsidR="003A0C10" w:rsidRDefault="00991994">
      <w:pPr>
        <w:pStyle w:val="IPPParagraphnumbering"/>
        <w:numPr>
          <w:ilvl w:val="0"/>
          <w:numId w:val="15"/>
        </w:numPr>
        <w:spacing w:before="180"/>
      </w:pPr>
      <w:r>
        <w:rPr>
          <w:rStyle w:val="PleaseReviewParagraphId"/>
        </w:rPr>
        <w:t>[77]</w:t>
      </w:r>
      <w:r>
        <w:t xml:space="preserve">El “si hay” de la definición ya expresa el concepto de ausencia, sin ser tan explícito como en las definiciones de “prospección”, “prospección de delimitación” y </w:t>
      </w:r>
      <w:r>
        <w:lastRenderedPageBreak/>
        <w:t>“vigilancia”. P</w:t>
      </w:r>
      <w:r>
        <w:t>or consiguiente, se propone sustituir el condicional “si hay plagas presentes” por “la presencia o ausencia de plagas”.</w:t>
      </w:r>
    </w:p>
    <w:p w:rsidR="003A0C10" w:rsidRDefault="00991994">
      <w:pPr>
        <w:pStyle w:val="IPPParagraphnumbering"/>
        <w:numPr>
          <w:ilvl w:val="0"/>
          <w:numId w:val="15"/>
        </w:numPr>
        <w:spacing w:before="180"/>
      </w:pPr>
      <w:r>
        <w:rPr>
          <w:rStyle w:val="PleaseReviewParagraphId"/>
        </w:rPr>
        <w:t>[78]</w:t>
      </w:r>
      <w:r>
        <w:t>Se propone incluir en la definición “dentro de un área, lugar de producción o sitio de producción” para mantener la coherencia con l</w:t>
      </w:r>
      <w:r>
        <w:t>a definición de “prospección” y aumentar la claridad.</w:t>
      </w:r>
    </w:p>
    <w:p w:rsidR="003A0C10" w:rsidRDefault="00991994">
      <w:pPr>
        <w:pStyle w:val="IPPParagraphnumbering"/>
        <w:numPr>
          <w:ilvl w:val="0"/>
          <w:numId w:val="15"/>
        </w:numPr>
        <w:spacing w:before="180"/>
      </w:pPr>
      <w:r>
        <w:rPr>
          <w:rStyle w:val="PleaseReviewParagraphId"/>
        </w:rPr>
        <w:t>[79]</w:t>
      </w:r>
      <w:r>
        <w:t>La propuesta de definición revisada de “prospección de detección” refleja debidamente la utilización del término en las NIMF adoptadas.</w:t>
      </w:r>
    </w:p>
    <w:p w:rsidR="003A0C10" w:rsidRDefault="00991994">
      <w:pPr>
        <w:keepNext/>
        <w:numPr>
          <w:ilvl w:val="0"/>
          <w:numId w:val="4"/>
        </w:numPr>
        <w:spacing w:after="180"/>
        <w:rPr>
          <w:rFonts w:eastAsia="Times"/>
          <w:b/>
          <w:bCs/>
          <w:i/>
          <w:iCs/>
          <w:szCs w:val="22"/>
        </w:rPr>
      </w:pPr>
      <w:r>
        <w:rPr>
          <w:rStyle w:val="PleaseReviewParagraphId"/>
        </w:rPr>
        <w:t>[80]</w:t>
      </w:r>
      <w:r>
        <w:rPr>
          <w:b/>
          <w:i/>
        </w:rPr>
        <w:t>Definición actual</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7"/>
        <w:gridCol w:w="6662"/>
      </w:tblGrid>
      <w:tr w:rsidR="003A0C10">
        <w:trPr>
          <w:cantSplit/>
        </w:trPr>
        <w:tc>
          <w:tcPr>
            <w:tcW w:w="2547" w:type="dxa"/>
          </w:tcPr>
          <w:p w:rsidR="003A0C10" w:rsidRDefault="00991994">
            <w:pPr>
              <w:spacing w:after="180"/>
              <w:jc w:val="left"/>
              <w:rPr>
                <w:rFonts w:eastAsia="Times"/>
                <w:b/>
                <w:spacing w:val="-2"/>
                <w:szCs w:val="22"/>
              </w:rPr>
            </w:pPr>
            <w:r>
              <w:rPr>
                <w:rStyle w:val="PleaseReviewParagraphId"/>
              </w:rPr>
              <w:t>[81]</w:t>
            </w:r>
            <w:r>
              <w:rPr>
                <w:b/>
                <w:spacing w:val="-2"/>
              </w:rPr>
              <w:t>prospección de detección</w:t>
            </w:r>
          </w:p>
        </w:tc>
        <w:tc>
          <w:tcPr>
            <w:tcW w:w="6662" w:type="dxa"/>
          </w:tcPr>
          <w:p w:rsidR="003A0C10" w:rsidRDefault="00991994">
            <w:pPr>
              <w:spacing w:after="180"/>
              <w:rPr>
                <w:rFonts w:eastAsia="Times"/>
                <w:szCs w:val="22"/>
              </w:rPr>
            </w:pPr>
            <w:r>
              <w:rPr>
                <w:rStyle w:val="PleaseReviewParagraphId"/>
              </w:rPr>
              <w:t>[82]</w:t>
            </w:r>
            <w:r>
              <w:rPr>
                <w:b/>
              </w:rPr>
              <w:t>Prospec</w:t>
            </w:r>
            <w:r>
              <w:rPr>
                <w:b/>
              </w:rPr>
              <w:t>ción</w:t>
            </w:r>
            <w:r>
              <w:t xml:space="preserve"> realizada dentro de un </w:t>
            </w:r>
            <w:r>
              <w:rPr>
                <w:b/>
              </w:rPr>
              <w:t>área</w:t>
            </w:r>
            <w:r>
              <w:t xml:space="preserve"> para determinar si hay </w:t>
            </w:r>
            <w:r>
              <w:rPr>
                <w:b/>
              </w:rPr>
              <w:t>plagas</w:t>
            </w:r>
            <w:r>
              <w:t xml:space="preserve"> presentes [FAO, 1990; revisado FAO, 1995; anteriormente “encuesta de detección”]</w:t>
            </w:r>
          </w:p>
        </w:tc>
      </w:tr>
    </w:tbl>
    <w:p w:rsidR="003A0C10" w:rsidRDefault="00991994">
      <w:pPr>
        <w:numPr>
          <w:ilvl w:val="0"/>
          <w:numId w:val="4"/>
        </w:numPr>
        <w:spacing w:before="180" w:after="180"/>
        <w:rPr>
          <w:rFonts w:eastAsia="Times"/>
          <w:b/>
          <w:bCs/>
          <w:i/>
          <w:iCs/>
          <w:szCs w:val="22"/>
        </w:rPr>
      </w:pPr>
      <w:r>
        <w:rPr>
          <w:rStyle w:val="PleaseReviewParagraphId"/>
        </w:rPr>
        <w:t>[83]</w:t>
      </w:r>
      <w:r>
        <w:rPr>
          <w:b/>
          <w:i/>
        </w:rPr>
        <w:t>Propuesta de revisión</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2"/>
        <w:gridCol w:w="6662"/>
      </w:tblGrid>
      <w:tr w:rsidR="003A0C10">
        <w:tc>
          <w:tcPr>
            <w:tcW w:w="2552" w:type="dxa"/>
          </w:tcPr>
          <w:p w:rsidR="003A0C10" w:rsidRDefault="00991994">
            <w:pPr>
              <w:keepNext/>
            </w:pPr>
            <w:r>
              <w:rPr>
                <w:rStyle w:val="PleaseReviewParagraphId"/>
              </w:rPr>
              <w:t>[84]</w:t>
            </w:r>
            <w:r>
              <w:rPr>
                <w:b/>
              </w:rPr>
              <w:t>prospección de detección</w:t>
            </w:r>
          </w:p>
        </w:tc>
        <w:tc>
          <w:tcPr>
            <w:tcW w:w="6662" w:type="dxa"/>
          </w:tcPr>
          <w:p w:rsidR="003A0C10" w:rsidRDefault="00991994">
            <w:pPr>
              <w:keepNext/>
              <w:spacing w:after="240"/>
            </w:pPr>
            <w:r>
              <w:rPr>
                <w:rStyle w:val="PleaseReviewParagraphId"/>
              </w:rPr>
              <w:t>[85]</w:t>
            </w:r>
            <w:r>
              <w:rPr>
                <w:b/>
              </w:rPr>
              <w:t>Prospección</w:t>
            </w:r>
            <w:r>
              <w:t xml:space="preserve"> realizada para determinar la presencia </w:t>
            </w:r>
            <w:r>
              <w:rPr>
                <w:u w:val="single"/>
              </w:rPr>
              <w:t>o</w:t>
            </w:r>
            <w:r>
              <w:rPr>
                <w:u w:val="single"/>
              </w:rPr>
              <w:t xml:space="preserve"> ausencia</w:t>
            </w:r>
            <w:r>
              <w:t xml:space="preserve"> de </w:t>
            </w:r>
            <w:r>
              <w:rPr>
                <w:b/>
              </w:rPr>
              <w:t>plagas</w:t>
            </w:r>
            <w:r>
              <w:t xml:space="preserve"> dentro de un </w:t>
            </w:r>
            <w:r>
              <w:rPr>
                <w:b/>
              </w:rPr>
              <w:t>área</w:t>
            </w:r>
            <w:r>
              <w:rPr>
                <w:u w:val="single"/>
              </w:rPr>
              <w:t xml:space="preserve">, </w:t>
            </w:r>
            <w:r>
              <w:rPr>
                <w:b/>
                <w:u w:val="single"/>
              </w:rPr>
              <w:t>lugar de producción</w:t>
            </w:r>
            <w:r>
              <w:rPr>
                <w:u w:val="single"/>
              </w:rPr>
              <w:t xml:space="preserve"> o </w:t>
            </w:r>
            <w:r>
              <w:rPr>
                <w:b/>
                <w:u w:val="single"/>
              </w:rPr>
              <w:t>sitio de producción</w:t>
            </w:r>
            <w:r>
              <w:t xml:space="preserve"> [FAO, 1990; revisado FAO, 1995; anteriormente “encuesta de detección”]</w:t>
            </w:r>
          </w:p>
        </w:tc>
      </w:tr>
    </w:tbl>
    <w:p w:rsidR="003A0C10" w:rsidRDefault="00991994">
      <w:pPr>
        <w:rPr>
          <w:rFonts w:eastAsia="Times New Roman"/>
          <w:bCs/>
          <w:szCs w:val="22"/>
        </w:rPr>
      </w:pPr>
      <w:r>
        <w:rPr>
          <w:rStyle w:val="PleaseReviewParagraphId"/>
        </w:rPr>
        <w:t>[86]</w:t>
      </w:r>
    </w:p>
    <w:sectPr w:rsidR="003A0C10">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994" w:rsidRDefault="00991994">
      <w:r>
        <w:rPr>
          <w:rStyle w:val="PleaseReviewParagraphId"/>
        </w:rPr>
        <w:t>[]</w:t>
      </w:r>
      <w:r>
        <w:separator/>
      </w:r>
    </w:p>
  </w:endnote>
  <w:endnote w:type="continuationSeparator" w:id="0">
    <w:p w:rsidR="00991994" w:rsidRDefault="00991994">
      <w:r>
        <w:rPr>
          <w:rStyle w:val="PleaseReviewParagraphId"/>
        </w:rPr>
        <w:t>[]</w:t>
      </w: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Italic">
    <w:altName w:val="Arial"/>
    <w:panose1 w:val="020B060402020209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994" w:rsidRDefault="00991994">
      <w:r>
        <w:rPr>
          <w:rStyle w:val="PleaseReviewParagraphId"/>
        </w:rPr>
        <w:t>[]</w:t>
      </w:r>
      <w:r>
        <w:separator/>
      </w:r>
    </w:p>
  </w:footnote>
  <w:footnote w:type="continuationSeparator" w:id="0">
    <w:p w:rsidR="00991994" w:rsidRDefault="00991994">
      <w:r>
        <w:rPr>
          <w:rStyle w:val="PleaseReviewParagraphId"/>
        </w:rPr>
        <w:t>[]</w:t>
      </w: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92949"/>
    <w:multiLevelType w:val="hybridMultilevel"/>
    <w:tmpl w:val="F2C0325A"/>
    <w:lvl w:ilvl="0" w:tplc="29423E1C">
      <w:start w:val="1"/>
      <w:numFmt w:val="decimal"/>
      <w:pStyle w:val="IPPNumberedList"/>
      <w:lvlText w:val="(%1)"/>
      <w:lvlJc w:val="left"/>
      <w:pPr>
        <w:tabs>
          <w:tab w:val="num" w:pos="567"/>
        </w:tabs>
        <w:ind w:left="567" w:hanging="567"/>
      </w:pPr>
      <w:rPr>
        <w:rFonts w:ascii="Times New Roman" w:hAnsi="Times New Roman" w:cs="Times New Roman" w:hint="default"/>
        <w:b w:val="0"/>
        <w:i w:val="0"/>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4153758"/>
    <w:multiLevelType w:val="multilevel"/>
    <w:tmpl w:val="0456001F"/>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4C0A6C"/>
    <w:multiLevelType w:val="multilevel"/>
    <w:tmpl w:val="06E871E4"/>
    <w:numStyleLink w:val="IPPParagraphnumberedlist"/>
  </w:abstractNum>
  <w:abstractNum w:abstractNumId="3" w15:restartNumberingAfterBreak="0">
    <w:nsid w:val="0AAA575C"/>
    <w:multiLevelType w:val="hybridMultilevel"/>
    <w:tmpl w:val="61F0C2C0"/>
    <w:lvl w:ilvl="0" w:tplc="FFFFFFFF">
      <w:start w:val="1"/>
      <w:numFmt w:val="bullet"/>
      <w:pStyle w:val="IPPLetterListIndent"/>
      <w:lvlText w:val=""/>
      <w:lvlJc w:val="left"/>
      <w:pPr>
        <w:tabs>
          <w:tab w:val="num" w:pos="1701"/>
        </w:tabs>
        <w:ind w:left="1701" w:hanging="567"/>
      </w:pPr>
      <w:rPr>
        <w:rFonts w:ascii="Times New Roman" w:hAnsi="Times New Roman" w:hint="default"/>
        <w:color w:val="auto"/>
        <w:sz w:val="2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BB651B3"/>
    <w:multiLevelType w:val="hybridMultilevel"/>
    <w:tmpl w:val="6130C5F8"/>
    <w:lvl w:ilvl="0" w:tplc="4A507126">
      <w:start w:val="1"/>
      <w:numFmt w:val="decimal"/>
      <w:lvlText w:val="[%1]"/>
      <w:lvlJc w:val="left"/>
      <w:pPr>
        <w:ind w:left="720" w:hanging="360"/>
      </w:pPr>
      <w:rPr>
        <w:rFonts w:ascii="Arial Italic" w:hAnsi="Arial Italic" w:cs="Times New Roman" w:hint="default"/>
        <w:b w:val="0"/>
        <w:i/>
        <w:color w:val="0000FF"/>
        <w:sz w:val="16"/>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5" w15:restartNumberingAfterBreak="0">
    <w:nsid w:val="28631139"/>
    <w:multiLevelType w:val="hybridMultilevel"/>
    <w:tmpl w:val="C69E14A4"/>
    <w:lvl w:ilvl="0" w:tplc="42401244">
      <w:start w:val="1"/>
      <w:numFmt w:val="decimal"/>
      <w:lvlText w:val="%1."/>
      <w:lvlJc w:val="left"/>
      <w:pPr>
        <w:ind w:left="720" w:hanging="360"/>
      </w:pPr>
    </w:lvl>
    <w:lvl w:ilvl="1" w:tplc="F6F243D8">
      <w:start w:val="1"/>
      <w:numFmt w:val="lowerLetter"/>
      <w:lvlText w:val="%2."/>
      <w:lvlJc w:val="left"/>
      <w:pPr>
        <w:ind w:left="1440" w:hanging="360"/>
      </w:pPr>
    </w:lvl>
    <w:lvl w:ilvl="2" w:tplc="1FBA7F38">
      <w:start w:val="1"/>
      <w:numFmt w:val="lowerRoman"/>
      <w:lvlText w:val="%3."/>
      <w:lvlJc w:val="right"/>
      <w:pPr>
        <w:ind w:left="2160" w:hanging="180"/>
      </w:pPr>
    </w:lvl>
    <w:lvl w:ilvl="3" w:tplc="F70C3A98">
      <w:start w:val="1"/>
      <w:numFmt w:val="decimal"/>
      <w:lvlText w:val="%4."/>
      <w:lvlJc w:val="left"/>
      <w:pPr>
        <w:ind w:left="2880" w:hanging="360"/>
      </w:pPr>
    </w:lvl>
    <w:lvl w:ilvl="4" w:tplc="38520204">
      <w:start w:val="1"/>
      <w:numFmt w:val="lowerLetter"/>
      <w:lvlText w:val="%5."/>
      <w:lvlJc w:val="left"/>
      <w:pPr>
        <w:ind w:left="3600" w:hanging="360"/>
      </w:pPr>
    </w:lvl>
    <w:lvl w:ilvl="5" w:tplc="BAC838B6">
      <w:start w:val="1"/>
      <w:numFmt w:val="lowerRoman"/>
      <w:lvlText w:val="%6."/>
      <w:lvlJc w:val="right"/>
      <w:pPr>
        <w:ind w:left="4320" w:hanging="180"/>
      </w:pPr>
    </w:lvl>
    <w:lvl w:ilvl="6" w:tplc="2DD00DE8">
      <w:start w:val="1"/>
      <w:numFmt w:val="decimal"/>
      <w:lvlText w:val="%7."/>
      <w:lvlJc w:val="left"/>
      <w:pPr>
        <w:ind w:left="5040" w:hanging="360"/>
      </w:pPr>
    </w:lvl>
    <w:lvl w:ilvl="7" w:tplc="D2242D5A">
      <w:start w:val="1"/>
      <w:numFmt w:val="lowerLetter"/>
      <w:lvlText w:val="%8."/>
      <w:lvlJc w:val="left"/>
      <w:pPr>
        <w:ind w:left="5760" w:hanging="360"/>
      </w:pPr>
    </w:lvl>
    <w:lvl w:ilvl="8" w:tplc="4E988288">
      <w:start w:val="1"/>
      <w:numFmt w:val="lowerRoman"/>
      <w:lvlText w:val="%9."/>
      <w:lvlJc w:val="right"/>
      <w:pPr>
        <w:ind w:left="6480" w:hanging="180"/>
      </w:pPr>
    </w:lvl>
  </w:abstractNum>
  <w:abstractNum w:abstractNumId="6" w15:restartNumberingAfterBreak="0">
    <w:nsid w:val="2D7D5CC3"/>
    <w:multiLevelType w:val="multilevel"/>
    <w:tmpl w:val="ED0EDE16"/>
    <w:lvl w:ilvl="0">
      <w:start w:val="1"/>
      <w:numFmt w:val="bullet"/>
      <w:lvlText w:val=""/>
      <w:lvlJc w:val="left"/>
      <w:pPr>
        <w:tabs>
          <w:tab w:val="num" w:pos="0"/>
        </w:tabs>
        <w:ind w:hanging="482"/>
      </w:pPr>
      <w:rPr>
        <w:rFonts w:ascii="Symbol" w:hAnsi="Symbol" w:hint="default"/>
        <w:b w:val="0"/>
        <w:i/>
        <w:color w:val="0000FF"/>
        <w:sz w:val="16"/>
      </w:rPr>
    </w:lvl>
    <w:lvl w:ilvl="1">
      <w:start w:val="1"/>
      <w:numFmt w:val="none"/>
      <w:lvlRestart w:val="0"/>
      <w:lvlText w:val=""/>
      <w:lvlJc w:val="left"/>
      <w:pPr>
        <w:tabs>
          <w:tab w:val="num" w:pos="0"/>
        </w:tabs>
        <w:ind w:hanging="482"/>
      </w:pPr>
      <w:rPr>
        <w:rFonts w:cs="Times New Roman" w:hint="default"/>
      </w:rPr>
    </w:lvl>
    <w:lvl w:ilvl="2">
      <w:start w:val="1"/>
      <w:numFmt w:val="none"/>
      <w:lvlRestart w:val="0"/>
      <w:lvlText w:val=""/>
      <w:lvlJc w:val="left"/>
      <w:pPr>
        <w:tabs>
          <w:tab w:val="num" w:pos="0"/>
        </w:tabs>
        <w:ind w:hanging="482"/>
      </w:pPr>
      <w:rPr>
        <w:rFonts w:cs="Times New Roman" w:hint="default"/>
      </w:rPr>
    </w:lvl>
    <w:lvl w:ilvl="3">
      <w:start w:val="1"/>
      <w:numFmt w:val="none"/>
      <w:lvlRestart w:val="0"/>
      <w:lvlText w:val=""/>
      <w:lvlJc w:val="left"/>
      <w:pPr>
        <w:tabs>
          <w:tab w:val="num" w:pos="0"/>
        </w:tabs>
        <w:ind w:hanging="482"/>
      </w:pPr>
      <w:rPr>
        <w:rFonts w:cs="Times New Roman" w:hint="default"/>
      </w:rPr>
    </w:lvl>
    <w:lvl w:ilvl="4">
      <w:start w:val="1"/>
      <w:numFmt w:val="none"/>
      <w:lvlRestart w:val="0"/>
      <w:lvlText w:val=""/>
      <w:lvlJc w:val="left"/>
      <w:pPr>
        <w:tabs>
          <w:tab w:val="num" w:pos="0"/>
        </w:tabs>
        <w:ind w:hanging="482"/>
      </w:pPr>
      <w:rPr>
        <w:rFonts w:cs="Times New Roman" w:hint="default"/>
      </w:rPr>
    </w:lvl>
    <w:lvl w:ilvl="5">
      <w:start w:val="1"/>
      <w:numFmt w:val="none"/>
      <w:lvlRestart w:val="0"/>
      <w:lvlText w:val=""/>
      <w:lvlJc w:val="left"/>
      <w:pPr>
        <w:tabs>
          <w:tab w:val="num" w:pos="0"/>
        </w:tabs>
        <w:ind w:hanging="482"/>
      </w:pPr>
      <w:rPr>
        <w:rFonts w:cs="Times New Roman" w:hint="default"/>
      </w:rPr>
    </w:lvl>
    <w:lvl w:ilvl="6">
      <w:start w:val="1"/>
      <w:numFmt w:val="none"/>
      <w:lvlRestart w:val="0"/>
      <w:lvlText w:val=""/>
      <w:lvlJc w:val="left"/>
      <w:pPr>
        <w:tabs>
          <w:tab w:val="num" w:pos="0"/>
        </w:tabs>
        <w:ind w:hanging="482"/>
      </w:pPr>
      <w:rPr>
        <w:rFonts w:cs="Times New Roman" w:hint="default"/>
      </w:rPr>
    </w:lvl>
    <w:lvl w:ilvl="7">
      <w:start w:val="1"/>
      <w:numFmt w:val="none"/>
      <w:lvlRestart w:val="0"/>
      <w:lvlText w:val=""/>
      <w:lvlJc w:val="left"/>
      <w:pPr>
        <w:tabs>
          <w:tab w:val="num" w:pos="0"/>
        </w:tabs>
        <w:ind w:hanging="482"/>
      </w:pPr>
      <w:rPr>
        <w:rFonts w:cs="Times New Roman" w:hint="default"/>
      </w:rPr>
    </w:lvl>
    <w:lvl w:ilvl="8">
      <w:start w:val="1"/>
      <w:numFmt w:val="none"/>
      <w:lvlRestart w:val="0"/>
      <w:lvlText w:val=""/>
      <w:lvlJc w:val="left"/>
      <w:pPr>
        <w:tabs>
          <w:tab w:val="num" w:pos="0"/>
        </w:tabs>
        <w:ind w:hanging="482"/>
      </w:pPr>
      <w:rPr>
        <w:rFonts w:cs="Times New Roman" w:hint="default"/>
      </w:rPr>
    </w:lvl>
  </w:abstractNum>
  <w:abstractNum w:abstractNumId="7" w15:restartNumberingAfterBreak="0">
    <w:nsid w:val="31FE0F8F"/>
    <w:multiLevelType w:val="multilevel"/>
    <w:tmpl w:val="06E871E4"/>
    <w:styleLink w:val="IPPParagraphnumberedlist"/>
    <w:lvl w:ilvl="0">
      <w:start w:val="1"/>
      <w:numFmt w:val="decimal"/>
      <w:pStyle w:val="IPPParagraphnumbering"/>
      <w:lvlText w:val="[%1]"/>
      <w:lvlJc w:val="left"/>
      <w:pPr>
        <w:tabs>
          <w:tab w:val="num" w:pos="0"/>
        </w:tabs>
        <w:ind w:hanging="482"/>
      </w:pPr>
      <w:rPr>
        <w:rFonts w:ascii="Arial" w:hAnsi="Arial" w:cs="Times New Roman" w:hint="default"/>
        <w:b w:val="0"/>
        <w:i/>
        <w:color w:val="0000FF"/>
        <w:sz w:val="16"/>
      </w:rPr>
    </w:lvl>
    <w:lvl w:ilvl="1">
      <w:start w:val="1"/>
      <w:numFmt w:val="none"/>
      <w:lvlRestart w:val="0"/>
      <w:lvlText w:val=""/>
      <w:lvlJc w:val="left"/>
      <w:pPr>
        <w:tabs>
          <w:tab w:val="num" w:pos="0"/>
        </w:tabs>
        <w:ind w:hanging="482"/>
      </w:pPr>
      <w:rPr>
        <w:rFonts w:cs="Times New Roman" w:hint="default"/>
      </w:rPr>
    </w:lvl>
    <w:lvl w:ilvl="2">
      <w:start w:val="1"/>
      <w:numFmt w:val="none"/>
      <w:lvlRestart w:val="0"/>
      <w:lvlText w:val=""/>
      <w:lvlJc w:val="left"/>
      <w:pPr>
        <w:tabs>
          <w:tab w:val="num" w:pos="0"/>
        </w:tabs>
        <w:ind w:hanging="482"/>
      </w:pPr>
      <w:rPr>
        <w:rFonts w:cs="Times New Roman" w:hint="default"/>
      </w:rPr>
    </w:lvl>
    <w:lvl w:ilvl="3">
      <w:start w:val="1"/>
      <w:numFmt w:val="none"/>
      <w:lvlRestart w:val="0"/>
      <w:lvlText w:val=""/>
      <w:lvlJc w:val="left"/>
      <w:pPr>
        <w:tabs>
          <w:tab w:val="num" w:pos="0"/>
        </w:tabs>
        <w:ind w:hanging="482"/>
      </w:pPr>
      <w:rPr>
        <w:rFonts w:cs="Times New Roman" w:hint="default"/>
      </w:rPr>
    </w:lvl>
    <w:lvl w:ilvl="4">
      <w:start w:val="1"/>
      <w:numFmt w:val="none"/>
      <w:lvlRestart w:val="0"/>
      <w:lvlText w:val=""/>
      <w:lvlJc w:val="left"/>
      <w:pPr>
        <w:tabs>
          <w:tab w:val="num" w:pos="0"/>
        </w:tabs>
        <w:ind w:hanging="482"/>
      </w:pPr>
      <w:rPr>
        <w:rFonts w:cs="Times New Roman" w:hint="default"/>
      </w:rPr>
    </w:lvl>
    <w:lvl w:ilvl="5">
      <w:start w:val="1"/>
      <w:numFmt w:val="none"/>
      <w:lvlRestart w:val="0"/>
      <w:lvlText w:val=""/>
      <w:lvlJc w:val="left"/>
      <w:pPr>
        <w:tabs>
          <w:tab w:val="num" w:pos="0"/>
        </w:tabs>
        <w:ind w:hanging="482"/>
      </w:pPr>
      <w:rPr>
        <w:rFonts w:cs="Times New Roman" w:hint="default"/>
      </w:rPr>
    </w:lvl>
    <w:lvl w:ilvl="6">
      <w:start w:val="1"/>
      <w:numFmt w:val="none"/>
      <w:lvlRestart w:val="0"/>
      <w:lvlText w:val=""/>
      <w:lvlJc w:val="left"/>
      <w:pPr>
        <w:tabs>
          <w:tab w:val="num" w:pos="0"/>
        </w:tabs>
        <w:ind w:hanging="482"/>
      </w:pPr>
      <w:rPr>
        <w:rFonts w:cs="Times New Roman" w:hint="default"/>
      </w:rPr>
    </w:lvl>
    <w:lvl w:ilvl="7">
      <w:start w:val="1"/>
      <w:numFmt w:val="none"/>
      <w:lvlRestart w:val="0"/>
      <w:lvlText w:val=""/>
      <w:lvlJc w:val="left"/>
      <w:pPr>
        <w:tabs>
          <w:tab w:val="num" w:pos="0"/>
        </w:tabs>
        <w:ind w:hanging="482"/>
      </w:pPr>
      <w:rPr>
        <w:rFonts w:cs="Times New Roman" w:hint="default"/>
      </w:rPr>
    </w:lvl>
    <w:lvl w:ilvl="8">
      <w:start w:val="1"/>
      <w:numFmt w:val="none"/>
      <w:lvlRestart w:val="0"/>
      <w:lvlText w:val=""/>
      <w:lvlJc w:val="left"/>
      <w:pPr>
        <w:tabs>
          <w:tab w:val="num" w:pos="0"/>
        </w:tabs>
        <w:ind w:hanging="482"/>
      </w:pPr>
      <w:rPr>
        <w:rFonts w:cs="Times New Roman" w:hint="default"/>
      </w:rPr>
    </w:lvl>
  </w:abstractNum>
  <w:abstractNum w:abstractNumId="8" w15:restartNumberingAfterBreak="0">
    <w:nsid w:val="3B0874F3"/>
    <w:multiLevelType w:val="hybridMultilevel"/>
    <w:tmpl w:val="3860451C"/>
    <w:lvl w:ilvl="0" w:tplc="FFFFFFFF">
      <w:start w:val="1"/>
      <w:numFmt w:val="decimal"/>
      <w:pStyle w:val="IPPHdg1Num"/>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 w15:restartNumberingAfterBreak="0">
    <w:nsid w:val="425319D7"/>
    <w:multiLevelType w:val="hybridMultilevel"/>
    <w:tmpl w:val="F6AE1F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53294B"/>
    <w:multiLevelType w:val="multilevel"/>
    <w:tmpl w:val="ED0EDE16"/>
    <w:lvl w:ilvl="0">
      <w:start w:val="1"/>
      <w:numFmt w:val="bullet"/>
      <w:lvlText w:val=""/>
      <w:lvlJc w:val="left"/>
      <w:pPr>
        <w:tabs>
          <w:tab w:val="num" w:pos="0"/>
        </w:tabs>
        <w:ind w:hanging="482"/>
      </w:pPr>
      <w:rPr>
        <w:rFonts w:ascii="Symbol" w:hAnsi="Symbol" w:hint="default"/>
        <w:b w:val="0"/>
        <w:i/>
        <w:color w:val="0000FF"/>
        <w:sz w:val="16"/>
      </w:rPr>
    </w:lvl>
    <w:lvl w:ilvl="1">
      <w:start w:val="1"/>
      <w:numFmt w:val="none"/>
      <w:lvlRestart w:val="0"/>
      <w:lvlText w:val=""/>
      <w:lvlJc w:val="left"/>
      <w:pPr>
        <w:tabs>
          <w:tab w:val="num" w:pos="0"/>
        </w:tabs>
        <w:ind w:hanging="482"/>
      </w:pPr>
      <w:rPr>
        <w:rFonts w:cs="Times New Roman" w:hint="default"/>
      </w:rPr>
    </w:lvl>
    <w:lvl w:ilvl="2">
      <w:start w:val="1"/>
      <w:numFmt w:val="none"/>
      <w:lvlRestart w:val="0"/>
      <w:lvlText w:val=""/>
      <w:lvlJc w:val="left"/>
      <w:pPr>
        <w:tabs>
          <w:tab w:val="num" w:pos="0"/>
        </w:tabs>
        <w:ind w:hanging="482"/>
      </w:pPr>
      <w:rPr>
        <w:rFonts w:cs="Times New Roman" w:hint="default"/>
      </w:rPr>
    </w:lvl>
    <w:lvl w:ilvl="3">
      <w:start w:val="1"/>
      <w:numFmt w:val="none"/>
      <w:lvlRestart w:val="0"/>
      <w:lvlText w:val=""/>
      <w:lvlJc w:val="left"/>
      <w:pPr>
        <w:tabs>
          <w:tab w:val="num" w:pos="0"/>
        </w:tabs>
        <w:ind w:hanging="482"/>
      </w:pPr>
      <w:rPr>
        <w:rFonts w:cs="Times New Roman" w:hint="default"/>
      </w:rPr>
    </w:lvl>
    <w:lvl w:ilvl="4">
      <w:start w:val="1"/>
      <w:numFmt w:val="none"/>
      <w:lvlRestart w:val="0"/>
      <w:lvlText w:val=""/>
      <w:lvlJc w:val="left"/>
      <w:pPr>
        <w:tabs>
          <w:tab w:val="num" w:pos="0"/>
        </w:tabs>
        <w:ind w:hanging="482"/>
      </w:pPr>
      <w:rPr>
        <w:rFonts w:cs="Times New Roman" w:hint="default"/>
      </w:rPr>
    </w:lvl>
    <w:lvl w:ilvl="5">
      <w:start w:val="1"/>
      <w:numFmt w:val="none"/>
      <w:lvlRestart w:val="0"/>
      <w:lvlText w:val=""/>
      <w:lvlJc w:val="left"/>
      <w:pPr>
        <w:tabs>
          <w:tab w:val="num" w:pos="0"/>
        </w:tabs>
        <w:ind w:hanging="482"/>
      </w:pPr>
      <w:rPr>
        <w:rFonts w:cs="Times New Roman" w:hint="default"/>
      </w:rPr>
    </w:lvl>
    <w:lvl w:ilvl="6">
      <w:start w:val="1"/>
      <w:numFmt w:val="none"/>
      <w:lvlRestart w:val="0"/>
      <w:lvlText w:val=""/>
      <w:lvlJc w:val="left"/>
      <w:pPr>
        <w:tabs>
          <w:tab w:val="num" w:pos="0"/>
        </w:tabs>
        <w:ind w:hanging="482"/>
      </w:pPr>
      <w:rPr>
        <w:rFonts w:cs="Times New Roman" w:hint="default"/>
      </w:rPr>
    </w:lvl>
    <w:lvl w:ilvl="7">
      <w:start w:val="1"/>
      <w:numFmt w:val="none"/>
      <w:lvlRestart w:val="0"/>
      <w:lvlText w:val=""/>
      <w:lvlJc w:val="left"/>
      <w:pPr>
        <w:tabs>
          <w:tab w:val="num" w:pos="0"/>
        </w:tabs>
        <w:ind w:hanging="482"/>
      </w:pPr>
      <w:rPr>
        <w:rFonts w:cs="Times New Roman" w:hint="default"/>
      </w:rPr>
    </w:lvl>
    <w:lvl w:ilvl="8">
      <w:start w:val="1"/>
      <w:numFmt w:val="none"/>
      <w:lvlRestart w:val="0"/>
      <w:lvlText w:val=""/>
      <w:lvlJc w:val="left"/>
      <w:pPr>
        <w:tabs>
          <w:tab w:val="num" w:pos="0"/>
        </w:tabs>
        <w:ind w:hanging="482"/>
      </w:pPr>
      <w:rPr>
        <w:rFonts w:cs="Times New Roman" w:hint="default"/>
      </w:rPr>
    </w:lvl>
  </w:abstractNum>
  <w:abstractNum w:abstractNumId="11" w15:restartNumberingAfterBreak="0">
    <w:nsid w:val="467071CE"/>
    <w:multiLevelType w:val="multilevel"/>
    <w:tmpl w:val="D56E9BA2"/>
    <w:lvl w:ilvl="0">
      <w:start w:val="1"/>
      <w:numFmt w:val="decimal"/>
      <w:lvlText w:val="(%1)"/>
      <w:lvlJc w:val="left"/>
      <w:pPr>
        <w:tabs>
          <w:tab w:val="num" w:pos="567"/>
        </w:tabs>
        <w:ind w:left="567" w:hanging="567"/>
      </w:pPr>
      <w:rPr>
        <w:rFonts w:ascii="Times New Roman" w:hAnsi="Times New Roman" w:cs="Times New Roman" w:hint="default"/>
        <w:b w:val="0"/>
        <w:i w:val="0"/>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15:restartNumberingAfterBreak="0">
    <w:nsid w:val="514047BF"/>
    <w:multiLevelType w:val="hybridMultilevel"/>
    <w:tmpl w:val="3D82EEBC"/>
    <w:lvl w:ilvl="0" w:tplc="040C0003">
      <w:start w:val="1"/>
      <w:numFmt w:val="bullet"/>
      <w:lvlText w:val="o"/>
      <w:lvlJc w:val="left"/>
      <w:pPr>
        <w:ind w:left="1440" w:hanging="360"/>
      </w:pPr>
      <w:rPr>
        <w:rFonts w:ascii="Courier New" w:hAnsi="Courier New"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53A776E5"/>
    <w:multiLevelType w:val="hybridMultilevel"/>
    <w:tmpl w:val="E73EF442"/>
    <w:lvl w:ilvl="0" w:tplc="9B64C2C4">
      <w:start w:val="1"/>
      <w:numFmt w:val="bullet"/>
      <w:pStyle w:val="IPPBullet1Last"/>
      <w:lvlText w:val="-"/>
      <w:lvlJc w:val="left"/>
      <w:pPr>
        <w:tabs>
          <w:tab w:val="num" w:pos="567"/>
        </w:tabs>
        <w:ind w:left="567" w:hanging="567"/>
      </w:pPr>
      <w:rPr>
        <w:rFonts w:ascii="Times New Roman" w:hAnsi="Times New Roman" w:hint="default"/>
        <w:b w:val="0"/>
        <w:i w:val="0"/>
        <w:color w:val="auto"/>
        <w:sz w:val="22"/>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4" w15:restartNumberingAfterBreak="0">
    <w:nsid w:val="65AE0D6D"/>
    <w:multiLevelType w:val="hybridMultilevel"/>
    <w:tmpl w:val="4FE224AA"/>
    <w:lvl w:ilvl="0" w:tplc="462A3BA6">
      <w:start w:val="1"/>
      <w:numFmt w:val="lowerLetter"/>
      <w:lvlText w:val="(%1)"/>
      <w:lvlJc w:val="left"/>
      <w:pPr>
        <w:tabs>
          <w:tab w:val="num" w:pos="1134"/>
        </w:tabs>
        <w:ind w:left="1134" w:hanging="567"/>
      </w:pPr>
      <w:rPr>
        <w:rFonts w:ascii="Times New Roman" w:hAnsi="Times New Roman" w:cs="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354E39"/>
    <w:multiLevelType w:val="hybridMultilevel"/>
    <w:tmpl w:val="52EA3E24"/>
    <w:lvl w:ilvl="0" w:tplc="34EC9708">
      <w:numFmt w:val="bullet"/>
      <w:pStyle w:val="IPPBullet1"/>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672BA3"/>
    <w:multiLevelType w:val="hybridMultilevel"/>
    <w:tmpl w:val="68B091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51D2757"/>
    <w:multiLevelType w:val="hybridMultilevel"/>
    <w:tmpl w:val="8E445FD4"/>
    <w:lvl w:ilvl="0" w:tplc="C4348534">
      <w:start w:val="1"/>
      <w:numFmt w:val="bullet"/>
      <w:pStyle w:val="IPPBullet2"/>
      <w:lvlText w:val=""/>
      <w:lvlJc w:val="left"/>
      <w:pPr>
        <w:ind w:left="927" w:hanging="360"/>
      </w:pPr>
      <w:rPr>
        <w:rFonts w:ascii="Symbol" w:hAnsi="Symbo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5A30A7"/>
    <w:multiLevelType w:val="multilevel"/>
    <w:tmpl w:val="74BA6DAE"/>
    <w:lvl w:ilvl="0">
      <w:start w:val="2"/>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9" w15:restartNumberingAfterBreak="0">
    <w:nsid w:val="7E943ECD"/>
    <w:multiLevelType w:val="multilevel"/>
    <w:tmpl w:val="B55AE162"/>
    <w:lvl w:ilvl="0">
      <w:start w:val="1"/>
      <w:numFmt w:val="decimal"/>
      <w:lvlText w:val="%1."/>
      <w:lvlJc w:val="left"/>
      <w:pPr>
        <w:ind w:left="360" w:hanging="360"/>
      </w:pPr>
      <w:rPr>
        <w:rFonts w:cs="Times New Roman" w:hint="default"/>
      </w:rPr>
    </w:lvl>
    <w:lvl w:ilvl="1">
      <w:start w:val="1"/>
      <w:numFmt w:val="decimal"/>
      <w:pStyle w:val="IPPHdg2Num"/>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5"/>
  </w:num>
  <w:num w:numId="2">
    <w:abstractNumId w:val="7"/>
  </w:num>
  <w:num w:numId="3">
    <w:abstractNumId w:val="2"/>
    <w:lvlOverride w:ilvl="0">
      <w:lvl w:ilvl="0">
        <w:start w:val="1"/>
        <w:numFmt w:val="decimal"/>
        <w:pStyle w:val="IPPParagraphnumbering"/>
        <w:lvlText w:val="[%1]"/>
        <w:lvlJc w:val="left"/>
        <w:pPr>
          <w:tabs>
            <w:tab w:val="num" w:pos="0"/>
          </w:tabs>
          <w:ind w:hanging="482"/>
        </w:pPr>
        <w:rPr>
          <w:rFonts w:ascii="Arial" w:hAnsi="Arial" w:cs="Times New Roman" w:hint="default"/>
          <w:b w:val="0"/>
          <w:i/>
          <w:color w:val="0000FF"/>
          <w:sz w:val="16"/>
        </w:rPr>
      </w:lvl>
    </w:lvlOverride>
    <w:lvlOverride w:ilvl="1">
      <w:lvl w:ilvl="1">
        <w:start w:val="1"/>
        <w:numFmt w:val="none"/>
        <w:lvlRestart w:val="0"/>
        <w:lvlText w:val=""/>
        <w:lvlJc w:val="left"/>
        <w:pPr>
          <w:tabs>
            <w:tab w:val="num" w:pos="0"/>
          </w:tabs>
          <w:ind w:hanging="482"/>
        </w:pPr>
        <w:rPr>
          <w:rFonts w:cs="Times New Roman" w:hint="default"/>
        </w:rPr>
      </w:lvl>
    </w:lvlOverride>
    <w:lvlOverride w:ilvl="2">
      <w:lvl w:ilvl="2">
        <w:start w:val="1"/>
        <w:numFmt w:val="none"/>
        <w:lvlRestart w:val="0"/>
        <w:lvlText w:val=""/>
        <w:lvlJc w:val="left"/>
        <w:pPr>
          <w:tabs>
            <w:tab w:val="num" w:pos="0"/>
          </w:tabs>
          <w:ind w:hanging="482"/>
        </w:pPr>
        <w:rPr>
          <w:rFonts w:cs="Times New Roman" w:hint="default"/>
        </w:rPr>
      </w:lvl>
    </w:lvlOverride>
    <w:lvlOverride w:ilvl="3">
      <w:lvl w:ilvl="3">
        <w:start w:val="1"/>
        <w:numFmt w:val="none"/>
        <w:lvlRestart w:val="0"/>
        <w:lvlText w:val=""/>
        <w:lvlJc w:val="left"/>
        <w:pPr>
          <w:tabs>
            <w:tab w:val="num" w:pos="0"/>
          </w:tabs>
          <w:ind w:hanging="482"/>
        </w:pPr>
        <w:rPr>
          <w:rFonts w:cs="Times New Roman" w:hint="default"/>
        </w:rPr>
      </w:lvl>
    </w:lvlOverride>
    <w:lvlOverride w:ilvl="4">
      <w:lvl w:ilvl="4">
        <w:start w:val="1"/>
        <w:numFmt w:val="none"/>
        <w:lvlRestart w:val="0"/>
        <w:lvlText w:val=""/>
        <w:lvlJc w:val="left"/>
        <w:pPr>
          <w:tabs>
            <w:tab w:val="num" w:pos="0"/>
          </w:tabs>
          <w:ind w:hanging="482"/>
        </w:pPr>
        <w:rPr>
          <w:rFonts w:cs="Times New Roman" w:hint="default"/>
        </w:rPr>
      </w:lvl>
    </w:lvlOverride>
    <w:lvlOverride w:ilvl="5">
      <w:lvl w:ilvl="5">
        <w:start w:val="1"/>
        <w:numFmt w:val="none"/>
        <w:lvlRestart w:val="0"/>
        <w:lvlText w:val=""/>
        <w:lvlJc w:val="left"/>
        <w:pPr>
          <w:tabs>
            <w:tab w:val="num" w:pos="0"/>
          </w:tabs>
          <w:ind w:hanging="482"/>
        </w:pPr>
        <w:rPr>
          <w:rFonts w:cs="Times New Roman" w:hint="default"/>
        </w:rPr>
      </w:lvl>
    </w:lvlOverride>
    <w:lvlOverride w:ilvl="6">
      <w:lvl w:ilvl="6">
        <w:start w:val="1"/>
        <w:numFmt w:val="none"/>
        <w:lvlRestart w:val="0"/>
        <w:lvlText w:val=""/>
        <w:lvlJc w:val="left"/>
        <w:pPr>
          <w:tabs>
            <w:tab w:val="num" w:pos="0"/>
          </w:tabs>
          <w:ind w:hanging="482"/>
        </w:pPr>
        <w:rPr>
          <w:rFonts w:cs="Times New Roman" w:hint="default"/>
        </w:rPr>
      </w:lvl>
    </w:lvlOverride>
    <w:lvlOverride w:ilvl="7">
      <w:lvl w:ilvl="7">
        <w:start w:val="1"/>
        <w:numFmt w:val="none"/>
        <w:lvlRestart w:val="0"/>
        <w:lvlText w:val=""/>
        <w:lvlJc w:val="left"/>
        <w:pPr>
          <w:tabs>
            <w:tab w:val="num" w:pos="0"/>
          </w:tabs>
          <w:ind w:hanging="482"/>
        </w:pPr>
        <w:rPr>
          <w:rFonts w:cs="Times New Roman" w:hint="default"/>
        </w:rPr>
      </w:lvl>
    </w:lvlOverride>
    <w:lvlOverride w:ilvl="8">
      <w:lvl w:ilvl="8">
        <w:start w:val="1"/>
        <w:numFmt w:val="none"/>
        <w:lvlRestart w:val="0"/>
        <w:lvlText w:val=""/>
        <w:lvlJc w:val="left"/>
        <w:pPr>
          <w:tabs>
            <w:tab w:val="num" w:pos="0"/>
          </w:tabs>
          <w:ind w:hanging="482"/>
        </w:pPr>
        <w:rPr>
          <w:rFonts w:cs="Times New Roman" w:hint="default"/>
        </w:rPr>
      </w:lvl>
    </w:lvlOverride>
  </w:num>
  <w:num w:numId="4">
    <w:abstractNumId w:val="13"/>
  </w:num>
  <w:num w:numId="5">
    <w:abstractNumId w:val="15"/>
  </w:num>
  <w:num w:numId="6">
    <w:abstractNumId w:val="14"/>
  </w:num>
  <w:num w:numId="7">
    <w:abstractNumId w:val="3"/>
  </w:num>
  <w:num w:numId="8">
    <w:abstractNumId w:val="2"/>
  </w:num>
  <w:num w:numId="9">
    <w:abstractNumId w:val="17"/>
  </w:num>
  <w:num w:numId="10">
    <w:abstractNumId w:val="8"/>
  </w:num>
  <w:num w:numId="11">
    <w:abstractNumId w:val="19"/>
  </w:num>
  <w:num w:numId="12">
    <w:abstractNumId w:val="0"/>
  </w:num>
  <w:num w:numId="13">
    <w:abstractNumId w:val="4"/>
  </w:num>
  <w:num w:numId="14">
    <w:abstractNumId w:val="11"/>
  </w:num>
  <w:num w:numId="15">
    <w:abstractNumId w:val="9"/>
  </w:num>
  <w:num w:numId="16">
    <w:abstractNumId w:val="2"/>
    <w:lvlOverride w:ilvl="0">
      <w:lvl w:ilvl="0">
        <w:start w:val="1"/>
        <w:numFmt w:val="decimal"/>
        <w:pStyle w:val="IPPParagraphnumbering"/>
        <w:lvlText w:val="[%1]"/>
        <w:lvlJc w:val="left"/>
        <w:pPr>
          <w:tabs>
            <w:tab w:val="num" w:pos="0"/>
          </w:tabs>
          <w:ind w:hanging="482"/>
        </w:pPr>
        <w:rPr>
          <w:rFonts w:ascii="Arial" w:hAnsi="Arial" w:cs="Times New Roman" w:hint="default"/>
          <w:b w:val="0"/>
          <w:i/>
          <w:color w:val="0000FF"/>
          <w:sz w:val="16"/>
        </w:rPr>
      </w:lvl>
    </w:lvlOverride>
    <w:lvlOverride w:ilvl="1">
      <w:lvl w:ilvl="1">
        <w:start w:val="1"/>
        <w:numFmt w:val="none"/>
        <w:lvlRestart w:val="0"/>
        <w:lvlText w:val=""/>
        <w:lvlJc w:val="left"/>
        <w:pPr>
          <w:tabs>
            <w:tab w:val="num" w:pos="0"/>
          </w:tabs>
          <w:ind w:hanging="482"/>
        </w:pPr>
        <w:rPr>
          <w:rFonts w:cs="Times New Roman" w:hint="default"/>
        </w:rPr>
      </w:lvl>
    </w:lvlOverride>
    <w:lvlOverride w:ilvl="2">
      <w:lvl w:ilvl="2">
        <w:start w:val="1"/>
        <w:numFmt w:val="none"/>
        <w:lvlRestart w:val="0"/>
        <w:lvlText w:val=""/>
        <w:lvlJc w:val="left"/>
        <w:pPr>
          <w:tabs>
            <w:tab w:val="num" w:pos="0"/>
          </w:tabs>
          <w:ind w:hanging="482"/>
        </w:pPr>
        <w:rPr>
          <w:rFonts w:cs="Times New Roman" w:hint="default"/>
        </w:rPr>
      </w:lvl>
    </w:lvlOverride>
    <w:lvlOverride w:ilvl="3">
      <w:lvl w:ilvl="3">
        <w:start w:val="1"/>
        <w:numFmt w:val="none"/>
        <w:lvlRestart w:val="0"/>
        <w:lvlText w:val=""/>
        <w:lvlJc w:val="left"/>
        <w:pPr>
          <w:tabs>
            <w:tab w:val="num" w:pos="0"/>
          </w:tabs>
          <w:ind w:hanging="482"/>
        </w:pPr>
        <w:rPr>
          <w:rFonts w:cs="Times New Roman" w:hint="default"/>
        </w:rPr>
      </w:lvl>
    </w:lvlOverride>
    <w:lvlOverride w:ilvl="4">
      <w:lvl w:ilvl="4">
        <w:start w:val="1"/>
        <w:numFmt w:val="none"/>
        <w:lvlRestart w:val="0"/>
        <w:lvlText w:val=""/>
        <w:lvlJc w:val="left"/>
        <w:pPr>
          <w:tabs>
            <w:tab w:val="num" w:pos="0"/>
          </w:tabs>
          <w:ind w:hanging="482"/>
        </w:pPr>
        <w:rPr>
          <w:rFonts w:cs="Times New Roman" w:hint="default"/>
        </w:rPr>
      </w:lvl>
    </w:lvlOverride>
    <w:lvlOverride w:ilvl="5">
      <w:lvl w:ilvl="5">
        <w:start w:val="1"/>
        <w:numFmt w:val="none"/>
        <w:lvlRestart w:val="0"/>
        <w:lvlText w:val=""/>
        <w:lvlJc w:val="left"/>
        <w:pPr>
          <w:tabs>
            <w:tab w:val="num" w:pos="0"/>
          </w:tabs>
          <w:ind w:hanging="482"/>
        </w:pPr>
        <w:rPr>
          <w:rFonts w:cs="Times New Roman" w:hint="default"/>
        </w:rPr>
      </w:lvl>
    </w:lvlOverride>
    <w:lvlOverride w:ilvl="6">
      <w:lvl w:ilvl="6">
        <w:start w:val="1"/>
        <w:numFmt w:val="none"/>
        <w:lvlRestart w:val="0"/>
        <w:lvlText w:val=""/>
        <w:lvlJc w:val="left"/>
        <w:pPr>
          <w:tabs>
            <w:tab w:val="num" w:pos="0"/>
          </w:tabs>
          <w:ind w:hanging="482"/>
        </w:pPr>
        <w:rPr>
          <w:rFonts w:cs="Times New Roman" w:hint="default"/>
        </w:rPr>
      </w:lvl>
    </w:lvlOverride>
    <w:lvlOverride w:ilvl="7">
      <w:lvl w:ilvl="7">
        <w:start w:val="1"/>
        <w:numFmt w:val="none"/>
        <w:lvlRestart w:val="0"/>
        <w:lvlText w:val=""/>
        <w:lvlJc w:val="left"/>
        <w:pPr>
          <w:tabs>
            <w:tab w:val="num" w:pos="0"/>
          </w:tabs>
          <w:ind w:hanging="482"/>
        </w:pPr>
        <w:rPr>
          <w:rFonts w:cs="Times New Roman" w:hint="default"/>
        </w:rPr>
      </w:lvl>
    </w:lvlOverride>
    <w:lvlOverride w:ilvl="8">
      <w:lvl w:ilvl="8">
        <w:start w:val="1"/>
        <w:numFmt w:val="none"/>
        <w:lvlRestart w:val="0"/>
        <w:lvlText w:val=""/>
        <w:lvlJc w:val="left"/>
        <w:pPr>
          <w:tabs>
            <w:tab w:val="num" w:pos="0"/>
          </w:tabs>
          <w:ind w:hanging="482"/>
        </w:pPr>
        <w:rPr>
          <w:rFonts w:cs="Times New Roman" w:hint="default"/>
        </w:rPr>
      </w:lvl>
    </w:lvlOverride>
  </w:num>
  <w:num w:numId="17">
    <w:abstractNumId w:val="2"/>
    <w:lvlOverride w:ilvl="0">
      <w:lvl w:ilvl="0">
        <w:start w:val="1"/>
        <w:numFmt w:val="decimal"/>
        <w:pStyle w:val="IPPParagraphnumbering"/>
        <w:lvlText w:val="[%1]"/>
        <w:lvlJc w:val="left"/>
        <w:pPr>
          <w:tabs>
            <w:tab w:val="num" w:pos="0"/>
          </w:tabs>
          <w:ind w:hanging="482"/>
        </w:pPr>
        <w:rPr>
          <w:rFonts w:ascii="Arial" w:hAnsi="Arial" w:cs="Times New Roman" w:hint="default"/>
          <w:b w:val="0"/>
          <w:i/>
          <w:color w:val="0000FF"/>
          <w:sz w:val="16"/>
        </w:rPr>
      </w:lvl>
    </w:lvlOverride>
    <w:lvlOverride w:ilvl="1">
      <w:lvl w:ilvl="1">
        <w:start w:val="1"/>
        <w:numFmt w:val="none"/>
        <w:lvlRestart w:val="0"/>
        <w:lvlText w:val=""/>
        <w:lvlJc w:val="left"/>
        <w:pPr>
          <w:tabs>
            <w:tab w:val="num" w:pos="0"/>
          </w:tabs>
          <w:ind w:hanging="482"/>
        </w:pPr>
        <w:rPr>
          <w:rFonts w:cs="Times New Roman" w:hint="default"/>
        </w:rPr>
      </w:lvl>
    </w:lvlOverride>
    <w:lvlOverride w:ilvl="2">
      <w:lvl w:ilvl="2">
        <w:start w:val="1"/>
        <w:numFmt w:val="none"/>
        <w:lvlRestart w:val="0"/>
        <w:lvlText w:val=""/>
        <w:lvlJc w:val="left"/>
        <w:pPr>
          <w:tabs>
            <w:tab w:val="num" w:pos="0"/>
          </w:tabs>
          <w:ind w:hanging="482"/>
        </w:pPr>
        <w:rPr>
          <w:rFonts w:cs="Times New Roman" w:hint="default"/>
        </w:rPr>
      </w:lvl>
    </w:lvlOverride>
    <w:lvlOverride w:ilvl="3">
      <w:lvl w:ilvl="3">
        <w:start w:val="1"/>
        <w:numFmt w:val="none"/>
        <w:lvlRestart w:val="0"/>
        <w:lvlText w:val=""/>
        <w:lvlJc w:val="left"/>
        <w:pPr>
          <w:tabs>
            <w:tab w:val="num" w:pos="0"/>
          </w:tabs>
          <w:ind w:hanging="482"/>
        </w:pPr>
        <w:rPr>
          <w:rFonts w:cs="Times New Roman" w:hint="default"/>
        </w:rPr>
      </w:lvl>
    </w:lvlOverride>
    <w:lvlOverride w:ilvl="4">
      <w:lvl w:ilvl="4">
        <w:start w:val="1"/>
        <w:numFmt w:val="none"/>
        <w:lvlRestart w:val="0"/>
        <w:lvlText w:val=""/>
        <w:lvlJc w:val="left"/>
        <w:pPr>
          <w:tabs>
            <w:tab w:val="num" w:pos="0"/>
          </w:tabs>
          <w:ind w:hanging="482"/>
        </w:pPr>
        <w:rPr>
          <w:rFonts w:cs="Times New Roman" w:hint="default"/>
        </w:rPr>
      </w:lvl>
    </w:lvlOverride>
    <w:lvlOverride w:ilvl="5">
      <w:lvl w:ilvl="5">
        <w:start w:val="1"/>
        <w:numFmt w:val="none"/>
        <w:lvlRestart w:val="0"/>
        <w:lvlText w:val=""/>
        <w:lvlJc w:val="left"/>
        <w:pPr>
          <w:tabs>
            <w:tab w:val="num" w:pos="0"/>
          </w:tabs>
          <w:ind w:hanging="482"/>
        </w:pPr>
        <w:rPr>
          <w:rFonts w:cs="Times New Roman" w:hint="default"/>
        </w:rPr>
      </w:lvl>
    </w:lvlOverride>
    <w:lvlOverride w:ilvl="6">
      <w:lvl w:ilvl="6">
        <w:start w:val="1"/>
        <w:numFmt w:val="none"/>
        <w:lvlRestart w:val="0"/>
        <w:lvlText w:val=""/>
        <w:lvlJc w:val="left"/>
        <w:pPr>
          <w:tabs>
            <w:tab w:val="num" w:pos="0"/>
          </w:tabs>
          <w:ind w:hanging="482"/>
        </w:pPr>
        <w:rPr>
          <w:rFonts w:cs="Times New Roman" w:hint="default"/>
        </w:rPr>
      </w:lvl>
    </w:lvlOverride>
    <w:lvlOverride w:ilvl="7">
      <w:lvl w:ilvl="7">
        <w:start w:val="1"/>
        <w:numFmt w:val="none"/>
        <w:lvlRestart w:val="0"/>
        <w:lvlText w:val=""/>
        <w:lvlJc w:val="left"/>
        <w:pPr>
          <w:tabs>
            <w:tab w:val="num" w:pos="0"/>
          </w:tabs>
          <w:ind w:hanging="482"/>
        </w:pPr>
        <w:rPr>
          <w:rFonts w:cs="Times New Roman" w:hint="default"/>
        </w:rPr>
      </w:lvl>
    </w:lvlOverride>
    <w:lvlOverride w:ilvl="8">
      <w:lvl w:ilvl="8">
        <w:start w:val="1"/>
        <w:numFmt w:val="none"/>
        <w:lvlRestart w:val="0"/>
        <w:lvlText w:val=""/>
        <w:lvlJc w:val="left"/>
        <w:pPr>
          <w:tabs>
            <w:tab w:val="num" w:pos="0"/>
          </w:tabs>
          <w:ind w:hanging="482"/>
        </w:pPr>
        <w:rPr>
          <w:rFonts w:cs="Times New Roman" w:hint="default"/>
        </w:rPr>
      </w:lvl>
    </w:lvlOverride>
  </w:num>
  <w:num w:numId="18">
    <w:abstractNumId w:val="2"/>
    <w:lvlOverride w:ilvl="0">
      <w:lvl w:ilvl="0">
        <w:start w:val="1"/>
        <w:numFmt w:val="decimal"/>
        <w:pStyle w:val="IPPParagraphnumbering"/>
        <w:lvlText w:val="[%1]"/>
        <w:lvlJc w:val="left"/>
        <w:pPr>
          <w:tabs>
            <w:tab w:val="num" w:pos="0"/>
          </w:tabs>
          <w:ind w:hanging="482"/>
        </w:pPr>
        <w:rPr>
          <w:rFonts w:ascii="Arial" w:hAnsi="Arial" w:cs="Times New Roman" w:hint="default"/>
          <w:b w:val="0"/>
          <w:i/>
          <w:color w:val="0000FF"/>
          <w:sz w:val="16"/>
        </w:rPr>
      </w:lvl>
    </w:lvlOverride>
    <w:lvlOverride w:ilvl="1">
      <w:lvl w:ilvl="1">
        <w:start w:val="1"/>
        <w:numFmt w:val="none"/>
        <w:lvlRestart w:val="0"/>
        <w:lvlText w:val=""/>
        <w:lvlJc w:val="left"/>
        <w:pPr>
          <w:tabs>
            <w:tab w:val="num" w:pos="0"/>
          </w:tabs>
          <w:ind w:hanging="482"/>
        </w:pPr>
        <w:rPr>
          <w:rFonts w:cs="Times New Roman" w:hint="default"/>
        </w:rPr>
      </w:lvl>
    </w:lvlOverride>
    <w:lvlOverride w:ilvl="2">
      <w:lvl w:ilvl="2">
        <w:start w:val="1"/>
        <w:numFmt w:val="none"/>
        <w:lvlRestart w:val="0"/>
        <w:lvlText w:val=""/>
        <w:lvlJc w:val="left"/>
        <w:pPr>
          <w:tabs>
            <w:tab w:val="num" w:pos="0"/>
          </w:tabs>
          <w:ind w:hanging="482"/>
        </w:pPr>
        <w:rPr>
          <w:rFonts w:cs="Times New Roman" w:hint="default"/>
        </w:rPr>
      </w:lvl>
    </w:lvlOverride>
    <w:lvlOverride w:ilvl="3">
      <w:lvl w:ilvl="3">
        <w:start w:val="1"/>
        <w:numFmt w:val="none"/>
        <w:lvlRestart w:val="0"/>
        <w:lvlText w:val=""/>
        <w:lvlJc w:val="left"/>
        <w:pPr>
          <w:tabs>
            <w:tab w:val="num" w:pos="0"/>
          </w:tabs>
          <w:ind w:hanging="482"/>
        </w:pPr>
        <w:rPr>
          <w:rFonts w:cs="Times New Roman" w:hint="default"/>
        </w:rPr>
      </w:lvl>
    </w:lvlOverride>
    <w:lvlOverride w:ilvl="4">
      <w:lvl w:ilvl="4">
        <w:start w:val="1"/>
        <w:numFmt w:val="none"/>
        <w:lvlRestart w:val="0"/>
        <w:lvlText w:val=""/>
        <w:lvlJc w:val="left"/>
        <w:pPr>
          <w:tabs>
            <w:tab w:val="num" w:pos="0"/>
          </w:tabs>
          <w:ind w:hanging="482"/>
        </w:pPr>
        <w:rPr>
          <w:rFonts w:cs="Times New Roman" w:hint="default"/>
        </w:rPr>
      </w:lvl>
    </w:lvlOverride>
    <w:lvlOverride w:ilvl="5">
      <w:lvl w:ilvl="5">
        <w:start w:val="1"/>
        <w:numFmt w:val="none"/>
        <w:lvlRestart w:val="0"/>
        <w:lvlText w:val=""/>
        <w:lvlJc w:val="left"/>
        <w:pPr>
          <w:tabs>
            <w:tab w:val="num" w:pos="0"/>
          </w:tabs>
          <w:ind w:hanging="482"/>
        </w:pPr>
        <w:rPr>
          <w:rFonts w:cs="Times New Roman" w:hint="default"/>
        </w:rPr>
      </w:lvl>
    </w:lvlOverride>
    <w:lvlOverride w:ilvl="6">
      <w:lvl w:ilvl="6">
        <w:start w:val="1"/>
        <w:numFmt w:val="none"/>
        <w:lvlRestart w:val="0"/>
        <w:lvlText w:val=""/>
        <w:lvlJc w:val="left"/>
        <w:pPr>
          <w:tabs>
            <w:tab w:val="num" w:pos="0"/>
          </w:tabs>
          <w:ind w:hanging="482"/>
        </w:pPr>
        <w:rPr>
          <w:rFonts w:cs="Times New Roman" w:hint="default"/>
        </w:rPr>
      </w:lvl>
    </w:lvlOverride>
    <w:lvlOverride w:ilvl="7">
      <w:lvl w:ilvl="7">
        <w:start w:val="1"/>
        <w:numFmt w:val="none"/>
        <w:lvlRestart w:val="0"/>
        <w:lvlText w:val=""/>
        <w:lvlJc w:val="left"/>
        <w:pPr>
          <w:tabs>
            <w:tab w:val="num" w:pos="0"/>
          </w:tabs>
          <w:ind w:hanging="482"/>
        </w:pPr>
        <w:rPr>
          <w:rFonts w:cs="Times New Roman" w:hint="default"/>
        </w:rPr>
      </w:lvl>
    </w:lvlOverride>
    <w:lvlOverride w:ilvl="8">
      <w:lvl w:ilvl="8">
        <w:start w:val="1"/>
        <w:numFmt w:val="none"/>
        <w:lvlRestart w:val="0"/>
        <w:lvlText w:val=""/>
        <w:lvlJc w:val="left"/>
        <w:pPr>
          <w:tabs>
            <w:tab w:val="num" w:pos="0"/>
          </w:tabs>
          <w:ind w:hanging="482"/>
        </w:pPr>
        <w:rPr>
          <w:rFonts w:cs="Times New Roman" w:hint="default"/>
        </w:rPr>
      </w:lvl>
    </w:lvlOverride>
  </w:num>
  <w:num w:numId="19">
    <w:abstractNumId w:val="2"/>
    <w:lvlOverride w:ilvl="0">
      <w:lvl w:ilvl="0">
        <w:start w:val="1"/>
        <w:numFmt w:val="decimal"/>
        <w:pStyle w:val="IPPParagraphnumbering"/>
        <w:lvlText w:val="[%1]"/>
        <w:lvlJc w:val="left"/>
        <w:pPr>
          <w:tabs>
            <w:tab w:val="num" w:pos="0"/>
          </w:tabs>
          <w:ind w:hanging="482"/>
        </w:pPr>
        <w:rPr>
          <w:rFonts w:ascii="Arial" w:hAnsi="Arial" w:cs="Times New Roman" w:hint="default"/>
          <w:b w:val="0"/>
          <w:i/>
          <w:color w:val="0000FF"/>
          <w:sz w:val="16"/>
        </w:rPr>
      </w:lvl>
    </w:lvlOverride>
    <w:lvlOverride w:ilvl="1">
      <w:lvl w:ilvl="1">
        <w:start w:val="1"/>
        <w:numFmt w:val="none"/>
        <w:lvlRestart w:val="0"/>
        <w:lvlText w:val=""/>
        <w:lvlJc w:val="left"/>
        <w:pPr>
          <w:tabs>
            <w:tab w:val="num" w:pos="0"/>
          </w:tabs>
          <w:ind w:hanging="482"/>
        </w:pPr>
        <w:rPr>
          <w:rFonts w:cs="Times New Roman" w:hint="default"/>
        </w:rPr>
      </w:lvl>
    </w:lvlOverride>
    <w:lvlOverride w:ilvl="2">
      <w:lvl w:ilvl="2">
        <w:start w:val="1"/>
        <w:numFmt w:val="none"/>
        <w:lvlRestart w:val="0"/>
        <w:lvlText w:val=""/>
        <w:lvlJc w:val="left"/>
        <w:pPr>
          <w:tabs>
            <w:tab w:val="num" w:pos="0"/>
          </w:tabs>
          <w:ind w:hanging="482"/>
        </w:pPr>
        <w:rPr>
          <w:rFonts w:cs="Times New Roman" w:hint="default"/>
        </w:rPr>
      </w:lvl>
    </w:lvlOverride>
    <w:lvlOverride w:ilvl="3">
      <w:lvl w:ilvl="3">
        <w:start w:val="1"/>
        <w:numFmt w:val="none"/>
        <w:lvlRestart w:val="0"/>
        <w:lvlText w:val=""/>
        <w:lvlJc w:val="left"/>
        <w:pPr>
          <w:tabs>
            <w:tab w:val="num" w:pos="0"/>
          </w:tabs>
          <w:ind w:hanging="482"/>
        </w:pPr>
        <w:rPr>
          <w:rFonts w:cs="Times New Roman" w:hint="default"/>
        </w:rPr>
      </w:lvl>
    </w:lvlOverride>
    <w:lvlOverride w:ilvl="4">
      <w:lvl w:ilvl="4">
        <w:start w:val="1"/>
        <w:numFmt w:val="none"/>
        <w:lvlRestart w:val="0"/>
        <w:lvlText w:val=""/>
        <w:lvlJc w:val="left"/>
        <w:pPr>
          <w:tabs>
            <w:tab w:val="num" w:pos="0"/>
          </w:tabs>
          <w:ind w:hanging="482"/>
        </w:pPr>
        <w:rPr>
          <w:rFonts w:cs="Times New Roman" w:hint="default"/>
        </w:rPr>
      </w:lvl>
    </w:lvlOverride>
    <w:lvlOverride w:ilvl="5">
      <w:lvl w:ilvl="5">
        <w:start w:val="1"/>
        <w:numFmt w:val="none"/>
        <w:lvlRestart w:val="0"/>
        <w:lvlText w:val=""/>
        <w:lvlJc w:val="left"/>
        <w:pPr>
          <w:tabs>
            <w:tab w:val="num" w:pos="0"/>
          </w:tabs>
          <w:ind w:hanging="482"/>
        </w:pPr>
        <w:rPr>
          <w:rFonts w:cs="Times New Roman" w:hint="default"/>
        </w:rPr>
      </w:lvl>
    </w:lvlOverride>
    <w:lvlOverride w:ilvl="6">
      <w:lvl w:ilvl="6">
        <w:start w:val="1"/>
        <w:numFmt w:val="none"/>
        <w:lvlRestart w:val="0"/>
        <w:lvlText w:val=""/>
        <w:lvlJc w:val="left"/>
        <w:pPr>
          <w:tabs>
            <w:tab w:val="num" w:pos="0"/>
          </w:tabs>
          <w:ind w:hanging="482"/>
        </w:pPr>
        <w:rPr>
          <w:rFonts w:cs="Times New Roman" w:hint="default"/>
        </w:rPr>
      </w:lvl>
    </w:lvlOverride>
    <w:lvlOverride w:ilvl="7">
      <w:lvl w:ilvl="7">
        <w:start w:val="1"/>
        <w:numFmt w:val="none"/>
        <w:lvlRestart w:val="0"/>
        <w:lvlText w:val=""/>
        <w:lvlJc w:val="left"/>
        <w:pPr>
          <w:tabs>
            <w:tab w:val="num" w:pos="0"/>
          </w:tabs>
          <w:ind w:hanging="482"/>
        </w:pPr>
        <w:rPr>
          <w:rFonts w:cs="Times New Roman" w:hint="default"/>
        </w:rPr>
      </w:lvl>
    </w:lvlOverride>
    <w:lvlOverride w:ilvl="8">
      <w:lvl w:ilvl="8">
        <w:start w:val="1"/>
        <w:numFmt w:val="none"/>
        <w:lvlRestart w:val="0"/>
        <w:lvlText w:val=""/>
        <w:lvlJc w:val="left"/>
        <w:pPr>
          <w:tabs>
            <w:tab w:val="num" w:pos="0"/>
          </w:tabs>
          <w:ind w:hanging="482"/>
        </w:pPr>
        <w:rPr>
          <w:rFonts w:cs="Times New Roman" w:hint="default"/>
        </w:rPr>
      </w:lvl>
    </w:lvlOverride>
  </w:num>
  <w:num w:numId="20">
    <w:abstractNumId w:val="6"/>
  </w:num>
  <w:num w:numId="21">
    <w:abstractNumId w:val="2"/>
    <w:lvlOverride w:ilvl="0">
      <w:lvl w:ilvl="0">
        <w:start w:val="1"/>
        <w:numFmt w:val="decimal"/>
        <w:pStyle w:val="IPPParagraphnumbering"/>
        <w:lvlText w:val="[%1]"/>
        <w:lvlJc w:val="left"/>
        <w:pPr>
          <w:tabs>
            <w:tab w:val="num" w:pos="0"/>
          </w:tabs>
          <w:ind w:hanging="482"/>
        </w:pPr>
        <w:rPr>
          <w:rFonts w:ascii="Arial" w:hAnsi="Arial" w:cs="Times New Roman" w:hint="default"/>
          <w:b w:val="0"/>
          <w:i/>
          <w:color w:val="0000FF"/>
          <w:sz w:val="16"/>
        </w:rPr>
      </w:lvl>
    </w:lvlOverride>
    <w:lvlOverride w:ilvl="1">
      <w:lvl w:ilvl="1">
        <w:start w:val="1"/>
        <w:numFmt w:val="none"/>
        <w:lvlRestart w:val="0"/>
        <w:lvlText w:val=""/>
        <w:lvlJc w:val="left"/>
        <w:pPr>
          <w:tabs>
            <w:tab w:val="num" w:pos="0"/>
          </w:tabs>
          <w:ind w:hanging="482"/>
        </w:pPr>
        <w:rPr>
          <w:rFonts w:cs="Times New Roman" w:hint="default"/>
        </w:rPr>
      </w:lvl>
    </w:lvlOverride>
    <w:lvlOverride w:ilvl="2">
      <w:lvl w:ilvl="2">
        <w:start w:val="1"/>
        <w:numFmt w:val="none"/>
        <w:lvlRestart w:val="0"/>
        <w:lvlText w:val=""/>
        <w:lvlJc w:val="left"/>
        <w:pPr>
          <w:tabs>
            <w:tab w:val="num" w:pos="0"/>
          </w:tabs>
          <w:ind w:hanging="482"/>
        </w:pPr>
        <w:rPr>
          <w:rFonts w:cs="Times New Roman" w:hint="default"/>
        </w:rPr>
      </w:lvl>
    </w:lvlOverride>
    <w:lvlOverride w:ilvl="3">
      <w:lvl w:ilvl="3">
        <w:start w:val="1"/>
        <w:numFmt w:val="none"/>
        <w:lvlRestart w:val="0"/>
        <w:lvlText w:val=""/>
        <w:lvlJc w:val="left"/>
        <w:pPr>
          <w:tabs>
            <w:tab w:val="num" w:pos="0"/>
          </w:tabs>
          <w:ind w:hanging="482"/>
        </w:pPr>
        <w:rPr>
          <w:rFonts w:cs="Times New Roman" w:hint="default"/>
        </w:rPr>
      </w:lvl>
    </w:lvlOverride>
    <w:lvlOverride w:ilvl="4">
      <w:lvl w:ilvl="4">
        <w:start w:val="1"/>
        <w:numFmt w:val="none"/>
        <w:lvlRestart w:val="0"/>
        <w:lvlText w:val=""/>
        <w:lvlJc w:val="left"/>
        <w:pPr>
          <w:tabs>
            <w:tab w:val="num" w:pos="0"/>
          </w:tabs>
          <w:ind w:hanging="482"/>
        </w:pPr>
        <w:rPr>
          <w:rFonts w:cs="Times New Roman" w:hint="default"/>
        </w:rPr>
      </w:lvl>
    </w:lvlOverride>
    <w:lvlOverride w:ilvl="5">
      <w:lvl w:ilvl="5">
        <w:start w:val="1"/>
        <w:numFmt w:val="none"/>
        <w:lvlRestart w:val="0"/>
        <w:lvlText w:val=""/>
        <w:lvlJc w:val="left"/>
        <w:pPr>
          <w:tabs>
            <w:tab w:val="num" w:pos="0"/>
          </w:tabs>
          <w:ind w:hanging="482"/>
        </w:pPr>
        <w:rPr>
          <w:rFonts w:cs="Times New Roman" w:hint="default"/>
        </w:rPr>
      </w:lvl>
    </w:lvlOverride>
    <w:lvlOverride w:ilvl="6">
      <w:lvl w:ilvl="6">
        <w:start w:val="1"/>
        <w:numFmt w:val="none"/>
        <w:lvlRestart w:val="0"/>
        <w:lvlText w:val=""/>
        <w:lvlJc w:val="left"/>
        <w:pPr>
          <w:tabs>
            <w:tab w:val="num" w:pos="0"/>
          </w:tabs>
          <w:ind w:hanging="482"/>
        </w:pPr>
        <w:rPr>
          <w:rFonts w:cs="Times New Roman" w:hint="default"/>
        </w:rPr>
      </w:lvl>
    </w:lvlOverride>
    <w:lvlOverride w:ilvl="7">
      <w:lvl w:ilvl="7">
        <w:start w:val="1"/>
        <w:numFmt w:val="none"/>
        <w:lvlRestart w:val="0"/>
        <w:lvlText w:val=""/>
        <w:lvlJc w:val="left"/>
        <w:pPr>
          <w:tabs>
            <w:tab w:val="num" w:pos="0"/>
          </w:tabs>
          <w:ind w:hanging="482"/>
        </w:pPr>
        <w:rPr>
          <w:rFonts w:cs="Times New Roman" w:hint="default"/>
        </w:rPr>
      </w:lvl>
    </w:lvlOverride>
    <w:lvlOverride w:ilvl="8">
      <w:lvl w:ilvl="8">
        <w:start w:val="1"/>
        <w:numFmt w:val="none"/>
        <w:lvlRestart w:val="0"/>
        <w:lvlText w:val=""/>
        <w:lvlJc w:val="left"/>
        <w:pPr>
          <w:tabs>
            <w:tab w:val="num" w:pos="0"/>
          </w:tabs>
          <w:ind w:hanging="482"/>
        </w:pPr>
        <w:rPr>
          <w:rFonts w:cs="Times New Roman" w:hint="default"/>
        </w:rPr>
      </w:lvl>
    </w:lvlOverride>
  </w:num>
  <w:num w:numId="22">
    <w:abstractNumId w:val="2"/>
    <w:lvlOverride w:ilvl="0">
      <w:lvl w:ilvl="0">
        <w:start w:val="1"/>
        <w:numFmt w:val="decimal"/>
        <w:pStyle w:val="IPPParagraphnumbering"/>
        <w:lvlText w:val="[%1]"/>
        <w:lvlJc w:val="left"/>
        <w:pPr>
          <w:tabs>
            <w:tab w:val="num" w:pos="0"/>
          </w:tabs>
          <w:ind w:hanging="482"/>
        </w:pPr>
        <w:rPr>
          <w:rFonts w:ascii="Arial" w:hAnsi="Arial" w:cs="Times New Roman" w:hint="default"/>
          <w:b w:val="0"/>
          <w:i/>
          <w:color w:val="0000FF"/>
          <w:sz w:val="16"/>
        </w:rPr>
      </w:lvl>
    </w:lvlOverride>
    <w:lvlOverride w:ilvl="1">
      <w:lvl w:ilvl="1">
        <w:start w:val="1"/>
        <w:numFmt w:val="none"/>
        <w:lvlRestart w:val="0"/>
        <w:lvlText w:val=""/>
        <w:lvlJc w:val="left"/>
        <w:pPr>
          <w:tabs>
            <w:tab w:val="num" w:pos="0"/>
          </w:tabs>
          <w:ind w:hanging="482"/>
        </w:pPr>
        <w:rPr>
          <w:rFonts w:cs="Times New Roman" w:hint="default"/>
        </w:rPr>
      </w:lvl>
    </w:lvlOverride>
    <w:lvlOverride w:ilvl="2">
      <w:lvl w:ilvl="2">
        <w:start w:val="1"/>
        <w:numFmt w:val="none"/>
        <w:lvlRestart w:val="0"/>
        <w:lvlText w:val=""/>
        <w:lvlJc w:val="left"/>
        <w:pPr>
          <w:tabs>
            <w:tab w:val="num" w:pos="0"/>
          </w:tabs>
          <w:ind w:hanging="482"/>
        </w:pPr>
        <w:rPr>
          <w:rFonts w:cs="Times New Roman" w:hint="default"/>
        </w:rPr>
      </w:lvl>
    </w:lvlOverride>
    <w:lvlOverride w:ilvl="3">
      <w:lvl w:ilvl="3">
        <w:start w:val="1"/>
        <w:numFmt w:val="none"/>
        <w:lvlRestart w:val="0"/>
        <w:lvlText w:val=""/>
        <w:lvlJc w:val="left"/>
        <w:pPr>
          <w:tabs>
            <w:tab w:val="num" w:pos="0"/>
          </w:tabs>
          <w:ind w:hanging="482"/>
        </w:pPr>
        <w:rPr>
          <w:rFonts w:cs="Times New Roman" w:hint="default"/>
        </w:rPr>
      </w:lvl>
    </w:lvlOverride>
    <w:lvlOverride w:ilvl="4">
      <w:lvl w:ilvl="4">
        <w:start w:val="1"/>
        <w:numFmt w:val="none"/>
        <w:lvlRestart w:val="0"/>
        <w:lvlText w:val=""/>
        <w:lvlJc w:val="left"/>
        <w:pPr>
          <w:tabs>
            <w:tab w:val="num" w:pos="0"/>
          </w:tabs>
          <w:ind w:hanging="482"/>
        </w:pPr>
        <w:rPr>
          <w:rFonts w:cs="Times New Roman" w:hint="default"/>
        </w:rPr>
      </w:lvl>
    </w:lvlOverride>
    <w:lvlOverride w:ilvl="5">
      <w:lvl w:ilvl="5">
        <w:start w:val="1"/>
        <w:numFmt w:val="none"/>
        <w:lvlRestart w:val="0"/>
        <w:lvlText w:val=""/>
        <w:lvlJc w:val="left"/>
        <w:pPr>
          <w:tabs>
            <w:tab w:val="num" w:pos="0"/>
          </w:tabs>
          <w:ind w:hanging="482"/>
        </w:pPr>
        <w:rPr>
          <w:rFonts w:cs="Times New Roman" w:hint="default"/>
        </w:rPr>
      </w:lvl>
    </w:lvlOverride>
    <w:lvlOverride w:ilvl="6">
      <w:lvl w:ilvl="6">
        <w:start w:val="1"/>
        <w:numFmt w:val="none"/>
        <w:lvlRestart w:val="0"/>
        <w:lvlText w:val=""/>
        <w:lvlJc w:val="left"/>
        <w:pPr>
          <w:tabs>
            <w:tab w:val="num" w:pos="0"/>
          </w:tabs>
          <w:ind w:hanging="482"/>
        </w:pPr>
        <w:rPr>
          <w:rFonts w:cs="Times New Roman" w:hint="default"/>
        </w:rPr>
      </w:lvl>
    </w:lvlOverride>
    <w:lvlOverride w:ilvl="7">
      <w:lvl w:ilvl="7">
        <w:start w:val="1"/>
        <w:numFmt w:val="none"/>
        <w:lvlRestart w:val="0"/>
        <w:lvlText w:val=""/>
        <w:lvlJc w:val="left"/>
        <w:pPr>
          <w:tabs>
            <w:tab w:val="num" w:pos="0"/>
          </w:tabs>
          <w:ind w:hanging="482"/>
        </w:pPr>
        <w:rPr>
          <w:rFonts w:cs="Times New Roman" w:hint="default"/>
        </w:rPr>
      </w:lvl>
    </w:lvlOverride>
    <w:lvlOverride w:ilvl="8">
      <w:lvl w:ilvl="8">
        <w:start w:val="1"/>
        <w:numFmt w:val="none"/>
        <w:lvlRestart w:val="0"/>
        <w:lvlText w:val=""/>
        <w:lvlJc w:val="left"/>
        <w:pPr>
          <w:tabs>
            <w:tab w:val="num" w:pos="0"/>
          </w:tabs>
          <w:ind w:hanging="482"/>
        </w:pPr>
        <w:rPr>
          <w:rFonts w:cs="Times New Roman" w:hint="default"/>
        </w:rPr>
      </w:lvl>
    </w:lvlOverride>
  </w:num>
  <w:num w:numId="23">
    <w:abstractNumId w:val="2"/>
    <w:lvlOverride w:ilvl="0">
      <w:lvl w:ilvl="0">
        <w:start w:val="1"/>
        <w:numFmt w:val="decimal"/>
        <w:pStyle w:val="IPPParagraphnumbering"/>
        <w:lvlText w:val="[%1]"/>
        <w:lvlJc w:val="left"/>
        <w:pPr>
          <w:tabs>
            <w:tab w:val="num" w:pos="0"/>
          </w:tabs>
          <w:ind w:hanging="482"/>
        </w:pPr>
        <w:rPr>
          <w:rFonts w:ascii="Arial" w:hAnsi="Arial" w:cs="Times New Roman" w:hint="default"/>
          <w:b w:val="0"/>
          <w:i/>
          <w:color w:val="0000FF"/>
          <w:sz w:val="16"/>
        </w:rPr>
      </w:lvl>
    </w:lvlOverride>
    <w:lvlOverride w:ilvl="1">
      <w:lvl w:ilvl="1">
        <w:start w:val="1"/>
        <w:numFmt w:val="none"/>
        <w:lvlRestart w:val="0"/>
        <w:lvlText w:val=""/>
        <w:lvlJc w:val="left"/>
        <w:pPr>
          <w:tabs>
            <w:tab w:val="num" w:pos="0"/>
          </w:tabs>
          <w:ind w:hanging="482"/>
        </w:pPr>
        <w:rPr>
          <w:rFonts w:cs="Times New Roman" w:hint="default"/>
        </w:rPr>
      </w:lvl>
    </w:lvlOverride>
    <w:lvlOverride w:ilvl="2">
      <w:lvl w:ilvl="2">
        <w:start w:val="1"/>
        <w:numFmt w:val="none"/>
        <w:lvlRestart w:val="0"/>
        <w:lvlText w:val=""/>
        <w:lvlJc w:val="left"/>
        <w:pPr>
          <w:tabs>
            <w:tab w:val="num" w:pos="0"/>
          </w:tabs>
          <w:ind w:hanging="482"/>
        </w:pPr>
        <w:rPr>
          <w:rFonts w:cs="Times New Roman" w:hint="default"/>
        </w:rPr>
      </w:lvl>
    </w:lvlOverride>
    <w:lvlOverride w:ilvl="3">
      <w:lvl w:ilvl="3">
        <w:start w:val="1"/>
        <w:numFmt w:val="none"/>
        <w:lvlRestart w:val="0"/>
        <w:lvlText w:val=""/>
        <w:lvlJc w:val="left"/>
        <w:pPr>
          <w:tabs>
            <w:tab w:val="num" w:pos="0"/>
          </w:tabs>
          <w:ind w:hanging="482"/>
        </w:pPr>
        <w:rPr>
          <w:rFonts w:cs="Times New Roman" w:hint="default"/>
        </w:rPr>
      </w:lvl>
    </w:lvlOverride>
    <w:lvlOverride w:ilvl="4">
      <w:lvl w:ilvl="4">
        <w:start w:val="1"/>
        <w:numFmt w:val="none"/>
        <w:lvlRestart w:val="0"/>
        <w:lvlText w:val=""/>
        <w:lvlJc w:val="left"/>
        <w:pPr>
          <w:tabs>
            <w:tab w:val="num" w:pos="0"/>
          </w:tabs>
          <w:ind w:hanging="482"/>
        </w:pPr>
        <w:rPr>
          <w:rFonts w:cs="Times New Roman" w:hint="default"/>
        </w:rPr>
      </w:lvl>
    </w:lvlOverride>
    <w:lvlOverride w:ilvl="5">
      <w:lvl w:ilvl="5">
        <w:start w:val="1"/>
        <w:numFmt w:val="none"/>
        <w:lvlRestart w:val="0"/>
        <w:lvlText w:val=""/>
        <w:lvlJc w:val="left"/>
        <w:pPr>
          <w:tabs>
            <w:tab w:val="num" w:pos="0"/>
          </w:tabs>
          <w:ind w:hanging="482"/>
        </w:pPr>
        <w:rPr>
          <w:rFonts w:cs="Times New Roman" w:hint="default"/>
        </w:rPr>
      </w:lvl>
    </w:lvlOverride>
    <w:lvlOverride w:ilvl="6">
      <w:lvl w:ilvl="6">
        <w:start w:val="1"/>
        <w:numFmt w:val="none"/>
        <w:lvlRestart w:val="0"/>
        <w:lvlText w:val=""/>
        <w:lvlJc w:val="left"/>
        <w:pPr>
          <w:tabs>
            <w:tab w:val="num" w:pos="0"/>
          </w:tabs>
          <w:ind w:hanging="482"/>
        </w:pPr>
        <w:rPr>
          <w:rFonts w:cs="Times New Roman" w:hint="default"/>
        </w:rPr>
      </w:lvl>
    </w:lvlOverride>
    <w:lvlOverride w:ilvl="7">
      <w:lvl w:ilvl="7">
        <w:start w:val="1"/>
        <w:numFmt w:val="none"/>
        <w:lvlRestart w:val="0"/>
        <w:lvlText w:val=""/>
        <w:lvlJc w:val="left"/>
        <w:pPr>
          <w:tabs>
            <w:tab w:val="num" w:pos="0"/>
          </w:tabs>
          <w:ind w:hanging="482"/>
        </w:pPr>
        <w:rPr>
          <w:rFonts w:cs="Times New Roman" w:hint="default"/>
        </w:rPr>
      </w:lvl>
    </w:lvlOverride>
    <w:lvlOverride w:ilvl="8">
      <w:lvl w:ilvl="8">
        <w:start w:val="1"/>
        <w:numFmt w:val="none"/>
        <w:lvlRestart w:val="0"/>
        <w:lvlText w:val=""/>
        <w:lvlJc w:val="left"/>
        <w:pPr>
          <w:tabs>
            <w:tab w:val="num" w:pos="0"/>
          </w:tabs>
          <w:ind w:hanging="482"/>
        </w:pPr>
        <w:rPr>
          <w:rFonts w:cs="Times New Roman" w:hint="default"/>
        </w:rPr>
      </w:lvl>
    </w:lvlOverride>
  </w:num>
  <w:num w:numId="24">
    <w:abstractNumId w:val="2"/>
    <w:lvlOverride w:ilvl="0">
      <w:lvl w:ilvl="0">
        <w:start w:val="1"/>
        <w:numFmt w:val="decimal"/>
        <w:pStyle w:val="IPPParagraphnumbering"/>
        <w:lvlText w:val="[%1]"/>
        <w:lvlJc w:val="left"/>
        <w:pPr>
          <w:tabs>
            <w:tab w:val="num" w:pos="0"/>
          </w:tabs>
          <w:ind w:hanging="482"/>
        </w:pPr>
        <w:rPr>
          <w:rFonts w:ascii="Arial" w:hAnsi="Arial" w:cs="Times New Roman" w:hint="default"/>
          <w:b w:val="0"/>
          <w:i/>
          <w:color w:val="0000FF"/>
          <w:sz w:val="16"/>
        </w:rPr>
      </w:lvl>
    </w:lvlOverride>
    <w:lvlOverride w:ilvl="1">
      <w:lvl w:ilvl="1">
        <w:start w:val="1"/>
        <w:numFmt w:val="none"/>
        <w:lvlRestart w:val="0"/>
        <w:lvlText w:val=""/>
        <w:lvlJc w:val="left"/>
        <w:pPr>
          <w:tabs>
            <w:tab w:val="num" w:pos="0"/>
          </w:tabs>
          <w:ind w:hanging="482"/>
        </w:pPr>
        <w:rPr>
          <w:rFonts w:cs="Times New Roman" w:hint="default"/>
        </w:rPr>
      </w:lvl>
    </w:lvlOverride>
    <w:lvlOverride w:ilvl="2">
      <w:lvl w:ilvl="2">
        <w:start w:val="1"/>
        <w:numFmt w:val="none"/>
        <w:lvlRestart w:val="0"/>
        <w:lvlText w:val=""/>
        <w:lvlJc w:val="left"/>
        <w:pPr>
          <w:tabs>
            <w:tab w:val="num" w:pos="0"/>
          </w:tabs>
          <w:ind w:hanging="482"/>
        </w:pPr>
        <w:rPr>
          <w:rFonts w:cs="Times New Roman" w:hint="default"/>
        </w:rPr>
      </w:lvl>
    </w:lvlOverride>
    <w:lvlOverride w:ilvl="3">
      <w:lvl w:ilvl="3">
        <w:start w:val="1"/>
        <w:numFmt w:val="none"/>
        <w:lvlRestart w:val="0"/>
        <w:lvlText w:val=""/>
        <w:lvlJc w:val="left"/>
        <w:pPr>
          <w:tabs>
            <w:tab w:val="num" w:pos="0"/>
          </w:tabs>
          <w:ind w:hanging="482"/>
        </w:pPr>
        <w:rPr>
          <w:rFonts w:cs="Times New Roman" w:hint="default"/>
        </w:rPr>
      </w:lvl>
    </w:lvlOverride>
    <w:lvlOverride w:ilvl="4">
      <w:lvl w:ilvl="4">
        <w:start w:val="1"/>
        <w:numFmt w:val="none"/>
        <w:lvlRestart w:val="0"/>
        <w:lvlText w:val=""/>
        <w:lvlJc w:val="left"/>
        <w:pPr>
          <w:tabs>
            <w:tab w:val="num" w:pos="0"/>
          </w:tabs>
          <w:ind w:hanging="482"/>
        </w:pPr>
        <w:rPr>
          <w:rFonts w:cs="Times New Roman" w:hint="default"/>
        </w:rPr>
      </w:lvl>
    </w:lvlOverride>
    <w:lvlOverride w:ilvl="5">
      <w:lvl w:ilvl="5">
        <w:start w:val="1"/>
        <w:numFmt w:val="none"/>
        <w:lvlRestart w:val="0"/>
        <w:lvlText w:val=""/>
        <w:lvlJc w:val="left"/>
        <w:pPr>
          <w:tabs>
            <w:tab w:val="num" w:pos="0"/>
          </w:tabs>
          <w:ind w:hanging="482"/>
        </w:pPr>
        <w:rPr>
          <w:rFonts w:cs="Times New Roman" w:hint="default"/>
        </w:rPr>
      </w:lvl>
    </w:lvlOverride>
    <w:lvlOverride w:ilvl="6">
      <w:lvl w:ilvl="6">
        <w:start w:val="1"/>
        <w:numFmt w:val="none"/>
        <w:lvlRestart w:val="0"/>
        <w:lvlText w:val=""/>
        <w:lvlJc w:val="left"/>
        <w:pPr>
          <w:tabs>
            <w:tab w:val="num" w:pos="0"/>
          </w:tabs>
          <w:ind w:hanging="482"/>
        </w:pPr>
        <w:rPr>
          <w:rFonts w:cs="Times New Roman" w:hint="default"/>
        </w:rPr>
      </w:lvl>
    </w:lvlOverride>
    <w:lvlOverride w:ilvl="7">
      <w:lvl w:ilvl="7">
        <w:start w:val="1"/>
        <w:numFmt w:val="none"/>
        <w:lvlRestart w:val="0"/>
        <w:lvlText w:val=""/>
        <w:lvlJc w:val="left"/>
        <w:pPr>
          <w:tabs>
            <w:tab w:val="num" w:pos="0"/>
          </w:tabs>
          <w:ind w:hanging="482"/>
        </w:pPr>
        <w:rPr>
          <w:rFonts w:cs="Times New Roman" w:hint="default"/>
        </w:rPr>
      </w:lvl>
    </w:lvlOverride>
    <w:lvlOverride w:ilvl="8">
      <w:lvl w:ilvl="8">
        <w:start w:val="1"/>
        <w:numFmt w:val="none"/>
        <w:lvlRestart w:val="0"/>
        <w:lvlText w:val=""/>
        <w:lvlJc w:val="left"/>
        <w:pPr>
          <w:tabs>
            <w:tab w:val="num" w:pos="0"/>
          </w:tabs>
          <w:ind w:hanging="482"/>
        </w:pPr>
        <w:rPr>
          <w:rFonts w:cs="Times New Roman" w:hint="default"/>
        </w:rPr>
      </w:lvl>
    </w:lvlOverride>
  </w:num>
  <w:num w:numId="25">
    <w:abstractNumId w:val="2"/>
    <w:lvlOverride w:ilvl="0">
      <w:lvl w:ilvl="0">
        <w:start w:val="1"/>
        <w:numFmt w:val="decimal"/>
        <w:pStyle w:val="IPPParagraphnumbering"/>
        <w:lvlText w:val="[%1]"/>
        <w:lvlJc w:val="left"/>
        <w:pPr>
          <w:tabs>
            <w:tab w:val="num" w:pos="0"/>
          </w:tabs>
          <w:ind w:hanging="482"/>
        </w:pPr>
        <w:rPr>
          <w:rFonts w:ascii="Arial" w:hAnsi="Arial" w:cs="Times New Roman" w:hint="default"/>
          <w:b w:val="0"/>
          <w:i/>
          <w:color w:val="0000FF"/>
          <w:sz w:val="16"/>
        </w:rPr>
      </w:lvl>
    </w:lvlOverride>
    <w:lvlOverride w:ilvl="1">
      <w:lvl w:ilvl="1">
        <w:start w:val="1"/>
        <w:numFmt w:val="none"/>
        <w:lvlRestart w:val="0"/>
        <w:lvlText w:val=""/>
        <w:lvlJc w:val="left"/>
        <w:pPr>
          <w:tabs>
            <w:tab w:val="num" w:pos="0"/>
          </w:tabs>
          <w:ind w:hanging="482"/>
        </w:pPr>
        <w:rPr>
          <w:rFonts w:cs="Times New Roman" w:hint="default"/>
        </w:rPr>
      </w:lvl>
    </w:lvlOverride>
    <w:lvlOverride w:ilvl="2">
      <w:lvl w:ilvl="2">
        <w:start w:val="1"/>
        <w:numFmt w:val="none"/>
        <w:lvlRestart w:val="0"/>
        <w:lvlText w:val=""/>
        <w:lvlJc w:val="left"/>
        <w:pPr>
          <w:tabs>
            <w:tab w:val="num" w:pos="0"/>
          </w:tabs>
          <w:ind w:hanging="482"/>
        </w:pPr>
        <w:rPr>
          <w:rFonts w:cs="Times New Roman" w:hint="default"/>
        </w:rPr>
      </w:lvl>
    </w:lvlOverride>
    <w:lvlOverride w:ilvl="3">
      <w:lvl w:ilvl="3">
        <w:start w:val="1"/>
        <w:numFmt w:val="none"/>
        <w:lvlRestart w:val="0"/>
        <w:lvlText w:val=""/>
        <w:lvlJc w:val="left"/>
        <w:pPr>
          <w:tabs>
            <w:tab w:val="num" w:pos="0"/>
          </w:tabs>
          <w:ind w:hanging="482"/>
        </w:pPr>
        <w:rPr>
          <w:rFonts w:cs="Times New Roman" w:hint="default"/>
        </w:rPr>
      </w:lvl>
    </w:lvlOverride>
    <w:lvlOverride w:ilvl="4">
      <w:lvl w:ilvl="4">
        <w:start w:val="1"/>
        <w:numFmt w:val="none"/>
        <w:lvlRestart w:val="0"/>
        <w:lvlText w:val=""/>
        <w:lvlJc w:val="left"/>
        <w:pPr>
          <w:tabs>
            <w:tab w:val="num" w:pos="0"/>
          </w:tabs>
          <w:ind w:hanging="482"/>
        </w:pPr>
        <w:rPr>
          <w:rFonts w:cs="Times New Roman" w:hint="default"/>
        </w:rPr>
      </w:lvl>
    </w:lvlOverride>
    <w:lvlOverride w:ilvl="5">
      <w:lvl w:ilvl="5">
        <w:start w:val="1"/>
        <w:numFmt w:val="none"/>
        <w:lvlRestart w:val="0"/>
        <w:lvlText w:val=""/>
        <w:lvlJc w:val="left"/>
        <w:pPr>
          <w:tabs>
            <w:tab w:val="num" w:pos="0"/>
          </w:tabs>
          <w:ind w:hanging="482"/>
        </w:pPr>
        <w:rPr>
          <w:rFonts w:cs="Times New Roman" w:hint="default"/>
        </w:rPr>
      </w:lvl>
    </w:lvlOverride>
    <w:lvlOverride w:ilvl="6">
      <w:lvl w:ilvl="6">
        <w:start w:val="1"/>
        <w:numFmt w:val="none"/>
        <w:lvlRestart w:val="0"/>
        <w:lvlText w:val=""/>
        <w:lvlJc w:val="left"/>
        <w:pPr>
          <w:tabs>
            <w:tab w:val="num" w:pos="0"/>
          </w:tabs>
          <w:ind w:hanging="482"/>
        </w:pPr>
        <w:rPr>
          <w:rFonts w:cs="Times New Roman" w:hint="default"/>
        </w:rPr>
      </w:lvl>
    </w:lvlOverride>
    <w:lvlOverride w:ilvl="7">
      <w:lvl w:ilvl="7">
        <w:start w:val="1"/>
        <w:numFmt w:val="none"/>
        <w:lvlRestart w:val="0"/>
        <w:lvlText w:val=""/>
        <w:lvlJc w:val="left"/>
        <w:pPr>
          <w:tabs>
            <w:tab w:val="num" w:pos="0"/>
          </w:tabs>
          <w:ind w:hanging="482"/>
        </w:pPr>
        <w:rPr>
          <w:rFonts w:cs="Times New Roman" w:hint="default"/>
        </w:rPr>
      </w:lvl>
    </w:lvlOverride>
    <w:lvlOverride w:ilvl="8">
      <w:lvl w:ilvl="8">
        <w:start w:val="1"/>
        <w:numFmt w:val="none"/>
        <w:lvlRestart w:val="0"/>
        <w:lvlText w:val=""/>
        <w:lvlJc w:val="left"/>
        <w:pPr>
          <w:tabs>
            <w:tab w:val="num" w:pos="0"/>
          </w:tabs>
          <w:ind w:hanging="482"/>
        </w:pPr>
        <w:rPr>
          <w:rFonts w:cs="Times New Roman" w:hint="default"/>
        </w:rPr>
      </w:lvl>
    </w:lvlOverride>
  </w:num>
  <w:num w:numId="26">
    <w:abstractNumId w:val="2"/>
    <w:lvlOverride w:ilvl="0">
      <w:lvl w:ilvl="0">
        <w:start w:val="1"/>
        <w:numFmt w:val="decimal"/>
        <w:pStyle w:val="IPPParagraphnumbering"/>
        <w:lvlText w:val="[%1]"/>
        <w:lvlJc w:val="left"/>
        <w:pPr>
          <w:tabs>
            <w:tab w:val="num" w:pos="0"/>
          </w:tabs>
          <w:ind w:hanging="482"/>
        </w:pPr>
        <w:rPr>
          <w:rFonts w:ascii="Arial" w:hAnsi="Arial" w:cs="Times New Roman" w:hint="default"/>
          <w:b w:val="0"/>
          <w:i/>
          <w:color w:val="0000FF"/>
          <w:sz w:val="16"/>
        </w:rPr>
      </w:lvl>
    </w:lvlOverride>
    <w:lvlOverride w:ilvl="1">
      <w:lvl w:ilvl="1">
        <w:start w:val="1"/>
        <w:numFmt w:val="none"/>
        <w:lvlRestart w:val="0"/>
        <w:lvlText w:val=""/>
        <w:lvlJc w:val="left"/>
        <w:pPr>
          <w:tabs>
            <w:tab w:val="num" w:pos="0"/>
          </w:tabs>
          <w:ind w:hanging="482"/>
        </w:pPr>
        <w:rPr>
          <w:rFonts w:cs="Times New Roman" w:hint="default"/>
        </w:rPr>
      </w:lvl>
    </w:lvlOverride>
    <w:lvlOverride w:ilvl="2">
      <w:lvl w:ilvl="2">
        <w:start w:val="1"/>
        <w:numFmt w:val="none"/>
        <w:lvlRestart w:val="0"/>
        <w:lvlText w:val=""/>
        <w:lvlJc w:val="left"/>
        <w:pPr>
          <w:tabs>
            <w:tab w:val="num" w:pos="0"/>
          </w:tabs>
          <w:ind w:hanging="482"/>
        </w:pPr>
        <w:rPr>
          <w:rFonts w:cs="Times New Roman" w:hint="default"/>
        </w:rPr>
      </w:lvl>
    </w:lvlOverride>
    <w:lvlOverride w:ilvl="3">
      <w:lvl w:ilvl="3">
        <w:start w:val="1"/>
        <w:numFmt w:val="none"/>
        <w:lvlRestart w:val="0"/>
        <w:lvlText w:val=""/>
        <w:lvlJc w:val="left"/>
        <w:pPr>
          <w:tabs>
            <w:tab w:val="num" w:pos="0"/>
          </w:tabs>
          <w:ind w:hanging="482"/>
        </w:pPr>
        <w:rPr>
          <w:rFonts w:cs="Times New Roman" w:hint="default"/>
        </w:rPr>
      </w:lvl>
    </w:lvlOverride>
    <w:lvlOverride w:ilvl="4">
      <w:lvl w:ilvl="4">
        <w:start w:val="1"/>
        <w:numFmt w:val="none"/>
        <w:lvlRestart w:val="0"/>
        <w:lvlText w:val=""/>
        <w:lvlJc w:val="left"/>
        <w:pPr>
          <w:tabs>
            <w:tab w:val="num" w:pos="0"/>
          </w:tabs>
          <w:ind w:hanging="482"/>
        </w:pPr>
        <w:rPr>
          <w:rFonts w:cs="Times New Roman" w:hint="default"/>
        </w:rPr>
      </w:lvl>
    </w:lvlOverride>
    <w:lvlOverride w:ilvl="5">
      <w:lvl w:ilvl="5">
        <w:start w:val="1"/>
        <w:numFmt w:val="none"/>
        <w:lvlRestart w:val="0"/>
        <w:lvlText w:val=""/>
        <w:lvlJc w:val="left"/>
        <w:pPr>
          <w:tabs>
            <w:tab w:val="num" w:pos="0"/>
          </w:tabs>
          <w:ind w:hanging="482"/>
        </w:pPr>
        <w:rPr>
          <w:rFonts w:cs="Times New Roman" w:hint="default"/>
        </w:rPr>
      </w:lvl>
    </w:lvlOverride>
    <w:lvlOverride w:ilvl="6">
      <w:lvl w:ilvl="6">
        <w:start w:val="1"/>
        <w:numFmt w:val="none"/>
        <w:lvlRestart w:val="0"/>
        <w:lvlText w:val=""/>
        <w:lvlJc w:val="left"/>
        <w:pPr>
          <w:tabs>
            <w:tab w:val="num" w:pos="0"/>
          </w:tabs>
          <w:ind w:hanging="482"/>
        </w:pPr>
        <w:rPr>
          <w:rFonts w:cs="Times New Roman" w:hint="default"/>
        </w:rPr>
      </w:lvl>
    </w:lvlOverride>
    <w:lvlOverride w:ilvl="7">
      <w:lvl w:ilvl="7">
        <w:start w:val="1"/>
        <w:numFmt w:val="none"/>
        <w:lvlRestart w:val="0"/>
        <w:lvlText w:val=""/>
        <w:lvlJc w:val="left"/>
        <w:pPr>
          <w:tabs>
            <w:tab w:val="num" w:pos="0"/>
          </w:tabs>
          <w:ind w:hanging="482"/>
        </w:pPr>
        <w:rPr>
          <w:rFonts w:cs="Times New Roman" w:hint="default"/>
        </w:rPr>
      </w:lvl>
    </w:lvlOverride>
    <w:lvlOverride w:ilvl="8">
      <w:lvl w:ilvl="8">
        <w:start w:val="1"/>
        <w:numFmt w:val="none"/>
        <w:lvlRestart w:val="0"/>
        <w:lvlText w:val=""/>
        <w:lvlJc w:val="left"/>
        <w:pPr>
          <w:tabs>
            <w:tab w:val="num" w:pos="0"/>
          </w:tabs>
          <w:ind w:hanging="482"/>
        </w:pPr>
        <w:rPr>
          <w:rFonts w:cs="Times New Roman" w:hint="default"/>
        </w:rPr>
      </w:lvl>
    </w:lvlOverride>
  </w:num>
  <w:num w:numId="27">
    <w:abstractNumId w:val="10"/>
  </w:num>
  <w:num w:numId="28">
    <w:abstractNumId w:val="2"/>
    <w:lvlOverride w:ilvl="0">
      <w:lvl w:ilvl="0">
        <w:start w:val="1"/>
        <w:numFmt w:val="decimal"/>
        <w:pStyle w:val="IPPParagraphnumbering"/>
        <w:lvlText w:val="[%1]"/>
        <w:lvlJc w:val="left"/>
        <w:pPr>
          <w:tabs>
            <w:tab w:val="num" w:pos="0"/>
          </w:tabs>
          <w:ind w:hanging="482"/>
        </w:pPr>
        <w:rPr>
          <w:rFonts w:ascii="Arial" w:hAnsi="Arial" w:cs="Times New Roman" w:hint="default"/>
          <w:b w:val="0"/>
          <w:i/>
          <w:color w:val="0000FF"/>
          <w:sz w:val="16"/>
        </w:rPr>
      </w:lvl>
    </w:lvlOverride>
    <w:lvlOverride w:ilvl="1">
      <w:lvl w:ilvl="1">
        <w:start w:val="1"/>
        <w:numFmt w:val="none"/>
        <w:lvlRestart w:val="0"/>
        <w:lvlText w:val=""/>
        <w:lvlJc w:val="left"/>
        <w:pPr>
          <w:tabs>
            <w:tab w:val="num" w:pos="0"/>
          </w:tabs>
          <w:ind w:hanging="482"/>
        </w:pPr>
        <w:rPr>
          <w:rFonts w:cs="Times New Roman" w:hint="default"/>
        </w:rPr>
      </w:lvl>
    </w:lvlOverride>
    <w:lvlOverride w:ilvl="2">
      <w:lvl w:ilvl="2">
        <w:start w:val="1"/>
        <w:numFmt w:val="none"/>
        <w:lvlRestart w:val="0"/>
        <w:lvlText w:val=""/>
        <w:lvlJc w:val="left"/>
        <w:pPr>
          <w:tabs>
            <w:tab w:val="num" w:pos="0"/>
          </w:tabs>
          <w:ind w:hanging="482"/>
        </w:pPr>
        <w:rPr>
          <w:rFonts w:cs="Times New Roman" w:hint="default"/>
        </w:rPr>
      </w:lvl>
    </w:lvlOverride>
    <w:lvlOverride w:ilvl="3">
      <w:lvl w:ilvl="3">
        <w:start w:val="1"/>
        <w:numFmt w:val="none"/>
        <w:lvlRestart w:val="0"/>
        <w:lvlText w:val=""/>
        <w:lvlJc w:val="left"/>
        <w:pPr>
          <w:tabs>
            <w:tab w:val="num" w:pos="0"/>
          </w:tabs>
          <w:ind w:hanging="482"/>
        </w:pPr>
        <w:rPr>
          <w:rFonts w:cs="Times New Roman" w:hint="default"/>
        </w:rPr>
      </w:lvl>
    </w:lvlOverride>
    <w:lvlOverride w:ilvl="4">
      <w:lvl w:ilvl="4">
        <w:start w:val="1"/>
        <w:numFmt w:val="none"/>
        <w:lvlRestart w:val="0"/>
        <w:lvlText w:val=""/>
        <w:lvlJc w:val="left"/>
        <w:pPr>
          <w:tabs>
            <w:tab w:val="num" w:pos="0"/>
          </w:tabs>
          <w:ind w:hanging="482"/>
        </w:pPr>
        <w:rPr>
          <w:rFonts w:cs="Times New Roman" w:hint="default"/>
        </w:rPr>
      </w:lvl>
    </w:lvlOverride>
    <w:lvlOverride w:ilvl="5">
      <w:lvl w:ilvl="5">
        <w:start w:val="1"/>
        <w:numFmt w:val="none"/>
        <w:lvlRestart w:val="0"/>
        <w:lvlText w:val=""/>
        <w:lvlJc w:val="left"/>
        <w:pPr>
          <w:tabs>
            <w:tab w:val="num" w:pos="0"/>
          </w:tabs>
          <w:ind w:hanging="482"/>
        </w:pPr>
        <w:rPr>
          <w:rFonts w:cs="Times New Roman" w:hint="default"/>
        </w:rPr>
      </w:lvl>
    </w:lvlOverride>
    <w:lvlOverride w:ilvl="6">
      <w:lvl w:ilvl="6">
        <w:start w:val="1"/>
        <w:numFmt w:val="none"/>
        <w:lvlRestart w:val="0"/>
        <w:lvlText w:val=""/>
        <w:lvlJc w:val="left"/>
        <w:pPr>
          <w:tabs>
            <w:tab w:val="num" w:pos="0"/>
          </w:tabs>
          <w:ind w:hanging="482"/>
        </w:pPr>
        <w:rPr>
          <w:rFonts w:cs="Times New Roman" w:hint="default"/>
        </w:rPr>
      </w:lvl>
    </w:lvlOverride>
    <w:lvlOverride w:ilvl="7">
      <w:lvl w:ilvl="7">
        <w:start w:val="1"/>
        <w:numFmt w:val="none"/>
        <w:lvlRestart w:val="0"/>
        <w:lvlText w:val=""/>
        <w:lvlJc w:val="left"/>
        <w:pPr>
          <w:tabs>
            <w:tab w:val="num" w:pos="0"/>
          </w:tabs>
          <w:ind w:hanging="482"/>
        </w:pPr>
        <w:rPr>
          <w:rFonts w:cs="Times New Roman" w:hint="default"/>
        </w:rPr>
      </w:lvl>
    </w:lvlOverride>
    <w:lvlOverride w:ilvl="8">
      <w:lvl w:ilvl="8">
        <w:start w:val="1"/>
        <w:numFmt w:val="none"/>
        <w:lvlRestart w:val="0"/>
        <w:lvlText w:val=""/>
        <w:lvlJc w:val="left"/>
        <w:pPr>
          <w:tabs>
            <w:tab w:val="num" w:pos="0"/>
          </w:tabs>
          <w:ind w:hanging="482"/>
        </w:pPr>
        <w:rPr>
          <w:rFonts w:cs="Times New Roman" w:hint="default"/>
        </w:rPr>
      </w:lvl>
    </w:lvlOverride>
  </w:num>
  <w:num w:numId="29">
    <w:abstractNumId w:val="2"/>
    <w:lvlOverride w:ilvl="0">
      <w:lvl w:ilvl="0">
        <w:start w:val="1"/>
        <w:numFmt w:val="decimal"/>
        <w:pStyle w:val="IPPParagraphnumbering"/>
        <w:lvlText w:val="[%1]"/>
        <w:lvlJc w:val="left"/>
        <w:pPr>
          <w:tabs>
            <w:tab w:val="num" w:pos="0"/>
          </w:tabs>
          <w:ind w:hanging="482"/>
        </w:pPr>
        <w:rPr>
          <w:rFonts w:ascii="Arial" w:hAnsi="Arial" w:cs="Times New Roman" w:hint="default"/>
          <w:b w:val="0"/>
          <w:i/>
          <w:color w:val="0000FF"/>
          <w:sz w:val="16"/>
        </w:rPr>
      </w:lvl>
    </w:lvlOverride>
    <w:lvlOverride w:ilvl="1">
      <w:lvl w:ilvl="1">
        <w:start w:val="1"/>
        <w:numFmt w:val="none"/>
        <w:lvlRestart w:val="0"/>
        <w:lvlText w:val=""/>
        <w:lvlJc w:val="left"/>
        <w:pPr>
          <w:tabs>
            <w:tab w:val="num" w:pos="0"/>
          </w:tabs>
          <w:ind w:hanging="482"/>
        </w:pPr>
        <w:rPr>
          <w:rFonts w:cs="Times New Roman" w:hint="default"/>
        </w:rPr>
      </w:lvl>
    </w:lvlOverride>
    <w:lvlOverride w:ilvl="2">
      <w:lvl w:ilvl="2">
        <w:start w:val="1"/>
        <w:numFmt w:val="none"/>
        <w:lvlRestart w:val="0"/>
        <w:lvlText w:val=""/>
        <w:lvlJc w:val="left"/>
        <w:pPr>
          <w:tabs>
            <w:tab w:val="num" w:pos="0"/>
          </w:tabs>
          <w:ind w:hanging="482"/>
        </w:pPr>
        <w:rPr>
          <w:rFonts w:cs="Times New Roman" w:hint="default"/>
        </w:rPr>
      </w:lvl>
    </w:lvlOverride>
    <w:lvlOverride w:ilvl="3">
      <w:lvl w:ilvl="3">
        <w:start w:val="1"/>
        <w:numFmt w:val="none"/>
        <w:lvlRestart w:val="0"/>
        <w:lvlText w:val=""/>
        <w:lvlJc w:val="left"/>
        <w:pPr>
          <w:tabs>
            <w:tab w:val="num" w:pos="0"/>
          </w:tabs>
          <w:ind w:hanging="482"/>
        </w:pPr>
        <w:rPr>
          <w:rFonts w:cs="Times New Roman" w:hint="default"/>
        </w:rPr>
      </w:lvl>
    </w:lvlOverride>
    <w:lvlOverride w:ilvl="4">
      <w:lvl w:ilvl="4">
        <w:start w:val="1"/>
        <w:numFmt w:val="none"/>
        <w:lvlRestart w:val="0"/>
        <w:lvlText w:val=""/>
        <w:lvlJc w:val="left"/>
        <w:pPr>
          <w:tabs>
            <w:tab w:val="num" w:pos="0"/>
          </w:tabs>
          <w:ind w:hanging="482"/>
        </w:pPr>
        <w:rPr>
          <w:rFonts w:cs="Times New Roman" w:hint="default"/>
        </w:rPr>
      </w:lvl>
    </w:lvlOverride>
    <w:lvlOverride w:ilvl="5">
      <w:lvl w:ilvl="5">
        <w:start w:val="1"/>
        <w:numFmt w:val="none"/>
        <w:lvlRestart w:val="0"/>
        <w:lvlText w:val=""/>
        <w:lvlJc w:val="left"/>
        <w:pPr>
          <w:tabs>
            <w:tab w:val="num" w:pos="0"/>
          </w:tabs>
          <w:ind w:hanging="482"/>
        </w:pPr>
        <w:rPr>
          <w:rFonts w:cs="Times New Roman" w:hint="default"/>
        </w:rPr>
      </w:lvl>
    </w:lvlOverride>
    <w:lvlOverride w:ilvl="6">
      <w:lvl w:ilvl="6">
        <w:start w:val="1"/>
        <w:numFmt w:val="none"/>
        <w:lvlRestart w:val="0"/>
        <w:lvlText w:val=""/>
        <w:lvlJc w:val="left"/>
        <w:pPr>
          <w:tabs>
            <w:tab w:val="num" w:pos="0"/>
          </w:tabs>
          <w:ind w:hanging="482"/>
        </w:pPr>
        <w:rPr>
          <w:rFonts w:cs="Times New Roman" w:hint="default"/>
        </w:rPr>
      </w:lvl>
    </w:lvlOverride>
    <w:lvlOverride w:ilvl="7">
      <w:lvl w:ilvl="7">
        <w:start w:val="1"/>
        <w:numFmt w:val="none"/>
        <w:lvlRestart w:val="0"/>
        <w:lvlText w:val=""/>
        <w:lvlJc w:val="left"/>
        <w:pPr>
          <w:tabs>
            <w:tab w:val="num" w:pos="0"/>
          </w:tabs>
          <w:ind w:hanging="482"/>
        </w:pPr>
        <w:rPr>
          <w:rFonts w:cs="Times New Roman" w:hint="default"/>
        </w:rPr>
      </w:lvl>
    </w:lvlOverride>
    <w:lvlOverride w:ilvl="8">
      <w:lvl w:ilvl="8">
        <w:start w:val="1"/>
        <w:numFmt w:val="none"/>
        <w:lvlRestart w:val="0"/>
        <w:lvlText w:val=""/>
        <w:lvlJc w:val="left"/>
        <w:pPr>
          <w:tabs>
            <w:tab w:val="num" w:pos="0"/>
          </w:tabs>
          <w:ind w:hanging="482"/>
        </w:pPr>
        <w:rPr>
          <w:rFonts w:cs="Times New Roman" w:hint="default"/>
        </w:rPr>
      </w:lvl>
    </w:lvlOverride>
  </w:num>
  <w:num w:numId="30">
    <w:abstractNumId w:val="12"/>
  </w:num>
  <w:num w:numId="31">
    <w:abstractNumId w:val="16"/>
  </w:num>
  <w:num w:numId="32">
    <w:abstractNumId w:val="18"/>
  </w:num>
  <w:num w:numId="33">
    <w:abstractNumId w:val="2"/>
    <w:lvlOverride w:ilvl="0">
      <w:startOverride w:val="1"/>
      <w:lvl w:ilvl="0">
        <w:start w:val="1"/>
        <w:numFmt w:val="decimal"/>
        <w:pStyle w:val="IPPParagraphnumbering"/>
        <w:lvlText w:val="[%1]"/>
        <w:lvlJc w:val="left"/>
        <w:pPr>
          <w:tabs>
            <w:tab w:val="num" w:pos="0"/>
          </w:tabs>
          <w:ind w:hanging="482"/>
        </w:pPr>
        <w:rPr>
          <w:rFonts w:ascii="Arial" w:hAnsi="Arial" w:cs="Times New Roman" w:hint="default"/>
          <w:b w:val="0"/>
          <w:i/>
          <w:color w:val="0000FF"/>
          <w:sz w:val="16"/>
        </w:rPr>
      </w:lvl>
    </w:lvlOverride>
    <w:lvlOverride w:ilvl="1">
      <w:startOverride w:val="1"/>
      <w:lvl w:ilvl="1">
        <w:start w:val="1"/>
        <w:numFmt w:val="none"/>
        <w:lvlRestart w:val="0"/>
        <w:lvlText w:val=""/>
        <w:lvlJc w:val="left"/>
        <w:pPr>
          <w:tabs>
            <w:tab w:val="num" w:pos="0"/>
          </w:tabs>
          <w:ind w:hanging="482"/>
        </w:pPr>
        <w:rPr>
          <w:rFonts w:cs="Times New Roman" w:hint="default"/>
        </w:rPr>
      </w:lvl>
    </w:lvlOverride>
    <w:lvlOverride w:ilvl="2">
      <w:startOverride w:val="1"/>
      <w:lvl w:ilvl="2">
        <w:start w:val="1"/>
        <w:numFmt w:val="none"/>
        <w:lvlRestart w:val="0"/>
        <w:lvlText w:val=""/>
        <w:lvlJc w:val="left"/>
        <w:pPr>
          <w:tabs>
            <w:tab w:val="num" w:pos="0"/>
          </w:tabs>
          <w:ind w:hanging="482"/>
        </w:pPr>
        <w:rPr>
          <w:rFonts w:cs="Times New Roman" w:hint="default"/>
        </w:rPr>
      </w:lvl>
    </w:lvlOverride>
    <w:lvlOverride w:ilvl="3">
      <w:startOverride w:val="1"/>
      <w:lvl w:ilvl="3">
        <w:start w:val="1"/>
        <w:numFmt w:val="none"/>
        <w:lvlRestart w:val="0"/>
        <w:lvlText w:val=""/>
        <w:lvlJc w:val="left"/>
        <w:pPr>
          <w:tabs>
            <w:tab w:val="num" w:pos="0"/>
          </w:tabs>
          <w:ind w:hanging="482"/>
        </w:pPr>
        <w:rPr>
          <w:rFonts w:cs="Times New Roman" w:hint="default"/>
        </w:rPr>
      </w:lvl>
    </w:lvlOverride>
    <w:lvlOverride w:ilvl="4">
      <w:startOverride w:val="1"/>
      <w:lvl w:ilvl="4">
        <w:start w:val="1"/>
        <w:numFmt w:val="none"/>
        <w:lvlRestart w:val="0"/>
        <w:lvlText w:val=""/>
        <w:lvlJc w:val="left"/>
        <w:pPr>
          <w:tabs>
            <w:tab w:val="num" w:pos="0"/>
          </w:tabs>
          <w:ind w:hanging="482"/>
        </w:pPr>
        <w:rPr>
          <w:rFonts w:cs="Times New Roman" w:hint="default"/>
        </w:rPr>
      </w:lvl>
    </w:lvlOverride>
    <w:lvlOverride w:ilvl="5">
      <w:startOverride w:val="1"/>
      <w:lvl w:ilvl="5">
        <w:start w:val="1"/>
        <w:numFmt w:val="none"/>
        <w:lvlRestart w:val="0"/>
        <w:lvlText w:val=""/>
        <w:lvlJc w:val="left"/>
        <w:pPr>
          <w:tabs>
            <w:tab w:val="num" w:pos="0"/>
          </w:tabs>
          <w:ind w:hanging="482"/>
        </w:pPr>
        <w:rPr>
          <w:rFonts w:cs="Times New Roman" w:hint="default"/>
        </w:rPr>
      </w:lvl>
    </w:lvlOverride>
    <w:lvlOverride w:ilvl="6">
      <w:startOverride w:val="1"/>
      <w:lvl w:ilvl="6">
        <w:start w:val="1"/>
        <w:numFmt w:val="none"/>
        <w:lvlRestart w:val="0"/>
        <w:lvlText w:val=""/>
        <w:lvlJc w:val="left"/>
        <w:pPr>
          <w:tabs>
            <w:tab w:val="num" w:pos="0"/>
          </w:tabs>
          <w:ind w:hanging="482"/>
        </w:pPr>
        <w:rPr>
          <w:rFonts w:cs="Times New Roman" w:hint="default"/>
        </w:rPr>
      </w:lvl>
    </w:lvlOverride>
    <w:lvlOverride w:ilvl="7">
      <w:startOverride w:val="1"/>
      <w:lvl w:ilvl="7">
        <w:start w:val="1"/>
        <w:numFmt w:val="none"/>
        <w:lvlRestart w:val="0"/>
        <w:lvlText w:val=""/>
        <w:lvlJc w:val="left"/>
        <w:pPr>
          <w:tabs>
            <w:tab w:val="num" w:pos="0"/>
          </w:tabs>
          <w:ind w:hanging="482"/>
        </w:pPr>
        <w:rPr>
          <w:rFonts w:cs="Times New Roman" w:hint="default"/>
        </w:rPr>
      </w:lvl>
    </w:lvlOverride>
    <w:lvlOverride w:ilvl="8">
      <w:startOverride w:val="1"/>
      <w:lvl w:ilvl="8">
        <w:start w:val="1"/>
        <w:numFmt w:val="none"/>
        <w:lvlRestart w:val="0"/>
        <w:lvlText w:val=""/>
        <w:lvlJc w:val="left"/>
        <w:pPr>
          <w:tabs>
            <w:tab w:val="num" w:pos="0"/>
          </w:tabs>
          <w:ind w:hanging="482"/>
        </w:pPr>
        <w:rPr>
          <w:rFonts w:cs="Times New Roman" w:hint="default"/>
        </w:rPr>
      </w:lvl>
    </w:lvlOverride>
  </w:num>
  <w:num w:numId="34">
    <w:abstractNumId w:val="2"/>
    <w:lvlOverride w:ilvl="0">
      <w:lvl w:ilvl="0">
        <w:start w:val="1"/>
        <w:numFmt w:val="decimal"/>
        <w:pStyle w:val="IPPParagraphnumbering"/>
        <w:lvlText w:val="[%1]"/>
        <w:lvlJc w:val="left"/>
        <w:pPr>
          <w:tabs>
            <w:tab w:val="num" w:pos="0"/>
          </w:tabs>
          <w:ind w:hanging="482"/>
        </w:pPr>
        <w:rPr>
          <w:rFonts w:ascii="Arial" w:hAnsi="Arial" w:cs="Times New Roman" w:hint="default"/>
          <w:b w:val="0"/>
          <w:i/>
          <w:color w:val="0000FF"/>
          <w:sz w:val="16"/>
        </w:rPr>
      </w:lvl>
    </w:lvlOverride>
    <w:lvlOverride w:ilvl="1">
      <w:lvl w:ilvl="1">
        <w:start w:val="1"/>
        <w:numFmt w:val="none"/>
        <w:lvlRestart w:val="0"/>
        <w:lvlText w:val=""/>
        <w:lvlJc w:val="left"/>
        <w:pPr>
          <w:tabs>
            <w:tab w:val="num" w:pos="0"/>
          </w:tabs>
          <w:ind w:hanging="482"/>
        </w:pPr>
        <w:rPr>
          <w:rFonts w:cs="Times New Roman" w:hint="default"/>
        </w:rPr>
      </w:lvl>
    </w:lvlOverride>
    <w:lvlOverride w:ilvl="2">
      <w:lvl w:ilvl="2">
        <w:start w:val="1"/>
        <w:numFmt w:val="none"/>
        <w:lvlRestart w:val="0"/>
        <w:lvlText w:val=""/>
        <w:lvlJc w:val="left"/>
        <w:pPr>
          <w:tabs>
            <w:tab w:val="num" w:pos="0"/>
          </w:tabs>
          <w:ind w:hanging="482"/>
        </w:pPr>
        <w:rPr>
          <w:rFonts w:cs="Times New Roman" w:hint="default"/>
        </w:rPr>
      </w:lvl>
    </w:lvlOverride>
    <w:lvlOverride w:ilvl="3">
      <w:lvl w:ilvl="3">
        <w:start w:val="1"/>
        <w:numFmt w:val="none"/>
        <w:lvlRestart w:val="0"/>
        <w:lvlText w:val=""/>
        <w:lvlJc w:val="left"/>
        <w:pPr>
          <w:tabs>
            <w:tab w:val="num" w:pos="0"/>
          </w:tabs>
          <w:ind w:hanging="482"/>
        </w:pPr>
        <w:rPr>
          <w:rFonts w:cs="Times New Roman" w:hint="default"/>
        </w:rPr>
      </w:lvl>
    </w:lvlOverride>
    <w:lvlOverride w:ilvl="4">
      <w:lvl w:ilvl="4">
        <w:start w:val="1"/>
        <w:numFmt w:val="none"/>
        <w:lvlRestart w:val="0"/>
        <w:lvlText w:val=""/>
        <w:lvlJc w:val="left"/>
        <w:pPr>
          <w:tabs>
            <w:tab w:val="num" w:pos="0"/>
          </w:tabs>
          <w:ind w:hanging="482"/>
        </w:pPr>
        <w:rPr>
          <w:rFonts w:cs="Times New Roman" w:hint="default"/>
        </w:rPr>
      </w:lvl>
    </w:lvlOverride>
    <w:lvlOverride w:ilvl="5">
      <w:lvl w:ilvl="5">
        <w:start w:val="1"/>
        <w:numFmt w:val="none"/>
        <w:lvlRestart w:val="0"/>
        <w:lvlText w:val=""/>
        <w:lvlJc w:val="left"/>
        <w:pPr>
          <w:tabs>
            <w:tab w:val="num" w:pos="0"/>
          </w:tabs>
          <w:ind w:hanging="482"/>
        </w:pPr>
        <w:rPr>
          <w:rFonts w:cs="Times New Roman" w:hint="default"/>
        </w:rPr>
      </w:lvl>
    </w:lvlOverride>
    <w:lvlOverride w:ilvl="6">
      <w:lvl w:ilvl="6">
        <w:start w:val="1"/>
        <w:numFmt w:val="none"/>
        <w:lvlRestart w:val="0"/>
        <w:lvlText w:val=""/>
        <w:lvlJc w:val="left"/>
        <w:pPr>
          <w:tabs>
            <w:tab w:val="num" w:pos="0"/>
          </w:tabs>
          <w:ind w:hanging="482"/>
        </w:pPr>
        <w:rPr>
          <w:rFonts w:cs="Times New Roman" w:hint="default"/>
        </w:rPr>
      </w:lvl>
    </w:lvlOverride>
    <w:lvlOverride w:ilvl="7">
      <w:lvl w:ilvl="7">
        <w:start w:val="1"/>
        <w:numFmt w:val="none"/>
        <w:lvlRestart w:val="0"/>
        <w:lvlText w:val=""/>
        <w:lvlJc w:val="left"/>
        <w:pPr>
          <w:tabs>
            <w:tab w:val="num" w:pos="0"/>
          </w:tabs>
          <w:ind w:hanging="482"/>
        </w:pPr>
        <w:rPr>
          <w:rFonts w:cs="Times New Roman" w:hint="default"/>
        </w:rPr>
      </w:lvl>
    </w:lvlOverride>
    <w:lvlOverride w:ilvl="8">
      <w:lvl w:ilvl="8">
        <w:start w:val="1"/>
        <w:numFmt w:val="none"/>
        <w:lvlRestart w:val="0"/>
        <w:lvlText w:val=""/>
        <w:lvlJc w:val="left"/>
        <w:pPr>
          <w:tabs>
            <w:tab w:val="num" w:pos="0"/>
          </w:tabs>
          <w:ind w:hanging="482"/>
        </w:pPr>
        <w:rPr>
          <w:rFonts w:cs="Times New Roman" w:hint="default"/>
        </w:rPr>
      </w:lvl>
    </w:lvlOverride>
  </w:num>
  <w:num w:numId="35">
    <w:abstractNumId w:val="2"/>
    <w:lvlOverride w:ilvl="0">
      <w:lvl w:ilvl="0">
        <w:start w:val="1"/>
        <w:numFmt w:val="decimal"/>
        <w:pStyle w:val="IPPParagraphnumbering"/>
        <w:lvlText w:val="[%1]"/>
        <w:lvlJc w:val="left"/>
        <w:pPr>
          <w:tabs>
            <w:tab w:val="num" w:pos="0"/>
          </w:tabs>
          <w:ind w:hanging="482"/>
        </w:pPr>
        <w:rPr>
          <w:rFonts w:ascii="Arial" w:hAnsi="Arial" w:cs="Times New Roman" w:hint="default"/>
          <w:b w:val="0"/>
          <w:i/>
          <w:color w:val="0000FF"/>
          <w:sz w:val="16"/>
        </w:rPr>
      </w:lvl>
    </w:lvlOverride>
    <w:lvlOverride w:ilvl="1">
      <w:lvl w:ilvl="1">
        <w:start w:val="1"/>
        <w:numFmt w:val="none"/>
        <w:lvlRestart w:val="0"/>
        <w:lvlText w:val=""/>
        <w:lvlJc w:val="left"/>
        <w:pPr>
          <w:tabs>
            <w:tab w:val="num" w:pos="0"/>
          </w:tabs>
          <w:ind w:hanging="482"/>
        </w:pPr>
        <w:rPr>
          <w:rFonts w:cs="Times New Roman" w:hint="default"/>
        </w:rPr>
      </w:lvl>
    </w:lvlOverride>
    <w:lvlOverride w:ilvl="2">
      <w:lvl w:ilvl="2">
        <w:start w:val="1"/>
        <w:numFmt w:val="none"/>
        <w:lvlRestart w:val="0"/>
        <w:lvlText w:val=""/>
        <w:lvlJc w:val="left"/>
        <w:pPr>
          <w:tabs>
            <w:tab w:val="num" w:pos="0"/>
          </w:tabs>
          <w:ind w:hanging="482"/>
        </w:pPr>
        <w:rPr>
          <w:rFonts w:cs="Times New Roman" w:hint="default"/>
        </w:rPr>
      </w:lvl>
    </w:lvlOverride>
    <w:lvlOverride w:ilvl="3">
      <w:lvl w:ilvl="3">
        <w:start w:val="1"/>
        <w:numFmt w:val="none"/>
        <w:lvlRestart w:val="0"/>
        <w:lvlText w:val=""/>
        <w:lvlJc w:val="left"/>
        <w:pPr>
          <w:tabs>
            <w:tab w:val="num" w:pos="0"/>
          </w:tabs>
          <w:ind w:hanging="482"/>
        </w:pPr>
        <w:rPr>
          <w:rFonts w:cs="Times New Roman" w:hint="default"/>
        </w:rPr>
      </w:lvl>
    </w:lvlOverride>
    <w:lvlOverride w:ilvl="4">
      <w:lvl w:ilvl="4">
        <w:start w:val="1"/>
        <w:numFmt w:val="none"/>
        <w:lvlRestart w:val="0"/>
        <w:lvlText w:val=""/>
        <w:lvlJc w:val="left"/>
        <w:pPr>
          <w:tabs>
            <w:tab w:val="num" w:pos="0"/>
          </w:tabs>
          <w:ind w:hanging="482"/>
        </w:pPr>
        <w:rPr>
          <w:rFonts w:cs="Times New Roman" w:hint="default"/>
        </w:rPr>
      </w:lvl>
    </w:lvlOverride>
    <w:lvlOverride w:ilvl="5">
      <w:lvl w:ilvl="5">
        <w:start w:val="1"/>
        <w:numFmt w:val="none"/>
        <w:lvlRestart w:val="0"/>
        <w:lvlText w:val=""/>
        <w:lvlJc w:val="left"/>
        <w:pPr>
          <w:tabs>
            <w:tab w:val="num" w:pos="0"/>
          </w:tabs>
          <w:ind w:hanging="482"/>
        </w:pPr>
        <w:rPr>
          <w:rFonts w:cs="Times New Roman" w:hint="default"/>
        </w:rPr>
      </w:lvl>
    </w:lvlOverride>
    <w:lvlOverride w:ilvl="6">
      <w:lvl w:ilvl="6">
        <w:start w:val="1"/>
        <w:numFmt w:val="none"/>
        <w:lvlRestart w:val="0"/>
        <w:lvlText w:val=""/>
        <w:lvlJc w:val="left"/>
        <w:pPr>
          <w:tabs>
            <w:tab w:val="num" w:pos="0"/>
          </w:tabs>
          <w:ind w:hanging="482"/>
        </w:pPr>
        <w:rPr>
          <w:rFonts w:cs="Times New Roman" w:hint="default"/>
        </w:rPr>
      </w:lvl>
    </w:lvlOverride>
    <w:lvlOverride w:ilvl="7">
      <w:lvl w:ilvl="7">
        <w:start w:val="1"/>
        <w:numFmt w:val="none"/>
        <w:lvlRestart w:val="0"/>
        <w:lvlText w:val=""/>
        <w:lvlJc w:val="left"/>
        <w:pPr>
          <w:tabs>
            <w:tab w:val="num" w:pos="0"/>
          </w:tabs>
          <w:ind w:hanging="482"/>
        </w:pPr>
        <w:rPr>
          <w:rFonts w:cs="Times New Roman" w:hint="default"/>
        </w:rPr>
      </w:lvl>
    </w:lvlOverride>
    <w:lvlOverride w:ilvl="8">
      <w:lvl w:ilvl="8">
        <w:start w:val="1"/>
        <w:numFmt w:val="none"/>
        <w:lvlRestart w:val="0"/>
        <w:lvlText w:val=""/>
        <w:lvlJc w:val="left"/>
        <w:pPr>
          <w:tabs>
            <w:tab w:val="num" w:pos="0"/>
          </w:tabs>
          <w:ind w:hanging="482"/>
        </w:pPr>
        <w:rPr>
          <w:rFonts w:cs="Times New Roman" w:hint="default"/>
        </w:rPr>
      </w:lvl>
    </w:lvlOverride>
  </w:num>
  <w:num w:numId="36">
    <w:abstractNumId w:val="2"/>
    <w:lvlOverride w:ilvl="0">
      <w:lvl w:ilvl="0">
        <w:start w:val="1"/>
        <w:numFmt w:val="decimal"/>
        <w:pStyle w:val="IPPParagraphnumbering"/>
        <w:lvlText w:val="[%1]"/>
        <w:lvlJc w:val="left"/>
        <w:pPr>
          <w:tabs>
            <w:tab w:val="num" w:pos="0"/>
          </w:tabs>
          <w:ind w:hanging="482"/>
        </w:pPr>
        <w:rPr>
          <w:rFonts w:ascii="Arial" w:hAnsi="Arial" w:cs="Times New Roman" w:hint="default"/>
          <w:b w:val="0"/>
          <w:i/>
          <w:color w:val="0000FF"/>
          <w:sz w:val="16"/>
        </w:rPr>
      </w:lvl>
    </w:lvlOverride>
    <w:lvlOverride w:ilvl="1">
      <w:lvl w:ilvl="1">
        <w:start w:val="1"/>
        <w:numFmt w:val="none"/>
        <w:lvlRestart w:val="0"/>
        <w:lvlText w:val=""/>
        <w:lvlJc w:val="left"/>
        <w:pPr>
          <w:tabs>
            <w:tab w:val="num" w:pos="0"/>
          </w:tabs>
          <w:ind w:hanging="482"/>
        </w:pPr>
        <w:rPr>
          <w:rFonts w:cs="Times New Roman" w:hint="default"/>
        </w:rPr>
      </w:lvl>
    </w:lvlOverride>
    <w:lvlOverride w:ilvl="2">
      <w:lvl w:ilvl="2">
        <w:start w:val="1"/>
        <w:numFmt w:val="none"/>
        <w:lvlRestart w:val="0"/>
        <w:lvlText w:val=""/>
        <w:lvlJc w:val="left"/>
        <w:pPr>
          <w:tabs>
            <w:tab w:val="num" w:pos="0"/>
          </w:tabs>
          <w:ind w:hanging="482"/>
        </w:pPr>
        <w:rPr>
          <w:rFonts w:cs="Times New Roman" w:hint="default"/>
        </w:rPr>
      </w:lvl>
    </w:lvlOverride>
    <w:lvlOverride w:ilvl="3">
      <w:lvl w:ilvl="3">
        <w:start w:val="1"/>
        <w:numFmt w:val="none"/>
        <w:lvlRestart w:val="0"/>
        <w:lvlText w:val=""/>
        <w:lvlJc w:val="left"/>
        <w:pPr>
          <w:tabs>
            <w:tab w:val="num" w:pos="0"/>
          </w:tabs>
          <w:ind w:hanging="482"/>
        </w:pPr>
        <w:rPr>
          <w:rFonts w:cs="Times New Roman" w:hint="default"/>
        </w:rPr>
      </w:lvl>
    </w:lvlOverride>
    <w:lvlOverride w:ilvl="4">
      <w:lvl w:ilvl="4">
        <w:start w:val="1"/>
        <w:numFmt w:val="none"/>
        <w:lvlRestart w:val="0"/>
        <w:lvlText w:val=""/>
        <w:lvlJc w:val="left"/>
        <w:pPr>
          <w:tabs>
            <w:tab w:val="num" w:pos="0"/>
          </w:tabs>
          <w:ind w:hanging="482"/>
        </w:pPr>
        <w:rPr>
          <w:rFonts w:cs="Times New Roman" w:hint="default"/>
        </w:rPr>
      </w:lvl>
    </w:lvlOverride>
    <w:lvlOverride w:ilvl="5">
      <w:lvl w:ilvl="5">
        <w:start w:val="1"/>
        <w:numFmt w:val="none"/>
        <w:lvlRestart w:val="0"/>
        <w:lvlText w:val=""/>
        <w:lvlJc w:val="left"/>
        <w:pPr>
          <w:tabs>
            <w:tab w:val="num" w:pos="0"/>
          </w:tabs>
          <w:ind w:hanging="482"/>
        </w:pPr>
        <w:rPr>
          <w:rFonts w:cs="Times New Roman" w:hint="default"/>
        </w:rPr>
      </w:lvl>
    </w:lvlOverride>
    <w:lvlOverride w:ilvl="6">
      <w:lvl w:ilvl="6">
        <w:start w:val="1"/>
        <w:numFmt w:val="none"/>
        <w:lvlRestart w:val="0"/>
        <w:lvlText w:val=""/>
        <w:lvlJc w:val="left"/>
        <w:pPr>
          <w:tabs>
            <w:tab w:val="num" w:pos="0"/>
          </w:tabs>
          <w:ind w:hanging="482"/>
        </w:pPr>
        <w:rPr>
          <w:rFonts w:cs="Times New Roman" w:hint="default"/>
        </w:rPr>
      </w:lvl>
    </w:lvlOverride>
    <w:lvlOverride w:ilvl="7">
      <w:lvl w:ilvl="7">
        <w:start w:val="1"/>
        <w:numFmt w:val="none"/>
        <w:lvlRestart w:val="0"/>
        <w:lvlText w:val=""/>
        <w:lvlJc w:val="left"/>
        <w:pPr>
          <w:tabs>
            <w:tab w:val="num" w:pos="0"/>
          </w:tabs>
          <w:ind w:hanging="482"/>
        </w:pPr>
        <w:rPr>
          <w:rFonts w:cs="Times New Roman" w:hint="default"/>
        </w:rPr>
      </w:lvl>
    </w:lvlOverride>
    <w:lvlOverride w:ilvl="8">
      <w:lvl w:ilvl="8">
        <w:start w:val="1"/>
        <w:numFmt w:val="none"/>
        <w:lvlRestart w:val="0"/>
        <w:lvlText w:val=""/>
        <w:lvlJc w:val="left"/>
        <w:pPr>
          <w:tabs>
            <w:tab w:val="num" w:pos="0"/>
          </w:tabs>
          <w:ind w:hanging="482"/>
        </w:pPr>
        <w:rPr>
          <w:rFonts w:cs="Times New Roman" w:hint="default"/>
        </w:rPr>
      </w:lvl>
    </w:lvlOverride>
  </w:num>
  <w:num w:numId="37">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s-ES" w:vendorID="64" w:dllVersion="6" w:nlCheck="1" w:checkStyle="0"/>
  <w:activeWritingStyle w:appName="MSWord" w:lang="es-ES" w:vendorID="64" w:dllVersion="4096" w:nlCheck="1" w:checkStyle="0"/>
  <w:attachedTemplate r:id="rId1"/>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407"/>
    <w:rsid w:val="000020EE"/>
    <w:rsid w:val="00003929"/>
    <w:rsid w:val="00007EC5"/>
    <w:rsid w:val="000107A0"/>
    <w:rsid w:val="00010B62"/>
    <w:rsid w:val="00011145"/>
    <w:rsid w:val="00022F5E"/>
    <w:rsid w:val="0002364A"/>
    <w:rsid w:val="00027AB1"/>
    <w:rsid w:val="000306D2"/>
    <w:rsid w:val="0003303A"/>
    <w:rsid w:val="00037285"/>
    <w:rsid w:val="0004269C"/>
    <w:rsid w:val="0005010F"/>
    <w:rsid w:val="000505C2"/>
    <w:rsid w:val="00052094"/>
    <w:rsid w:val="0005437A"/>
    <w:rsid w:val="0005600F"/>
    <w:rsid w:val="000567A6"/>
    <w:rsid w:val="000618F3"/>
    <w:rsid w:val="00071364"/>
    <w:rsid w:val="00073FDF"/>
    <w:rsid w:val="00076EBE"/>
    <w:rsid w:val="00084800"/>
    <w:rsid w:val="0009076E"/>
    <w:rsid w:val="00090BF5"/>
    <w:rsid w:val="00093688"/>
    <w:rsid w:val="000961AC"/>
    <w:rsid w:val="00097533"/>
    <w:rsid w:val="000A0772"/>
    <w:rsid w:val="000B29C5"/>
    <w:rsid w:val="000B4996"/>
    <w:rsid w:val="000B6749"/>
    <w:rsid w:val="000C08AB"/>
    <w:rsid w:val="000D4E57"/>
    <w:rsid w:val="000E5A9D"/>
    <w:rsid w:val="000E6ED0"/>
    <w:rsid w:val="000E736F"/>
    <w:rsid w:val="000F1B47"/>
    <w:rsid w:val="000F330E"/>
    <w:rsid w:val="000F47D7"/>
    <w:rsid w:val="000F7381"/>
    <w:rsid w:val="001112F3"/>
    <w:rsid w:val="00114F6E"/>
    <w:rsid w:val="0011548B"/>
    <w:rsid w:val="0011707D"/>
    <w:rsid w:val="00121BB7"/>
    <w:rsid w:val="00124C45"/>
    <w:rsid w:val="00127224"/>
    <w:rsid w:val="0012791D"/>
    <w:rsid w:val="00131DE8"/>
    <w:rsid w:val="001339BB"/>
    <w:rsid w:val="00135B74"/>
    <w:rsid w:val="00144FFE"/>
    <w:rsid w:val="001455E6"/>
    <w:rsid w:val="001521E8"/>
    <w:rsid w:val="00155013"/>
    <w:rsid w:val="001561B7"/>
    <w:rsid w:val="00156FB0"/>
    <w:rsid w:val="001670B8"/>
    <w:rsid w:val="00176D2C"/>
    <w:rsid w:val="00187437"/>
    <w:rsid w:val="0018752D"/>
    <w:rsid w:val="0019070A"/>
    <w:rsid w:val="001913AC"/>
    <w:rsid w:val="00191436"/>
    <w:rsid w:val="00194CF3"/>
    <w:rsid w:val="001A1AB6"/>
    <w:rsid w:val="001A288D"/>
    <w:rsid w:val="001B5A48"/>
    <w:rsid w:val="001B794B"/>
    <w:rsid w:val="001D020E"/>
    <w:rsid w:val="001E3321"/>
    <w:rsid w:val="001E7E73"/>
    <w:rsid w:val="001F1AE6"/>
    <w:rsid w:val="001F1D19"/>
    <w:rsid w:val="001F5C54"/>
    <w:rsid w:val="001F69FF"/>
    <w:rsid w:val="001F7A9C"/>
    <w:rsid w:val="00204472"/>
    <w:rsid w:val="002051CA"/>
    <w:rsid w:val="00210338"/>
    <w:rsid w:val="002112E7"/>
    <w:rsid w:val="0021152A"/>
    <w:rsid w:val="00212BC7"/>
    <w:rsid w:val="00215898"/>
    <w:rsid w:val="002171A1"/>
    <w:rsid w:val="00220D6B"/>
    <w:rsid w:val="00231002"/>
    <w:rsid w:val="00233128"/>
    <w:rsid w:val="002360F3"/>
    <w:rsid w:val="00241E7A"/>
    <w:rsid w:val="00243FB4"/>
    <w:rsid w:val="00254B9E"/>
    <w:rsid w:val="0026231C"/>
    <w:rsid w:val="002646F4"/>
    <w:rsid w:val="00266084"/>
    <w:rsid w:val="00266C00"/>
    <w:rsid w:val="00266FA0"/>
    <w:rsid w:val="00267D6A"/>
    <w:rsid w:val="00270EFE"/>
    <w:rsid w:val="00274FB3"/>
    <w:rsid w:val="00276A4C"/>
    <w:rsid w:val="002773B0"/>
    <w:rsid w:val="002822FB"/>
    <w:rsid w:val="002854A6"/>
    <w:rsid w:val="0028596A"/>
    <w:rsid w:val="0028608E"/>
    <w:rsid w:val="002A50E8"/>
    <w:rsid w:val="002B1445"/>
    <w:rsid w:val="002B2AD3"/>
    <w:rsid w:val="002B7B0C"/>
    <w:rsid w:val="002B7DAA"/>
    <w:rsid w:val="002C63EE"/>
    <w:rsid w:val="002C6719"/>
    <w:rsid w:val="002D0180"/>
    <w:rsid w:val="002D2B28"/>
    <w:rsid w:val="002E0474"/>
    <w:rsid w:val="002E5433"/>
    <w:rsid w:val="002F05C7"/>
    <w:rsid w:val="002F46B8"/>
    <w:rsid w:val="002F6A4D"/>
    <w:rsid w:val="002F7252"/>
    <w:rsid w:val="00301769"/>
    <w:rsid w:val="00316D86"/>
    <w:rsid w:val="00322A44"/>
    <w:rsid w:val="0032397C"/>
    <w:rsid w:val="00326F65"/>
    <w:rsid w:val="00336A24"/>
    <w:rsid w:val="00340631"/>
    <w:rsid w:val="00341A6E"/>
    <w:rsid w:val="00344C99"/>
    <w:rsid w:val="00347417"/>
    <w:rsid w:val="00357498"/>
    <w:rsid w:val="003632C9"/>
    <w:rsid w:val="00370CED"/>
    <w:rsid w:val="00380360"/>
    <w:rsid w:val="00386200"/>
    <w:rsid w:val="00390419"/>
    <w:rsid w:val="0039274F"/>
    <w:rsid w:val="00394D14"/>
    <w:rsid w:val="003957AB"/>
    <w:rsid w:val="003957F8"/>
    <w:rsid w:val="003A0C10"/>
    <w:rsid w:val="003A555F"/>
    <w:rsid w:val="003A73FD"/>
    <w:rsid w:val="003B4C73"/>
    <w:rsid w:val="003C1262"/>
    <w:rsid w:val="003C505C"/>
    <w:rsid w:val="003C7006"/>
    <w:rsid w:val="003D2A56"/>
    <w:rsid w:val="003E3A83"/>
    <w:rsid w:val="003E45AE"/>
    <w:rsid w:val="003F35A4"/>
    <w:rsid w:val="003F4601"/>
    <w:rsid w:val="003F63B8"/>
    <w:rsid w:val="003F7C67"/>
    <w:rsid w:val="00416B1F"/>
    <w:rsid w:val="00426FCA"/>
    <w:rsid w:val="00431059"/>
    <w:rsid w:val="0043463C"/>
    <w:rsid w:val="004436C7"/>
    <w:rsid w:val="0044394D"/>
    <w:rsid w:val="00444769"/>
    <w:rsid w:val="00450CA5"/>
    <w:rsid w:val="0045164B"/>
    <w:rsid w:val="004530A8"/>
    <w:rsid w:val="00453524"/>
    <w:rsid w:val="004678EE"/>
    <w:rsid w:val="0047007B"/>
    <w:rsid w:val="00472713"/>
    <w:rsid w:val="00476DAD"/>
    <w:rsid w:val="00476F14"/>
    <w:rsid w:val="004826FD"/>
    <w:rsid w:val="00484268"/>
    <w:rsid w:val="00485C17"/>
    <w:rsid w:val="00494D61"/>
    <w:rsid w:val="004974FA"/>
    <w:rsid w:val="004A03EE"/>
    <w:rsid w:val="004A5181"/>
    <w:rsid w:val="004B1C24"/>
    <w:rsid w:val="004B68F9"/>
    <w:rsid w:val="004D3E19"/>
    <w:rsid w:val="004D4E0E"/>
    <w:rsid w:val="004D5E4F"/>
    <w:rsid w:val="004F3C74"/>
    <w:rsid w:val="004F79B1"/>
    <w:rsid w:val="00506FC2"/>
    <w:rsid w:val="005134C2"/>
    <w:rsid w:val="00517FC1"/>
    <w:rsid w:val="00531701"/>
    <w:rsid w:val="005375BB"/>
    <w:rsid w:val="0054148D"/>
    <w:rsid w:val="00543665"/>
    <w:rsid w:val="00551E2B"/>
    <w:rsid w:val="00554B30"/>
    <w:rsid w:val="00574AE4"/>
    <w:rsid w:val="00574D91"/>
    <w:rsid w:val="0059094F"/>
    <w:rsid w:val="00591694"/>
    <w:rsid w:val="00591E0D"/>
    <w:rsid w:val="0059223C"/>
    <w:rsid w:val="0059282C"/>
    <w:rsid w:val="005B1779"/>
    <w:rsid w:val="005B3564"/>
    <w:rsid w:val="005B4198"/>
    <w:rsid w:val="005B44E6"/>
    <w:rsid w:val="005B481A"/>
    <w:rsid w:val="005B678B"/>
    <w:rsid w:val="005B68F5"/>
    <w:rsid w:val="005B713F"/>
    <w:rsid w:val="005C444C"/>
    <w:rsid w:val="005C4999"/>
    <w:rsid w:val="005C5E82"/>
    <w:rsid w:val="005D7DB2"/>
    <w:rsid w:val="005E1857"/>
    <w:rsid w:val="005E2060"/>
    <w:rsid w:val="005E3784"/>
    <w:rsid w:val="005F1EC4"/>
    <w:rsid w:val="005F3602"/>
    <w:rsid w:val="005F638F"/>
    <w:rsid w:val="005F689F"/>
    <w:rsid w:val="00606969"/>
    <w:rsid w:val="00607C1E"/>
    <w:rsid w:val="00615024"/>
    <w:rsid w:val="0061777F"/>
    <w:rsid w:val="006204ED"/>
    <w:rsid w:val="006211E6"/>
    <w:rsid w:val="00632458"/>
    <w:rsid w:val="006353E9"/>
    <w:rsid w:val="00640B0B"/>
    <w:rsid w:val="00640E00"/>
    <w:rsid w:val="00642820"/>
    <w:rsid w:val="00642E4E"/>
    <w:rsid w:val="00643CB1"/>
    <w:rsid w:val="00651F45"/>
    <w:rsid w:val="006559BC"/>
    <w:rsid w:val="00656D02"/>
    <w:rsid w:val="00661CC5"/>
    <w:rsid w:val="00663FA7"/>
    <w:rsid w:val="00664D59"/>
    <w:rsid w:val="0067134A"/>
    <w:rsid w:val="00671592"/>
    <w:rsid w:val="0067604E"/>
    <w:rsid w:val="00680531"/>
    <w:rsid w:val="00686AB3"/>
    <w:rsid w:val="00690096"/>
    <w:rsid w:val="00690956"/>
    <w:rsid w:val="0069374F"/>
    <w:rsid w:val="006B75F3"/>
    <w:rsid w:val="006C04DD"/>
    <w:rsid w:val="006C643B"/>
    <w:rsid w:val="006D2E32"/>
    <w:rsid w:val="006D39F1"/>
    <w:rsid w:val="006E5775"/>
    <w:rsid w:val="006F052F"/>
    <w:rsid w:val="006F24F1"/>
    <w:rsid w:val="006F3BB8"/>
    <w:rsid w:val="006F453E"/>
    <w:rsid w:val="00702BC1"/>
    <w:rsid w:val="007030D6"/>
    <w:rsid w:val="0070632D"/>
    <w:rsid w:val="00714EB1"/>
    <w:rsid w:val="00715CA5"/>
    <w:rsid w:val="00720FED"/>
    <w:rsid w:val="00721486"/>
    <w:rsid w:val="007215DA"/>
    <w:rsid w:val="00722DE6"/>
    <w:rsid w:val="00725D30"/>
    <w:rsid w:val="00726ABB"/>
    <w:rsid w:val="00730781"/>
    <w:rsid w:val="00732E0F"/>
    <w:rsid w:val="007362EA"/>
    <w:rsid w:val="0074048C"/>
    <w:rsid w:val="007404C6"/>
    <w:rsid w:val="0074589E"/>
    <w:rsid w:val="0075017F"/>
    <w:rsid w:val="007515B3"/>
    <w:rsid w:val="007635BA"/>
    <w:rsid w:val="00763DC9"/>
    <w:rsid w:val="00766957"/>
    <w:rsid w:val="00767C8D"/>
    <w:rsid w:val="00767FD6"/>
    <w:rsid w:val="007744BB"/>
    <w:rsid w:val="007776E5"/>
    <w:rsid w:val="007853E6"/>
    <w:rsid w:val="00785760"/>
    <w:rsid w:val="007872B3"/>
    <w:rsid w:val="00791E2F"/>
    <w:rsid w:val="007A3EDC"/>
    <w:rsid w:val="007A6133"/>
    <w:rsid w:val="007C2AA9"/>
    <w:rsid w:val="007C33D3"/>
    <w:rsid w:val="007C6DC2"/>
    <w:rsid w:val="007C798F"/>
    <w:rsid w:val="007D1FF2"/>
    <w:rsid w:val="007D3F57"/>
    <w:rsid w:val="007D6A1C"/>
    <w:rsid w:val="007E2547"/>
    <w:rsid w:val="007E41FC"/>
    <w:rsid w:val="007F0F71"/>
    <w:rsid w:val="007F2590"/>
    <w:rsid w:val="007F5BE2"/>
    <w:rsid w:val="00804BF9"/>
    <w:rsid w:val="00810691"/>
    <w:rsid w:val="0081142A"/>
    <w:rsid w:val="00815138"/>
    <w:rsid w:val="0081527D"/>
    <w:rsid w:val="00816B35"/>
    <w:rsid w:val="008225C0"/>
    <w:rsid w:val="008241E9"/>
    <w:rsid w:val="00825726"/>
    <w:rsid w:val="00830BA3"/>
    <w:rsid w:val="00830CF5"/>
    <w:rsid w:val="00832238"/>
    <w:rsid w:val="00833D51"/>
    <w:rsid w:val="00840C26"/>
    <w:rsid w:val="00847F9E"/>
    <w:rsid w:val="00851F2F"/>
    <w:rsid w:val="00852EA9"/>
    <w:rsid w:val="0086270B"/>
    <w:rsid w:val="00865B8B"/>
    <w:rsid w:val="00865C78"/>
    <w:rsid w:val="008724EA"/>
    <w:rsid w:val="00872F2A"/>
    <w:rsid w:val="008751C2"/>
    <w:rsid w:val="00876855"/>
    <w:rsid w:val="00876C74"/>
    <w:rsid w:val="00894C58"/>
    <w:rsid w:val="008A17FC"/>
    <w:rsid w:val="008A2F4D"/>
    <w:rsid w:val="008A6208"/>
    <w:rsid w:val="008A7D5C"/>
    <w:rsid w:val="008B7AFD"/>
    <w:rsid w:val="008C2CCD"/>
    <w:rsid w:val="008C6357"/>
    <w:rsid w:val="008E2D73"/>
    <w:rsid w:val="008F05C6"/>
    <w:rsid w:val="008F5095"/>
    <w:rsid w:val="008F60E8"/>
    <w:rsid w:val="009000E6"/>
    <w:rsid w:val="00901BF6"/>
    <w:rsid w:val="00907D0C"/>
    <w:rsid w:val="00913A0B"/>
    <w:rsid w:val="00920EDA"/>
    <w:rsid w:val="009213A7"/>
    <w:rsid w:val="00923540"/>
    <w:rsid w:val="009239D7"/>
    <w:rsid w:val="00934AE8"/>
    <w:rsid w:val="00945710"/>
    <w:rsid w:val="009501BD"/>
    <w:rsid w:val="0095127E"/>
    <w:rsid w:val="00963BE1"/>
    <w:rsid w:val="009647A9"/>
    <w:rsid w:val="009650AA"/>
    <w:rsid w:val="00977882"/>
    <w:rsid w:val="0098254D"/>
    <w:rsid w:val="009859F5"/>
    <w:rsid w:val="00991994"/>
    <w:rsid w:val="00995AD4"/>
    <w:rsid w:val="00996A77"/>
    <w:rsid w:val="00997F3E"/>
    <w:rsid w:val="009A30BC"/>
    <w:rsid w:val="009A4F76"/>
    <w:rsid w:val="009B5B3D"/>
    <w:rsid w:val="009C7081"/>
    <w:rsid w:val="009D1017"/>
    <w:rsid w:val="009D3783"/>
    <w:rsid w:val="009E4684"/>
    <w:rsid w:val="009E56A5"/>
    <w:rsid w:val="009E7654"/>
    <w:rsid w:val="009F24CE"/>
    <w:rsid w:val="00A01BC8"/>
    <w:rsid w:val="00A023D6"/>
    <w:rsid w:val="00A02E4C"/>
    <w:rsid w:val="00A04E4B"/>
    <w:rsid w:val="00A22149"/>
    <w:rsid w:val="00A23A20"/>
    <w:rsid w:val="00A31290"/>
    <w:rsid w:val="00A4364C"/>
    <w:rsid w:val="00A4499F"/>
    <w:rsid w:val="00A504F9"/>
    <w:rsid w:val="00A63CDF"/>
    <w:rsid w:val="00A6698E"/>
    <w:rsid w:val="00A6759C"/>
    <w:rsid w:val="00A72B22"/>
    <w:rsid w:val="00A8421B"/>
    <w:rsid w:val="00A84AF0"/>
    <w:rsid w:val="00A917C1"/>
    <w:rsid w:val="00AA5806"/>
    <w:rsid w:val="00AB7371"/>
    <w:rsid w:val="00AB7F15"/>
    <w:rsid w:val="00AC2917"/>
    <w:rsid w:val="00AC2A87"/>
    <w:rsid w:val="00AC49F6"/>
    <w:rsid w:val="00AD089D"/>
    <w:rsid w:val="00AD13DA"/>
    <w:rsid w:val="00AD2ED4"/>
    <w:rsid w:val="00AD4CC2"/>
    <w:rsid w:val="00AD5286"/>
    <w:rsid w:val="00AE037B"/>
    <w:rsid w:val="00AE0E06"/>
    <w:rsid w:val="00AE2FB8"/>
    <w:rsid w:val="00AE422C"/>
    <w:rsid w:val="00AE4AE1"/>
    <w:rsid w:val="00AE6515"/>
    <w:rsid w:val="00AE6E68"/>
    <w:rsid w:val="00AE7547"/>
    <w:rsid w:val="00AE772C"/>
    <w:rsid w:val="00AF6AD4"/>
    <w:rsid w:val="00B03407"/>
    <w:rsid w:val="00B10E97"/>
    <w:rsid w:val="00B15B14"/>
    <w:rsid w:val="00B16885"/>
    <w:rsid w:val="00B218DA"/>
    <w:rsid w:val="00B24523"/>
    <w:rsid w:val="00B25D0C"/>
    <w:rsid w:val="00B30733"/>
    <w:rsid w:val="00B34F65"/>
    <w:rsid w:val="00B36972"/>
    <w:rsid w:val="00B4352F"/>
    <w:rsid w:val="00B47117"/>
    <w:rsid w:val="00B53325"/>
    <w:rsid w:val="00B5788C"/>
    <w:rsid w:val="00B6059E"/>
    <w:rsid w:val="00B63A98"/>
    <w:rsid w:val="00B64DCA"/>
    <w:rsid w:val="00B762A0"/>
    <w:rsid w:val="00B828B0"/>
    <w:rsid w:val="00B831D9"/>
    <w:rsid w:val="00B91811"/>
    <w:rsid w:val="00B91F05"/>
    <w:rsid w:val="00BA3FCD"/>
    <w:rsid w:val="00BB139F"/>
    <w:rsid w:val="00BB4AD9"/>
    <w:rsid w:val="00BB4B46"/>
    <w:rsid w:val="00BB622A"/>
    <w:rsid w:val="00BD0F32"/>
    <w:rsid w:val="00BD2A11"/>
    <w:rsid w:val="00BD3A1D"/>
    <w:rsid w:val="00BD3A48"/>
    <w:rsid w:val="00BD52E0"/>
    <w:rsid w:val="00BD5BBA"/>
    <w:rsid w:val="00BD6BE4"/>
    <w:rsid w:val="00BD7DF9"/>
    <w:rsid w:val="00BE29A8"/>
    <w:rsid w:val="00C17FD6"/>
    <w:rsid w:val="00C23D66"/>
    <w:rsid w:val="00C25069"/>
    <w:rsid w:val="00C30DD1"/>
    <w:rsid w:val="00C3629D"/>
    <w:rsid w:val="00C37D6B"/>
    <w:rsid w:val="00C47941"/>
    <w:rsid w:val="00C47B45"/>
    <w:rsid w:val="00C523F6"/>
    <w:rsid w:val="00C55FFC"/>
    <w:rsid w:val="00C60204"/>
    <w:rsid w:val="00C66483"/>
    <w:rsid w:val="00C70B18"/>
    <w:rsid w:val="00C74D93"/>
    <w:rsid w:val="00C75BD5"/>
    <w:rsid w:val="00C76D35"/>
    <w:rsid w:val="00C81EA7"/>
    <w:rsid w:val="00C8419A"/>
    <w:rsid w:val="00C854CC"/>
    <w:rsid w:val="00C864C3"/>
    <w:rsid w:val="00C86F2A"/>
    <w:rsid w:val="00C97A90"/>
    <w:rsid w:val="00CA0702"/>
    <w:rsid w:val="00CB5716"/>
    <w:rsid w:val="00CC17B6"/>
    <w:rsid w:val="00CC751C"/>
    <w:rsid w:val="00D03EA9"/>
    <w:rsid w:val="00D074F9"/>
    <w:rsid w:val="00D14272"/>
    <w:rsid w:val="00D14FBC"/>
    <w:rsid w:val="00D179BE"/>
    <w:rsid w:val="00D23DFF"/>
    <w:rsid w:val="00D2516C"/>
    <w:rsid w:val="00D4581F"/>
    <w:rsid w:val="00D55A3A"/>
    <w:rsid w:val="00D56E33"/>
    <w:rsid w:val="00D57439"/>
    <w:rsid w:val="00D61BA8"/>
    <w:rsid w:val="00D7044B"/>
    <w:rsid w:val="00D72712"/>
    <w:rsid w:val="00D85349"/>
    <w:rsid w:val="00D85E5D"/>
    <w:rsid w:val="00D917FB"/>
    <w:rsid w:val="00D918F2"/>
    <w:rsid w:val="00D9507B"/>
    <w:rsid w:val="00D95FA3"/>
    <w:rsid w:val="00DA1AC1"/>
    <w:rsid w:val="00DA241A"/>
    <w:rsid w:val="00DA2434"/>
    <w:rsid w:val="00DA31F3"/>
    <w:rsid w:val="00DA3582"/>
    <w:rsid w:val="00DA4648"/>
    <w:rsid w:val="00DA4984"/>
    <w:rsid w:val="00DC13DF"/>
    <w:rsid w:val="00DC3167"/>
    <w:rsid w:val="00DC6E96"/>
    <w:rsid w:val="00DD0A97"/>
    <w:rsid w:val="00DD12DD"/>
    <w:rsid w:val="00DD1516"/>
    <w:rsid w:val="00DD180C"/>
    <w:rsid w:val="00DE3070"/>
    <w:rsid w:val="00DE45C8"/>
    <w:rsid w:val="00DE5F90"/>
    <w:rsid w:val="00DE6A7A"/>
    <w:rsid w:val="00DF2932"/>
    <w:rsid w:val="00DF7EB3"/>
    <w:rsid w:val="00E134CA"/>
    <w:rsid w:val="00E142AE"/>
    <w:rsid w:val="00E14D10"/>
    <w:rsid w:val="00E1600F"/>
    <w:rsid w:val="00E21455"/>
    <w:rsid w:val="00E24021"/>
    <w:rsid w:val="00E26076"/>
    <w:rsid w:val="00E2700E"/>
    <w:rsid w:val="00E27F4D"/>
    <w:rsid w:val="00E32256"/>
    <w:rsid w:val="00E425E5"/>
    <w:rsid w:val="00E46B74"/>
    <w:rsid w:val="00E50E41"/>
    <w:rsid w:val="00E616B4"/>
    <w:rsid w:val="00E6564E"/>
    <w:rsid w:val="00E67218"/>
    <w:rsid w:val="00E711F9"/>
    <w:rsid w:val="00E73F92"/>
    <w:rsid w:val="00E77CEF"/>
    <w:rsid w:val="00E87756"/>
    <w:rsid w:val="00E92FB4"/>
    <w:rsid w:val="00E95F31"/>
    <w:rsid w:val="00EA7EEE"/>
    <w:rsid w:val="00EB549F"/>
    <w:rsid w:val="00EB64EC"/>
    <w:rsid w:val="00EB7066"/>
    <w:rsid w:val="00EB7866"/>
    <w:rsid w:val="00EC79DB"/>
    <w:rsid w:val="00ED5FC2"/>
    <w:rsid w:val="00EE4D78"/>
    <w:rsid w:val="00EE7A58"/>
    <w:rsid w:val="00EF2009"/>
    <w:rsid w:val="00EF30F9"/>
    <w:rsid w:val="00EF55DD"/>
    <w:rsid w:val="00EF7609"/>
    <w:rsid w:val="00EF7DC6"/>
    <w:rsid w:val="00F05C26"/>
    <w:rsid w:val="00F11C32"/>
    <w:rsid w:val="00F32878"/>
    <w:rsid w:val="00F43692"/>
    <w:rsid w:val="00F514EB"/>
    <w:rsid w:val="00F617E5"/>
    <w:rsid w:val="00F65E27"/>
    <w:rsid w:val="00F67348"/>
    <w:rsid w:val="00F77C50"/>
    <w:rsid w:val="00F802CB"/>
    <w:rsid w:val="00F81971"/>
    <w:rsid w:val="00F84B92"/>
    <w:rsid w:val="00F91D47"/>
    <w:rsid w:val="00F97085"/>
    <w:rsid w:val="00FA22EF"/>
    <w:rsid w:val="00FA3F89"/>
    <w:rsid w:val="00FA4474"/>
    <w:rsid w:val="00FB2756"/>
    <w:rsid w:val="00FB62A6"/>
    <w:rsid w:val="00FC2622"/>
    <w:rsid w:val="00FC401A"/>
    <w:rsid w:val="00FD46B7"/>
    <w:rsid w:val="00FD5D9F"/>
    <w:rsid w:val="00FE5944"/>
    <w:rsid w:val="00FF5682"/>
    <w:rsid w:val="67DA349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BE19D86-6BED-4E5C-AF64-6CC920AA9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s-ES"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Times New Roman" w:eastAsia="MS Mincho" w:hAnsi="Times New Roman" w:cs="Times New Roman"/>
      <w:sz w:val="22"/>
      <w:szCs w:val="24"/>
      <w:lang w:eastAsia="en-US"/>
    </w:rPr>
  </w:style>
  <w:style w:type="paragraph" w:styleId="Heading1">
    <w:name w:val="heading 1"/>
    <w:basedOn w:val="Normal"/>
    <w:next w:val="Normal"/>
    <w:link w:val="Heading1Char"/>
    <w:uiPriority w:val="99"/>
    <w:qFormat/>
    <w:pPr>
      <w:keepNext/>
      <w:overflowPunct w:val="0"/>
      <w:autoSpaceDE w:val="0"/>
      <w:autoSpaceDN w:val="0"/>
      <w:adjustRightInd w:val="0"/>
      <w:textAlignment w:val="baseline"/>
      <w:outlineLvl w:val="0"/>
    </w:pPr>
    <w:rPr>
      <w:b/>
      <w:bCs/>
    </w:rPr>
  </w:style>
  <w:style w:type="paragraph" w:styleId="Heading2">
    <w:name w:val="heading 2"/>
    <w:basedOn w:val="Normal"/>
    <w:next w:val="Normal"/>
    <w:link w:val="Heading2Char"/>
    <w:uiPriority w:val="99"/>
    <w:qFormat/>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uiPriority w:val="99"/>
    <w:qFormat/>
    <w:pPr>
      <w:keepNext/>
      <w:spacing w:before="240" w:after="60"/>
      <w:outlineLvl w:val="2"/>
    </w:pPr>
    <w:rPr>
      <w:rFonts w:ascii="Calibri"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Times New Roman" w:eastAsia="MS Mincho" w:hAnsi="Times New Roman" w:cs="Times New Roman"/>
      <w:b/>
      <w:bCs/>
      <w:sz w:val="24"/>
      <w:szCs w:val="24"/>
      <w:lang w:val="es-ES" w:eastAsia="en-US"/>
    </w:rPr>
  </w:style>
  <w:style w:type="character" w:customStyle="1" w:styleId="Heading2Char">
    <w:name w:val="Heading 2 Char"/>
    <w:link w:val="Heading2"/>
    <w:uiPriority w:val="99"/>
    <w:locked/>
    <w:rPr>
      <w:rFonts w:eastAsia="MS Mincho" w:cs="Times New Roman"/>
      <w:b/>
      <w:bCs/>
      <w:i/>
      <w:iCs/>
      <w:sz w:val="28"/>
      <w:szCs w:val="28"/>
      <w:lang w:val="es-ES" w:eastAsia="en-US"/>
    </w:rPr>
  </w:style>
  <w:style w:type="character" w:customStyle="1" w:styleId="Heading3Char">
    <w:name w:val="Heading 3 Char"/>
    <w:link w:val="Heading3"/>
    <w:uiPriority w:val="99"/>
    <w:locked/>
    <w:rPr>
      <w:rFonts w:eastAsia="MS Mincho" w:cs="Times New Roman"/>
      <w:b/>
      <w:bCs/>
      <w:sz w:val="26"/>
      <w:szCs w:val="26"/>
      <w:lang w:val="es-ES" w:eastAsia="en-US"/>
    </w:rPr>
  </w:style>
  <w:style w:type="paragraph" w:customStyle="1" w:styleId="IPPParagraphnumbering">
    <w:name w:val="IPP Paragraph numbering"/>
    <w:basedOn w:val="IPPNormal"/>
    <w:qFormat/>
    <w:pPr>
      <w:numPr>
        <w:numId w:val="3"/>
      </w:numPr>
    </w:pPr>
  </w:style>
  <w:style w:type="paragraph" w:customStyle="1" w:styleId="IPPNormal">
    <w:name w:val="IPP Normal"/>
    <w:basedOn w:val="Normal"/>
    <w:link w:val="IPPNormalChar"/>
    <w:uiPriority w:val="99"/>
    <w:pPr>
      <w:spacing w:after="180"/>
    </w:pPr>
    <w:rPr>
      <w:rFonts w:eastAsia="Times New Roman"/>
      <w:sz w:val="24"/>
      <w:szCs w:val="20"/>
    </w:rPr>
  </w:style>
  <w:style w:type="paragraph" w:customStyle="1" w:styleId="IPPBullet1Last">
    <w:name w:val="IPP Bullet1Last"/>
    <w:basedOn w:val="IPPNormal"/>
    <w:next w:val="IPPNormal"/>
    <w:autoRedefine/>
    <w:qFormat/>
    <w:pPr>
      <w:numPr>
        <w:numId w:val="4"/>
      </w:numPr>
    </w:pPr>
  </w:style>
  <w:style w:type="character" w:customStyle="1" w:styleId="IPPNormalChar">
    <w:name w:val="IPP Normal Char"/>
    <w:link w:val="IPPNormal"/>
    <w:uiPriority w:val="99"/>
    <w:locked/>
    <w:rPr>
      <w:rFonts w:ascii="Times New Roman" w:hAnsi="Times New Roman"/>
      <w:sz w:val="24"/>
      <w:lang w:val="es-ES" w:eastAsia="en-US"/>
    </w:rPr>
  </w:style>
  <w:style w:type="character" w:styleId="Hyperlink">
    <w:name w:val="Hyperlink"/>
    <w:uiPriority w:val="99"/>
    <w:rPr>
      <w:rFonts w:cs="Times New Roman"/>
      <w:color w:val="0563C1"/>
      <w:u w:val="single"/>
    </w:rPr>
  </w:style>
  <w:style w:type="character" w:customStyle="1" w:styleId="PleaseReviewParagraphId">
    <w:name w:val="PleaseReviewParagraphId"/>
    <w:uiPriority w:val="99"/>
    <w:rPr>
      <w:rFonts w:ascii="Arial" w:hAnsi="Arial"/>
      <w:color w:val="000080"/>
      <w:sz w:val="16"/>
      <w:u w:val="none"/>
    </w:rPr>
  </w:style>
  <w:style w:type="paragraph" w:customStyle="1" w:styleId="IPPBullet1">
    <w:name w:val="IPP Bullet1"/>
    <w:basedOn w:val="IPPBullet1Last"/>
    <w:qFormat/>
    <w:pPr>
      <w:numPr>
        <w:numId w:val="5"/>
      </w:numPr>
      <w:spacing w:after="60"/>
      <w:ind w:left="567" w:hanging="567"/>
    </w:p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link w:val="BalloonText"/>
    <w:uiPriority w:val="99"/>
    <w:locked/>
    <w:rPr>
      <w:rFonts w:ascii="Tahoma" w:eastAsia="MS Mincho" w:hAnsi="Tahoma" w:cs="Tahoma"/>
      <w:sz w:val="16"/>
      <w:szCs w:val="16"/>
      <w:lang w:val="es-ES" w:eastAsia="en-US"/>
    </w:rPr>
  </w:style>
  <w:style w:type="paragraph" w:styleId="NormalWeb">
    <w:name w:val="Normal (Web)"/>
    <w:basedOn w:val="Normal"/>
    <w:uiPriority w:val="99"/>
    <w:pPr>
      <w:spacing w:before="100" w:beforeAutospacing="1" w:after="100" w:afterAutospacing="1"/>
    </w:pPr>
    <w:rPr>
      <w:sz w:val="24"/>
    </w:rPr>
  </w:style>
  <w:style w:type="paragraph" w:customStyle="1" w:styleId="IPPContentsHead">
    <w:name w:val="IPP ContentsHead"/>
    <w:basedOn w:val="IPPSubhead"/>
    <w:next w:val="IPPNormal"/>
    <w:uiPriority w:val="99"/>
    <w:pPr>
      <w:spacing w:after="240"/>
    </w:pPr>
    <w:rPr>
      <w:sz w:val="24"/>
    </w:rPr>
  </w:style>
  <w:style w:type="paragraph" w:styleId="ListParagraph">
    <w:name w:val="List Paragraph"/>
    <w:basedOn w:val="Normal"/>
    <w:uiPriority w:val="99"/>
    <w:qFormat/>
    <w:pPr>
      <w:spacing w:line="240" w:lineRule="atLeast"/>
      <w:ind w:leftChars="400" w:left="800"/>
    </w:pPr>
    <w:rPr>
      <w:rFonts w:ascii="Verdana" w:eastAsia="Times New Roman" w:hAnsi="Verdana"/>
      <w:sz w:val="20"/>
      <w:lang w:eastAsia="nl-NL"/>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locked/>
    <w:rPr>
      <w:rFonts w:cs="Times New Roman"/>
      <w:sz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locked/>
    <w:rPr>
      <w:rFonts w:cs="Times New Roman"/>
      <w:b/>
      <w:sz w:val="20"/>
    </w:rPr>
  </w:style>
  <w:style w:type="table" w:styleId="TableGrid">
    <w:name w:val="Table Grid"/>
    <w:basedOn w:val="TableNormal"/>
    <w:uiPriority w:val="99"/>
    <w:rPr>
      <w:rFonts w:ascii="Cambria" w:eastAsia="MS Mincho" w:hAnsi="Cambria"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locked/>
    <w:rPr>
      <w:rFonts w:ascii="Times New Roman" w:eastAsia="MS Mincho" w:hAnsi="Times New Roman" w:cs="Times New Roman"/>
      <w:sz w:val="24"/>
      <w:szCs w:val="24"/>
      <w:lang w:val="es-ES" w:eastAsia="en-US"/>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link w:val="Footer"/>
    <w:uiPriority w:val="99"/>
    <w:locked/>
    <w:rPr>
      <w:rFonts w:ascii="Times New Roman" w:eastAsia="MS Mincho" w:hAnsi="Times New Roman" w:cs="Times New Roman"/>
      <w:sz w:val="24"/>
      <w:szCs w:val="24"/>
      <w:lang w:val="es-ES" w:eastAsia="en-US"/>
    </w:rPr>
  </w:style>
  <w:style w:type="paragraph" w:styleId="DocumentMap">
    <w:name w:val="Document Map"/>
    <w:basedOn w:val="Normal"/>
    <w:link w:val="DocumentMapChar"/>
    <w:uiPriority w:val="99"/>
    <w:semiHidden/>
    <w:rPr>
      <w:rFonts w:ascii="Tahoma" w:eastAsia="Calibri" w:hAnsi="Tahoma"/>
      <w:sz w:val="16"/>
      <w:szCs w:val="16"/>
      <w:lang w:eastAsia="ja-JP"/>
    </w:rPr>
  </w:style>
  <w:style w:type="character" w:customStyle="1" w:styleId="DocumentMapChar">
    <w:name w:val="Document Map Char"/>
    <w:link w:val="DocumentMap"/>
    <w:uiPriority w:val="99"/>
    <w:semiHidden/>
    <w:locked/>
    <w:rPr>
      <w:rFonts w:ascii="Tahoma" w:hAnsi="Tahoma" w:cs="Times New Roman"/>
      <w:sz w:val="16"/>
    </w:rPr>
  </w:style>
  <w:style w:type="paragraph" w:styleId="FootnoteText">
    <w:name w:val="footnote text"/>
    <w:basedOn w:val="Normal"/>
    <w:link w:val="FootnoteTextChar"/>
    <w:uiPriority w:val="99"/>
    <w:pPr>
      <w:spacing w:before="60"/>
    </w:pPr>
    <w:rPr>
      <w:sz w:val="20"/>
    </w:rPr>
  </w:style>
  <w:style w:type="character" w:customStyle="1" w:styleId="FootnoteTextChar">
    <w:name w:val="Footnote Text Char"/>
    <w:link w:val="FootnoteText"/>
    <w:uiPriority w:val="99"/>
    <w:locked/>
    <w:rPr>
      <w:rFonts w:ascii="Times New Roman" w:eastAsia="MS Mincho" w:hAnsi="Times New Roman" w:cs="Times New Roman"/>
      <w:sz w:val="24"/>
      <w:szCs w:val="24"/>
      <w:lang w:val="es-ES" w:eastAsia="en-US"/>
    </w:rPr>
  </w:style>
  <w:style w:type="character" w:styleId="FootnoteReference">
    <w:name w:val="footnote reference"/>
    <w:aliases w:val="Footnote text,Ref,de nota al pie,Footnote Reference1,Ref1,de nota al pie1,註腳內容,de nota al pie + (Asian) MS Mincho,11 pt,16 Point,Superscript 6 Point"/>
    <w:uiPriority w:val="99"/>
    <w:rPr>
      <w:rFonts w:cs="Times New Roman"/>
      <w:vertAlign w:val="superscript"/>
    </w:rPr>
  </w:style>
  <w:style w:type="paragraph" w:customStyle="1" w:styleId="Style">
    <w:name w:val="Style"/>
    <w:basedOn w:val="Footer"/>
    <w:autoRedefine/>
    <w:uiPriority w:val="99"/>
    <w:pPr>
      <w:pBdr>
        <w:top w:val="single" w:sz="4" w:space="1" w:color="auto"/>
      </w:pBdr>
      <w:tabs>
        <w:tab w:val="clear" w:pos="4680"/>
        <w:tab w:val="clear" w:pos="9360"/>
        <w:tab w:val="right" w:pos="9072"/>
      </w:tabs>
      <w:spacing w:after="120"/>
      <w:jc w:val="left"/>
    </w:pPr>
    <w:rPr>
      <w:rFonts w:ascii="Arial" w:eastAsia="Calibri" w:hAnsi="Arial"/>
      <w:sz w:val="18"/>
      <w:lang w:eastAsia="en-GB"/>
    </w:rPr>
  </w:style>
  <w:style w:type="character" w:styleId="PageNumber">
    <w:name w:val="page number"/>
    <w:uiPriority w:val="99"/>
    <w:rPr>
      <w:rFonts w:ascii="Arial" w:hAnsi="Arial" w:cs="Times New Roman"/>
      <w:b/>
      <w:sz w:val="18"/>
    </w:rPr>
  </w:style>
  <w:style w:type="paragraph" w:customStyle="1" w:styleId="IPPArialFootnote">
    <w:name w:val="IPP Arial Footnote"/>
    <w:basedOn w:val="IPPArialTable"/>
    <w:uiPriority w:val="99"/>
    <w:pPr>
      <w:tabs>
        <w:tab w:val="left" w:pos="28"/>
      </w:tabs>
      <w:ind w:left="284" w:hanging="284"/>
    </w:pPr>
    <w:rPr>
      <w:sz w:val="16"/>
    </w:rPr>
  </w:style>
  <w:style w:type="paragraph" w:customStyle="1" w:styleId="IPPBullet2">
    <w:name w:val="IPP Bullet2"/>
    <w:basedOn w:val="IPPNormal"/>
    <w:next w:val="IPPBullet1"/>
    <w:uiPriority w:val="99"/>
    <w:pPr>
      <w:numPr>
        <w:numId w:val="9"/>
      </w:numPr>
      <w:tabs>
        <w:tab w:val="left" w:pos="1134"/>
      </w:tabs>
      <w:spacing w:after="60"/>
      <w:ind w:left="1134" w:hanging="567"/>
    </w:pPr>
  </w:style>
  <w:style w:type="paragraph" w:customStyle="1" w:styleId="IPPQuote">
    <w:name w:val="IPP Quote"/>
    <w:basedOn w:val="IPPNormal"/>
    <w:uiPriority w:val="99"/>
    <w:pPr>
      <w:ind w:left="851" w:right="851"/>
    </w:pPr>
    <w:rPr>
      <w:sz w:val="18"/>
    </w:rPr>
  </w:style>
  <w:style w:type="paragraph" w:customStyle="1" w:styleId="IPPIndentClose">
    <w:name w:val="IPP Indent Close"/>
    <w:basedOn w:val="IPPNormal"/>
    <w:uiPriority w:val="99"/>
    <w:pPr>
      <w:tabs>
        <w:tab w:val="left" w:pos="2835"/>
      </w:tabs>
      <w:spacing w:after="60"/>
      <w:ind w:left="567"/>
    </w:pPr>
  </w:style>
  <w:style w:type="paragraph" w:customStyle="1" w:styleId="IPPIndent">
    <w:name w:val="IPP Indent"/>
    <w:basedOn w:val="IPPIndentClose"/>
    <w:uiPriority w:val="99"/>
    <w:pPr>
      <w:spacing w:after="180"/>
    </w:pPr>
  </w:style>
  <w:style w:type="paragraph" w:customStyle="1" w:styleId="IPPFootnote">
    <w:name w:val="IPP Footnote"/>
    <w:basedOn w:val="IPPArialFootnote"/>
    <w:uiPriority w:val="99"/>
    <w:pPr>
      <w:tabs>
        <w:tab w:val="left" w:pos="0"/>
      </w:tabs>
      <w:spacing w:before="0"/>
      <w:ind w:left="0" w:firstLine="0"/>
      <w:jc w:val="both"/>
    </w:pPr>
    <w:rPr>
      <w:rFonts w:ascii="Times New Roman" w:hAnsi="Times New Roman"/>
      <w:sz w:val="20"/>
    </w:rPr>
  </w:style>
  <w:style w:type="paragraph" w:customStyle="1" w:styleId="IPPHeading3">
    <w:name w:val="IPP Heading3"/>
    <w:basedOn w:val="IPPNormal"/>
    <w:uiPriority w:val="99"/>
    <w:pPr>
      <w:keepNext/>
      <w:tabs>
        <w:tab w:val="left" w:pos="567"/>
      </w:tabs>
      <w:spacing w:before="120" w:after="120"/>
      <w:ind w:left="567" w:hanging="567"/>
    </w:pPr>
    <w:rPr>
      <w:b/>
      <w:i/>
    </w:rPr>
  </w:style>
  <w:style w:type="character" w:customStyle="1" w:styleId="IPPnormalitalics">
    <w:name w:val="IPP normal italics"/>
    <w:uiPriority w:val="99"/>
    <w:rPr>
      <w:rFonts w:ascii="Times New Roman" w:hAnsi="Times New Roman" w:cs="Times New Roman"/>
      <w:i/>
      <w:sz w:val="22"/>
      <w:lang w:val="es-ES"/>
    </w:rPr>
  </w:style>
  <w:style w:type="character" w:customStyle="1" w:styleId="IPPNormalbold">
    <w:name w:val="IPP Normal bold"/>
    <w:uiPriority w:val="99"/>
    <w:rPr>
      <w:rFonts w:ascii="Times New Roman" w:hAnsi="Times New Roman" w:cs="Times New Roman"/>
      <w:b/>
      <w:sz w:val="21"/>
      <w:szCs w:val="21"/>
      <w:lang w:val="es-ES" w:eastAsia="en-US"/>
    </w:rPr>
  </w:style>
  <w:style w:type="paragraph" w:customStyle="1" w:styleId="IPPHeadSection">
    <w:name w:val="IPP HeadSection"/>
    <w:basedOn w:val="Normal"/>
    <w:next w:val="Normal"/>
    <w:uiPriority w:val="99"/>
    <w:pPr>
      <w:keepNext/>
      <w:tabs>
        <w:tab w:val="left" w:pos="851"/>
      </w:tabs>
      <w:spacing w:before="360" w:after="120"/>
      <w:ind w:left="851" w:hanging="851"/>
      <w:outlineLvl w:val="0"/>
    </w:pPr>
    <w:rPr>
      <w:rFonts w:eastAsia="Calibri"/>
      <w:b/>
      <w:bCs/>
      <w:caps/>
      <w:sz w:val="24"/>
      <w:szCs w:val="22"/>
    </w:rPr>
  </w:style>
  <w:style w:type="paragraph" w:customStyle="1" w:styleId="IPPHeading1">
    <w:name w:val="IPP Heading1"/>
    <w:basedOn w:val="IPPNormal"/>
    <w:next w:val="IPPNormal"/>
    <w:uiPriority w:val="99"/>
    <w:pPr>
      <w:keepNext/>
      <w:tabs>
        <w:tab w:val="left" w:pos="567"/>
      </w:tabs>
      <w:spacing w:before="240" w:after="120"/>
      <w:ind w:left="567" w:hanging="567"/>
      <w:jc w:val="left"/>
      <w:outlineLvl w:val="1"/>
    </w:pPr>
    <w:rPr>
      <w:b/>
      <w:szCs w:val="22"/>
    </w:rPr>
  </w:style>
  <w:style w:type="paragraph" w:customStyle="1" w:styleId="IPPSubhead">
    <w:name w:val="IPP Subhead"/>
    <w:basedOn w:val="Normal"/>
    <w:uiPriority w:val="99"/>
    <w:pPr>
      <w:keepNext/>
      <w:ind w:left="567" w:hanging="567"/>
      <w:jc w:val="left"/>
    </w:pPr>
    <w:rPr>
      <w:b/>
      <w:bCs/>
      <w:iCs/>
      <w:szCs w:val="22"/>
    </w:rPr>
  </w:style>
  <w:style w:type="character" w:customStyle="1" w:styleId="IPPNormalunderlined">
    <w:name w:val="IPP Normal underlined"/>
    <w:uiPriority w:val="99"/>
    <w:rPr>
      <w:rFonts w:ascii="Times New Roman" w:hAnsi="Times New Roman" w:cs="Times New Roman"/>
      <w:sz w:val="22"/>
      <w:u w:val="single"/>
      <w:lang w:val="es-ES"/>
    </w:rPr>
  </w:style>
  <w:style w:type="character" w:customStyle="1" w:styleId="IPPNormalstrikethrough">
    <w:name w:val="IPP Normal strikethrough"/>
    <w:uiPriority w:val="99"/>
    <w:rPr>
      <w:rFonts w:ascii="Times New Roman" w:hAnsi="Times New Roman"/>
      <w:strike/>
      <w:sz w:val="22"/>
    </w:rPr>
  </w:style>
  <w:style w:type="paragraph" w:customStyle="1" w:styleId="IPPTitle16pt">
    <w:name w:val="IPP Title16pt"/>
    <w:basedOn w:val="Normal"/>
    <w:uiPriority w:val="99"/>
    <w:pPr>
      <w:spacing w:after="720"/>
      <w:ind w:left="1701" w:right="1701"/>
      <w:jc w:val="center"/>
    </w:pPr>
    <w:rPr>
      <w:rFonts w:ascii="Arial" w:hAnsi="Arial" w:cs="Arial"/>
      <w:b/>
      <w:bCs/>
      <w:sz w:val="32"/>
      <w:szCs w:val="32"/>
    </w:rPr>
  </w:style>
  <w:style w:type="paragraph" w:customStyle="1" w:styleId="IPPTitle18pt">
    <w:name w:val="IPP Title18pt"/>
    <w:basedOn w:val="Normal"/>
    <w:uiPriority w:val="99"/>
    <w:pPr>
      <w:spacing w:after="360"/>
      <w:jc w:val="center"/>
    </w:pPr>
    <w:rPr>
      <w:rFonts w:ascii="Arial" w:hAnsi="Arial" w:cs="Arial"/>
      <w:b/>
      <w:bCs/>
      <w:sz w:val="36"/>
      <w:szCs w:val="36"/>
    </w:rPr>
  </w:style>
  <w:style w:type="paragraph" w:customStyle="1" w:styleId="IPPHeader">
    <w:name w:val="IPP Header"/>
    <w:basedOn w:val="Normal"/>
    <w:uiPriority w:val="99"/>
    <w:pPr>
      <w:pBdr>
        <w:bottom w:val="single" w:sz="4" w:space="4" w:color="auto"/>
      </w:pBdr>
      <w:tabs>
        <w:tab w:val="left" w:pos="1134"/>
        <w:tab w:val="right" w:pos="9072"/>
      </w:tabs>
      <w:spacing w:after="120"/>
      <w:jc w:val="left"/>
    </w:pPr>
    <w:rPr>
      <w:rFonts w:ascii="Arial" w:hAnsi="Arial"/>
      <w:sz w:val="18"/>
    </w:rPr>
  </w:style>
  <w:style w:type="paragraph" w:customStyle="1" w:styleId="IPPAnnexHead">
    <w:name w:val="IPP AnnexHead"/>
    <w:basedOn w:val="IPPNormal"/>
    <w:next w:val="IPPNormal"/>
    <w:uiPriority w:val="99"/>
    <w:pPr>
      <w:keepNext/>
      <w:tabs>
        <w:tab w:val="left" w:pos="567"/>
      </w:tabs>
      <w:spacing w:before="120"/>
      <w:jc w:val="left"/>
      <w:outlineLvl w:val="1"/>
    </w:pPr>
    <w:rPr>
      <w:b/>
    </w:rPr>
  </w:style>
  <w:style w:type="paragraph" w:customStyle="1" w:styleId="IPPNormalCloseSpace">
    <w:name w:val="IPP NormalCloseSpace"/>
    <w:basedOn w:val="Normal"/>
    <w:uiPriority w:val="99"/>
    <w:pPr>
      <w:keepNext/>
      <w:spacing w:after="60"/>
    </w:pPr>
  </w:style>
  <w:style w:type="paragraph" w:customStyle="1" w:styleId="IPPHeading2">
    <w:name w:val="IPP Heading2"/>
    <w:basedOn w:val="IPPNormal"/>
    <w:next w:val="IPPNormal"/>
    <w:uiPriority w:val="99"/>
    <w:pPr>
      <w:keepNext/>
      <w:tabs>
        <w:tab w:val="left" w:pos="567"/>
      </w:tabs>
      <w:spacing w:before="120" w:after="120"/>
      <w:ind w:left="567" w:hanging="567"/>
      <w:jc w:val="left"/>
      <w:outlineLvl w:val="2"/>
    </w:pPr>
    <w:rPr>
      <w:b/>
    </w:rPr>
  </w:style>
  <w:style w:type="paragraph" w:customStyle="1" w:styleId="IPPFooter">
    <w:name w:val="IPP Footer"/>
    <w:basedOn w:val="IPPHeader"/>
    <w:next w:val="PlainText"/>
    <w:uiPriority w:val="99"/>
    <w:pPr>
      <w:pBdr>
        <w:top w:val="single" w:sz="4" w:space="4" w:color="auto"/>
        <w:bottom w:val="none" w:sz="0" w:space="0" w:color="auto"/>
      </w:pBdr>
      <w:tabs>
        <w:tab w:val="clear" w:pos="1134"/>
      </w:tabs>
      <w:jc w:val="right"/>
    </w:pPr>
    <w:rPr>
      <w:b/>
    </w:rPr>
  </w:style>
  <w:style w:type="paragraph" w:styleId="TOC1">
    <w:name w:val="toc 1"/>
    <w:basedOn w:val="IPPNormalCloseSpace"/>
    <w:next w:val="Normal"/>
    <w:autoRedefine/>
    <w:uiPriority w:val="99"/>
    <w:pPr>
      <w:tabs>
        <w:tab w:val="right" w:leader="dot" w:pos="9072"/>
      </w:tabs>
      <w:spacing w:before="240"/>
      <w:ind w:left="567" w:hanging="567"/>
    </w:pPr>
  </w:style>
  <w:style w:type="paragraph" w:styleId="TOC2">
    <w:name w:val="toc 2"/>
    <w:basedOn w:val="TOC1"/>
    <w:next w:val="Normal"/>
    <w:autoRedefine/>
    <w:uiPriority w:val="99"/>
    <w:pPr>
      <w:keepNext w:val="0"/>
      <w:tabs>
        <w:tab w:val="left" w:pos="425"/>
      </w:tabs>
      <w:spacing w:before="120" w:after="0"/>
      <w:ind w:left="425" w:right="284" w:hanging="425"/>
    </w:pPr>
  </w:style>
  <w:style w:type="paragraph" w:styleId="TOC3">
    <w:name w:val="toc 3"/>
    <w:basedOn w:val="TOC2"/>
    <w:next w:val="Normal"/>
    <w:autoRedefine/>
    <w:uiPriority w:val="99"/>
    <w:pPr>
      <w:tabs>
        <w:tab w:val="left" w:pos="1276"/>
      </w:tabs>
      <w:spacing w:before="60"/>
      <w:ind w:left="1276" w:hanging="851"/>
    </w:pPr>
    <w:rPr>
      <w:rFonts w:eastAsia="Calibri"/>
    </w:rPr>
  </w:style>
  <w:style w:type="paragraph" w:styleId="TOC4">
    <w:name w:val="toc 4"/>
    <w:basedOn w:val="Normal"/>
    <w:next w:val="Normal"/>
    <w:autoRedefine/>
    <w:uiPriority w:val="99"/>
    <w:pPr>
      <w:spacing w:after="120"/>
      <w:ind w:left="660"/>
    </w:pPr>
    <w:rPr>
      <w:rFonts w:eastAsia="Calibri"/>
    </w:rPr>
  </w:style>
  <w:style w:type="paragraph" w:styleId="TOC5">
    <w:name w:val="toc 5"/>
    <w:basedOn w:val="Normal"/>
    <w:next w:val="Normal"/>
    <w:autoRedefine/>
    <w:uiPriority w:val="99"/>
    <w:pPr>
      <w:spacing w:after="120"/>
      <w:ind w:left="880"/>
    </w:pPr>
    <w:rPr>
      <w:rFonts w:eastAsia="Calibri"/>
    </w:rPr>
  </w:style>
  <w:style w:type="paragraph" w:styleId="TOC6">
    <w:name w:val="toc 6"/>
    <w:basedOn w:val="Normal"/>
    <w:next w:val="Normal"/>
    <w:autoRedefine/>
    <w:uiPriority w:val="99"/>
    <w:pPr>
      <w:spacing w:after="120"/>
      <w:ind w:left="1100"/>
    </w:pPr>
    <w:rPr>
      <w:rFonts w:eastAsia="Calibri"/>
    </w:rPr>
  </w:style>
  <w:style w:type="paragraph" w:styleId="TOC7">
    <w:name w:val="toc 7"/>
    <w:basedOn w:val="Normal"/>
    <w:next w:val="Normal"/>
    <w:autoRedefine/>
    <w:uiPriority w:val="99"/>
    <w:pPr>
      <w:spacing w:after="120"/>
      <w:ind w:left="1320"/>
    </w:pPr>
    <w:rPr>
      <w:rFonts w:eastAsia="Calibri"/>
    </w:rPr>
  </w:style>
  <w:style w:type="paragraph" w:styleId="TOC8">
    <w:name w:val="toc 8"/>
    <w:basedOn w:val="Normal"/>
    <w:next w:val="Normal"/>
    <w:autoRedefine/>
    <w:uiPriority w:val="99"/>
    <w:pPr>
      <w:spacing w:after="120"/>
      <w:ind w:left="1540"/>
    </w:pPr>
    <w:rPr>
      <w:rFonts w:eastAsia="Calibri"/>
    </w:rPr>
  </w:style>
  <w:style w:type="paragraph" w:styleId="TOC9">
    <w:name w:val="toc 9"/>
    <w:basedOn w:val="Normal"/>
    <w:next w:val="Normal"/>
    <w:autoRedefine/>
    <w:uiPriority w:val="99"/>
    <w:pPr>
      <w:spacing w:after="120"/>
      <w:ind w:left="1760"/>
    </w:pPr>
    <w:rPr>
      <w:rFonts w:eastAsia="Calibri"/>
    </w:rPr>
  </w:style>
  <w:style w:type="paragraph" w:customStyle="1" w:styleId="IPPReferences">
    <w:name w:val="IPP References"/>
    <w:basedOn w:val="IPPNormal"/>
    <w:uiPriority w:val="99"/>
    <w:pPr>
      <w:spacing w:after="60"/>
      <w:ind w:left="567" w:hanging="567"/>
    </w:pPr>
  </w:style>
  <w:style w:type="paragraph" w:customStyle="1" w:styleId="IPPArial">
    <w:name w:val="IPP Arial"/>
    <w:basedOn w:val="IPPNormal"/>
    <w:uiPriority w:val="99"/>
    <w:pPr>
      <w:spacing w:after="0"/>
    </w:pPr>
    <w:rPr>
      <w:rFonts w:ascii="Arial" w:hAnsi="Arial"/>
      <w:sz w:val="18"/>
    </w:rPr>
  </w:style>
  <w:style w:type="paragraph" w:customStyle="1" w:styleId="IPPArialTable">
    <w:name w:val="IPP Arial Table"/>
    <w:basedOn w:val="IPPArial"/>
    <w:uiPriority w:val="99"/>
    <w:pPr>
      <w:spacing w:before="60" w:after="60"/>
      <w:jc w:val="left"/>
    </w:pPr>
  </w:style>
  <w:style w:type="paragraph" w:customStyle="1" w:styleId="IPPHeaderlandscape">
    <w:name w:val="IPP Header landscape"/>
    <w:basedOn w:val="IPPHeader"/>
    <w:uiPriority w:val="99"/>
    <w:pPr>
      <w:pBdr>
        <w:bottom w:val="single" w:sz="4" w:space="1" w:color="auto"/>
      </w:pBdr>
      <w:tabs>
        <w:tab w:val="clear" w:pos="9072"/>
        <w:tab w:val="right" w:pos="14034"/>
      </w:tabs>
      <w:spacing w:after="0"/>
      <w:ind w:right="-32"/>
    </w:pPr>
  </w:style>
  <w:style w:type="paragraph" w:styleId="PlainText">
    <w:name w:val="Plain Text"/>
    <w:basedOn w:val="Normal"/>
    <w:link w:val="PlainTextChar"/>
    <w:uiPriority w:val="99"/>
    <w:pPr>
      <w:jc w:val="left"/>
    </w:pPr>
    <w:rPr>
      <w:rFonts w:ascii="Courier" w:eastAsia="Calibri" w:hAnsi="Courier"/>
      <w:sz w:val="21"/>
      <w:szCs w:val="21"/>
    </w:rPr>
  </w:style>
  <w:style w:type="character" w:customStyle="1" w:styleId="PlainTextChar">
    <w:name w:val="Plain Text Char"/>
    <w:link w:val="PlainText"/>
    <w:uiPriority w:val="99"/>
    <w:locked/>
    <w:rPr>
      <w:rFonts w:ascii="Courier" w:hAnsi="Courier" w:cs="Times New Roman"/>
      <w:sz w:val="21"/>
      <w:szCs w:val="21"/>
      <w:lang w:val="es-ES" w:eastAsia="en-US"/>
    </w:rPr>
  </w:style>
  <w:style w:type="paragraph" w:customStyle="1" w:styleId="IPPLetterList">
    <w:name w:val="IPP LetterList"/>
    <w:basedOn w:val="IPPBullet2"/>
    <w:uiPriority w:val="99"/>
    <w:pPr>
      <w:tabs>
        <w:tab w:val="num" w:pos="1134"/>
      </w:tabs>
      <w:jc w:val="left"/>
    </w:pPr>
  </w:style>
  <w:style w:type="paragraph" w:customStyle="1" w:styleId="IPPLetterListIndent">
    <w:name w:val="IPP LetterList Indent"/>
    <w:basedOn w:val="IPPLetterList"/>
    <w:uiPriority w:val="99"/>
    <w:pPr>
      <w:numPr>
        <w:numId w:val="7"/>
      </w:numPr>
    </w:pPr>
  </w:style>
  <w:style w:type="paragraph" w:customStyle="1" w:styleId="IPPFooterLandscape">
    <w:name w:val="IPP Footer Landscape"/>
    <w:basedOn w:val="IPPHeaderlandscape"/>
    <w:uiPriority w:val="99"/>
    <w:pPr>
      <w:pBdr>
        <w:top w:val="single" w:sz="4" w:space="1" w:color="auto"/>
        <w:bottom w:val="none" w:sz="0" w:space="0" w:color="auto"/>
      </w:pBdr>
      <w:jc w:val="right"/>
    </w:pPr>
    <w:rPr>
      <w:b/>
    </w:rPr>
  </w:style>
  <w:style w:type="paragraph" w:customStyle="1" w:styleId="IPPSubheadSpace">
    <w:name w:val="IPP Subhead Space"/>
    <w:basedOn w:val="IPPSubhead"/>
    <w:uiPriority w:val="99"/>
    <w:pPr>
      <w:tabs>
        <w:tab w:val="left" w:pos="567"/>
      </w:tabs>
      <w:spacing w:before="60" w:after="60"/>
    </w:pPr>
  </w:style>
  <w:style w:type="paragraph" w:customStyle="1" w:styleId="IPPSubheadSpaceAfter">
    <w:name w:val="IPP Subhead SpaceAfter"/>
    <w:basedOn w:val="IPPSubhead"/>
    <w:uiPriority w:val="99"/>
    <w:pPr>
      <w:spacing w:after="60"/>
    </w:pPr>
  </w:style>
  <w:style w:type="paragraph" w:customStyle="1" w:styleId="IPPHdg1Num">
    <w:name w:val="IPP Hdg1Num"/>
    <w:basedOn w:val="IPPHeading1"/>
    <w:next w:val="IPPNormal"/>
    <w:uiPriority w:val="99"/>
    <w:pPr>
      <w:numPr>
        <w:numId w:val="10"/>
      </w:numPr>
    </w:pPr>
  </w:style>
  <w:style w:type="paragraph" w:customStyle="1" w:styleId="IPPHdg2Num">
    <w:name w:val="IPP Hdg2Num"/>
    <w:basedOn w:val="IPPHeading2"/>
    <w:next w:val="IPPNormal"/>
    <w:uiPriority w:val="99"/>
    <w:pPr>
      <w:numPr>
        <w:ilvl w:val="1"/>
        <w:numId w:val="11"/>
      </w:numPr>
    </w:pPr>
  </w:style>
  <w:style w:type="paragraph" w:customStyle="1" w:styleId="IPPNumberedList">
    <w:name w:val="IPP NumberedList"/>
    <w:basedOn w:val="IPPBullet1"/>
    <w:uiPriority w:val="99"/>
    <w:pPr>
      <w:numPr>
        <w:numId w:val="12"/>
      </w:numPr>
    </w:pPr>
  </w:style>
  <w:style w:type="character" w:styleId="Strong">
    <w:name w:val="Strong"/>
    <w:uiPriority w:val="99"/>
    <w:qFormat/>
    <w:rPr>
      <w:rFonts w:cs="Times New Roman"/>
      <w:b/>
      <w:bCs/>
    </w:rPr>
  </w:style>
  <w:style w:type="paragraph" w:customStyle="1" w:styleId="IPPParagraphnumberingclose">
    <w:name w:val="IPP Paragraph numbering close"/>
    <w:basedOn w:val="IPPParagraphnumbering"/>
    <w:uiPriority w:val="99"/>
    <w:pPr>
      <w:keepNext/>
      <w:spacing w:after="60"/>
    </w:pPr>
  </w:style>
  <w:style w:type="paragraph" w:customStyle="1" w:styleId="IPPNumberedListLast">
    <w:name w:val="IPP NumberedListLast"/>
    <w:basedOn w:val="IPPNumberedList"/>
    <w:uiPriority w:val="99"/>
    <w:pPr>
      <w:spacing w:after="180"/>
    </w:pPr>
  </w:style>
  <w:style w:type="paragraph" w:customStyle="1" w:styleId="Default">
    <w:name w:val="Default"/>
    <w:uiPriority w:val="99"/>
    <w:pPr>
      <w:autoSpaceDE w:val="0"/>
      <w:autoSpaceDN w:val="0"/>
      <w:adjustRightInd w:val="0"/>
    </w:pPr>
    <w:rPr>
      <w:rFonts w:ascii="Times New Roman" w:hAnsi="Times New Roman" w:cs="Times New Roman"/>
      <w:color w:val="000000"/>
      <w:sz w:val="24"/>
      <w:szCs w:val="24"/>
    </w:rPr>
  </w:style>
  <w:style w:type="paragraph" w:styleId="Revision">
    <w:name w:val="Revision"/>
    <w:hidden/>
    <w:uiPriority w:val="99"/>
    <w:semiHidden/>
    <w:rPr>
      <w:rFonts w:ascii="Times New Roman" w:eastAsia="MS Mincho" w:hAnsi="Times New Roman" w:cs="Times New Roman"/>
      <w:sz w:val="22"/>
      <w:szCs w:val="24"/>
      <w:lang w:eastAsia="en-US"/>
    </w:rPr>
  </w:style>
  <w:style w:type="paragraph" w:customStyle="1" w:styleId="IPPHeading30">
    <w:name w:val="IPP Heading 3"/>
    <w:basedOn w:val="IPPNormal"/>
    <w:uiPriority w:val="99"/>
    <w:pPr>
      <w:keepNext/>
      <w:tabs>
        <w:tab w:val="left" w:pos="567"/>
      </w:tabs>
      <w:spacing w:before="120" w:after="120"/>
      <w:ind w:left="567" w:hanging="567"/>
    </w:pPr>
    <w:rPr>
      <w:b/>
      <w:i/>
    </w:rPr>
  </w:style>
  <w:style w:type="numbering" w:customStyle="1" w:styleId="IPPParagraphnumberedlist">
    <w:name w:val="IPP Paragraph numbered list"/>
    <w:pPr>
      <w:numPr>
        <w:numId w:val="2"/>
      </w:numPr>
    </w:pPr>
  </w:style>
  <w:style w:type="numbering" w:customStyle="1" w:styleId="IPPParagraphnumberedlist1">
    <w:name w:val="IPP Paragraph numbered list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SSJ\Dropbox\Work%202020-03-05%20Teleworking\IPPC_2015-06-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IPPC_2015-06-04.dotx</Template>
  <TotalTime>0</TotalTime>
  <Pages>6</Pages>
  <Words>2412</Words>
  <Characters>13754</Characters>
  <Application>Microsoft Office Word</Application>
  <DocSecurity>0</DocSecurity>
  <Lines>114</Lines>
  <Paragraphs>32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DRAFT 2017 AMENDMENTS TO ISPM 5:</vt:lpstr>
      <vt:lpstr>DRAFT 2017 AMENDMENTS TO ISPM 5:</vt:lpstr>
    </vt:vector>
  </TitlesOfParts>
  <Company>FAO of the UN</Company>
  <LinksUpToDate>false</LinksUpToDate>
  <CharactersWithSpaces>16134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2017 AMENDMENTS TO ISPM 5:</dc:title>
  <dc:creator>Moller, Eva (AGDI)</dc:creator>
  <cp:lastModifiedBy>Cassin, Aoife (AGDI)</cp:lastModifiedBy>
  <cp:revision>2</cp:revision>
  <cp:lastPrinted>2020-05-07T11:12:00Z</cp:lastPrinted>
  <dcterms:created xsi:type="dcterms:W3CDTF">2020-07-01T10:23:00Z</dcterms:created>
  <dcterms:modified xsi:type="dcterms:W3CDTF">2020-07-01T10:23:00Z</dcterms:modified>
</cp:coreProperties>
</file>