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890" w:rsidRDefault="00C92F6D">
      <w:pPr>
        <w:jc w:val="center"/>
      </w:pPr>
      <w:bookmarkStart w:id="0" w:name="_GoBack"/>
      <w:bookmarkEnd w:id="0"/>
      <w:r>
        <w:rPr>
          <w:rStyle w:val="PleaseReviewParagraphId"/>
          <w:noProof/>
          <w:sz w:val="20"/>
        </w:rPr>
        <w:t xml:space="preserve">[PleaseReview document review. Review title: 2020 first consultation Draft PT: Cold treatment for Thaumatotibia leucotreta on Citrus sinensis (2017-029). Document title: </w:t>
      </w:r>
      <w:r>
        <w:rPr>
          <w:rStyle w:val="PleaseReviewParagraphId"/>
          <w:noProof/>
          <w:sz w:val="20"/>
        </w:rPr>
        <w:t>2017-029_DRAFT_PT_Cold_Leucotreta_Citrus_sinensis_2020-02-17_es.docx]</w:t>
      </w:r>
    </w:p>
    <w:p w:rsidR="00AF4890" w:rsidRDefault="00C92F6D">
      <w:pPr>
        <w:pStyle w:val="IPPHeading1"/>
      </w:pPr>
      <w:r>
        <w:rPr>
          <w:rStyle w:val="PleaseReviewParagraphId"/>
          <w:b w:val="0"/>
        </w:rPr>
        <w:t>[1]</w:t>
      </w:r>
      <w:bookmarkStart w:id="1" w:name="_Toc121913536"/>
      <w:r>
        <w:t xml:space="preserve">PROYECTO DE ANEXO DE LA NIMF 28: Tratamiento con frío contra </w:t>
      </w:r>
      <w:r>
        <w:rPr>
          <w:i/>
        </w:rPr>
        <w:t>Thaumatotibia leucotreta</w:t>
      </w:r>
      <w:r>
        <w:t xml:space="preserve"> en </w:t>
      </w:r>
      <w:r>
        <w:rPr>
          <w:i/>
        </w:rPr>
        <w:t xml:space="preserve">Citrus </w:t>
      </w:r>
      <w:r>
        <w:rPr>
          <w:i/>
          <w:iCs/>
        </w:rPr>
        <w:t>sinensis</w:t>
      </w:r>
      <w:r>
        <w:t xml:space="preserve"> (2017-029)</w:t>
      </w:r>
    </w:p>
    <w:p w:rsidR="00AF4890" w:rsidRDefault="00C92F6D">
      <w:pPr>
        <w:pStyle w:val="IPPArialTable"/>
        <w:rPr>
          <w:b/>
          <w:bCs/>
        </w:rPr>
      </w:pPr>
      <w:r>
        <w:rPr>
          <w:rStyle w:val="PleaseReviewParagraphId"/>
        </w:rPr>
        <w:t>[2]</w:t>
      </w:r>
      <w:r>
        <w:rPr>
          <w:b/>
        </w:rPr>
        <w:t>Estado de la elaboración</w:t>
      </w:r>
    </w:p>
    <w:tbl>
      <w:tblPr>
        <w:tblpPr w:leftFromText="180" w:rightFromText="180" w:vertAnchor="text" w:horzAnchor="margin" w:tblpXSpec="center" w:tblpY="128"/>
        <w:tblW w:w="903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2273"/>
        <w:gridCol w:w="6766"/>
      </w:tblGrid>
      <w:tr w:rsidR="00AF4890">
        <w:trPr>
          <w:trHeight w:val="286"/>
        </w:trPr>
        <w:tc>
          <w:tcPr>
            <w:tcW w:w="9039" w:type="dxa"/>
            <w:gridSpan w:val="2"/>
            <w:tcBorders>
              <w:top w:val="single" w:sz="4" w:space="0" w:color="auto"/>
              <w:left w:val="single" w:sz="4" w:space="0" w:color="auto"/>
              <w:right w:val="single" w:sz="4" w:space="0" w:color="auto"/>
            </w:tcBorders>
          </w:tcPr>
          <w:p w:rsidR="00AF4890" w:rsidRDefault="00C92F6D">
            <w:pPr>
              <w:pStyle w:val="IPPArialTable"/>
            </w:pPr>
            <w:r>
              <w:rPr>
                <w:rStyle w:val="PleaseReviewParagraphId"/>
              </w:rPr>
              <w:t>[3]</w:t>
            </w:r>
            <w:r>
              <w:t>Esta no es una parte oficial de la n</w:t>
            </w:r>
            <w:r>
              <w:t>orma; después de la adopción será modificada por la Secretaría de la CIPF.</w:t>
            </w:r>
          </w:p>
        </w:tc>
      </w:tr>
      <w:tr w:rsidR="00AF4890">
        <w:trPr>
          <w:trHeight w:val="286"/>
        </w:trPr>
        <w:tc>
          <w:tcPr>
            <w:tcW w:w="2273" w:type="dxa"/>
            <w:tcBorders>
              <w:left w:val="single" w:sz="4" w:space="0" w:color="auto"/>
            </w:tcBorders>
          </w:tcPr>
          <w:p w:rsidR="00AF4890" w:rsidRDefault="00C92F6D">
            <w:pPr>
              <w:pStyle w:val="IPPArialTable"/>
              <w:rPr>
                <w:b/>
                <w:bCs/>
              </w:rPr>
            </w:pPr>
            <w:r>
              <w:rPr>
                <w:rStyle w:val="PleaseReviewParagraphId"/>
              </w:rPr>
              <w:t>[4]</w:t>
            </w:r>
            <w:r>
              <w:rPr>
                <w:b/>
              </w:rPr>
              <w:t>Fecha de este documento</w:t>
            </w:r>
          </w:p>
        </w:tc>
        <w:tc>
          <w:tcPr>
            <w:tcW w:w="6766" w:type="dxa"/>
            <w:tcBorders>
              <w:right w:val="single" w:sz="4" w:space="0" w:color="auto"/>
            </w:tcBorders>
          </w:tcPr>
          <w:p w:rsidR="00AF4890" w:rsidRDefault="00C92F6D">
            <w:pPr>
              <w:pStyle w:val="IPPArialTable"/>
            </w:pPr>
            <w:r>
              <w:rPr>
                <w:rStyle w:val="PleaseReviewParagraphId"/>
              </w:rPr>
              <w:t>[5]</w:t>
            </w:r>
            <w:r>
              <w:t>2020-02-17</w:t>
            </w:r>
          </w:p>
        </w:tc>
      </w:tr>
      <w:tr w:rsidR="00AF4890">
        <w:trPr>
          <w:trHeight w:val="286"/>
        </w:trPr>
        <w:tc>
          <w:tcPr>
            <w:tcW w:w="2273" w:type="dxa"/>
            <w:tcBorders>
              <w:left w:val="single" w:sz="4" w:space="0" w:color="auto"/>
            </w:tcBorders>
          </w:tcPr>
          <w:p w:rsidR="00AF4890" w:rsidRDefault="00C92F6D">
            <w:pPr>
              <w:pStyle w:val="IPPArialTable"/>
              <w:rPr>
                <w:b/>
                <w:bCs/>
              </w:rPr>
            </w:pPr>
            <w:r>
              <w:rPr>
                <w:rStyle w:val="PleaseReviewParagraphId"/>
              </w:rPr>
              <w:t>[6]</w:t>
            </w:r>
            <w:r>
              <w:rPr>
                <w:b/>
              </w:rPr>
              <w:t>Categoría del documento</w:t>
            </w:r>
          </w:p>
        </w:tc>
        <w:tc>
          <w:tcPr>
            <w:tcW w:w="6766" w:type="dxa"/>
            <w:tcBorders>
              <w:right w:val="single" w:sz="4" w:space="0" w:color="auto"/>
            </w:tcBorders>
          </w:tcPr>
          <w:p w:rsidR="00AF4890" w:rsidRDefault="00C92F6D">
            <w:pPr>
              <w:pStyle w:val="IPPArialTable"/>
              <w:rPr>
                <w:highlight w:val="cyan"/>
              </w:rPr>
            </w:pPr>
            <w:r>
              <w:rPr>
                <w:rStyle w:val="PleaseReviewParagraphId"/>
              </w:rPr>
              <w:t>[7]</w:t>
            </w:r>
            <w:r>
              <w:t>Proyecto de anexo de la NIMF 28</w:t>
            </w:r>
          </w:p>
        </w:tc>
      </w:tr>
      <w:tr w:rsidR="00AF4890">
        <w:trPr>
          <w:trHeight w:val="299"/>
        </w:trPr>
        <w:tc>
          <w:tcPr>
            <w:tcW w:w="2273" w:type="dxa"/>
            <w:tcBorders>
              <w:left w:val="single" w:sz="4" w:space="0" w:color="auto"/>
            </w:tcBorders>
          </w:tcPr>
          <w:p w:rsidR="00AF4890" w:rsidRDefault="00C92F6D">
            <w:pPr>
              <w:pStyle w:val="IPPArialTable"/>
              <w:rPr>
                <w:b/>
                <w:bCs/>
              </w:rPr>
            </w:pPr>
            <w:r>
              <w:rPr>
                <w:rStyle w:val="PleaseReviewParagraphId"/>
              </w:rPr>
              <w:t>[8]</w:t>
            </w:r>
            <w:r>
              <w:rPr>
                <w:b/>
              </w:rPr>
              <w:t>Etapa actual del documento</w:t>
            </w:r>
          </w:p>
        </w:tc>
        <w:tc>
          <w:tcPr>
            <w:tcW w:w="6766" w:type="dxa"/>
            <w:tcBorders>
              <w:right w:val="single" w:sz="4" w:space="0" w:color="auto"/>
            </w:tcBorders>
          </w:tcPr>
          <w:p w:rsidR="00AF4890" w:rsidRDefault="00C92F6D">
            <w:pPr>
              <w:pStyle w:val="IPPArialTable"/>
            </w:pPr>
            <w:r>
              <w:rPr>
                <w:rStyle w:val="PleaseReviewParagraphId"/>
              </w:rPr>
              <w:t>[9]</w:t>
            </w:r>
            <w:r>
              <w:rPr>
                <w:i/>
              </w:rPr>
              <w:t>Para</w:t>
            </w:r>
            <w:r>
              <w:t xml:space="preserve"> primera consulta</w:t>
            </w:r>
          </w:p>
        </w:tc>
      </w:tr>
      <w:tr w:rsidR="00AF4890">
        <w:trPr>
          <w:trHeight w:val="491"/>
        </w:trPr>
        <w:tc>
          <w:tcPr>
            <w:tcW w:w="2273" w:type="dxa"/>
            <w:tcBorders>
              <w:left w:val="single" w:sz="4" w:space="0" w:color="auto"/>
              <w:bottom w:val="single" w:sz="2" w:space="0" w:color="7F7F7F"/>
            </w:tcBorders>
          </w:tcPr>
          <w:p w:rsidR="00AF4890" w:rsidRDefault="00C92F6D">
            <w:pPr>
              <w:pStyle w:val="IPPArialTable"/>
              <w:rPr>
                <w:b/>
                <w:bCs/>
              </w:rPr>
            </w:pPr>
            <w:r>
              <w:rPr>
                <w:rStyle w:val="PleaseReviewParagraphId"/>
              </w:rPr>
              <w:t>[10]</w:t>
            </w:r>
            <w:r>
              <w:rPr>
                <w:b/>
              </w:rPr>
              <w:t xml:space="preserve">Etapas </w:t>
            </w:r>
            <w:r>
              <w:rPr>
                <w:b/>
              </w:rPr>
              <w:t>principales</w:t>
            </w:r>
          </w:p>
        </w:tc>
        <w:tc>
          <w:tcPr>
            <w:tcW w:w="6766" w:type="dxa"/>
            <w:tcBorders>
              <w:bottom w:val="single" w:sz="2" w:space="0" w:color="7F7F7F"/>
              <w:right w:val="single" w:sz="4" w:space="0" w:color="auto"/>
            </w:tcBorders>
          </w:tcPr>
          <w:p w:rsidR="00AF4890" w:rsidRDefault="00C92F6D">
            <w:pPr>
              <w:pStyle w:val="IPPArialTable"/>
            </w:pPr>
            <w:r>
              <w:rPr>
                <w:rStyle w:val="PleaseReviewParagraphId"/>
              </w:rPr>
              <w:t>[11]</w:t>
            </w:r>
            <w:r>
              <w:t>2017-06: El tratamiento se presentó en respuesta a la solicitud de tratamientos de 2017-02 (</w:t>
            </w:r>
            <w:r>
              <w:rPr>
                <w:i/>
              </w:rPr>
              <w:t>Tratamiento con frío contra</w:t>
            </w:r>
            <w:r>
              <w:t xml:space="preserve"> Thaumatotibia leucotreta</w:t>
            </w:r>
            <w:r>
              <w:rPr>
                <w:i/>
              </w:rPr>
              <w:t xml:space="preserve"> en frutas y hortalizas, en especial los cítricos</w:t>
            </w:r>
            <w:r>
              <w:t xml:space="preserve"> Citrus</w:t>
            </w:r>
            <w:r>
              <w:rPr>
                <w:i/>
              </w:rPr>
              <w:t xml:space="preserve"> spp.</w:t>
            </w:r>
            <w:r>
              <w:t>).</w:t>
            </w:r>
          </w:p>
          <w:p w:rsidR="00AF4890" w:rsidRDefault="00C92F6D">
            <w:pPr>
              <w:pStyle w:val="IPPArialTable"/>
            </w:pPr>
            <w:r>
              <w:rPr>
                <w:rStyle w:val="PleaseReviewParagraphId"/>
              </w:rPr>
              <w:t>[12]</w:t>
            </w:r>
            <w:r>
              <w:t xml:space="preserve">2017-07: El Grupo técnico </w:t>
            </w:r>
            <w:r>
              <w:t>sobre tratamientos fitosanitarios (GTTF) examinó el tratamiento y solicitó más información del proponente.</w:t>
            </w:r>
          </w:p>
          <w:p w:rsidR="00AF4890" w:rsidRDefault="00C92F6D">
            <w:pPr>
              <w:pStyle w:val="IPPArialTable"/>
            </w:pPr>
            <w:r>
              <w:rPr>
                <w:rStyle w:val="PleaseReviewParagraphId"/>
              </w:rPr>
              <w:t>[13]</w:t>
            </w:r>
            <w:r>
              <w:t>2018-05: El CN añadió el tema al programa de trabajo del GTTF con prioridad 2.</w:t>
            </w:r>
          </w:p>
          <w:p w:rsidR="00AF4890" w:rsidRDefault="00C92F6D">
            <w:pPr>
              <w:pStyle w:val="IPPArialTable"/>
            </w:pPr>
            <w:r>
              <w:rPr>
                <w:rStyle w:val="PleaseReviewParagraphId"/>
              </w:rPr>
              <w:t>[14]</w:t>
            </w:r>
            <w:r>
              <w:t xml:space="preserve">2018-02: El proponente facilitó información adicional. </w:t>
            </w:r>
          </w:p>
          <w:p w:rsidR="00AF4890" w:rsidRDefault="00C92F6D">
            <w:pPr>
              <w:pStyle w:val="IPPArialTable"/>
            </w:pPr>
            <w:r>
              <w:rPr>
                <w:rStyle w:val="PleaseReviewParagraphId"/>
              </w:rPr>
              <w:t>[15]</w:t>
            </w:r>
            <w:r>
              <w:t>21</w:t>
            </w:r>
            <w:r>
              <w:t xml:space="preserve">09-07: El GTTF revisó el proyecto, limitó su ámbito a </w:t>
            </w:r>
            <w:r>
              <w:rPr>
                <w:i/>
              </w:rPr>
              <w:t>Citrus sinensis</w:t>
            </w:r>
            <w:r>
              <w:t xml:space="preserve"> y lo recomendó al CN para que lo aprobara a efectos de la consulta.  </w:t>
            </w:r>
          </w:p>
          <w:p w:rsidR="00AF4890" w:rsidRDefault="00C92F6D">
            <w:pPr>
              <w:pStyle w:val="IPPArialTable"/>
            </w:pPr>
            <w:r>
              <w:rPr>
                <w:rStyle w:val="PleaseReviewParagraphId"/>
              </w:rPr>
              <w:t>[16]</w:t>
            </w:r>
            <w:r>
              <w:t>2020-02: El CN aprobó, mediante decisión por vía electrónica, el proyecto para la primera consulta (2020_eSC_May</w:t>
            </w:r>
            <w:r>
              <w:t>_08).</w:t>
            </w:r>
          </w:p>
        </w:tc>
      </w:tr>
      <w:tr w:rsidR="00AF4890">
        <w:trPr>
          <w:trHeight w:val="491"/>
        </w:trPr>
        <w:tc>
          <w:tcPr>
            <w:tcW w:w="2273" w:type="dxa"/>
            <w:tcBorders>
              <w:left w:val="single" w:sz="4" w:space="0" w:color="auto"/>
              <w:bottom w:val="single" w:sz="4" w:space="0" w:color="auto"/>
            </w:tcBorders>
          </w:tcPr>
          <w:p w:rsidR="00AF4890" w:rsidRDefault="00C92F6D">
            <w:pPr>
              <w:pStyle w:val="IPPArialTable"/>
              <w:rPr>
                <w:b/>
                <w:bCs/>
              </w:rPr>
            </w:pPr>
            <w:r>
              <w:rPr>
                <w:rStyle w:val="PleaseReviewParagraphId"/>
              </w:rPr>
              <w:t>[17]</w:t>
            </w:r>
            <w:r>
              <w:rPr>
                <w:b/>
              </w:rPr>
              <w:t>Expertos principales del tratamiento</w:t>
            </w:r>
          </w:p>
        </w:tc>
        <w:tc>
          <w:tcPr>
            <w:tcW w:w="6766" w:type="dxa"/>
            <w:tcBorders>
              <w:bottom w:val="single" w:sz="4" w:space="0" w:color="auto"/>
              <w:right w:val="single" w:sz="4" w:space="0" w:color="auto"/>
            </w:tcBorders>
          </w:tcPr>
          <w:p w:rsidR="00AF4890" w:rsidRDefault="00C92F6D">
            <w:pPr>
              <w:pStyle w:val="IPPArialTable"/>
              <w:rPr>
                <w:rFonts w:eastAsia="SimSun"/>
                <w:lang w:val="de-DE"/>
              </w:rPr>
            </w:pPr>
            <w:r>
              <w:rPr>
                <w:rStyle w:val="PleaseReviewParagraphId"/>
              </w:rPr>
              <w:t>[18]</w:t>
            </w:r>
            <w:r>
              <w:rPr>
                <w:lang w:val="de-DE"/>
              </w:rPr>
              <w:t xml:space="preserve">2019-07: Sr. Peter LEACH (AU) </w:t>
            </w:r>
          </w:p>
          <w:p w:rsidR="00AF4890" w:rsidRDefault="00C92F6D">
            <w:pPr>
              <w:pStyle w:val="IPPArialTable"/>
              <w:rPr>
                <w:rFonts w:eastAsia="SimSun"/>
                <w:lang w:val="de-DE"/>
              </w:rPr>
            </w:pPr>
            <w:r>
              <w:rPr>
                <w:rStyle w:val="PleaseReviewParagraphId"/>
              </w:rPr>
              <w:t>[19]</w:t>
            </w:r>
            <w:r>
              <w:rPr>
                <w:lang w:val="de-DE"/>
              </w:rPr>
              <w:t>2017-07: Sr. Yuejin WANG (CN)</w:t>
            </w:r>
          </w:p>
        </w:tc>
      </w:tr>
      <w:tr w:rsidR="00AF4890">
        <w:trPr>
          <w:trHeight w:val="491"/>
        </w:trPr>
        <w:tc>
          <w:tcPr>
            <w:tcW w:w="2273" w:type="dxa"/>
            <w:tcBorders>
              <w:top w:val="single" w:sz="4" w:space="0" w:color="auto"/>
            </w:tcBorders>
          </w:tcPr>
          <w:p w:rsidR="00AF4890" w:rsidRDefault="00C92F6D">
            <w:pPr>
              <w:pStyle w:val="IPPArialTable"/>
              <w:rPr>
                <w:b/>
                <w:bCs/>
              </w:rPr>
            </w:pPr>
            <w:r>
              <w:rPr>
                <w:rStyle w:val="PleaseReviewParagraphId"/>
              </w:rPr>
              <w:t>[20]</w:t>
            </w:r>
            <w:r>
              <w:rPr>
                <w:b/>
              </w:rPr>
              <w:t>Notas</w:t>
            </w:r>
          </w:p>
        </w:tc>
        <w:tc>
          <w:tcPr>
            <w:tcW w:w="6766" w:type="dxa"/>
            <w:tcBorders>
              <w:top w:val="single" w:sz="4" w:space="0" w:color="auto"/>
            </w:tcBorders>
          </w:tcPr>
          <w:p w:rsidR="00AF4890" w:rsidRDefault="00C92F6D">
            <w:pPr>
              <w:pStyle w:val="IPPArialTable"/>
            </w:pPr>
            <w:r>
              <w:rPr>
                <w:rStyle w:val="PleaseReviewParagraphId"/>
              </w:rPr>
              <w:t>[21]</w:t>
            </w:r>
            <w:r>
              <w:t>2020-02: Editado</w:t>
            </w:r>
          </w:p>
        </w:tc>
      </w:tr>
    </w:tbl>
    <w:p w:rsidR="00AF4890" w:rsidRDefault="00C92F6D">
      <w:pPr>
        <w:pStyle w:val="IPPHeading1"/>
      </w:pPr>
      <w:r>
        <w:rPr>
          <w:rStyle w:val="PleaseReviewParagraphId"/>
          <w:b w:val="0"/>
        </w:rPr>
        <w:t>[22]</w:t>
      </w:r>
      <w:r>
        <w:t>Ámbito del tratamiento</w:t>
      </w:r>
    </w:p>
    <w:p w:rsidR="00AF4890" w:rsidRDefault="00C92F6D">
      <w:pPr>
        <w:pStyle w:val="IPPParagraphnumbering"/>
        <w:numPr>
          <w:ilvl w:val="0"/>
          <w:numId w:val="0"/>
        </w:numPr>
        <w:tabs>
          <w:tab w:val="left" w:pos="2552"/>
        </w:tabs>
      </w:pPr>
      <w:r>
        <w:rPr>
          <w:rStyle w:val="PleaseReviewParagraphId"/>
        </w:rPr>
        <w:t>[23]</w:t>
      </w:r>
      <w:r>
        <w:t xml:space="preserve">Este tratamiento describe la aplicación de frío a frutos de </w:t>
      </w:r>
      <w:r>
        <w:rPr>
          <w:i/>
        </w:rPr>
        <w:t>Citrus sinensis</w:t>
      </w:r>
      <w:r>
        <w:rPr>
          <w:rStyle w:val="FootnoteReference"/>
          <w:iCs/>
          <w:lang w:val="en-GB"/>
        </w:rPr>
        <w:footnoteReference w:id="1"/>
      </w:r>
      <w:r>
        <w:t xml:space="preserve"> para provocar la mortalidad de los huevos y larvas de </w:t>
      </w:r>
      <w:r>
        <w:rPr>
          <w:i/>
        </w:rPr>
        <w:t>Thaumatotibia leucotreta</w:t>
      </w:r>
      <w:r>
        <w:t xml:space="preserve"> con la eficacia indicada</w:t>
      </w:r>
      <w:r>
        <w:rPr>
          <w:rStyle w:val="FootnoteReference"/>
          <w:lang w:val="en-GB"/>
        </w:rPr>
        <w:footnoteReference w:id="2"/>
      </w:r>
      <w:r>
        <w:t>.</w:t>
      </w:r>
    </w:p>
    <w:p w:rsidR="00AF4890" w:rsidRDefault="00C92F6D">
      <w:pPr>
        <w:pStyle w:val="IPPHeading1"/>
      </w:pPr>
      <w:r>
        <w:rPr>
          <w:rStyle w:val="PleaseReviewParagraphId"/>
          <w:b w:val="0"/>
        </w:rPr>
        <w:t>[26]</w:t>
      </w:r>
      <w:r>
        <w:t>Descripción del tratamiento</w:t>
      </w:r>
    </w:p>
    <w:p w:rsidR="00AF4890" w:rsidRDefault="00C92F6D">
      <w:pPr>
        <w:pStyle w:val="IPPParagraphnumbering"/>
        <w:numPr>
          <w:ilvl w:val="0"/>
          <w:numId w:val="0"/>
        </w:numPr>
        <w:tabs>
          <w:tab w:val="left" w:pos="2552"/>
        </w:tabs>
      </w:pPr>
      <w:r>
        <w:rPr>
          <w:rStyle w:val="PleaseReviewParagraphId"/>
        </w:rPr>
        <w:t>[27]</w:t>
      </w:r>
      <w:r>
        <w:rPr>
          <w:b/>
        </w:rPr>
        <w:t>Nombre del tratamiento</w:t>
      </w:r>
      <w:r>
        <w:tab/>
        <w:t xml:space="preserve">Tratamiento con frío contra </w:t>
      </w:r>
      <w:r>
        <w:rPr>
          <w:i/>
          <w:iCs/>
        </w:rPr>
        <w:t>Thaumatotibia leucotreta</w:t>
      </w:r>
      <w:r>
        <w:t xml:space="preserve"> en </w:t>
      </w:r>
      <w:r>
        <w:rPr>
          <w:i/>
          <w:iCs/>
        </w:rPr>
        <w:t>Citrus sinensis</w:t>
      </w:r>
    </w:p>
    <w:p w:rsidR="00AF4890" w:rsidRDefault="00C92F6D">
      <w:pPr>
        <w:pStyle w:val="IPPParagraphnumbering"/>
        <w:numPr>
          <w:ilvl w:val="0"/>
          <w:numId w:val="0"/>
        </w:numPr>
        <w:tabs>
          <w:tab w:val="left" w:pos="2552"/>
        </w:tabs>
      </w:pPr>
      <w:r>
        <w:rPr>
          <w:rStyle w:val="PleaseReviewParagraphId"/>
        </w:rPr>
        <w:t>[28]</w:t>
      </w:r>
      <w:r>
        <w:rPr>
          <w:b/>
        </w:rPr>
        <w:t xml:space="preserve">Ingrediente </w:t>
      </w:r>
      <w:r>
        <w:rPr>
          <w:b/>
        </w:rPr>
        <w:t>activo</w:t>
      </w:r>
      <w:r>
        <w:tab/>
        <w:t>No aplicable</w:t>
      </w:r>
    </w:p>
    <w:p w:rsidR="00AF4890" w:rsidRDefault="00C92F6D">
      <w:pPr>
        <w:pStyle w:val="IPPParagraphnumbering"/>
        <w:numPr>
          <w:ilvl w:val="0"/>
          <w:numId w:val="0"/>
        </w:numPr>
        <w:tabs>
          <w:tab w:val="left" w:pos="2552"/>
        </w:tabs>
      </w:pPr>
      <w:r>
        <w:rPr>
          <w:rStyle w:val="PleaseReviewParagraphId"/>
        </w:rPr>
        <w:lastRenderedPageBreak/>
        <w:t>[29]</w:t>
      </w:r>
      <w:r>
        <w:rPr>
          <w:b/>
        </w:rPr>
        <w:t>Tipo de tratamiento</w:t>
      </w:r>
      <w:r>
        <w:tab/>
        <w:t>Físico (frío)</w:t>
      </w:r>
    </w:p>
    <w:p w:rsidR="00AF4890" w:rsidRDefault="00C92F6D">
      <w:pPr>
        <w:pStyle w:val="IPPParagraphnumbering"/>
        <w:numPr>
          <w:ilvl w:val="0"/>
          <w:numId w:val="0"/>
        </w:numPr>
        <w:tabs>
          <w:tab w:val="left" w:pos="2552"/>
        </w:tabs>
      </w:pPr>
      <w:r>
        <w:rPr>
          <w:rStyle w:val="PleaseReviewParagraphId"/>
        </w:rPr>
        <w:t>[30]</w:t>
      </w:r>
      <w:r>
        <w:rPr>
          <w:b/>
        </w:rPr>
        <w:t>Plaga objetivo</w:t>
      </w:r>
      <w:r>
        <w:tab/>
      </w:r>
      <w:r>
        <w:rPr>
          <w:i/>
        </w:rPr>
        <w:t xml:space="preserve">Thaumatotibia leucotreta </w:t>
      </w:r>
      <w:r>
        <w:t>(Meyrick) (Lepidoptera: Tortricidae)</w:t>
      </w:r>
    </w:p>
    <w:p w:rsidR="00AF4890" w:rsidRDefault="00C92F6D">
      <w:pPr>
        <w:pStyle w:val="IPPParagraphnumbering"/>
        <w:numPr>
          <w:ilvl w:val="0"/>
          <w:numId w:val="0"/>
        </w:numPr>
        <w:tabs>
          <w:tab w:val="left" w:pos="2552"/>
        </w:tabs>
        <w:jc w:val="left"/>
      </w:pPr>
      <w:r>
        <w:rPr>
          <w:rStyle w:val="PleaseReviewParagraphId"/>
        </w:rPr>
        <w:t>[31]</w:t>
      </w:r>
      <w:r>
        <w:rPr>
          <w:b/>
          <w:bCs/>
        </w:rPr>
        <w:t>Artículos reglamentados objeto del tratamiento</w:t>
      </w:r>
      <w:r>
        <w:rPr>
          <w:b/>
          <w:bCs/>
        </w:rPr>
        <w:tab/>
      </w:r>
      <w:r>
        <w:t xml:space="preserve">Frutos de </w:t>
      </w:r>
      <w:r>
        <w:rPr>
          <w:i/>
          <w:iCs/>
        </w:rPr>
        <w:t>Citrus sinensis</w:t>
      </w:r>
    </w:p>
    <w:p w:rsidR="00AF4890" w:rsidRDefault="00C92F6D">
      <w:pPr>
        <w:pStyle w:val="IPPHeading1"/>
      </w:pPr>
      <w:r>
        <w:rPr>
          <w:rStyle w:val="PleaseReviewParagraphId"/>
          <w:b w:val="0"/>
        </w:rPr>
        <w:t>[32]</w:t>
      </w:r>
      <w:r>
        <w:t>Protocolo de tratamiento</w:t>
      </w:r>
    </w:p>
    <w:p w:rsidR="00AF4890" w:rsidRDefault="00C92F6D">
      <w:pPr>
        <w:pStyle w:val="IPPParagraphnumbering"/>
        <w:numPr>
          <w:ilvl w:val="0"/>
          <w:numId w:val="0"/>
        </w:numPr>
        <w:rPr>
          <w:b/>
        </w:rPr>
      </w:pPr>
      <w:r>
        <w:rPr>
          <w:rStyle w:val="PleaseReviewParagraphId"/>
        </w:rPr>
        <w:t>[33]</w:t>
      </w:r>
      <w:r>
        <w:rPr>
          <w:b/>
        </w:rPr>
        <w:t>Protoco</w:t>
      </w:r>
      <w:r>
        <w:rPr>
          <w:b/>
        </w:rPr>
        <w:t>lo 1: 19 días consecutivos a temperatura de 1,0 °C o inferior</w:t>
      </w:r>
    </w:p>
    <w:p w:rsidR="00AF4890" w:rsidRDefault="00C92F6D">
      <w:pPr>
        <w:pStyle w:val="IPPParagraphnumbering"/>
        <w:numPr>
          <w:ilvl w:val="0"/>
          <w:numId w:val="0"/>
        </w:numPr>
        <w:rPr>
          <w:rFonts w:eastAsia="Times New Roman"/>
        </w:rPr>
      </w:pPr>
      <w:r>
        <w:rPr>
          <w:rStyle w:val="PleaseReviewParagraphId"/>
        </w:rPr>
        <w:t>[34]</w:t>
      </w:r>
      <w:r>
        <w:t xml:space="preserve">Se tiene un nivel de confianza del 95 % en que el tratamiento conforme a este protocolo mate a no menos del 99,9972 % de los huevos y las larvas de </w:t>
      </w:r>
      <w:r>
        <w:rPr>
          <w:i/>
        </w:rPr>
        <w:t>Thaumatotibia leucotreta</w:t>
      </w:r>
      <w:r>
        <w:t>.</w:t>
      </w:r>
    </w:p>
    <w:p w:rsidR="00AF4890" w:rsidRDefault="00C92F6D">
      <w:pPr>
        <w:pStyle w:val="IPPParagraphnumbering"/>
        <w:numPr>
          <w:ilvl w:val="0"/>
          <w:numId w:val="0"/>
        </w:numPr>
        <w:rPr>
          <w:b/>
        </w:rPr>
      </w:pPr>
      <w:r>
        <w:rPr>
          <w:rStyle w:val="PleaseReviewParagraphId"/>
        </w:rPr>
        <w:t>[35]</w:t>
      </w:r>
      <w:r>
        <w:rPr>
          <w:b/>
        </w:rPr>
        <w:t>Protocolo 2:</w:t>
      </w:r>
      <w:r>
        <w:rPr>
          <w:b/>
        </w:rPr>
        <w:t xml:space="preserve"> 16 días consecutivos a temperatura de -0,2 °C o inferior</w:t>
      </w:r>
    </w:p>
    <w:p w:rsidR="00AF4890" w:rsidRDefault="00C92F6D">
      <w:pPr>
        <w:pStyle w:val="IPPParagraphnumbering"/>
        <w:numPr>
          <w:ilvl w:val="0"/>
          <w:numId w:val="0"/>
        </w:numPr>
        <w:rPr>
          <w:rFonts w:eastAsia="Times New Roman"/>
        </w:rPr>
      </w:pPr>
      <w:r>
        <w:rPr>
          <w:rStyle w:val="PleaseReviewParagraphId"/>
        </w:rPr>
        <w:t>[36]</w:t>
      </w:r>
      <w:r>
        <w:t xml:space="preserve">Se tiene un nivel de confianza del 95 % en que el tratamiento conforme a este protocolo mate a no menos del 99,9969 % de los huevos y las larvas de </w:t>
      </w:r>
      <w:r>
        <w:rPr>
          <w:i/>
        </w:rPr>
        <w:t>Thaumatotibia leucotreta</w:t>
      </w:r>
      <w:r>
        <w:t>.</w:t>
      </w:r>
    </w:p>
    <w:p w:rsidR="00AF4890" w:rsidRDefault="00C92F6D">
      <w:pPr>
        <w:pStyle w:val="IPPParagraphnumbering"/>
        <w:numPr>
          <w:ilvl w:val="0"/>
          <w:numId w:val="0"/>
        </w:numPr>
        <w:rPr>
          <w:rFonts w:eastAsia="Times New Roman"/>
        </w:rPr>
      </w:pPr>
      <w:r>
        <w:rPr>
          <w:rStyle w:val="PleaseReviewParagraphId"/>
        </w:rPr>
        <w:t>[37]</w:t>
      </w:r>
      <w:r>
        <w:t>En ambos protoco</w:t>
      </w:r>
      <w:r>
        <w:t>los, la fruta debe alcanzar la temperatura de tratamiento antes de que comience a registrarse el tiempo de exposición. Debería controlarse y registrarse la temperatura de la fruta, que no debería superar el nivel especificado en toda la duración del tratam</w:t>
      </w:r>
      <w:r>
        <w:t xml:space="preserve">iento. </w:t>
      </w:r>
    </w:p>
    <w:p w:rsidR="00AF4890" w:rsidRDefault="00C92F6D">
      <w:pPr>
        <w:pStyle w:val="IPPParagraphnumbering"/>
        <w:numPr>
          <w:ilvl w:val="0"/>
          <w:numId w:val="0"/>
        </w:numPr>
        <w:rPr>
          <w:rFonts w:eastAsia="Times New Roman"/>
        </w:rPr>
      </w:pPr>
      <w:r>
        <w:rPr>
          <w:rStyle w:val="PleaseReviewParagraphId"/>
        </w:rPr>
        <w:t>[38]</w:t>
      </w:r>
      <w:r>
        <w:t>Este tratamiento debería aplicarse de conformidad con los requisitos establecidos en la NIMF 42 (</w:t>
      </w:r>
      <w:r>
        <w:rPr>
          <w:i/>
          <w:iCs/>
        </w:rPr>
        <w:t>Requisitos para el uso de tratamientos térmicos como medidas fitosanitarias</w:t>
      </w:r>
      <w:r>
        <w:t xml:space="preserve">). </w:t>
      </w:r>
    </w:p>
    <w:p w:rsidR="00AF4890" w:rsidRDefault="00C92F6D">
      <w:pPr>
        <w:pStyle w:val="IPPHeading1"/>
      </w:pPr>
      <w:r>
        <w:rPr>
          <w:rStyle w:val="PleaseReviewParagraphId"/>
          <w:b w:val="0"/>
        </w:rPr>
        <w:t>[39]</w:t>
      </w:r>
      <w:r>
        <w:t>Otra información pertinente</w:t>
      </w:r>
    </w:p>
    <w:p w:rsidR="00AF4890" w:rsidRDefault="00C92F6D">
      <w:pPr>
        <w:pStyle w:val="IPPParagraphnumbering"/>
        <w:numPr>
          <w:ilvl w:val="0"/>
          <w:numId w:val="0"/>
        </w:numPr>
      </w:pPr>
      <w:r>
        <w:rPr>
          <w:rStyle w:val="PleaseReviewParagraphId"/>
        </w:rPr>
        <w:t>[40]</w:t>
      </w:r>
      <w:r>
        <w:t xml:space="preserve">Al evaluar este tratamiento, el </w:t>
      </w:r>
      <w:r>
        <w:t>GTTF examinó las cuestiones relacionadas con los regímenes de temperaturas y el acondicionamiento térmico teniendo en cuenta el trabajo de Hallman y Mangan (1997).</w:t>
      </w:r>
    </w:p>
    <w:p w:rsidR="00AF4890" w:rsidRDefault="00C92F6D">
      <w:pPr>
        <w:pStyle w:val="IPPParagraphnumbering"/>
        <w:numPr>
          <w:ilvl w:val="0"/>
          <w:numId w:val="0"/>
        </w:numPr>
      </w:pPr>
      <w:r>
        <w:rPr>
          <w:rStyle w:val="PleaseReviewParagraphId"/>
        </w:rPr>
        <w:t>[41]</w:t>
      </w:r>
      <w:r>
        <w:t xml:space="preserve">Los protocolos 1 y 2 se basan en el trabajo de Moore </w:t>
      </w:r>
      <w:r>
        <w:rPr>
          <w:i/>
        </w:rPr>
        <w:t>et al</w:t>
      </w:r>
      <w:r>
        <w:t>. (2017) y se elaboraron utili</w:t>
      </w:r>
      <w:r>
        <w:t xml:space="preserve">zando larvas de </w:t>
      </w:r>
      <w:r>
        <w:rPr>
          <w:i/>
        </w:rPr>
        <w:t>Thaumatotibia leucotreta</w:t>
      </w:r>
      <w:r>
        <w:t xml:space="preserve"> en los estadios cuarto y quinto alimentadas con una dieta artificial. Los trabajos de Moore </w:t>
      </w:r>
      <w:r>
        <w:rPr>
          <w:i/>
        </w:rPr>
        <w:t>et al</w:t>
      </w:r>
      <w:r>
        <w:t xml:space="preserve">. (2016) permitieron constatar que la tolerancia al frío de las larvas alimentadas con una dieta artificial era igual </w:t>
      </w:r>
      <w:r>
        <w:t xml:space="preserve">o superior a la de las larvas en la fruta.  </w:t>
      </w:r>
    </w:p>
    <w:p w:rsidR="00AF4890" w:rsidRDefault="00C92F6D">
      <w:pPr>
        <w:pStyle w:val="IPPParagraphnumbering"/>
        <w:numPr>
          <w:ilvl w:val="0"/>
          <w:numId w:val="0"/>
        </w:numPr>
      </w:pPr>
      <w:r>
        <w:rPr>
          <w:rStyle w:val="PleaseReviewParagraphId"/>
        </w:rPr>
        <w:t>[42]</w:t>
      </w:r>
      <w:r>
        <w:t>La eficacia del protocolo 1 se calculó basándose en el tratamiento de 108 859 larvas en los estadios cuarto y quinto, entre las que no hubo supervivientes. Esta cifra es el número de larvas sometidas al trat</w:t>
      </w:r>
      <w:r>
        <w:t xml:space="preserve">amiento (109 304) corregido por cada repetición según la mortalidad del grupo de control; la mortalidad media del grupo de control fue del 0,4 %. </w:t>
      </w:r>
    </w:p>
    <w:p w:rsidR="00AF4890" w:rsidRDefault="00C92F6D">
      <w:pPr>
        <w:pStyle w:val="IPPParagraphnumbering"/>
        <w:numPr>
          <w:ilvl w:val="0"/>
          <w:numId w:val="0"/>
        </w:numPr>
      </w:pPr>
      <w:r>
        <w:rPr>
          <w:rStyle w:val="PleaseReviewParagraphId"/>
        </w:rPr>
        <w:t>[43]</w:t>
      </w:r>
      <w:r>
        <w:t>La eficacia del protocolo 2 se calculó basándose en el tratamiento de 98 113 larvas en los estadios cuart</w:t>
      </w:r>
      <w:r>
        <w:t>o y quinto, entre las que no hubo supervivientes. Esta cifra es el número de larvas sometidas al tratamiento (100 044) corregido por cada repetición según la mortalidad del grupo de control; la mortalidad media del grupo de control fue del 1,7 %.</w:t>
      </w:r>
    </w:p>
    <w:bookmarkEnd w:id="1"/>
    <w:p w:rsidR="00AF4890" w:rsidRDefault="00C92F6D">
      <w:pPr>
        <w:pStyle w:val="IPPHeading1"/>
        <w:keepLines/>
        <w:rPr>
          <w:bCs/>
        </w:rPr>
      </w:pPr>
      <w:r>
        <w:rPr>
          <w:rStyle w:val="PleaseReviewParagraphId"/>
          <w:b w:val="0"/>
        </w:rPr>
        <w:t>[44]</w:t>
      </w:r>
      <w:r>
        <w:t>Bibli</w:t>
      </w:r>
      <w:r>
        <w:t>ografía</w:t>
      </w:r>
    </w:p>
    <w:p w:rsidR="00AF4890" w:rsidRDefault="00C92F6D">
      <w:pPr>
        <w:pStyle w:val="IPPParagraphnumbering"/>
        <w:keepNext/>
        <w:keepLines/>
        <w:numPr>
          <w:ilvl w:val="0"/>
          <w:numId w:val="0"/>
        </w:numPr>
      </w:pPr>
      <w:r>
        <w:rPr>
          <w:rStyle w:val="PleaseReviewParagraphId"/>
        </w:rPr>
        <w:t>[45]</w:t>
      </w:r>
      <w:r>
        <w:t xml:space="preserve">En el presente anexo podrá hacerse referencia a las NIMF. Las NIMF están disponibles en el Portal fitosanitario internacional (PFI): </w:t>
      </w:r>
      <w:hyperlink r:id="rId12" w:history="1">
        <w:r>
          <w:rPr>
            <w:rStyle w:val="Hyperlink"/>
          </w:rPr>
          <w:t>https://www.ippc.int/es/core-ac</w:t>
        </w:r>
        <w:r>
          <w:rPr>
            <w:rStyle w:val="Hyperlink"/>
          </w:rPr>
          <w:t>tivities/standards-setting/ispms</w:t>
        </w:r>
      </w:hyperlink>
      <w:r>
        <w:t>.</w:t>
      </w:r>
    </w:p>
    <w:p w:rsidR="00AF4890" w:rsidRDefault="00C92F6D">
      <w:pPr>
        <w:pStyle w:val="IPPReferences"/>
        <w:keepNext/>
        <w:keepLines/>
      </w:pPr>
      <w:r>
        <w:rPr>
          <w:rStyle w:val="PleaseReviewParagraphId"/>
        </w:rPr>
        <w:t>[46]</w:t>
      </w:r>
      <w:r>
        <w:rPr>
          <w:b/>
        </w:rPr>
        <w:t xml:space="preserve">Hallman, G.J. y Mangan, R.L. </w:t>
      </w:r>
      <w:r>
        <w:t xml:space="preserve">1997. </w:t>
      </w:r>
      <w:r>
        <w:rPr>
          <w:lang w:val="en-US"/>
        </w:rPr>
        <w:t xml:space="preserve">Concerns with temperature quarantine treatment research. En: G.L. Obenauf, ed. </w:t>
      </w:r>
      <w:r>
        <w:rPr>
          <w:i/>
          <w:lang w:val="en-US"/>
        </w:rPr>
        <w:t>Proceedings of the 1997 Annual International Research Conference on Methyl Bromide Alternatives and Emis</w:t>
      </w:r>
      <w:r>
        <w:rPr>
          <w:i/>
          <w:lang w:val="en-US"/>
        </w:rPr>
        <w:t>sions Reduction,</w:t>
      </w:r>
      <w:r>
        <w:rPr>
          <w:lang w:val="en-US"/>
        </w:rPr>
        <w:t xml:space="preserve"> San Diego, CA (Estados Unidos de América),</w:t>
      </w:r>
      <w:r>
        <w:rPr>
          <w:lang w:val="en-US"/>
        </w:rPr>
        <w:br/>
        <w:t xml:space="preserve">3-5 de noviembre de 1997, págs. </w:t>
      </w:r>
      <w:r>
        <w:t xml:space="preserve">79-1 y 79-4. Fresno, CA (Estados Unidos de América), Methyl Bromide Alternatives Outreach. Disponible en </w:t>
      </w:r>
      <w:hyperlink r:id="rId13" w:history="1">
        <w:r>
          <w:rPr>
            <w:rStyle w:val="Hyperlink"/>
          </w:rPr>
          <w:t>https://www.mbao.org/static/docs/confs/1997-sandiego/papers/079hallman.pdf</w:t>
        </w:r>
      </w:hyperlink>
      <w:r>
        <w:t xml:space="preserve"> (consultado el 13 de febrero de 2020).</w:t>
      </w:r>
    </w:p>
    <w:p w:rsidR="00AF4890" w:rsidRDefault="00C92F6D">
      <w:pPr>
        <w:pStyle w:val="IPPReferences"/>
        <w:rPr>
          <w:lang w:val="en-US"/>
        </w:rPr>
      </w:pPr>
      <w:r>
        <w:rPr>
          <w:rStyle w:val="PleaseReviewParagraphId"/>
        </w:rPr>
        <w:t>[47]</w:t>
      </w:r>
      <w:r>
        <w:rPr>
          <w:b/>
          <w:lang w:val="en-US"/>
        </w:rPr>
        <w:t>Moore S.D., Kirkman, W., Albertyn, S. y Hattingh, V.</w:t>
      </w:r>
      <w:r>
        <w:rPr>
          <w:lang w:val="en-US"/>
        </w:rPr>
        <w:t xml:space="preserve"> 2016. Comparing the use of laboratory-reared and fiel</w:t>
      </w:r>
      <w:r>
        <w:rPr>
          <w:lang w:val="en-US"/>
        </w:rPr>
        <w:t xml:space="preserve">d-collected </w:t>
      </w:r>
      <w:r>
        <w:rPr>
          <w:i/>
          <w:lang w:val="en-US"/>
        </w:rPr>
        <w:t xml:space="preserve">Thaumatotibia leucotreta </w:t>
      </w:r>
      <w:r>
        <w:rPr>
          <w:lang w:val="en-US"/>
        </w:rPr>
        <w:t xml:space="preserve">(Lepidoptera: Tortricidae) larvae for </w:t>
      </w:r>
      <w:r>
        <w:rPr>
          <w:lang w:val="en-US"/>
        </w:rPr>
        <w:lastRenderedPageBreak/>
        <w:t xml:space="preserve">demonstrating efficacy of postharvest cold treatments in citrus fruit. </w:t>
      </w:r>
      <w:r>
        <w:rPr>
          <w:i/>
          <w:lang w:val="en-US"/>
        </w:rPr>
        <w:t>Journal of Economic Entomology</w:t>
      </w:r>
      <w:r>
        <w:rPr>
          <w:lang w:val="en-US"/>
        </w:rPr>
        <w:t xml:space="preserve">, 109(4) 1571–1577. Erratum (2016), </w:t>
      </w:r>
      <w:r>
        <w:rPr>
          <w:i/>
          <w:lang w:val="en-US"/>
        </w:rPr>
        <w:t xml:space="preserve">Journal of Economic Entomology </w:t>
      </w:r>
      <w:r>
        <w:rPr>
          <w:lang w:val="en-US"/>
        </w:rPr>
        <w:t xml:space="preserve">110(2): 793, </w:t>
      </w:r>
      <w:r>
        <w:rPr>
          <w:lang w:val="en-US"/>
        </w:rPr>
        <w:t>doi:10.1093/jee/tow270.</w:t>
      </w:r>
    </w:p>
    <w:p w:rsidR="00AF4890" w:rsidRDefault="00C92F6D">
      <w:pPr>
        <w:pStyle w:val="IPPReferences"/>
      </w:pPr>
      <w:r>
        <w:rPr>
          <w:rStyle w:val="PleaseReviewParagraphId"/>
        </w:rPr>
        <w:t>[48]</w:t>
      </w:r>
      <w:r>
        <w:rPr>
          <w:b/>
          <w:lang w:val="en-US"/>
        </w:rPr>
        <w:t>Moore S.D., Kirkman, W., Stephen, P.R., Albertyn, S., Love, C.N., Grout, T.G. y Hattingh, V.</w:t>
      </w:r>
      <w:r>
        <w:rPr>
          <w:lang w:val="en-US"/>
        </w:rPr>
        <w:t xml:space="preserve"> 2017. Development of an improved postharvest cold treatment for </w:t>
      </w:r>
      <w:r>
        <w:rPr>
          <w:i/>
          <w:lang w:val="en-US"/>
        </w:rPr>
        <w:t xml:space="preserve">Thaumatotibia leucotreta </w:t>
      </w:r>
      <w:r>
        <w:rPr>
          <w:lang w:val="en-US"/>
        </w:rPr>
        <w:t xml:space="preserve">(Meyrick) (Lepidoptera: Tortricidae). </w:t>
      </w:r>
      <w:r>
        <w:rPr>
          <w:i/>
        </w:rPr>
        <w:t>Postharv</w:t>
      </w:r>
      <w:r>
        <w:rPr>
          <w:i/>
        </w:rPr>
        <w:t>est Biology and Technology</w:t>
      </w:r>
      <w:r>
        <w:t>, 125: 188–195.</w:t>
      </w:r>
    </w:p>
    <w:sectPr w:rsidR="00AF4890">
      <w:pgSz w:w="11906" w:h="16838"/>
      <w:pgMar w:top="1559"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F6D" w:rsidRDefault="00C92F6D">
      <w:r>
        <w:rPr>
          <w:rStyle w:val="PleaseReviewParagraphId"/>
        </w:rPr>
        <w:t>[]</w:t>
      </w:r>
      <w:r>
        <w:separator/>
      </w:r>
    </w:p>
  </w:endnote>
  <w:endnote w:type="continuationSeparator" w:id="0">
    <w:p w:rsidR="00C92F6D" w:rsidRDefault="00C92F6D">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F6D" w:rsidRDefault="00C92F6D">
      <w:r>
        <w:rPr>
          <w:rStyle w:val="PleaseReviewParagraphId"/>
        </w:rPr>
        <w:t>[]</w:t>
      </w:r>
      <w:r>
        <w:separator/>
      </w:r>
    </w:p>
  </w:footnote>
  <w:footnote w:type="continuationSeparator" w:id="0">
    <w:p w:rsidR="00C92F6D" w:rsidRDefault="00C92F6D">
      <w:r>
        <w:rPr>
          <w:rStyle w:val="PleaseReviewParagraphId"/>
        </w:rPr>
        <w:t>[]</w:t>
      </w:r>
      <w:r>
        <w:continuationSeparator/>
      </w:r>
    </w:p>
  </w:footnote>
  <w:footnote w:id="1">
    <w:p w:rsidR="00AF4890" w:rsidRDefault="00C92F6D">
      <w:pPr>
        <w:pStyle w:val="IPPFootnote"/>
        <w:contextualSpacing/>
        <w:rPr>
          <w:lang w:val="en-US"/>
        </w:rPr>
      </w:pPr>
      <w:r>
        <w:rPr>
          <w:rStyle w:val="PleaseReviewParagraphId"/>
        </w:rPr>
        <w:t>[24]</w:t>
      </w:r>
      <w:r>
        <w:rPr>
          <w:rStyle w:val="FootnoteReference"/>
        </w:rPr>
        <w:footnoteRef/>
      </w:r>
      <w:r>
        <w:t xml:space="preserve"> Las denominaciones aquí empleadas para las especies y los híbridos de </w:t>
      </w:r>
      <w:r>
        <w:rPr>
          <w:i/>
          <w:iCs/>
        </w:rPr>
        <w:t>Citrus</w:t>
      </w:r>
      <w:r>
        <w:t xml:space="preserve"> se ajustan a la nomenclatura adoptada en Cottin, R. 2002. </w:t>
      </w:r>
      <w:r>
        <w:rPr>
          <w:i/>
          <w:lang w:val="en-US"/>
        </w:rPr>
        <w:t>Citrus of the world: A citrus directory</w:t>
      </w:r>
      <w:r>
        <w:rPr>
          <w:lang w:val="en-US"/>
        </w:rPr>
        <w:t xml:space="preserve">, versión 2.0. France, SRA INRA-CIRAD. </w:t>
      </w:r>
    </w:p>
  </w:footnote>
  <w:footnote w:id="2">
    <w:p w:rsidR="00AF4890" w:rsidRDefault="00C92F6D">
      <w:pPr>
        <w:pStyle w:val="IPPFootnote"/>
        <w:contextualSpacing/>
      </w:pPr>
      <w:r>
        <w:rPr>
          <w:rStyle w:val="PleaseReviewParagraphId"/>
        </w:rPr>
        <w:t>[25]</w:t>
      </w:r>
      <w:r>
        <w:rPr>
          <w:rStyle w:val="FootnoteReference"/>
        </w:rPr>
        <w:footnoteRef/>
      </w:r>
      <w:r>
        <w:t xml:space="preserve"> El ámbito de los tratamientos fitosanitarios no abarca aspectos relacionados con el registro de plaguicidas u otros requisitos nacionales para la aprobación de tratamientos por las partes contratantes. Los tratamientos adoptados por la Comisión de Medidas</w:t>
      </w:r>
      <w:r>
        <w:t xml:space="preserve"> Fitosanitarias podrán no proporcionar información sobre efectos específicos en la salud humana o la inocuidad alimentaria, los cuales deberían abordarse mediante procedimientos nacionales antes de que las partes contratantes aprueben un tratamiento. Por o</w:t>
      </w:r>
      <w:r>
        <w:t>tra parte, para ciertos productos hospedantes se consideran, antes de la adopción internacional del tratamiento, sus posibles repercusiones en la calidad. Sin embargo, la evaluación de los efectos de un tratamiento sobre la calidad de los productos podrá r</w:t>
      </w:r>
      <w:r>
        <w:t>equerir un examen adicional. Las partes contratantes no tienen obligación de aprobar, registrar o adoptar los tratamientos con vistas a su utilización en su territorio.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276508DC"/>
    <w:multiLevelType w:val="multilevel"/>
    <w:tmpl w:val="0DC8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0"/>
  </w:num>
  <w:num w:numId="3">
    <w:abstractNumId w:val="8"/>
  </w:num>
  <w:num w:numId="4">
    <w:abstractNumId w:val="9"/>
  </w:num>
  <w:num w:numId="5">
    <w:abstractNumId w:val="2"/>
  </w:num>
  <w:num w:numId="6">
    <w:abstractNumId w:val="6"/>
  </w:num>
  <w:num w:numId="7">
    <w:abstractNumId w:val="12"/>
  </w:num>
  <w:num w:numId="8">
    <w:abstractNumId w:val="0"/>
  </w:num>
  <w:num w:numId="9">
    <w:abstractNumId w:val="1"/>
    <w:lvlOverride w:ilvl="0">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10">
    <w:abstractNumId w:val="4"/>
  </w:num>
  <w:num w:numId="11">
    <w:abstractNumId w:val="1"/>
    <w:lvlOverride w:ilvl="0">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left" w:pos="0"/>
          </w:tabs>
          <w:ind w:left="0" w:hanging="482"/>
        </w:pPr>
        <w:rPr>
          <w:rFonts w:ascii="Arial" w:hAnsi="Arial" w:hint="default"/>
          <w:b w:val="0"/>
          <w:i/>
          <w:color w:val="0000FF"/>
          <w:sz w:val="16"/>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13">
    <w:abstractNumId w:val="1"/>
  </w:num>
  <w:num w:numId="14">
    <w:abstractNumId w:val="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4096" w:nlCheck="1" w:checkStyle="0"/>
  <w:activeWritingStyle w:appName="MSWord" w:lang="es-E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52CA"/>
    <w:rsid w:val="000141E4"/>
    <w:rsid w:val="0002279C"/>
    <w:rsid w:val="00032883"/>
    <w:rsid w:val="00037ECF"/>
    <w:rsid w:val="000509EE"/>
    <w:rsid w:val="0006039C"/>
    <w:rsid w:val="00087A75"/>
    <w:rsid w:val="0009144D"/>
    <w:rsid w:val="000915EC"/>
    <w:rsid w:val="000922FC"/>
    <w:rsid w:val="000937F9"/>
    <w:rsid w:val="0009499D"/>
    <w:rsid w:val="00094E13"/>
    <w:rsid w:val="0009650C"/>
    <w:rsid w:val="00097E56"/>
    <w:rsid w:val="000A2570"/>
    <w:rsid w:val="000A3CBB"/>
    <w:rsid w:val="000A4747"/>
    <w:rsid w:val="000B0CD7"/>
    <w:rsid w:val="000C59AE"/>
    <w:rsid w:val="000D0C67"/>
    <w:rsid w:val="000D3A53"/>
    <w:rsid w:val="000D4276"/>
    <w:rsid w:val="000D45BC"/>
    <w:rsid w:val="000D7354"/>
    <w:rsid w:val="000F11BA"/>
    <w:rsid w:val="000F1A12"/>
    <w:rsid w:val="000F32DF"/>
    <w:rsid w:val="000F331E"/>
    <w:rsid w:val="000F5443"/>
    <w:rsid w:val="00100EC0"/>
    <w:rsid w:val="00102653"/>
    <w:rsid w:val="0010591A"/>
    <w:rsid w:val="00107DFB"/>
    <w:rsid w:val="0011347D"/>
    <w:rsid w:val="001149C3"/>
    <w:rsid w:val="00114BFA"/>
    <w:rsid w:val="00131D1A"/>
    <w:rsid w:val="00131E0B"/>
    <w:rsid w:val="00140B4F"/>
    <w:rsid w:val="00156F91"/>
    <w:rsid w:val="0016108F"/>
    <w:rsid w:val="001675EF"/>
    <w:rsid w:val="00175B5F"/>
    <w:rsid w:val="00182CF6"/>
    <w:rsid w:val="001A1707"/>
    <w:rsid w:val="001A5734"/>
    <w:rsid w:val="001D1FF3"/>
    <w:rsid w:val="001D35E5"/>
    <w:rsid w:val="00206716"/>
    <w:rsid w:val="00206B1C"/>
    <w:rsid w:val="00207822"/>
    <w:rsid w:val="00210FDA"/>
    <w:rsid w:val="00213F98"/>
    <w:rsid w:val="002145AD"/>
    <w:rsid w:val="00216C20"/>
    <w:rsid w:val="00222207"/>
    <w:rsid w:val="00230F40"/>
    <w:rsid w:val="00240383"/>
    <w:rsid w:val="00242EC1"/>
    <w:rsid w:val="0024547D"/>
    <w:rsid w:val="002468A2"/>
    <w:rsid w:val="00261F61"/>
    <w:rsid w:val="00265BE4"/>
    <w:rsid w:val="00267EA1"/>
    <w:rsid w:val="00270C1B"/>
    <w:rsid w:val="00271376"/>
    <w:rsid w:val="00272662"/>
    <w:rsid w:val="00284515"/>
    <w:rsid w:val="002A3B60"/>
    <w:rsid w:val="002B3B51"/>
    <w:rsid w:val="002B4442"/>
    <w:rsid w:val="002B5A03"/>
    <w:rsid w:val="002B6546"/>
    <w:rsid w:val="002C2D73"/>
    <w:rsid w:val="002D0AB9"/>
    <w:rsid w:val="002D0FF5"/>
    <w:rsid w:val="002E210F"/>
    <w:rsid w:val="002E233E"/>
    <w:rsid w:val="002E4091"/>
    <w:rsid w:val="002F1CFC"/>
    <w:rsid w:val="002F34FC"/>
    <w:rsid w:val="00300575"/>
    <w:rsid w:val="003117B0"/>
    <w:rsid w:val="003208F9"/>
    <w:rsid w:val="00341EE1"/>
    <w:rsid w:val="003446F7"/>
    <w:rsid w:val="00345D98"/>
    <w:rsid w:val="00345ED9"/>
    <w:rsid w:val="0035740C"/>
    <w:rsid w:val="0036473A"/>
    <w:rsid w:val="003648D0"/>
    <w:rsid w:val="003670B4"/>
    <w:rsid w:val="003724B9"/>
    <w:rsid w:val="003730D8"/>
    <w:rsid w:val="00374193"/>
    <w:rsid w:val="0037735F"/>
    <w:rsid w:val="00387E48"/>
    <w:rsid w:val="0039408C"/>
    <w:rsid w:val="003A4111"/>
    <w:rsid w:val="003B20B8"/>
    <w:rsid w:val="003B2EA8"/>
    <w:rsid w:val="003B3306"/>
    <w:rsid w:val="003B69A3"/>
    <w:rsid w:val="003C4924"/>
    <w:rsid w:val="003C636B"/>
    <w:rsid w:val="003D0A11"/>
    <w:rsid w:val="003D3923"/>
    <w:rsid w:val="003D74C1"/>
    <w:rsid w:val="003E05AB"/>
    <w:rsid w:val="003E3904"/>
    <w:rsid w:val="003F13BB"/>
    <w:rsid w:val="003F654A"/>
    <w:rsid w:val="004001C8"/>
    <w:rsid w:val="004038F8"/>
    <w:rsid w:val="00404C7A"/>
    <w:rsid w:val="004161B6"/>
    <w:rsid w:val="00416536"/>
    <w:rsid w:val="00424D07"/>
    <w:rsid w:val="00426D8F"/>
    <w:rsid w:val="00433EEC"/>
    <w:rsid w:val="004345E8"/>
    <w:rsid w:val="004443E0"/>
    <w:rsid w:val="00446DC9"/>
    <w:rsid w:val="004533B2"/>
    <w:rsid w:val="004600EA"/>
    <w:rsid w:val="004650A6"/>
    <w:rsid w:val="004740A7"/>
    <w:rsid w:val="00477391"/>
    <w:rsid w:val="004821F5"/>
    <w:rsid w:val="00485A7F"/>
    <w:rsid w:val="00494314"/>
    <w:rsid w:val="004A49DC"/>
    <w:rsid w:val="004A53CD"/>
    <w:rsid w:val="004B361F"/>
    <w:rsid w:val="004B5C15"/>
    <w:rsid w:val="004C1EFB"/>
    <w:rsid w:val="004C5AC5"/>
    <w:rsid w:val="004E37AF"/>
    <w:rsid w:val="004E51B2"/>
    <w:rsid w:val="004E708A"/>
    <w:rsid w:val="004F2981"/>
    <w:rsid w:val="00500AC4"/>
    <w:rsid w:val="00516E3C"/>
    <w:rsid w:val="00540BCB"/>
    <w:rsid w:val="00542716"/>
    <w:rsid w:val="00550464"/>
    <w:rsid w:val="0057454D"/>
    <w:rsid w:val="00576028"/>
    <w:rsid w:val="0058366F"/>
    <w:rsid w:val="00584A8D"/>
    <w:rsid w:val="005858AC"/>
    <w:rsid w:val="00593300"/>
    <w:rsid w:val="00595B63"/>
    <w:rsid w:val="005A0F6D"/>
    <w:rsid w:val="005B15E9"/>
    <w:rsid w:val="005B58F6"/>
    <w:rsid w:val="005C726E"/>
    <w:rsid w:val="005D0460"/>
    <w:rsid w:val="005D4C2B"/>
    <w:rsid w:val="005E783F"/>
    <w:rsid w:val="00601606"/>
    <w:rsid w:val="006111B7"/>
    <w:rsid w:val="00611BFA"/>
    <w:rsid w:val="006140B3"/>
    <w:rsid w:val="00646A3D"/>
    <w:rsid w:val="00647B5E"/>
    <w:rsid w:val="00651D28"/>
    <w:rsid w:val="00653381"/>
    <w:rsid w:val="0065401B"/>
    <w:rsid w:val="00654183"/>
    <w:rsid w:val="00660B7D"/>
    <w:rsid w:val="0066227F"/>
    <w:rsid w:val="00683424"/>
    <w:rsid w:val="006A6DA8"/>
    <w:rsid w:val="006A7A47"/>
    <w:rsid w:val="006B2317"/>
    <w:rsid w:val="006B3510"/>
    <w:rsid w:val="006D3C89"/>
    <w:rsid w:val="006E25F3"/>
    <w:rsid w:val="006F0E1F"/>
    <w:rsid w:val="006F65C2"/>
    <w:rsid w:val="006F791E"/>
    <w:rsid w:val="006F79B6"/>
    <w:rsid w:val="007018C2"/>
    <w:rsid w:val="00707592"/>
    <w:rsid w:val="00713038"/>
    <w:rsid w:val="0071382D"/>
    <w:rsid w:val="00716275"/>
    <w:rsid w:val="0071728D"/>
    <w:rsid w:val="00722380"/>
    <w:rsid w:val="0072264C"/>
    <w:rsid w:val="00734926"/>
    <w:rsid w:val="007427AC"/>
    <w:rsid w:val="00742CF2"/>
    <w:rsid w:val="00760762"/>
    <w:rsid w:val="00761AEE"/>
    <w:rsid w:val="007703D8"/>
    <w:rsid w:val="00774F93"/>
    <w:rsid w:val="00780CAF"/>
    <w:rsid w:val="007812FE"/>
    <w:rsid w:val="00781778"/>
    <w:rsid w:val="007827E1"/>
    <w:rsid w:val="00796C14"/>
    <w:rsid w:val="007974A9"/>
    <w:rsid w:val="007A1D3F"/>
    <w:rsid w:val="007B5869"/>
    <w:rsid w:val="007B7328"/>
    <w:rsid w:val="007C2ED8"/>
    <w:rsid w:val="007C304E"/>
    <w:rsid w:val="007C395E"/>
    <w:rsid w:val="007C766E"/>
    <w:rsid w:val="007D0295"/>
    <w:rsid w:val="007D300B"/>
    <w:rsid w:val="007E0A7A"/>
    <w:rsid w:val="007E25A8"/>
    <w:rsid w:val="007E2702"/>
    <w:rsid w:val="007F141A"/>
    <w:rsid w:val="007F4820"/>
    <w:rsid w:val="00802D55"/>
    <w:rsid w:val="008346AC"/>
    <w:rsid w:val="00840FFF"/>
    <w:rsid w:val="0086423B"/>
    <w:rsid w:val="00874066"/>
    <w:rsid w:val="0088112E"/>
    <w:rsid w:val="008A447B"/>
    <w:rsid w:val="008A6FA1"/>
    <w:rsid w:val="008B1837"/>
    <w:rsid w:val="008B4F70"/>
    <w:rsid w:val="008C0753"/>
    <w:rsid w:val="008C558A"/>
    <w:rsid w:val="008D3578"/>
    <w:rsid w:val="008D47C1"/>
    <w:rsid w:val="008D6B45"/>
    <w:rsid w:val="008D6D38"/>
    <w:rsid w:val="008E4D6A"/>
    <w:rsid w:val="008E63FD"/>
    <w:rsid w:val="008F35E4"/>
    <w:rsid w:val="009040E0"/>
    <w:rsid w:val="0090481C"/>
    <w:rsid w:val="0090605B"/>
    <w:rsid w:val="009061A8"/>
    <w:rsid w:val="00906F8A"/>
    <w:rsid w:val="00914557"/>
    <w:rsid w:val="00915EB2"/>
    <w:rsid w:val="00917CD5"/>
    <w:rsid w:val="00920D58"/>
    <w:rsid w:val="00920E97"/>
    <w:rsid w:val="00942729"/>
    <w:rsid w:val="009459AD"/>
    <w:rsid w:val="00947DBE"/>
    <w:rsid w:val="00957FBD"/>
    <w:rsid w:val="009621CF"/>
    <w:rsid w:val="009738C6"/>
    <w:rsid w:val="00987C42"/>
    <w:rsid w:val="00992613"/>
    <w:rsid w:val="009B3F13"/>
    <w:rsid w:val="009B5FF8"/>
    <w:rsid w:val="009D2A1E"/>
    <w:rsid w:val="009D388F"/>
    <w:rsid w:val="009D5780"/>
    <w:rsid w:val="009E18F7"/>
    <w:rsid w:val="009E49FD"/>
    <w:rsid w:val="009E6726"/>
    <w:rsid w:val="009F323D"/>
    <w:rsid w:val="009F58BD"/>
    <w:rsid w:val="009F5AEF"/>
    <w:rsid w:val="00A00C03"/>
    <w:rsid w:val="00A029C1"/>
    <w:rsid w:val="00A0303F"/>
    <w:rsid w:val="00A20A5E"/>
    <w:rsid w:val="00A2617C"/>
    <w:rsid w:val="00A31AA9"/>
    <w:rsid w:val="00A3237E"/>
    <w:rsid w:val="00A47B1F"/>
    <w:rsid w:val="00A569B3"/>
    <w:rsid w:val="00A56FDA"/>
    <w:rsid w:val="00A81800"/>
    <w:rsid w:val="00A867B2"/>
    <w:rsid w:val="00A96475"/>
    <w:rsid w:val="00AA0E3D"/>
    <w:rsid w:val="00AA205E"/>
    <w:rsid w:val="00AA23C4"/>
    <w:rsid w:val="00AA7F53"/>
    <w:rsid w:val="00AE0249"/>
    <w:rsid w:val="00AE5419"/>
    <w:rsid w:val="00AE7ADF"/>
    <w:rsid w:val="00AF3104"/>
    <w:rsid w:val="00AF4890"/>
    <w:rsid w:val="00B0067F"/>
    <w:rsid w:val="00B0330E"/>
    <w:rsid w:val="00B03DC1"/>
    <w:rsid w:val="00B046CA"/>
    <w:rsid w:val="00B05071"/>
    <w:rsid w:val="00B17C9D"/>
    <w:rsid w:val="00B231F5"/>
    <w:rsid w:val="00B26CDC"/>
    <w:rsid w:val="00B33A85"/>
    <w:rsid w:val="00B3603E"/>
    <w:rsid w:val="00B36BF2"/>
    <w:rsid w:val="00B42FFA"/>
    <w:rsid w:val="00B45CFC"/>
    <w:rsid w:val="00B514AD"/>
    <w:rsid w:val="00B60801"/>
    <w:rsid w:val="00B677EC"/>
    <w:rsid w:val="00B7631C"/>
    <w:rsid w:val="00B7719F"/>
    <w:rsid w:val="00B87BF2"/>
    <w:rsid w:val="00B92640"/>
    <w:rsid w:val="00BA12BD"/>
    <w:rsid w:val="00BB2518"/>
    <w:rsid w:val="00BC6B44"/>
    <w:rsid w:val="00BD3052"/>
    <w:rsid w:val="00BD3172"/>
    <w:rsid w:val="00BF4E67"/>
    <w:rsid w:val="00C03CED"/>
    <w:rsid w:val="00C0451B"/>
    <w:rsid w:val="00C06E67"/>
    <w:rsid w:val="00C07263"/>
    <w:rsid w:val="00C168AE"/>
    <w:rsid w:val="00C17E5E"/>
    <w:rsid w:val="00C20099"/>
    <w:rsid w:val="00C21320"/>
    <w:rsid w:val="00C27013"/>
    <w:rsid w:val="00C30299"/>
    <w:rsid w:val="00C302A6"/>
    <w:rsid w:val="00C32B2F"/>
    <w:rsid w:val="00C36377"/>
    <w:rsid w:val="00C40334"/>
    <w:rsid w:val="00C51219"/>
    <w:rsid w:val="00C525F0"/>
    <w:rsid w:val="00C63B38"/>
    <w:rsid w:val="00C66AAD"/>
    <w:rsid w:val="00C83932"/>
    <w:rsid w:val="00C92F6D"/>
    <w:rsid w:val="00CA7B4C"/>
    <w:rsid w:val="00CB0712"/>
    <w:rsid w:val="00CC1EDA"/>
    <w:rsid w:val="00CD10C2"/>
    <w:rsid w:val="00CD24DC"/>
    <w:rsid w:val="00CD7512"/>
    <w:rsid w:val="00CD7E02"/>
    <w:rsid w:val="00CE182A"/>
    <w:rsid w:val="00CF149E"/>
    <w:rsid w:val="00CF5608"/>
    <w:rsid w:val="00CF724C"/>
    <w:rsid w:val="00D02EC8"/>
    <w:rsid w:val="00D06F0C"/>
    <w:rsid w:val="00D17533"/>
    <w:rsid w:val="00D27EC6"/>
    <w:rsid w:val="00D30005"/>
    <w:rsid w:val="00D617F4"/>
    <w:rsid w:val="00D61FB8"/>
    <w:rsid w:val="00D7554B"/>
    <w:rsid w:val="00D83139"/>
    <w:rsid w:val="00DC4DE5"/>
    <w:rsid w:val="00DC6B51"/>
    <w:rsid w:val="00DC790C"/>
    <w:rsid w:val="00DD16B3"/>
    <w:rsid w:val="00DD2157"/>
    <w:rsid w:val="00DD29D8"/>
    <w:rsid w:val="00DD2EA9"/>
    <w:rsid w:val="00DD6F1C"/>
    <w:rsid w:val="00DF38B9"/>
    <w:rsid w:val="00DF5E68"/>
    <w:rsid w:val="00DF615F"/>
    <w:rsid w:val="00E00C75"/>
    <w:rsid w:val="00E049EF"/>
    <w:rsid w:val="00E0695F"/>
    <w:rsid w:val="00E10005"/>
    <w:rsid w:val="00E15011"/>
    <w:rsid w:val="00E16673"/>
    <w:rsid w:val="00E1723A"/>
    <w:rsid w:val="00E2721A"/>
    <w:rsid w:val="00E304A9"/>
    <w:rsid w:val="00E3092F"/>
    <w:rsid w:val="00E45131"/>
    <w:rsid w:val="00E45A7F"/>
    <w:rsid w:val="00E65986"/>
    <w:rsid w:val="00E81634"/>
    <w:rsid w:val="00E90483"/>
    <w:rsid w:val="00EA1BD3"/>
    <w:rsid w:val="00EE4CBE"/>
    <w:rsid w:val="00F2158A"/>
    <w:rsid w:val="00F35759"/>
    <w:rsid w:val="00F3793D"/>
    <w:rsid w:val="00F421BB"/>
    <w:rsid w:val="00F46E80"/>
    <w:rsid w:val="00F65B6F"/>
    <w:rsid w:val="00F72F49"/>
    <w:rsid w:val="00F83DE4"/>
    <w:rsid w:val="00F84DFE"/>
    <w:rsid w:val="00F96244"/>
    <w:rsid w:val="00FB27A8"/>
    <w:rsid w:val="00FC7E6C"/>
    <w:rsid w:val="00FD623E"/>
    <w:rsid w:val="00FD6760"/>
    <w:rsid w:val="00FE2E6B"/>
    <w:rsid w:val="00FE6446"/>
    <w:rsid w:val="14853207"/>
    <w:rsid w:val="1F9A6B97"/>
    <w:rsid w:val="2BDC7EFC"/>
    <w:rsid w:val="394C0CBB"/>
    <w:rsid w:val="45EE3DE0"/>
    <w:rsid w:val="486738F5"/>
    <w:rsid w:val="691460AE"/>
    <w:rsid w:val="742439D7"/>
    <w:rsid w:val="778F01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4D6229-5615-4BD8-9407-165FE65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D73"/>
    <w:pPr>
      <w:spacing w:after="0" w:line="240" w:lineRule="auto"/>
      <w:jc w:val="both"/>
    </w:pPr>
    <w:rPr>
      <w:rFonts w:ascii="Times New Roman" w:eastAsia="MS Mincho" w:hAnsi="Times New Roman" w:cs="Times New Roman"/>
      <w:sz w:val="22"/>
      <w:szCs w:val="24"/>
      <w:lang w:val="en-GB"/>
    </w:rPr>
  </w:style>
  <w:style w:type="paragraph" w:styleId="Heading1">
    <w:name w:val="heading 1"/>
    <w:basedOn w:val="Normal"/>
    <w:next w:val="Normal"/>
    <w:link w:val="Heading1Char"/>
    <w:qFormat/>
    <w:rsid w:val="002C2D73"/>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2C2D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2C2D7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2C2D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2D73"/>
  </w:style>
  <w:style w:type="paragraph" w:styleId="TOC7">
    <w:name w:val="toc 7"/>
    <w:basedOn w:val="Normal"/>
    <w:next w:val="Normal"/>
    <w:autoRedefine/>
    <w:uiPriority w:val="39"/>
    <w:rsid w:val="002C2D73"/>
    <w:pPr>
      <w:spacing w:after="120"/>
      <w:ind w:left="1320"/>
    </w:pPr>
    <w:rPr>
      <w:rFonts w:eastAsia="Times"/>
      <w:lang w:val="en-AU"/>
    </w:r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uiPriority w:val="1"/>
    <w:qFormat/>
    <w:rPr>
      <w:rFonts w:eastAsia="Times New Roman"/>
      <w:szCs w:val="22"/>
      <w:lang w:bidi="en-US"/>
    </w:rPr>
  </w:style>
  <w:style w:type="paragraph" w:styleId="TOC5">
    <w:name w:val="toc 5"/>
    <w:basedOn w:val="Normal"/>
    <w:next w:val="Normal"/>
    <w:autoRedefine/>
    <w:uiPriority w:val="39"/>
    <w:rsid w:val="002C2D73"/>
    <w:pPr>
      <w:spacing w:after="120"/>
      <w:ind w:left="880"/>
    </w:pPr>
    <w:rPr>
      <w:rFonts w:eastAsia="Times"/>
      <w:lang w:val="en-AU"/>
    </w:rPr>
  </w:style>
  <w:style w:type="paragraph" w:styleId="TOC3">
    <w:name w:val="toc 3"/>
    <w:basedOn w:val="TOC2"/>
    <w:next w:val="Normal"/>
    <w:autoRedefine/>
    <w:uiPriority w:val="39"/>
    <w:rsid w:val="002C2D73"/>
    <w:pPr>
      <w:tabs>
        <w:tab w:val="left" w:pos="1276"/>
      </w:tabs>
      <w:spacing w:before="60"/>
      <w:ind w:left="1276" w:hanging="851"/>
    </w:pPr>
    <w:rPr>
      <w:rFonts w:eastAsia="Times"/>
    </w:rPr>
  </w:style>
  <w:style w:type="paragraph" w:styleId="TOC2">
    <w:name w:val="toc 2"/>
    <w:basedOn w:val="TOC1"/>
    <w:next w:val="Normal"/>
    <w:autoRedefine/>
    <w:uiPriority w:val="39"/>
    <w:rsid w:val="002C2D73"/>
    <w:pPr>
      <w:keepNext w:val="0"/>
      <w:tabs>
        <w:tab w:val="left" w:pos="425"/>
      </w:tabs>
      <w:spacing w:before="120" w:after="0"/>
      <w:ind w:left="425" w:right="284" w:hanging="425"/>
    </w:pPr>
  </w:style>
  <w:style w:type="paragraph" w:styleId="TOC1">
    <w:name w:val="toc 1"/>
    <w:basedOn w:val="IPPNormalCloseSpace"/>
    <w:next w:val="Normal"/>
    <w:autoRedefine/>
    <w:uiPriority w:val="39"/>
    <w:rsid w:val="002C2D73"/>
    <w:pPr>
      <w:tabs>
        <w:tab w:val="right" w:leader="dot" w:pos="9072"/>
      </w:tabs>
      <w:spacing w:before="240"/>
      <w:ind w:left="567" w:hanging="567"/>
    </w:pPr>
  </w:style>
  <w:style w:type="paragraph" w:customStyle="1" w:styleId="IPPNormalCloseSpace">
    <w:name w:val="IPP NormalCloseSpace"/>
    <w:basedOn w:val="Normal"/>
    <w:qFormat/>
    <w:rsid w:val="002C2D73"/>
    <w:pPr>
      <w:keepNext/>
      <w:spacing w:after="60"/>
    </w:pPr>
  </w:style>
  <w:style w:type="paragraph" w:styleId="PlainText">
    <w:name w:val="Plain Text"/>
    <w:basedOn w:val="Normal"/>
    <w:link w:val="PlainTextChar"/>
    <w:uiPriority w:val="99"/>
    <w:unhideWhenUsed/>
    <w:rsid w:val="002C2D73"/>
    <w:pPr>
      <w:jc w:val="left"/>
    </w:pPr>
    <w:rPr>
      <w:rFonts w:ascii="Courier" w:eastAsia="Times" w:hAnsi="Courier"/>
      <w:sz w:val="21"/>
      <w:szCs w:val="21"/>
      <w:lang w:val="en-AU"/>
    </w:rPr>
  </w:style>
  <w:style w:type="paragraph" w:styleId="TOC8">
    <w:name w:val="toc 8"/>
    <w:basedOn w:val="Normal"/>
    <w:next w:val="Normal"/>
    <w:autoRedefine/>
    <w:uiPriority w:val="39"/>
    <w:rsid w:val="002C2D73"/>
    <w:pPr>
      <w:spacing w:after="120"/>
      <w:ind w:left="1540"/>
    </w:pPr>
    <w:rPr>
      <w:rFonts w:eastAsia="Times"/>
      <w:lang w:val="en-AU"/>
    </w:rPr>
  </w:style>
  <w:style w:type="paragraph" w:styleId="BalloonText">
    <w:name w:val="Balloon Text"/>
    <w:basedOn w:val="Normal"/>
    <w:link w:val="BalloonTextChar"/>
    <w:rsid w:val="002C2D73"/>
    <w:rPr>
      <w:rFonts w:ascii="Tahoma" w:hAnsi="Tahoma" w:cs="Tahoma"/>
      <w:sz w:val="16"/>
      <w:szCs w:val="16"/>
    </w:rPr>
  </w:style>
  <w:style w:type="paragraph" w:styleId="Footer">
    <w:name w:val="footer"/>
    <w:basedOn w:val="Normal"/>
    <w:link w:val="FooterChar"/>
    <w:rsid w:val="002C2D73"/>
    <w:pPr>
      <w:tabs>
        <w:tab w:val="center" w:pos="4680"/>
        <w:tab w:val="right" w:pos="9360"/>
      </w:tabs>
    </w:pPr>
  </w:style>
  <w:style w:type="paragraph" w:styleId="Header">
    <w:name w:val="header"/>
    <w:basedOn w:val="Normal"/>
    <w:link w:val="HeaderChar"/>
    <w:rsid w:val="002C2D73"/>
    <w:pPr>
      <w:tabs>
        <w:tab w:val="center" w:pos="4680"/>
        <w:tab w:val="right" w:pos="9360"/>
      </w:tabs>
    </w:pPr>
  </w:style>
  <w:style w:type="paragraph" w:styleId="TOC4">
    <w:name w:val="toc 4"/>
    <w:basedOn w:val="Normal"/>
    <w:next w:val="Normal"/>
    <w:autoRedefine/>
    <w:uiPriority w:val="39"/>
    <w:rsid w:val="002C2D73"/>
    <w:pPr>
      <w:spacing w:after="120"/>
      <w:ind w:left="660"/>
    </w:pPr>
    <w:rPr>
      <w:rFonts w:eastAsia="Times"/>
      <w:lang w:val="en-AU"/>
    </w:rPr>
  </w:style>
  <w:style w:type="paragraph" w:styleId="FootnoteText">
    <w:name w:val="footnote text"/>
    <w:basedOn w:val="Normal"/>
    <w:link w:val="FootnoteTextChar"/>
    <w:semiHidden/>
    <w:rsid w:val="002C2D73"/>
    <w:pPr>
      <w:spacing w:before="60"/>
    </w:pPr>
    <w:rPr>
      <w:sz w:val="20"/>
    </w:rPr>
  </w:style>
  <w:style w:type="paragraph" w:styleId="TOC6">
    <w:name w:val="toc 6"/>
    <w:basedOn w:val="Normal"/>
    <w:next w:val="Normal"/>
    <w:autoRedefine/>
    <w:uiPriority w:val="39"/>
    <w:rsid w:val="002C2D73"/>
    <w:pPr>
      <w:spacing w:after="120"/>
      <w:ind w:left="1100"/>
    </w:pPr>
    <w:rPr>
      <w:rFonts w:eastAsia="Times"/>
      <w:lang w:val="en-AU"/>
    </w:rPr>
  </w:style>
  <w:style w:type="paragraph" w:styleId="TOC9">
    <w:name w:val="toc 9"/>
    <w:basedOn w:val="Normal"/>
    <w:next w:val="Normal"/>
    <w:autoRedefine/>
    <w:uiPriority w:val="39"/>
    <w:rsid w:val="002C2D73"/>
    <w:pPr>
      <w:spacing w:after="120"/>
      <w:ind w:left="1760"/>
    </w:pPr>
    <w:rPr>
      <w:rFonts w:eastAsia="Times"/>
      <w:lang w:val="en-AU"/>
    </w:r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rsid w:val="002C2D73"/>
    <w:pPr>
      <w:spacing w:after="0" w:line="240" w:lineRule="auto"/>
    </w:pPr>
    <w:rPr>
      <w:rFonts w:ascii="Cambria" w:eastAsia="MS Mincho" w:hAnsi="Cambria"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C2D73"/>
    <w:rPr>
      <w:b/>
      <w:bCs/>
    </w:rPr>
  </w:style>
  <w:style w:type="character" w:styleId="PageNumber">
    <w:name w:val="page number"/>
    <w:rsid w:val="002C2D73"/>
    <w:rPr>
      <w:rFonts w:ascii="Arial" w:hAnsi="Arial"/>
      <w:b/>
      <w:sz w:val="18"/>
    </w:rPr>
  </w:style>
  <w:style w:type="character" w:styleId="Hyperlink">
    <w:name w:val="Hyperlink"/>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sid w:val="002C2D73"/>
    <w:rPr>
      <w:vertAlign w:val="superscript"/>
    </w:rPr>
  </w:style>
  <w:style w:type="character" w:customStyle="1" w:styleId="HeaderChar">
    <w:name w:val="Header Char"/>
    <w:basedOn w:val="DefaultParagraphFont"/>
    <w:link w:val="Header"/>
    <w:rsid w:val="002C2D73"/>
    <w:rPr>
      <w:rFonts w:ascii="Times New Roman" w:eastAsia="MS Mincho" w:hAnsi="Times New Roman" w:cs="Times New Roman"/>
      <w:sz w:val="22"/>
      <w:szCs w:val="24"/>
      <w:lang w:val="en-GB"/>
    </w:rPr>
  </w:style>
  <w:style w:type="character" w:customStyle="1" w:styleId="FooterChar">
    <w:name w:val="Footer Char"/>
    <w:basedOn w:val="DefaultParagraphFont"/>
    <w:link w:val="Footer"/>
    <w:rsid w:val="002C2D73"/>
    <w:rPr>
      <w:rFonts w:ascii="Times New Roman" w:eastAsia="MS Mincho" w:hAnsi="Times New Roman" w:cs="Times New Roman"/>
      <w:sz w:val="22"/>
      <w:szCs w:val="24"/>
      <w:lang w:val="en-GB"/>
    </w:rPr>
  </w:style>
  <w:style w:type="character" w:customStyle="1" w:styleId="Heading1Char">
    <w:name w:val="Heading 1 Char"/>
    <w:basedOn w:val="DefaultParagraphFont"/>
    <w:link w:val="Heading1"/>
    <w:rsid w:val="002C2D73"/>
    <w:rPr>
      <w:rFonts w:ascii="Times New Roman" w:eastAsia="MS Mincho" w:hAnsi="Times New Roman" w:cs="Times New Roman"/>
      <w:b/>
      <w:bCs/>
      <w:sz w:val="22"/>
      <w:szCs w:val="24"/>
      <w:lang w:val="en-GB"/>
    </w:rPr>
  </w:style>
  <w:style w:type="paragraph" w:customStyle="1" w:styleId="IPPArialFootnote">
    <w:name w:val="IPP Arial Footnote"/>
    <w:basedOn w:val="IPPArialTable"/>
    <w:qFormat/>
    <w:rsid w:val="002C2D73"/>
    <w:pPr>
      <w:tabs>
        <w:tab w:val="left" w:pos="28"/>
      </w:tabs>
      <w:ind w:left="284" w:hanging="284"/>
    </w:pPr>
    <w:rPr>
      <w:sz w:val="16"/>
    </w:rPr>
  </w:style>
  <w:style w:type="paragraph" w:customStyle="1" w:styleId="IPPArialTable">
    <w:name w:val="IPP Arial Table"/>
    <w:basedOn w:val="IPPArial"/>
    <w:qFormat/>
    <w:rsid w:val="002C2D73"/>
    <w:pPr>
      <w:spacing w:before="60" w:after="60"/>
      <w:jc w:val="left"/>
    </w:pPr>
  </w:style>
  <w:style w:type="paragraph" w:customStyle="1" w:styleId="IPPArial">
    <w:name w:val="IPP Arial"/>
    <w:basedOn w:val="IPPNormal"/>
    <w:qFormat/>
    <w:rsid w:val="002C2D73"/>
    <w:pPr>
      <w:spacing w:after="0"/>
    </w:pPr>
    <w:rPr>
      <w:rFonts w:ascii="Arial" w:hAnsi="Arial"/>
      <w:sz w:val="18"/>
    </w:rPr>
  </w:style>
  <w:style w:type="paragraph" w:customStyle="1" w:styleId="IPPNormal">
    <w:name w:val="IPP Normal"/>
    <w:basedOn w:val="Normal"/>
    <w:link w:val="IPPNormalChar"/>
    <w:qFormat/>
    <w:rsid w:val="002C2D73"/>
    <w:pPr>
      <w:spacing w:after="180"/>
    </w:pPr>
    <w:rPr>
      <w:rFonts w:eastAsia="Times"/>
    </w:rPr>
  </w:style>
  <w:style w:type="paragraph" w:customStyle="1" w:styleId="IPPContentsHead">
    <w:name w:val="IPP ContentsHead"/>
    <w:basedOn w:val="IPPSubhead"/>
    <w:next w:val="IPPNormal"/>
    <w:qFormat/>
    <w:rsid w:val="002C2D73"/>
    <w:pPr>
      <w:spacing w:after="240"/>
    </w:pPr>
    <w:rPr>
      <w:sz w:val="24"/>
    </w:rPr>
  </w:style>
  <w:style w:type="paragraph" w:customStyle="1" w:styleId="IPPSubhead">
    <w:name w:val="IPP Subhead"/>
    <w:basedOn w:val="Normal"/>
    <w:qFormat/>
    <w:rsid w:val="002C2D73"/>
    <w:pPr>
      <w:keepNext/>
      <w:ind w:left="567" w:hanging="567"/>
      <w:jc w:val="left"/>
    </w:pPr>
    <w:rPr>
      <w:b/>
      <w:bCs/>
      <w:iCs/>
      <w:szCs w:val="22"/>
    </w:rPr>
  </w:style>
  <w:style w:type="paragraph" w:customStyle="1" w:styleId="IPPBullet2">
    <w:name w:val="IPP Bullet2"/>
    <w:basedOn w:val="IPPNormal"/>
    <w:next w:val="IPPBullet1"/>
    <w:qFormat/>
    <w:rsid w:val="002C2D73"/>
    <w:pPr>
      <w:numPr>
        <w:numId w:val="1"/>
      </w:numPr>
      <w:tabs>
        <w:tab w:val="left" w:pos="1134"/>
      </w:tabs>
      <w:spacing w:after="60"/>
      <w:ind w:left="1134" w:hanging="567"/>
    </w:pPr>
  </w:style>
  <w:style w:type="paragraph" w:customStyle="1" w:styleId="IPPBullet1">
    <w:name w:val="IPP Bullet1"/>
    <w:basedOn w:val="IPPBullet1Last"/>
    <w:qFormat/>
    <w:rsid w:val="002C2D73"/>
    <w:pPr>
      <w:numPr>
        <w:numId w:val="2"/>
      </w:numPr>
      <w:spacing w:after="60"/>
      <w:ind w:left="567" w:hanging="567"/>
    </w:pPr>
    <w:rPr>
      <w:lang w:val="en-US"/>
    </w:rPr>
  </w:style>
  <w:style w:type="paragraph" w:customStyle="1" w:styleId="IPPBullet1Last">
    <w:name w:val="IPP Bullet1Last"/>
    <w:basedOn w:val="IPPNormal"/>
    <w:next w:val="IPPNormal"/>
    <w:autoRedefine/>
    <w:qFormat/>
    <w:rsid w:val="002C2D73"/>
    <w:pPr>
      <w:numPr>
        <w:numId w:val="3"/>
      </w:numPr>
    </w:pPr>
  </w:style>
  <w:style w:type="paragraph" w:customStyle="1" w:styleId="IPPQuote">
    <w:name w:val="IPP Quote"/>
    <w:basedOn w:val="IPPNormal"/>
    <w:qFormat/>
    <w:rsid w:val="002C2D73"/>
    <w:pPr>
      <w:ind w:left="851" w:right="851"/>
    </w:pPr>
    <w:rPr>
      <w:sz w:val="18"/>
    </w:rPr>
  </w:style>
  <w:style w:type="paragraph" w:customStyle="1" w:styleId="IPPIndentClose">
    <w:name w:val="IPP Indent Close"/>
    <w:basedOn w:val="IPPNormal"/>
    <w:qFormat/>
    <w:rsid w:val="002C2D73"/>
    <w:pPr>
      <w:tabs>
        <w:tab w:val="left" w:pos="2835"/>
      </w:tabs>
      <w:spacing w:after="60"/>
      <w:ind w:left="567"/>
    </w:pPr>
  </w:style>
  <w:style w:type="paragraph" w:customStyle="1" w:styleId="IPPIndent">
    <w:name w:val="IPP Indent"/>
    <w:basedOn w:val="IPPIndentClose"/>
    <w:qFormat/>
    <w:rsid w:val="002C2D73"/>
    <w:pPr>
      <w:spacing w:after="180"/>
    </w:pPr>
  </w:style>
  <w:style w:type="paragraph" w:customStyle="1" w:styleId="IPPFootnote">
    <w:name w:val="IPP Footnote"/>
    <w:basedOn w:val="IPPArialFootnote"/>
    <w:qFormat/>
    <w:rsid w:val="002C2D73"/>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2C2D73"/>
    <w:pPr>
      <w:keepNext/>
      <w:tabs>
        <w:tab w:val="left" w:pos="567"/>
      </w:tabs>
      <w:spacing w:before="120" w:after="120"/>
      <w:ind w:left="567" w:hanging="567"/>
    </w:pPr>
    <w:rPr>
      <w:b/>
      <w:i/>
    </w:rPr>
  </w:style>
  <w:style w:type="character" w:customStyle="1" w:styleId="IPPnormalitalics">
    <w:name w:val="IPP normal italics"/>
    <w:basedOn w:val="DefaultParagraphFont"/>
    <w:rsid w:val="002C2D73"/>
    <w:rPr>
      <w:rFonts w:ascii="Times New Roman" w:hAnsi="Times New Roman"/>
      <w:i/>
      <w:sz w:val="22"/>
      <w:lang w:val="en-US"/>
    </w:rPr>
  </w:style>
  <w:style w:type="character" w:customStyle="1" w:styleId="IPPNormalbold">
    <w:name w:val="IPP Normal bold"/>
    <w:basedOn w:val="PlainTextChar"/>
    <w:rsid w:val="002C2D73"/>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2C2D73"/>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2C2D73"/>
    <w:pPr>
      <w:keepNext/>
      <w:tabs>
        <w:tab w:val="left" w:pos="567"/>
      </w:tabs>
      <w:spacing w:before="240" w:after="120"/>
      <w:ind w:left="567" w:hanging="567"/>
      <w:jc w:val="left"/>
      <w:outlineLvl w:val="1"/>
    </w:pPr>
    <w:rPr>
      <w:b/>
      <w:sz w:val="24"/>
      <w:szCs w:val="22"/>
    </w:rPr>
  </w:style>
  <w:style w:type="character" w:customStyle="1" w:styleId="IPPNormalunderlined">
    <w:name w:val="IPP Normal underlined"/>
    <w:basedOn w:val="DefaultParagraphFont"/>
    <w:rsid w:val="002C2D73"/>
    <w:rPr>
      <w:rFonts w:ascii="Times New Roman" w:hAnsi="Times New Roman"/>
      <w:sz w:val="22"/>
      <w:u w:val="single"/>
      <w:lang w:val="en-US"/>
    </w:rPr>
  </w:style>
  <w:style w:type="character" w:customStyle="1" w:styleId="IPPNormalstrikethrough">
    <w:name w:val="IPP Normal strikethrough"/>
    <w:rsid w:val="002C2D73"/>
    <w:rPr>
      <w:rFonts w:ascii="Times New Roman" w:hAnsi="Times New Roman"/>
      <w:strike/>
      <w:dstrike w:val="0"/>
      <w:sz w:val="22"/>
    </w:rPr>
  </w:style>
  <w:style w:type="paragraph" w:customStyle="1" w:styleId="IPPTitle16pt">
    <w:name w:val="IPP Title16pt"/>
    <w:basedOn w:val="Normal"/>
    <w:qFormat/>
    <w:rsid w:val="002C2D73"/>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2C2D73"/>
    <w:pPr>
      <w:spacing w:after="360"/>
      <w:jc w:val="center"/>
    </w:pPr>
    <w:rPr>
      <w:rFonts w:ascii="Arial" w:hAnsi="Arial" w:cs="Arial"/>
      <w:b/>
      <w:bCs/>
      <w:sz w:val="36"/>
      <w:szCs w:val="36"/>
    </w:rPr>
  </w:style>
  <w:style w:type="paragraph" w:customStyle="1" w:styleId="IPPHeader">
    <w:name w:val="IPP Header"/>
    <w:basedOn w:val="Normal"/>
    <w:qFormat/>
    <w:rsid w:val="002C2D73"/>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2C2D73"/>
    <w:pPr>
      <w:keepNext/>
      <w:tabs>
        <w:tab w:val="left" w:pos="567"/>
      </w:tabs>
      <w:spacing w:before="120"/>
      <w:jc w:val="left"/>
      <w:outlineLvl w:val="1"/>
    </w:pPr>
    <w:rPr>
      <w:b/>
      <w:sz w:val="24"/>
    </w:rPr>
  </w:style>
  <w:style w:type="paragraph" w:customStyle="1" w:styleId="IPPHeading2">
    <w:name w:val="IPP Heading2"/>
    <w:basedOn w:val="IPPNormal"/>
    <w:next w:val="IPPNormal"/>
    <w:qFormat/>
    <w:rsid w:val="002C2D73"/>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2C2D73"/>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rsid w:val="002C2D73"/>
    <w:pPr>
      <w:spacing w:after="60"/>
      <w:ind w:left="567" w:hanging="567"/>
    </w:pPr>
  </w:style>
  <w:style w:type="paragraph" w:customStyle="1" w:styleId="IPPHeaderlandscape">
    <w:name w:val="IPP Header landscape"/>
    <w:basedOn w:val="IPPHeader"/>
    <w:qFormat/>
    <w:rsid w:val="002C2D73"/>
    <w:pPr>
      <w:pBdr>
        <w:bottom w:val="single" w:sz="4" w:space="1" w:color="auto"/>
      </w:pBdr>
      <w:tabs>
        <w:tab w:val="clear" w:pos="9072"/>
        <w:tab w:val="right" w:pos="14034"/>
      </w:tabs>
      <w:spacing w:after="0"/>
      <w:ind w:right="-32"/>
    </w:pPr>
    <w:rPr>
      <w:noProof/>
    </w:rPr>
  </w:style>
  <w:style w:type="character" w:customStyle="1" w:styleId="Heading2Char">
    <w:name w:val="Heading 2 Char"/>
    <w:basedOn w:val="DefaultParagraphFont"/>
    <w:link w:val="Heading2"/>
    <w:rsid w:val="002C2D73"/>
    <w:rPr>
      <w:rFonts w:ascii="Calibri" w:eastAsia="MS Mincho" w:hAnsi="Calibri" w:cs="Times New Roman"/>
      <w:b/>
      <w:bCs/>
      <w:i/>
      <w:iCs/>
      <w:sz w:val="28"/>
      <w:szCs w:val="28"/>
      <w:lang w:val="en-GB"/>
    </w:rPr>
  </w:style>
  <w:style w:type="character" w:customStyle="1" w:styleId="Heading3Char">
    <w:name w:val="Heading 3 Char"/>
    <w:basedOn w:val="DefaultParagraphFont"/>
    <w:link w:val="Heading3"/>
    <w:rsid w:val="002C2D73"/>
    <w:rPr>
      <w:rFonts w:ascii="Calibri" w:eastAsia="MS Mincho" w:hAnsi="Calibri" w:cs="Times New Roman"/>
      <w:b/>
      <w:bCs/>
      <w:sz w:val="26"/>
      <w:szCs w:val="26"/>
      <w:lang w:val="en-GB"/>
    </w:rPr>
  </w:style>
  <w:style w:type="character" w:customStyle="1" w:styleId="FootnoteTextChar">
    <w:name w:val="Footnote Text Char"/>
    <w:basedOn w:val="DefaultParagraphFont"/>
    <w:link w:val="FootnoteText"/>
    <w:semiHidden/>
    <w:rsid w:val="002C2D73"/>
    <w:rPr>
      <w:rFonts w:ascii="Times New Roman" w:eastAsia="MS Mincho" w:hAnsi="Times New Roman" w:cs="Times New Roman"/>
      <w:szCs w:val="24"/>
      <w:lang w:val="en-GB"/>
    </w:rPr>
  </w:style>
  <w:style w:type="paragraph" w:customStyle="1" w:styleId="Style">
    <w:name w:val="Style"/>
    <w:basedOn w:val="Footer"/>
    <w:autoRedefine/>
    <w:qFormat/>
    <w:rsid w:val="002C2D73"/>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customStyle="1" w:styleId="BalloonTextChar">
    <w:name w:val="Balloon Text Char"/>
    <w:basedOn w:val="DefaultParagraphFont"/>
    <w:link w:val="BalloonText"/>
    <w:rsid w:val="002C2D73"/>
    <w:rPr>
      <w:rFonts w:ascii="Tahoma" w:eastAsia="MS Mincho" w:hAnsi="Tahoma" w:cs="Tahoma"/>
      <w:sz w:val="16"/>
      <w:szCs w:val="16"/>
      <w:lang w:val="en-GB"/>
    </w:rPr>
  </w:style>
  <w:style w:type="paragraph" w:customStyle="1" w:styleId="IPPLetterList">
    <w:name w:val="IPP LetterList"/>
    <w:basedOn w:val="IPPBullet2"/>
    <w:qFormat/>
    <w:rsid w:val="002C2D73"/>
    <w:pPr>
      <w:numPr>
        <w:numId w:val="4"/>
      </w:numPr>
      <w:jc w:val="left"/>
    </w:pPr>
  </w:style>
  <w:style w:type="paragraph" w:customStyle="1" w:styleId="IPPLetterListIndent">
    <w:name w:val="IPP LetterList Indent"/>
    <w:basedOn w:val="IPPLetterList"/>
    <w:qFormat/>
    <w:rsid w:val="002C2D73"/>
    <w:pPr>
      <w:numPr>
        <w:numId w:val="5"/>
      </w:numPr>
    </w:pPr>
  </w:style>
  <w:style w:type="paragraph" w:customStyle="1" w:styleId="IPPFooterLandscape">
    <w:name w:val="IPP Footer Landscape"/>
    <w:basedOn w:val="IPPHeaderlandscape"/>
    <w:qFormat/>
    <w:rsid w:val="002C2D73"/>
    <w:pPr>
      <w:pBdr>
        <w:top w:val="single" w:sz="4" w:space="1" w:color="auto"/>
        <w:bottom w:val="none" w:sz="0" w:space="0" w:color="auto"/>
      </w:pBdr>
      <w:jc w:val="right"/>
    </w:pPr>
    <w:rPr>
      <w:b/>
    </w:rPr>
  </w:style>
  <w:style w:type="paragraph" w:customStyle="1" w:styleId="IPPSubheadSpace">
    <w:name w:val="IPP Subhead Space"/>
    <w:basedOn w:val="IPPSubhead"/>
    <w:qFormat/>
    <w:rsid w:val="002C2D73"/>
    <w:pPr>
      <w:tabs>
        <w:tab w:val="left" w:pos="567"/>
      </w:tabs>
      <w:spacing w:before="60" w:after="60"/>
    </w:pPr>
  </w:style>
  <w:style w:type="paragraph" w:customStyle="1" w:styleId="IPPSubheadSpaceAfter">
    <w:name w:val="IPP Subhead SpaceAfter"/>
    <w:basedOn w:val="IPPSubhead"/>
    <w:qFormat/>
    <w:rsid w:val="002C2D73"/>
    <w:pPr>
      <w:spacing w:after="60"/>
    </w:pPr>
  </w:style>
  <w:style w:type="paragraph" w:customStyle="1" w:styleId="IPPHdg1Num">
    <w:name w:val="IPP Hdg1Num"/>
    <w:basedOn w:val="IPPHeading1"/>
    <w:next w:val="IPPNormal"/>
    <w:qFormat/>
    <w:rsid w:val="002C2D73"/>
    <w:pPr>
      <w:numPr>
        <w:numId w:val="6"/>
      </w:numPr>
    </w:pPr>
  </w:style>
  <w:style w:type="paragraph" w:customStyle="1" w:styleId="IPPHdg2Num">
    <w:name w:val="IPP Hdg2Num"/>
    <w:basedOn w:val="IPPHeading2"/>
    <w:next w:val="IPPNormal"/>
    <w:qFormat/>
    <w:rsid w:val="002C2D73"/>
    <w:pPr>
      <w:numPr>
        <w:ilvl w:val="1"/>
        <w:numId w:val="7"/>
      </w:numPr>
    </w:pPr>
  </w:style>
  <w:style w:type="paragraph" w:customStyle="1" w:styleId="IPPNumberedList">
    <w:name w:val="IPP NumberedList"/>
    <w:basedOn w:val="IPPBullet1"/>
    <w:qFormat/>
    <w:rsid w:val="002C2D73"/>
    <w:pPr>
      <w:numPr>
        <w:numId w:val="8"/>
      </w:numPr>
    </w:pPr>
  </w:style>
  <w:style w:type="paragraph" w:customStyle="1" w:styleId="IPPParagraphnumbering">
    <w:name w:val="IPP Paragraph numbering"/>
    <w:basedOn w:val="IPPNormal"/>
    <w:qFormat/>
    <w:rsid w:val="002C2D73"/>
    <w:pPr>
      <w:numPr>
        <w:numId w:val="9"/>
      </w:numPr>
      <w:tabs>
        <w:tab w:val="num" w:pos="0"/>
      </w:tabs>
    </w:pPr>
    <w:rPr>
      <w:lang w:val="en-US"/>
    </w:rPr>
  </w:style>
  <w:style w:type="paragraph" w:customStyle="1" w:styleId="IPPParagraphnumberingclose">
    <w:name w:val="IPP Paragraph numbering close"/>
    <w:basedOn w:val="IPPParagraphnumbering"/>
    <w:qFormat/>
    <w:rsid w:val="002C2D73"/>
    <w:pPr>
      <w:keepNext/>
      <w:spacing w:after="60"/>
    </w:pPr>
  </w:style>
  <w:style w:type="character" w:customStyle="1" w:styleId="PlainTextChar">
    <w:name w:val="Plain Text Char"/>
    <w:basedOn w:val="DefaultParagraphFont"/>
    <w:link w:val="PlainText"/>
    <w:uiPriority w:val="99"/>
    <w:rsid w:val="002C2D73"/>
    <w:rPr>
      <w:rFonts w:ascii="Courier" w:eastAsia="Times" w:hAnsi="Courier" w:cs="Times New Roman"/>
      <w:sz w:val="21"/>
      <w:szCs w:val="21"/>
      <w:lang w:val="en-AU"/>
    </w:rPr>
  </w:style>
  <w:style w:type="paragraph" w:customStyle="1" w:styleId="IPPNumberedListLast">
    <w:name w:val="IPP NumberedListLast"/>
    <w:basedOn w:val="IPPNumberedList"/>
    <w:qFormat/>
    <w:rsid w:val="002C2D73"/>
    <w:pPr>
      <w:spacing w:after="180"/>
    </w:pPr>
  </w:style>
  <w:style w:type="paragraph" w:styleId="ListParagraph">
    <w:name w:val="List Paragraph"/>
    <w:basedOn w:val="Normal"/>
    <w:uiPriority w:val="34"/>
    <w:qFormat/>
    <w:rsid w:val="002C2D73"/>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pPr>
      <w:tabs>
        <w:tab w:val="left" w:pos="0"/>
      </w:tabs>
      <w:ind w:hanging="482"/>
    </w:pPr>
  </w:style>
  <w:style w:type="character" w:customStyle="1" w:styleId="CommentTextChar">
    <w:name w:val="Comment Text Char"/>
    <w:link w:val="CommentText"/>
    <w:uiPriority w:val="99"/>
    <w:qFormat/>
    <w:rPr>
      <w:rFonts w:eastAsia="MS Mincho"/>
      <w:lang w:eastAsia="en-U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ascii="Times New Roman" w:eastAsia="Times" w:hAnsi="Times New Roman" w:cs="Times New Roman"/>
      <w:sz w:val="22"/>
      <w:szCs w:val="24"/>
      <w:lang w:val="en-GB"/>
    </w:rPr>
  </w:style>
  <w:style w:type="paragraph" w:customStyle="1" w:styleId="Revision1">
    <w:name w:val="Revision1"/>
    <w:hidden/>
    <w:uiPriority w:val="99"/>
    <w:semiHidden/>
    <w:rPr>
      <w:rFonts w:ascii="Times New Roman" w:eastAsia="MS Mincho" w:hAnsi="Times New Roman" w:cs="Times New Roman"/>
      <w:sz w:val="22"/>
      <w:szCs w:val="24"/>
    </w:rPr>
  </w:style>
  <w:style w:type="paragraph" w:customStyle="1" w:styleId="footnotedescription">
    <w:name w:val="footnote description"/>
    <w:next w:val="Normal"/>
    <w:link w:val="footnotedescriptionChar"/>
    <w:pPr>
      <w:spacing w:line="276" w:lineRule="auto"/>
      <w:ind w:left="1"/>
    </w:pPr>
    <w:rPr>
      <w:rFonts w:ascii="Times New Roman" w:eastAsia="Times New Roman" w:hAnsi="Times New Roman" w:cs="Times New Roman"/>
      <w:color w:val="000000"/>
      <w:szCs w:val="22"/>
      <w:lang w:eastAsia="en-AU"/>
    </w:rPr>
  </w:style>
  <w:style w:type="character" w:customStyle="1" w:styleId="footnotedescriptionChar">
    <w:name w:val="footnote description Char"/>
    <w:link w:val="footnotedescription"/>
    <w:rPr>
      <w:rFonts w:eastAsia="Times New Roman"/>
      <w:color w:val="000000"/>
      <w:szCs w:val="22"/>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ascii="Calibri" w:eastAsia="Times New Roman" w:hAnsi="Calibri"/>
      <w:sz w:val="22"/>
      <w:szCs w:val="22"/>
      <w:lang w:eastAsia="en-AU"/>
    </w:rPr>
    <w:tblPr>
      <w:tblCellMar>
        <w:top w:w="0" w:type="dxa"/>
        <w:left w:w="0" w:type="dxa"/>
        <w:bottom w:w="0" w:type="dxa"/>
        <w:right w:w="0" w:type="dxa"/>
      </w:tblCellMar>
    </w:tblPr>
  </w:style>
  <w:style w:type="table" w:customStyle="1" w:styleId="TableGrid3">
    <w:name w:val="TableGrid3"/>
    <w:rPr>
      <w:rFonts w:ascii="Calibri" w:eastAsia="Times New Roman" w:hAnsi="Calibri"/>
      <w:sz w:val="22"/>
      <w:szCs w:val="22"/>
      <w:lang w:eastAsia="en-AU"/>
    </w:rPr>
    <w:tblPr>
      <w:tblCellMar>
        <w:top w:w="0" w:type="dxa"/>
        <w:left w:w="0" w:type="dxa"/>
        <w:bottom w:w="0" w:type="dxa"/>
        <w:right w:w="0" w:type="dxa"/>
      </w:tblCellMar>
    </w:tblPr>
  </w:style>
  <w:style w:type="paragraph" w:styleId="Revision">
    <w:name w:val="Revision"/>
    <w:hidden/>
    <w:uiPriority w:val="99"/>
    <w:semiHidden/>
    <w:pPr>
      <w:spacing w:after="0" w:line="240" w:lineRule="auto"/>
    </w:pPr>
    <w:rPr>
      <w:rFonts w:ascii="Times New Roman" w:eastAsia="MS Mincho" w:hAnsi="Times New Roman" w:cs="Times New Roman"/>
      <w:sz w:val="22"/>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PleaseReviewParagraphId">
    <w:name w:val="PleaseReviewParagraphId"/>
    <w:basedOn w:val="DefaultParagraphFont"/>
    <w:rPr>
      <w:rFonts w:ascii="Arial" w:hAnsi="Arial"/>
      <w:b w:val="0"/>
      <w:i w:val="0"/>
      <w:color w:val="000080"/>
      <w:sz w:val="16"/>
      <w:u w:val="none"/>
    </w:rPr>
  </w:style>
  <w:style w:type="numbering" w:customStyle="1" w:styleId="IPPParagraphnumberedlist">
    <w:name w:val="IPP Paragraph numbered list"/>
    <w:rsid w:val="002C2D7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885025777">
      <w:bodyDiv w:val="1"/>
      <w:marLeft w:val="0"/>
      <w:marRight w:val="0"/>
      <w:marTop w:val="0"/>
      <w:marBottom w:val="0"/>
      <w:divBdr>
        <w:top w:val="none" w:sz="0" w:space="0" w:color="auto"/>
        <w:left w:val="none" w:sz="0" w:space="0" w:color="auto"/>
        <w:bottom w:val="none" w:sz="0" w:space="0" w:color="auto"/>
        <w:right w:val="none" w:sz="0" w:space="0" w:color="auto"/>
      </w:divBdr>
    </w:div>
    <w:div w:id="915096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bao.org/static/docs/confs/1997-sandiego/papers/079hallma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ppc.int/es/core-activities/standards-setting/isp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ENEZALEJA\Download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s:customSectProps>
    <s:customSectPr/>
  </s: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E8CC1FA2F869B488F2E57D0F0A42FA5" ma:contentTypeVersion="11" ma:contentTypeDescription="Create a new document." ma:contentTypeScope="" ma:versionID="2f098010b9d868a3e9844801c308c2c2">
  <xsd:schema xmlns:xs="http://www.w3.org/2001/XMLSchema" xmlns:xsd="http://www.w3.org/2001/XMLSchema" xmlns:p="http://schemas.microsoft.com/office/2006/metadata/properties" xmlns:ns2="16d7ab03-affb-4dac-b0a6-235e039add02" xmlns:ns3="cc7ce8ca-8f52-44ec-9496-3c41d0f5ad18" targetNamespace="http://schemas.microsoft.com/office/2006/metadata/properties" ma:root="true" ma:fieldsID="e87e6e495d097ac118e1dfc7b9c9014b" ns2:_="" ns3:_="">
    <xsd:import namespace="16d7ab03-affb-4dac-b0a6-235e039add02"/>
    <xsd:import namespace="cc7ce8ca-8f52-44ec-9496-3c41d0f5ad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16d7ab03-affb-4dac-b0a6-235e039a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http://www.w3.org/2001/XMLSchema" xmlns:xsd="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EC06A099-3AB5-4329-A0DA-799D664A87C7}">
  <ds:schemaRefs>
    <ds:schemaRef ds:uri="http://schemas.microsoft.com/sharepoint/v3/contenttype/forms"/>
  </ds:schemaRefs>
</ds:datastoreItem>
</file>

<file path=customXml/itemProps2.xml><?xml version="1.0" encoding="utf-8"?>
<ds:datastoreItem xmlns:ds="http://schemas.openxmlformats.org/officeDocument/2006/customXml" ds:itemID="{7E513B4F-C1AA-4E81-86EF-F6D3837A58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6F9916-A7C8-4497-98C5-36BF549DB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7ab03-affb-4dac-b0a6-235e039add02"/>
    <ds:schemaRef ds:uri="cc7ce8ca-8f52-44ec-9496-3c41d0f5a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B8A1A9-7E70-41C7-903D-29C9B04D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dc:creator>
  <cp:lastModifiedBy>JimenezTabares, Alejandra (AGDI)</cp:lastModifiedBy>
  <cp:revision>2</cp:revision>
  <cp:lastPrinted>2020-06-09T08:33:00Z</cp:lastPrinted>
  <dcterms:created xsi:type="dcterms:W3CDTF">2020-06-30T15:21:00Z</dcterms:created>
  <dcterms:modified xsi:type="dcterms:W3CDTF">2020-06-30T15:21:00Z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ContentTypeId">
    <vt:lpwstr>0x0101003E8CC1FA2F869B488F2E57D0F0A42FA5</vt:lpwstr>
  </property>
</Properties>
</file>