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77C" w:rsidRDefault="00884486">
      <w:pPr>
        <w:jc w:val="center"/>
      </w:pPr>
      <w:bookmarkStart w:id="0" w:name="_GoBack"/>
      <w:bookmarkEnd w:id="0"/>
      <w:r>
        <w:rPr>
          <w:rStyle w:val="PleaseReviewParagraphId"/>
          <w:noProof/>
          <w:sz w:val="20"/>
        </w:rPr>
        <w:t xml:space="preserve">[PleaseReview document review. Review title: 2020 First Consultation: Draft PT Irradiation treatment for Sternochetus frigidus (2017-036). Document title: </w:t>
      </w:r>
      <w:r>
        <w:rPr>
          <w:rStyle w:val="PleaseReviewParagraphId"/>
          <w:noProof/>
          <w:sz w:val="20"/>
        </w:rPr>
        <w:t>ND140_2017-036_DraftPT_Sternochetus_Frigidus_Es.docx]</w:t>
      </w:r>
    </w:p>
    <w:p w:rsidR="008F377C" w:rsidRDefault="00884486">
      <w:pPr>
        <w:pStyle w:val="IPPHeading1"/>
        <w:tabs>
          <w:tab w:val="clear" w:pos="567"/>
        </w:tabs>
      </w:pPr>
      <w:r>
        <w:rPr>
          <w:rStyle w:val="PleaseReviewParagraphId"/>
          <w:b w:val="0"/>
        </w:rPr>
        <w:t>[1]</w:t>
      </w:r>
      <w:bookmarkStart w:id="1" w:name="_Toc121913536"/>
      <w:r>
        <w:t xml:space="preserve">PROYECTO DE ANEXO DE LA NIMF 28: Tratamiento de irradiación para </w:t>
      </w:r>
      <w:r>
        <w:rPr>
          <w:i/>
        </w:rPr>
        <w:t>Sternochetus frigidus</w:t>
      </w:r>
      <w:r>
        <w:t xml:space="preserve"> </w:t>
      </w:r>
      <w:r>
        <w:rPr>
          <w:caps/>
        </w:rPr>
        <w:t>(2017-036)</w:t>
      </w:r>
    </w:p>
    <w:p w:rsidR="008F377C" w:rsidRDefault="00884486">
      <w:pPr>
        <w:pStyle w:val="IPPArialTable"/>
        <w:rPr>
          <w:b/>
          <w:bCs/>
        </w:rPr>
      </w:pPr>
      <w:r>
        <w:rPr>
          <w:rStyle w:val="PleaseReviewParagraphId"/>
        </w:rPr>
        <w:t>[2]</w:t>
      </w:r>
      <w:r>
        <w:rPr>
          <w:b/>
        </w:rPr>
        <w:t>Estado de la elaboración</w:t>
      </w:r>
    </w:p>
    <w:tbl>
      <w:tblPr>
        <w:tblpPr w:leftFromText="180" w:rightFromText="180" w:vertAnchor="text" w:horzAnchor="margin" w:tblpXSpec="center" w:tblpY="128"/>
        <w:tblW w:w="9209"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936"/>
      </w:tblGrid>
      <w:tr w:rsidR="008F377C">
        <w:trPr>
          <w:trHeight w:val="286"/>
        </w:trPr>
        <w:tc>
          <w:tcPr>
            <w:tcW w:w="9209" w:type="dxa"/>
            <w:gridSpan w:val="2"/>
            <w:tcBorders>
              <w:top w:val="single" w:sz="4" w:space="0" w:color="auto"/>
              <w:left w:val="single" w:sz="4" w:space="0" w:color="auto"/>
              <w:right w:val="single" w:sz="4" w:space="0" w:color="auto"/>
            </w:tcBorders>
          </w:tcPr>
          <w:p w:rsidR="008F377C" w:rsidRDefault="00884486">
            <w:pPr>
              <w:pStyle w:val="IPPArialTable"/>
            </w:pPr>
            <w:r>
              <w:rPr>
                <w:rStyle w:val="PleaseReviewParagraphId"/>
              </w:rPr>
              <w:t>[3]</w:t>
            </w:r>
            <w:r>
              <w:t xml:space="preserve">Esta no es una parte oficial de la norma; después de la adopción será </w:t>
            </w:r>
            <w:r>
              <w:t>modificada por la Secretaría de la CIPF.</w:t>
            </w:r>
          </w:p>
        </w:tc>
      </w:tr>
      <w:tr w:rsidR="008F377C">
        <w:trPr>
          <w:trHeight w:val="286"/>
        </w:trPr>
        <w:tc>
          <w:tcPr>
            <w:tcW w:w="2273" w:type="dxa"/>
            <w:tcBorders>
              <w:left w:val="single" w:sz="4" w:space="0" w:color="auto"/>
            </w:tcBorders>
          </w:tcPr>
          <w:p w:rsidR="008F377C" w:rsidRDefault="00884486">
            <w:pPr>
              <w:pStyle w:val="IPPArialTable"/>
              <w:rPr>
                <w:b/>
                <w:bCs/>
              </w:rPr>
            </w:pPr>
            <w:r>
              <w:rPr>
                <w:rStyle w:val="PleaseReviewParagraphId"/>
              </w:rPr>
              <w:t>[4]</w:t>
            </w:r>
            <w:r>
              <w:rPr>
                <w:b/>
              </w:rPr>
              <w:t>Fecha de este documento</w:t>
            </w:r>
          </w:p>
        </w:tc>
        <w:tc>
          <w:tcPr>
            <w:tcW w:w="6936" w:type="dxa"/>
            <w:tcBorders>
              <w:right w:val="single" w:sz="4" w:space="0" w:color="auto"/>
            </w:tcBorders>
          </w:tcPr>
          <w:p w:rsidR="008F377C" w:rsidRDefault="00884486">
            <w:pPr>
              <w:pStyle w:val="IPPArialTable"/>
            </w:pPr>
            <w:r>
              <w:rPr>
                <w:rStyle w:val="PleaseReviewParagraphId"/>
              </w:rPr>
              <w:t>[5]</w:t>
            </w:r>
            <w:r>
              <w:t>2020-05-28</w:t>
            </w:r>
          </w:p>
        </w:tc>
      </w:tr>
      <w:tr w:rsidR="008F377C">
        <w:trPr>
          <w:trHeight w:val="286"/>
        </w:trPr>
        <w:tc>
          <w:tcPr>
            <w:tcW w:w="2273" w:type="dxa"/>
            <w:tcBorders>
              <w:left w:val="single" w:sz="4" w:space="0" w:color="auto"/>
            </w:tcBorders>
          </w:tcPr>
          <w:p w:rsidR="008F377C" w:rsidRDefault="00884486">
            <w:pPr>
              <w:pStyle w:val="IPPArialTable"/>
              <w:rPr>
                <w:b/>
                <w:bCs/>
              </w:rPr>
            </w:pPr>
            <w:r>
              <w:rPr>
                <w:rStyle w:val="PleaseReviewParagraphId"/>
              </w:rPr>
              <w:t>[6]</w:t>
            </w:r>
            <w:r>
              <w:rPr>
                <w:b/>
              </w:rPr>
              <w:t>Categoría del documento</w:t>
            </w:r>
          </w:p>
        </w:tc>
        <w:tc>
          <w:tcPr>
            <w:tcW w:w="6936" w:type="dxa"/>
            <w:tcBorders>
              <w:right w:val="single" w:sz="4" w:space="0" w:color="auto"/>
            </w:tcBorders>
          </w:tcPr>
          <w:p w:rsidR="008F377C" w:rsidRDefault="00884486">
            <w:pPr>
              <w:pStyle w:val="IPPArialTable"/>
              <w:rPr>
                <w:highlight w:val="cyan"/>
              </w:rPr>
            </w:pPr>
            <w:r>
              <w:rPr>
                <w:rStyle w:val="PleaseReviewParagraphId"/>
              </w:rPr>
              <w:t>[7]</w:t>
            </w:r>
            <w:r>
              <w:t>Proyecto de anexo de la NIMF 28</w:t>
            </w:r>
          </w:p>
        </w:tc>
      </w:tr>
      <w:tr w:rsidR="008F377C">
        <w:trPr>
          <w:trHeight w:val="299"/>
        </w:trPr>
        <w:tc>
          <w:tcPr>
            <w:tcW w:w="2273" w:type="dxa"/>
            <w:tcBorders>
              <w:left w:val="single" w:sz="4" w:space="0" w:color="auto"/>
            </w:tcBorders>
          </w:tcPr>
          <w:p w:rsidR="008F377C" w:rsidRDefault="00884486">
            <w:pPr>
              <w:pStyle w:val="IPPArialTable"/>
              <w:rPr>
                <w:b/>
                <w:bCs/>
              </w:rPr>
            </w:pPr>
            <w:r>
              <w:rPr>
                <w:rStyle w:val="PleaseReviewParagraphId"/>
              </w:rPr>
              <w:t>[8]</w:t>
            </w:r>
            <w:r>
              <w:rPr>
                <w:b/>
              </w:rPr>
              <w:t>Etapa actual del documento</w:t>
            </w:r>
          </w:p>
        </w:tc>
        <w:tc>
          <w:tcPr>
            <w:tcW w:w="6936" w:type="dxa"/>
            <w:tcBorders>
              <w:right w:val="single" w:sz="4" w:space="0" w:color="auto"/>
            </w:tcBorders>
          </w:tcPr>
          <w:p w:rsidR="008F377C" w:rsidRDefault="00884486">
            <w:pPr>
              <w:pStyle w:val="IPPArialTable"/>
            </w:pPr>
            <w:r>
              <w:rPr>
                <w:rStyle w:val="PleaseReviewParagraphId"/>
              </w:rPr>
              <w:t>[9]</w:t>
            </w:r>
            <w:r>
              <w:rPr>
                <w:i/>
              </w:rPr>
              <w:t>Para</w:t>
            </w:r>
            <w:r>
              <w:t xml:space="preserve"> primera consulta</w:t>
            </w:r>
          </w:p>
        </w:tc>
      </w:tr>
      <w:tr w:rsidR="008F377C">
        <w:trPr>
          <w:trHeight w:val="491"/>
        </w:trPr>
        <w:tc>
          <w:tcPr>
            <w:tcW w:w="2273" w:type="dxa"/>
            <w:tcBorders>
              <w:left w:val="single" w:sz="4" w:space="0" w:color="auto"/>
              <w:bottom w:val="single" w:sz="2" w:space="0" w:color="7F7F7F"/>
            </w:tcBorders>
          </w:tcPr>
          <w:p w:rsidR="008F377C" w:rsidRDefault="00884486">
            <w:pPr>
              <w:pStyle w:val="IPPArialTable"/>
              <w:rPr>
                <w:b/>
                <w:bCs/>
              </w:rPr>
            </w:pPr>
            <w:r>
              <w:rPr>
                <w:rStyle w:val="PleaseReviewParagraphId"/>
              </w:rPr>
              <w:t>[10]</w:t>
            </w:r>
            <w:r>
              <w:rPr>
                <w:b/>
              </w:rPr>
              <w:t>Etapas principales</w:t>
            </w:r>
          </w:p>
        </w:tc>
        <w:tc>
          <w:tcPr>
            <w:tcW w:w="6936" w:type="dxa"/>
            <w:tcBorders>
              <w:bottom w:val="single" w:sz="2" w:space="0" w:color="7F7F7F"/>
              <w:right w:val="single" w:sz="4" w:space="0" w:color="auto"/>
            </w:tcBorders>
          </w:tcPr>
          <w:p w:rsidR="008F377C" w:rsidRDefault="00884486">
            <w:pPr>
              <w:pStyle w:val="IPPArialTable"/>
              <w:rPr>
                <w:rFonts w:cs="Arial"/>
                <w:spacing w:val="-2"/>
                <w:szCs w:val="18"/>
              </w:rPr>
            </w:pPr>
            <w:r>
              <w:rPr>
                <w:rStyle w:val="PleaseReviewParagraphId"/>
              </w:rPr>
              <w:t>[11]</w:t>
            </w:r>
            <w:r>
              <w:rPr>
                <w:spacing w:val="-2"/>
              </w:rPr>
              <w:t>2017-10: El tratamiento se</w:t>
            </w:r>
            <w:r>
              <w:rPr>
                <w:spacing w:val="-2"/>
              </w:rPr>
              <w:t xml:space="preserve"> presentó durante la solicitud de tratamientos de 2017-02.</w:t>
            </w:r>
          </w:p>
          <w:p w:rsidR="008F377C" w:rsidRDefault="00884486">
            <w:pPr>
              <w:pStyle w:val="IPPArialTable"/>
              <w:rPr>
                <w:rFonts w:cs="Arial"/>
                <w:szCs w:val="18"/>
              </w:rPr>
            </w:pPr>
            <w:r>
              <w:rPr>
                <w:rStyle w:val="PleaseReviewParagraphId"/>
              </w:rPr>
              <w:t>[12]</w:t>
            </w:r>
            <w:r>
              <w:t>2018-03: El Grupo técnico sobre tratamientos fitosanitarios (GTTF) examinó el tratamiento y solicitó información adicional del proponente.</w:t>
            </w:r>
          </w:p>
          <w:p w:rsidR="008F377C" w:rsidRDefault="00884486">
            <w:pPr>
              <w:pStyle w:val="IPPArialTable"/>
              <w:rPr>
                <w:rFonts w:cs="Arial"/>
                <w:szCs w:val="18"/>
              </w:rPr>
            </w:pPr>
            <w:r>
              <w:rPr>
                <w:rStyle w:val="PleaseReviewParagraphId"/>
              </w:rPr>
              <w:t>[13]</w:t>
            </w:r>
            <w:r>
              <w:t xml:space="preserve">2018-05: El Comité de Normas (CN) añadió el tema </w:t>
            </w:r>
            <w:r>
              <w:rPr>
                <w:i/>
                <w:iCs/>
              </w:rPr>
              <w:t>T</w:t>
            </w:r>
            <w:r>
              <w:rPr>
                <w:i/>
                <w:iCs/>
              </w:rPr>
              <w:t>ratamiento de irradiación para</w:t>
            </w:r>
            <w:r>
              <w:t xml:space="preserve"> Sternochetus frigidus (2017-036) al programa de trabajo del GTTF con prioridad 2.</w:t>
            </w:r>
          </w:p>
          <w:p w:rsidR="008F377C" w:rsidRDefault="00884486">
            <w:pPr>
              <w:pStyle w:val="IPPArialTable"/>
              <w:rPr>
                <w:rFonts w:cs="Arial"/>
                <w:szCs w:val="18"/>
              </w:rPr>
            </w:pPr>
            <w:r>
              <w:rPr>
                <w:rStyle w:val="PleaseReviewParagraphId"/>
              </w:rPr>
              <w:t>[14]</w:t>
            </w:r>
            <w:r>
              <w:t>2018-09: El proponente facilitó la información solicitada.</w:t>
            </w:r>
          </w:p>
          <w:p w:rsidR="008F377C" w:rsidRDefault="00884486">
            <w:pPr>
              <w:pStyle w:val="IPPArialTable"/>
              <w:rPr>
                <w:rFonts w:cs="Arial"/>
                <w:spacing w:val="-2"/>
                <w:szCs w:val="18"/>
              </w:rPr>
            </w:pPr>
            <w:r>
              <w:rPr>
                <w:rStyle w:val="PleaseReviewParagraphId"/>
              </w:rPr>
              <w:t>[15]</w:t>
            </w:r>
            <w:r>
              <w:rPr>
                <w:spacing w:val="-2"/>
              </w:rPr>
              <w:t>2019-07: El GTTF examinó el proyecto y pidió información adicional del propo</w:t>
            </w:r>
            <w:r>
              <w:rPr>
                <w:spacing w:val="-2"/>
              </w:rPr>
              <w:t>nente.</w:t>
            </w:r>
          </w:p>
          <w:p w:rsidR="008F377C" w:rsidRDefault="00884486">
            <w:pPr>
              <w:pStyle w:val="IPPArialTable"/>
              <w:rPr>
                <w:rFonts w:cs="Arial"/>
                <w:szCs w:val="18"/>
              </w:rPr>
            </w:pPr>
            <w:r>
              <w:rPr>
                <w:rStyle w:val="PleaseReviewParagraphId"/>
              </w:rPr>
              <w:t>[16]</w:t>
            </w:r>
            <w:r>
              <w:t>2020-02: El proponente facilitó la información solicitada.</w:t>
            </w:r>
          </w:p>
          <w:p w:rsidR="008F377C" w:rsidRDefault="00884486">
            <w:pPr>
              <w:pStyle w:val="IPPArialTable"/>
              <w:rPr>
                <w:rFonts w:cs="Arial"/>
                <w:szCs w:val="18"/>
              </w:rPr>
            </w:pPr>
            <w:r>
              <w:rPr>
                <w:rStyle w:val="PleaseReviewParagraphId"/>
              </w:rPr>
              <w:t>[17]</w:t>
            </w:r>
            <w:r>
              <w:t>2020-03: El GTTF examinó la información adicional y recomendó el proyecto para consulta.</w:t>
            </w:r>
          </w:p>
          <w:p w:rsidR="008F377C" w:rsidRDefault="00884486">
            <w:pPr>
              <w:pStyle w:val="IPPArialTable"/>
              <w:rPr>
                <w:rFonts w:cs="Arial"/>
                <w:szCs w:val="18"/>
              </w:rPr>
            </w:pPr>
            <w:r>
              <w:rPr>
                <w:rStyle w:val="PleaseReviewParagraphId"/>
              </w:rPr>
              <w:t>[18]</w:t>
            </w:r>
            <w:r>
              <w:t>2020-06: El CN aprobó, mediante decisión por vía electrónica, el proyecto para consulta (</w:t>
            </w:r>
            <w:r>
              <w:t>2020_eSC_May_21).</w:t>
            </w:r>
          </w:p>
        </w:tc>
      </w:tr>
      <w:tr w:rsidR="008F377C">
        <w:trPr>
          <w:trHeight w:val="491"/>
        </w:trPr>
        <w:tc>
          <w:tcPr>
            <w:tcW w:w="2273" w:type="dxa"/>
            <w:tcBorders>
              <w:left w:val="single" w:sz="4" w:space="0" w:color="auto"/>
              <w:bottom w:val="single" w:sz="4" w:space="0" w:color="auto"/>
            </w:tcBorders>
          </w:tcPr>
          <w:p w:rsidR="008F377C" w:rsidRDefault="00884486">
            <w:pPr>
              <w:pStyle w:val="IPPArialTable"/>
              <w:rPr>
                <w:b/>
                <w:bCs/>
              </w:rPr>
            </w:pPr>
            <w:r>
              <w:rPr>
                <w:rStyle w:val="PleaseReviewParagraphId"/>
              </w:rPr>
              <w:t>[19]</w:t>
            </w:r>
            <w:r>
              <w:rPr>
                <w:b/>
              </w:rPr>
              <w:t>Cronología de los administradores</w:t>
            </w:r>
          </w:p>
        </w:tc>
        <w:tc>
          <w:tcPr>
            <w:tcW w:w="6936" w:type="dxa"/>
            <w:tcBorders>
              <w:bottom w:val="single" w:sz="4" w:space="0" w:color="auto"/>
              <w:right w:val="single" w:sz="4" w:space="0" w:color="auto"/>
            </w:tcBorders>
          </w:tcPr>
          <w:p w:rsidR="008F377C" w:rsidRDefault="00884486">
            <w:pPr>
              <w:pStyle w:val="IPPArialTable"/>
              <w:rPr>
                <w:lang w:val="en-US"/>
              </w:rPr>
            </w:pPr>
            <w:r>
              <w:rPr>
                <w:rStyle w:val="PleaseReviewParagraphId"/>
              </w:rPr>
              <w:t>[20]</w:t>
            </w:r>
            <w:r>
              <w:rPr>
                <w:lang w:val="en-US"/>
              </w:rPr>
              <w:t>2019-07: Sr. Walther ENKERLIN (AT)</w:t>
            </w:r>
          </w:p>
          <w:p w:rsidR="008F377C" w:rsidRDefault="00884486">
            <w:pPr>
              <w:pStyle w:val="IPPArialTable"/>
              <w:rPr>
                <w:lang w:val="en-US"/>
              </w:rPr>
            </w:pPr>
            <w:r>
              <w:rPr>
                <w:rStyle w:val="PleaseReviewParagraphId"/>
              </w:rPr>
              <w:t>[21]</w:t>
            </w:r>
            <w:r>
              <w:rPr>
                <w:lang w:val="en-US"/>
              </w:rPr>
              <w:t>2008-03 CN: Sr. Andrew PARKER (AT)</w:t>
            </w:r>
          </w:p>
        </w:tc>
      </w:tr>
      <w:tr w:rsidR="008F377C">
        <w:trPr>
          <w:trHeight w:val="491"/>
        </w:trPr>
        <w:tc>
          <w:tcPr>
            <w:tcW w:w="2273" w:type="dxa"/>
            <w:tcBorders>
              <w:top w:val="single" w:sz="4" w:space="0" w:color="auto"/>
            </w:tcBorders>
          </w:tcPr>
          <w:p w:rsidR="008F377C" w:rsidRDefault="00884486">
            <w:pPr>
              <w:pStyle w:val="IPPArialTable"/>
              <w:rPr>
                <w:b/>
                <w:bCs/>
              </w:rPr>
            </w:pPr>
            <w:r>
              <w:rPr>
                <w:rStyle w:val="PleaseReviewParagraphId"/>
              </w:rPr>
              <w:t>[22]</w:t>
            </w:r>
            <w:r>
              <w:rPr>
                <w:b/>
              </w:rPr>
              <w:t>Notas</w:t>
            </w:r>
          </w:p>
        </w:tc>
        <w:tc>
          <w:tcPr>
            <w:tcW w:w="6936" w:type="dxa"/>
            <w:tcBorders>
              <w:top w:val="single" w:sz="4" w:space="0" w:color="auto"/>
            </w:tcBorders>
          </w:tcPr>
          <w:p w:rsidR="008F377C" w:rsidRDefault="00884486">
            <w:pPr>
              <w:pStyle w:val="IPPArialTable"/>
            </w:pPr>
            <w:r>
              <w:rPr>
                <w:rStyle w:val="PleaseReviewParagraphId"/>
              </w:rPr>
              <w:t>[23]</w:t>
            </w:r>
            <w:r>
              <w:t>2020-02: Editado.</w:t>
            </w:r>
          </w:p>
          <w:p w:rsidR="008F377C" w:rsidRDefault="00884486">
            <w:pPr>
              <w:pStyle w:val="IPPArialTable"/>
            </w:pPr>
            <w:r>
              <w:rPr>
                <w:rStyle w:val="PleaseReviewParagraphId"/>
              </w:rPr>
              <w:t>[24]</w:t>
            </w:r>
            <w:r>
              <w:t>2020-05: Editado.</w:t>
            </w:r>
          </w:p>
        </w:tc>
      </w:tr>
    </w:tbl>
    <w:p w:rsidR="008F377C" w:rsidRDefault="00884486">
      <w:pPr>
        <w:pStyle w:val="IPPHeading1"/>
        <w:spacing w:before="0"/>
      </w:pPr>
      <w:r>
        <w:rPr>
          <w:rStyle w:val="PleaseReviewParagraphId"/>
          <w:b w:val="0"/>
        </w:rPr>
        <w:t>[25]</w:t>
      </w:r>
    </w:p>
    <w:p w:rsidR="008F377C" w:rsidRDefault="00884486">
      <w:pPr>
        <w:pStyle w:val="IPPHeading1"/>
        <w:spacing w:before="0"/>
      </w:pPr>
      <w:r>
        <w:rPr>
          <w:rStyle w:val="PleaseReviewParagraphId"/>
          <w:b w:val="0"/>
        </w:rPr>
        <w:t>[26]</w:t>
      </w:r>
      <w:r>
        <w:t>Ámbito del tratamiento</w:t>
      </w:r>
    </w:p>
    <w:p w:rsidR="008F377C" w:rsidRDefault="00884486">
      <w:pPr>
        <w:pStyle w:val="IPPParagraphnumbering"/>
        <w:numPr>
          <w:ilvl w:val="0"/>
          <w:numId w:val="0"/>
        </w:numPr>
      </w:pPr>
      <w:r>
        <w:rPr>
          <w:rStyle w:val="PleaseReviewParagraphId"/>
        </w:rPr>
        <w:t>[27]</w:t>
      </w:r>
      <w:r>
        <w:t xml:space="preserve">Este tratamiento describe la irradiación de los frutos de </w:t>
      </w:r>
      <w:r>
        <w:rPr>
          <w:i/>
        </w:rPr>
        <w:t>Mangifera indica</w:t>
      </w:r>
      <w:r>
        <w:t xml:space="preserve"> con una dosis absorbida mínima de 165 Gy para prevenir la oviposición de </w:t>
      </w:r>
      <w:r>
        <w:rPr>
          <w:i/>
        </w:rPr>
        <w:t>Sternochetus frigidus</w:t>
      </w:r>
      <w:r>
        <w:t xml:space="preserve"> con la eficacia establecida</w:t>
      </w:r>
      <w:r>
        <w:rPr>
          <w:rStyle w:val="FootnoteReference"/>
          <w:lang w:val="en-GB"/>
        </w:rPr>
        <w:footnoteReference w:id="1"/>
      </w:r>
      <w:r>
        <w:t>.</w:t>
      </w:r>
    </w:p>
    <w:p w:rsidR="008F377C" w:rsidRDefault="00884486">
      <w:pPr>
        <w:pStyle w:val="IPPHeading1"/>
      </w:pPr>
      <w:r>
        <w:rPr>
          <w:rStyle w:val="PleaseReviewParagraphId"/>
          <w:b w:val="0"/>
        </w:rPr>
        <w:t>[29]</w:t>
      </w:r>
      <w:r>
        <w:t>Descripción del tratamiento</w:t>
      </w:r>
    </w:p>
    <w:p w:rsidR="008F377C" w:rsidRDefault="00884486">
      <w:pPr>
        <w:pStyle w:val="IPPParagraphnumbering"/>
        <w:numPr>
          <w:ilvl w:val="0"/>
          <w:numId w:val="0"/>
        </w:numPr>
        <w:tabs>
          <w:tab w:val="left" w:pos="2552"/>
        </w:tabs>
      </w:pPr>
      <w:r>
        <w:rPr>
          <w:rStyle w:val="PleaseReviewParagraphId"/>
        </w:rPr>
        <w:t>[30]</w:t>
      </w:r>
      <w:r>
        <w:rPr>
          <w:b/>
        </w:rPr>
        <w:t>Nombre del tratamien</w:t>
      </w:r>
      <w:r>
        <w:rPr>
          <w:b/>
        </w:rPr>
        <w:t>to</w:t>
      </w:r>
      <w:r>
        <w:tab/>
        <w:t xml:space="preserve">Tratamiento de irradiación contra </w:t>
      </w:r>
      <w:r>
        <w:rPr>
          <w:i/>
        </w:rPr>
        <w:t>Sternochetus frigidus</w:t>
      </w:r>
    </w:p>
    <w:p w:rsidR="008F377C" w:rsidRDefault="00884486">
      <w:pPr>
        <w:pStyle w:val="IPPParagraphnumbering"/>
        <w:numPr>
          <w:ilvl w:val="0"/>
          <w:numId w:val="0"/>
        </w:numPr>
        <w:tabs>
          <w:tab w:val="left" w:pos="2552"/>
        </w:tabs>
        <w:rPr>
          <w:i/>
        </w:rPr>
      </w:pPr>
      <w:r>
        <w:rPr>
          <w:rStyle w:val="PleaseReviewParagraphId"/>
        </w:rPr>
        <w:lastRenderedPageBreak/>
        <w:t>[31]</w:t>
      </w:r>
      <w:r>
        <w:rPr>
          <w:b/>
        </w:rPr>
        <w:t>Ingrediente activo</w:t>
      </w:r>
      <w:r>
        <w:tab/>
        <w:t>No aplicable</w:t>
      </w:r>
    </w:p>
    <w:p w:rsidR="008F377C" w:rsidRDefault="00884486">
      <w:pPr>
        <w:pStyle w:val="IPPParagraphnumbering"/>
        <w:numPr>
          <w:ilvl w:val="0"/>
          <w:numId w:val="0"/>
        </w:numPr>
        <w:tabs>
          <w:tab w:val="left" w:pos="2552"/>
        </w:tabs>
      </w:pPr>
      <w:r>
        <w:rPr>
          <w:rStyle w:val="PleaseReviewParagraphId"/>
        </w:rPr>
        <w:t>[32]</w:t>
      </w:r>
      <w:r>
        <w:rPr>
          <w:b/>
        </w:rPr>
        <w:t>Tipo de tratamiento</w:t>
      </w:r>
      <w:r>
        <w:tab/>
        <w:t>Irradiación</w:t>
      </w:r>
    </w:p>
    <w:p w:rsidR="008F377C" w:rsidRDefault="00884486">
      <w:pPr>
        <w:pStyle w:val="IPPParagraphnumbering"/>
        <w:numPr>
          <w:ilvl w:val="0"/>
          <w:numId w:val="0"/>
        </w:numPr>
        <w:tabs>
          <w:tab w:val="left" w:pos="2552"/>
        </w:tabs>
      </w:pPr>
      <w:r>
        <w:rPr>
          <w:rStyle w:val="PleaseReviewParagraphId"/>
        </w:rPr>
        <w:t>[33]</w:t>
      </w:r>
      <w:r>
        <w:rPr>
          <w:b/>
        </w:rPr>
        <w:t>Plaga objetivo</w:t>
      </w:r>
      <w:r>
        <w:tab/>
      </w:r>
      <w:r>
        <w:rPr>
          <w:i/>
        </w:rPr>
        <w:t>Sternochetus frigidus</w:t>
      </w:r>
      <w:r>
        <w:t xml:space="preserve"> (Fabricius) (Coleoptera: Curculionidae)</w:t>
      </w:r>
    </w:p>
    <w:p w:rsidR="008F377C" w:rsidRDefault="00884486">
      <w:pPr>
        <w:pStyle w:val="IPPParagraphnumbering"/>
        <w:numPr>
          <w:ilvl w:val="0"/>
          <w:numId w:val="0"/>
        </w:numPr>
        <w:tabs>
          <w:tab w:val="left" w:pos="2552"/>
        </w:tabs>
      </w:pPr>
      <w:r>
        <w:rPr>
          <w:rStyle w:val="PleaseReviewParagraphId"/>
        </w:rPr>
        <w:t>[34]</w:t>
      </w:r>
      <w:r>
        <w:rPr>
          <w:b/>
        </w:rPr>
        <w:t>Artículos reglamentados objetivo</w:t>
      </w:r>
      <w:r>
        <w:tab/>
      </w:r>
      <w:r>
        <w:rPr>
          <w:i/>
        </w:rPr>
        <w:t>Mangife</w:t>
      </w:r>
      <w:r>
        <w:rPr>
          <w:i/>
        </w:rPr>
        <w:t>ra indica</w:t>
      </w:r>
    </w:p>
    <w:p w:rsidR="008F377C" w:rsidRDefault="00884486">
      <w:pPr>
        <w:pStyle w:val="IPPHeading1"/>
      </w:pPr>
      <w:r>
        <w:rPr>
          <w:rStyle w:val="PleaseReviewParagraphId"/>
          <w:b w:val="0"/>
        </w:rPr>
        <w:t>[35]</w:t>
      </w:r>
      <w:r>
        <w:t>Protocolo de tratamiento</w:t>
      </w:r>
    </w:p>
    <w:p w:rsidR="008F377C" w:rsidRDefault="00884486">
      <w:pPr>
        <w:pStyle w:val="IPPParagraphnumbering"/>
        <w:numPr>
          <w:ilvl w:val="0"/>
          <w:numId w:val="0"/>
        </w:numPr>
        <w:rPr>
          <w:rFonts w:eastAsia="Times New Roman"/>
        </w:rPr>
      </w:pPr>
      <w:r>
        <w:rPr>
          <w:rStyle w:val="PleaseReviewParagraphId"/>
        </w:rPr>
        <w:t>[36]</w:t>
      </w:r>
      <w:r>
        <w:t xml:space="preserve">Dosis absorbida mínima de 165 Gy para prevenir la oviposición en </w:t>
      </w:r>
      <w:r>
        <w:rPr>
          <w:i/>
          <w:iCs/>
        </w:rPr>
        <w:t>Sternochetus frigidus</w:t>
      </w:r>
      <w:r>
        <w:t>.</w:t>
      </w:r>
    </w:p>
    <w:p w:rsidR="008F377C" w:rsidRDefault="00884486">
      <w:pPr>
        <w:pStyle w:val="IPPParagraphnumbering"/>
        <w:numPr>
          <w:ilvl w:val="0"/>
          <w:numId w:val="0"/>
        </w:numPr>
        <w:rPr>
          <w:szCs w:val="22"/>
        </w:rPr>
      </w:pPr>
      <w:r>
        <w:rPr>
          <w:rStyle w:val="PleaseReviewParagraphId"/>
        </w:rPr>
        <w:t>[37]</w:t>
      </w:r>
      <w:r>
        <w:t>Se tiene un nivel de confianza del 95 % en que el tratamiento conforme a este protocolo prevenga la oviposición de no men</w:t>
      </w:r>
      <w:r>
        <w:t xml:space="preserve">os del 99,88684 % de las hembras adultas de </w:t>
      </w:r>
      <w:r>
        <w:rPr>
          <w:i/>
        </w:rPr>
        <w:t>Sternochetus frigidus</w:t>
      </w:r>
      <w:r>
        <w:t>.</w:t>
      </w:r>
    </w:p>
    <w:p w:rsidR="008F377C" w:rsidRDefault="00884486">
      <w:pPr>
        <w:pStyle w:val="IPPParagraphnumbering"/>
        <w:numPr>
          <w:ilvl w:val="0"/>
          <w:numId w:val="0"/>
        </w:numPr>
        <w:rPr>
          <w:rFonts w:eastAsia="Times New Roman"/>
        </w:rPr>
      </w:pPr>
      <w:r>
        <w:rPr>
          <w:rStyle w:val="PleaseReviewParagraphId"/>
        </w:rPr>
        <w:t>[38]</w:t>
      </w:r>
      <w:r>
        <w:t>Este tratamiento debería aplicarse de conformidad con los requisitos establecidos en la NIMF 18 (</w:t>
      </w:r>
      <w:r>
        <w:rPr>
          <w:i/>
        </w:rPr>
        <w:t>Directrices para utilizar la irradiación como medida fitosanitaria</w:t>
      </w:r>
      <w:r>
        <w:t>).</w:t>
      </w:r>
    </w:p>
    <w:p w:rsidR="008F377C" w:rsidRDefault="00884486">
      <w:pPr>
        <w:pStyle w:val="IPPParagraphnumbering"/>
        <w:numPr>
          <w:ilvl w:val="0"/>
          <w:numId w:val="0"/>
        </w:numPr>
        <w:rPr>
          <w:rFonts w:eastAsia="Times New Roman"/>
        </w:rPr>
      </w:pPr>
      <w:r>
        <w:rPr>
          <w:rStyle w:val="PleaseReviewParagraphId"/>
        </w:rPr>
        <w:t>[39]</w:t>
      </w:r>
      <w:r>
        <w:t>Este tratamient</w:t>
      </w:r>
      <w:r>
        <w:t xml:space="preserve">o no se debería aplicar a las frutas de </w:t>
      </w:r>
      <w:r>
        <w:rPr>
          <w:i/>
        </w:rPr>
        <w:t>Mangifera indica</w:t>
      </w:r>
      <w:r>
        <w:t xml:space="preserve"> almacenadas en una atmósfera modificada porque esta podrá afectar a la eficacia del tratamiento.</w:t>
      </w:r>
    </w:p>
    <w:p w:rsidR="008F377C" w:rsidRDefault="00884486">
      <w:pPr>
        <w:pStyle w:val="IPPHeading1"/>
      </w:pPr>
      <w:r>
        <w:rPr>
          <w:rStyle w:val="PleaseReviewParagraphId"/>
          <w:b w:val="0"/>
        </w:rPr>
        <w:t>[40]</w:t>
      </w:r>
      <w:r>
        <w:t>Otra información pertinente</w:t>
      </w:r>
    </w:p>
    <w:p w:rsidR="008F377C" w:rsidRDefault="00884486">
      <w:pPr>
        <w:pStyle w:val="IPPParagraphnumbering"/>
        <w:numPr>
          <w:ilvl w:val="0"/>
          <w:numId w:val="0"/>
        </w:numPr>
      </w:pPr>
      <w:r>
        <w:rPr>
          <w:rStyle w:val="PleaseReviewParagraphId"/>
        </w:rPr>
        <w:t>[41]</w:t>
      </w:r>
      <w:r>
        <w:t xml:space="preserve">Puesto que la irradiación podrá no ocasionar inmediatamente la muerte, los inspectores podrán encontrar especímenes de </w:t>
      </w:r>
      <w:r>
        <w:rPr>
          <w:i/>
          <w:iCs/>
        </w:rPr>
        <w:t>Sternochetus frigidus</w:t>
      </w:r>
      <w:r>
        <w:t xml:space="preserve"> vivos (larvas, pupas o adultos), aunque no viables, durante el proceso de inspección. Esto no implica que el tratam</w:t>
      </w:r>
      <w:r>
        <w:t>iento sea ineficaz.</w:t>
      </w:r>
    </w:p>
    <w:p w:rsidR="008F377C" w:rsidRDefault="00884486">
      <w:pPr>
        <w:pStyle w:val="IPPParagraphnumbering"/>
        <w:numPr>
          <w:ilvl w:val="0"/>
          <w:numId w:val="0"/>
        </w:numPr>
      </w:pPr>
      <w:r>
        <w:rPr>
          <w:rStyle w:val="PleaseReviewParagraphId"/>
        </w:rPr>
        <w:t>[42]</w:t>
      </w:r>
      <w:r>
        <w:t xml:space="preserve">El GTTF basó su evaluación de este tratamiento en la investigación publicada por Obra </w:t>
      </w:r>
      <w:r>
        <w:rPr>
          <w:i/>
        </w:rPr>
        <w:t>et al.</w:t>
      </w:r>
      <w:r>
        <w:t xml:space="preserve"> (2014), en la que se determinó la eficacia de la irradiación como tratamiento contra esta plaga en los frutos de </w:t>
      </w:r>
      <w:r>
        <w:rPr>
          <w:i/>
        </w:rPr>
        <w:t>Mangifera indica</w:t>
      </w:r>
      <w:r>
        <w:t>.</w:t>
      </w:r>
    </w:p>
    <w:p w:rsidR="008F377C" w:rsidRDefault="00884486">
      <w:pPr>
        <w:pStyle w:val="IPPParagraphnumbering"/>
        <w:numPr>
          <w:ilvl w:val="0"/>
          <w:numId w:val="0"/>
        </w:numPr>
      </w:pPr>
      <w:r>
        <w:rPr>
          <w:rStyle w:val="PleaseReviewParagraphId"/>
        </w:rPr>
        <w:t>[43]</w:t>
      </w:r>
      <w:r>
        <w:t>La e</w:t>
      </w:r>
      <w:r>
        <w:t>ficacia del presente protocolo se calculó basándose en un total de 2 274 hembras adultas tratadas que no produjeron huevos; la producción de huevos en el grupo de control fue de 397 por hembra.</w:t>
      </w:r>
    </w:p>
    <w:p w:rsidR="008F377C" w:rsidRDefault="00884486">
      <w:pPr>
        <w:pStyle w:val="IPPHeading1"/>
      </w:pPr>
      <w:r>
        <w:rPr>
          <w:rStyle w:val="PleaseReviewParagraphId"/>
          <w:b w:val="0"/>
        </w:rPr>
        <w:t>[44]</w:t>
      </w:r>
      <w:r>
        <w:t>Bibliografía</w:t>
      </w:r>
    </w:p>
    <w:p w:rsidR="008F377C" w:rsidRDefault="00884486">
      <w:pPr>
        <w:pStyle w:val="IPPParagraphnumbering"/>
        <w:numPr>
          <w:ilvl w:val="0"/>
          <w:numId w:val="0"/>
        </w:numPr>
      </w:pPr>
      <w:r>
        <w:rPr>
          <w:rStyle w:val="PleaseReviewParagraphId"/>
        </w:rPr>
        <w:t>[45]</w:t>
      </w:r>
      <w:r>
        <w:t>En el presente anexo podrá hacerse refere</w:t>
      </w:r>
      <w:r>
        <w:t xml:space="preserve">ncia a las NIMF. Las NIMF están disponibles en el Portal fitosanitario internacional: </w:t>
      </w:r>
      <w:hyperlink r:id="rId11" w:history="1">
        <w:r>
          <w:rPr>
            <w:rStyle w:val="Hyperlink"/>
          </w:rPr>
          <w:t>https://www.ippc.int/es/core-activities/standards-setting/ispms</w:t>
        </w:r>
      </w:hyperlink>
      <w:r>
        <w:t>.</w:t>
      </w:r>
    </w:p>
    <w:bookmarkEnd w:id="1"/>
    <w:p w:rsidR="008F377C" w:rsidRDefault="00884486">
      <w:pPr>
        <w:pStyle w:val="IPPReferences"/>
      </w:pPr>
      <w:r>
        <w:rPr>
          <w:rStyle w:val="PleaseReviewParagraphId"/>
        </w:rPr>
        <w:t>[46]</w:t>
      </w:r>
      <w:r>
        <w:rPr>
          <w:b/>
        </w:rPr>
        <w:t>Obra, G. B., Resilva,</w:t>
      </w:r>
      <w:r>
        <w:rPr>
          <w:b/>
        </w:rPr>
        <w:t xml:space="preserve"> S. S., Follett, P. A. y Lorenzana, L. R. J.</w:t>
      </w:r>
      <w:r>
        <w:t xml:space="preserve"> 2014. </w:t>
      </w:r>
      <w:r>
        <w:rPr>
          <w:lang w:val="en-US"/>
        </w:rPr>
        <w:t xml:space="preserve">Large-scale confirmatory tests of a phytosanitary irradiation treatment against </w:t>
      </w:r>
      <w:r>
        <w:rPr>
          <w:i/>
          <w:lang w:val="en-US"/>
        </w:rPr>
        <w:t>Sternochetus frigidus</w:t>
      </w:r>
      <w:r>
        <w:rPr>
          <w:lang w:val="en-US"/>
        </w:rPr>
        <w:t xml:space="preserve"> (Coleoptera: Curculionidae) in Philippine mango. </w:t>
      </w:r>
      <w:r>
        <w:rPr>
          <w:i/>
        </w:rPr>
        <w:t>Journal of Economic Entomology</w:t>
      </w:r>
      <w:r>
        <w:t>, 107(1): 161-165.</w:t>
      </w:r>
    </w:p>
    <w:p w:rsidR="008F377C" w:rsidRDefault="00884486">
      <w:pPr>
        <w:pStyle w:val="IPPReferences"/>
      </w:pPr>
      <w:r>
        <w:rPr>
          <w:rStyle w:val="PleaseReviewParagraphId"/>
        </w:rPr>
        <w:t>[47]</w:t>
      </w:r>
    </w:p>
    <w:sectPr w:rsidR="008F377C">
      <w:headerReference w:type="default" r:id="rId12"/>
      <w:footerReference w:type="default" r:id="rId13"/>
      <w:pgSz w:w="11906" w:h="16838" w:code="9"/>
      <w:pgMar w:top="1559" w:right="1418" w:bottom="1418"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86" w:rsidRDefault="00884486">
      <w:r>
        <w:rPr>
          <w:rStyle w:val="PleaseReviewParagraphId"/>
        </w:rPr>
        <w:t>[]</w:t>
      </w:r>
      <w:r>
        <w:separator/>
      </w:r>
    </w:p>
  </w:endnote>
  <w:endnote w:type="continuationSeparator" w:id="0">
    <w:p w:rsidR="00884486" w:rsidRDefault="00884486">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7C" w:rsidRDefault="00884486">
    <w:pPr>
      <w:pStyle w:val="IPPFooter"/>
    </w:pPr>
    <w:r>
      <w:rPr>
        <w:rStyle w:val="PleaseReviewParagraphId"/>
        <w:b w:val="0"/>
      </w:rPr>
      <w:t>[49]</w:t>
    </w:r>
    <w:r>
      <w:t>Convención Internacional de Protección Fitosanitaria</w:t>
    </w:r>
    <w:r>
      <w:tab/>
    </w:r>
    <w:r>
      <w:rPr>
        <w:rStyle w:val="PageNumber"/>
      </w:rPr>
      <w:t xml:space="preserve">Página </w:t>
    </w:r>
    <w:r>
      <w:rPr>
        <w:rStyle w:val="PageNumber"/>
        <w:b/>
      </w:rPr>
      <w:fldChar w:fldCharType="begin"/>
    </w:r>
    <w:r>
      <w:rPr>
        <w:rStyle w:val="PageNumber"/>
      </w:rPr>
      <w:instrText xml:space="preserve"> PAGE </w:instrText>
    </w:r>
    <w:r>
      <w:rPr>
        <w:rStyle w:val="PageNumber"/>
        <w:b/>
      </w:rPr>
      <w:fldChar w:fldCharType="separate"/>
    </w:r>
    <w:r>
      <w:rPr>
        <w:rStyle w:val="PageNumber"/>
      </w:rPr>
      <w:t>3</w:t>
    </w:r>
    <w:r>
      <w:rPr>
        <w:rStyle w:val="PageNumber"/>
        <w:b/>
      </w:rPr>
      <w:fldChar w:fldCharType="end"/>
    </w:r>
    <w:r>
      <w:rPr>
        <w:rStyle w:val="PageNumber"/>
      </w:rPr>
      <w:t xml:space="preserve">de </w:t>
    </w:r>
    <w:r>
      <w:rPr>
        <w:rStyle w:val="PageNumber"/>
        <w:b/>
      </w:rPr>
      <w:fldChar w:fldCharType="begin"/>
    </w:r>
    <w:r>
      <w:rPr>
        <w:rStyle w:val="PageNumber"/>
      </w:rPr>
      <w:instrText xml:space="preserve"> NUMPAGES </w:instrText>
    </w:r>
    <w:r>
      <w:rPr>
        <w:rStyle w:val="PageNumber"/>
        <w:b/>
      </w:rPr>
      <w:fldChar w:fldCharType="separate"/>
    </w:r>
    <w:r>
      <w:rPr>
        <w:rStyle w:val="PageNumber"/>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86" w:rsidRDefault="00884486">
      <w:r>
        <w:rPr>
          <w:rStyle w:val="PleaseReviewParagraphId"/>
        </w:rPr>
        <w:t>[]</w:t>
      </w:r>
      <w:r>
        <w:separator/>
      </w:r>
    </w:p>
  </w:footnote>
  <w:footnote w:type="continuationSeparator" w:id="0">
    <w:p w:rsidR="00884486" w:rsidRDefault="00884486">
      <w:r>
        <w:rPr>
          <w:rStyle w:val="PleaseReviewParagraphId"/>
        </w:rPr>
        <w:t>[]</w:t>
      </w:r>
      <w:r>
        <w:continuationSeparator/>
      </w:r>
    </w:p>
  </w:footnote>
  <w:footnote w:id="1">
    <w:p w:rsidR="008F377C" w:rsidRDefault="00884486">
      <w:pPr>
        <w:pStyle w:val="IPPFootnote"/>
      </w:pPr>
      <w:r>
        <w:rPr>
          <w:rStyle w:val="PleaseReviewParagraphId"/>
        </w:rPr>
        <w:t>[28]</w:t>
      </w:r>
      <w:r>
        <w:rPr>
          <w:rStyle w:val="FootnoteReference"/>
        </w:rPr>
        <w:footnoteRef/>
      </w:r>
      <w:r>
        <w:t xml:space="preserve"> El ámbito de los tratamientos fitosanitarios no abarca aspectos relacionados con el</w:t>
      </w:r>
      <w:r>
        <w:t xml:space="preserve"> registro de plaguicidas u otros requisitos nacionales para la aprobación de tratamientos por las partes contratantes. Los tratamientos adoptados por la Comisión de Medidas Fitosanitarias podrán no proporcionar información sobre efectos específicos en la s</w:t>
      </w:r>
      <w:r>
        <w:t>alud humana o la inocuidad alimentaria, los cuales deberían abordarse mediante procedimientos nacionales antes de que las partes contratantes aprueben un tratamiento. Por otra parte, para ciertos productos hospedantes se consideran, antes de la adopción in</w:t>
      </w:r>
      <w:r>
        <w:t>ternacional del tratamiento, sus posibles repercusiones en la calidad. Sin embargo, la evaluación de los efectos de un tratamiento sobre la calidad de los productos podrá requerir un examen adicional. Las partes contratantes no tienen obligación de aprobar</w:t>
      </w:r>
      <w:r>
        <w:t>, registrar o adoptar los tratamientos con vistas a su utilización en su territorio.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7C" w:rsidRDefault="00884486">
    <w:pPr>
      <w:pStyle w:val="IPPHeader"/>
    </w:pPr>
    <w:r>
      <w:rPr>
        <w:rStyle w:val="PleaseReviewParagraphId"/>
      </w:rPr>
      <w:t>[48]</w:t>
    </w:r>
    <w:r>
      <w:t xml:space="preserve">Plantilla anotada para redactar tratamientos fitosanitarios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68D0"/>
    <w:rsid w:val="000109F6"/>
    <w:rsid w:val="000141E4"/>
    <w:rsid w:val="0001509B"/>
    <w:rsid w:val="00032883"/>
    <w:rsid w:val="00033656"/>
    <w:rsid w:val="00034129"/>
    <w:rsid w:val="00034590"/>
    <w:rsid w:val="00037ECF"/>
    <w:rsid w:val="0004599D"/>
    <w:rsid w:val="000509EE"/>
    <w:rsid w:val="0007713B"/>
    <w:rsid w:val="00087A75"/>
    <w:rsid w:val="000915EC"/>
    <w:rsid w:val="000922FC"/>
    <w:rsid w:val="000937F9"/>
    <w:rsid w:val="00096EE3"/>
    <w:rsid w:val="000A2570"/>
    <w:rsid w:val="000A3CBB"/>
    <w:rsid w:val="000A4747"/>
    <w:rsid w:val="000B0CD7"/>
    <w:rsid w:val="000C59AE"/>
    <w:rsid w:val="000D0C67"/>
    <w:rsid w:val="000D7354"/>
    <w:rsid w:val="000E0D08"/>
    <w:rsid w:val="000E5C3E"/>
    <w:rsid w:val="000F11BA"/>
    <w:rsid w:val="000F323B"/>
    <w:rsid w:val="000F32DF"/>
    <w:rsid w:val="000F331E"/>
    <w:rsid w:val="00100128"/>
    <w:rsid w:val="00100EC0"/>
    <w:rsid w:val="0010591A"/>
    <w:rsid w:val="00107DFB"/>
    <w:rsid w:val="0011347D"/>
    <w:rsid w:val="001149C3"/>
    <w:rsid w:val="00114BFA"/>
    <w:rsid w:val="00131D1A"/>
    <w:rsid w:val="00140B4F"/>
    <w:rsid w:val="00146AA3"/>
    <w:rsid w:val="00156F91"/>
    <w:rsid w:val="001675EF"/>
    <w:rsid w:val="00175B5F"/>
    <w:rsid w:val="00182CF6"/>
    <w:rsid w:val="001A1707"/>
    <w:rsid w:val="001A40AB"/>
    <w:rsid w:val="001A5734"/>
    <w:rsid w:val="001D1FF3"/>
    <w:rsid w:val="001D35E5"/>
    <w:rsid w:val="001F407F"/>
    <w:rsid w:val="00206B1C"/>
    <w:rsid w:val="00207822"/>
    <w:rsid w:val="00210FDA"/>
    <w:rsid w:val="00213F98"/>
    <w:rsid w:val="002145AD"/>
    <w:rsid w:val="002159CC"/>
    <w:rsid w:val="00216C20"/>
    <w:rsid w:val="00222207"/>
    <w:rsid w:val="00231787"/>
    <w:rsid w:val="00240383"/>
    <w:rsid w:val="00244C47"/>
    <w:rsid w:val="0024519D"/>
    <w:rsid w:val="00261F61"/>
    <w:rsid w:val="00265BE4"/>
    <w:rsid w:val="00267EA1"/>
    <w:rsid w:val="00270C1B"/>
    <w:rsid w:val="00284515"/>
    <w:rsid w:val="00291A1B"/>
    <w:rsid w:val="0029459B"/>
    <w:rsid w:val="002A3B60"/>
    <w:rsid w:val="002B5A03"/>
    <w:rsid w:val="002B6546"/>
    <w:rsid w:val="002D0AB9"/>
    <w:rsid w:val="002E210F"/>
    <w:rsid w:val="002E4091"/>
    <w:rsid w:val="002E6288"/>
    <w:rsid w:val="002F1CFC"/>
    <w:rsid w:val="002F34FC"/>
    <w:rsid w:val="00300561"/>
    <w:rsid w:val="00300575"/>
    <w:rsid w:val="00300FDB"/>
    <w:rsid w:val="003011BE"/>
    <w:rsid w:val="00301B5C"/>
    <w:rsid w:val="003037A9"/>
    <w:rsid w:val="00307651"/>
    <w:rsid w:val="00313B20"/>
    <w:rsid w:val="00326E64"/>
    <w:rsid w:val="00341EE1"/>
    <w:rsid w:val="00345D98"/>
    <w:rsid w:val="00345ED9"/>
    <w:rsid w:val="0036473A"/>
    <w:rsid w:val="00365A98"/>
    <w:rsid w:val="00367675"/>
    <w:rsid w:val="003730D8"/>
    <w:rsid w:val="0039408C"/>
    <w:rsid w:val="00395AD8"/>
    <w:rsid w:val="003A43FB"/>
    <w:rsid w:val="003B2EA8"/>
    <w:rsid w:val="003B3306"/>
    <w:rsid w:val="003C4924"/>
    <w:rsid w:val="003C636B"/>
    <w:rsid w:val="003D0A11"/>
    <w:rsid w:val="003D3923"/>
    <w:rsid w:val="003D74C1"/>
    <w:rsid w:val="003E05AB"/>
    <w:rsid w:val="003E3904"/>
    <w:rsid w:val="003F0EF5"/>
    <w:rsid w:val="003F13BB"/>
    <w:rsid w:val="003F654A"/>
    <w:rsid w:val="004001C8"/>
    <w:rsid w:val="00404C7A"/>
    <w:rsid w:val="00424D07"/>
    <w:rsid w:val="00433EEC"/>
    <w:rsid w:val="004345E8"/>
    <w:rsid w:val="00441AF3"/>
    <w:rsid w:val="00446DC9"/>
    <w:rsid w:val="004533B2"/>
    <w:rsid w:val="004636C7"/>
    <w:rsid w:val="004821F5"/>
    <w:rsid w:val="00485A7F"/>
    <w:rsid w:val="0049187F"/>
    <w:rsid w:val="004A4330"/>
    <w:rsid w:val="004A49DC"/>
    <w:rsid w:val="004A53CD"/>
    <w:rsid w:val="004B361F"/>
    <w:rsid w:val="004C1EFB"/>
    <w:rsid w:val="004D4C4E"/>
    <w:rsid w:val="004E1754"/>
    <w:rsid w:val="004E37AF"/>
    <w:rsid w:val="004F2981"/>
    <w:rsid w:val="00514A44"/>
    <w:rsid w:val="00516E3C"/>
    <w:rsid w:val="00520271"/>
    <w:rsid w:val="00540BCB"/>
    <w:rsid w:val="00557127"/>
    <w:rsid w:val="0057454D"/>
    <w:rsid w:val="00574D17"/>
    <w:rsid w:val="0058366F"/>
    <w:rsid w:val="00584A8D"/>
    <w:rsid w:val="00593300"/>
    <w:rsid w:val="00595B63"/>
    <w:rsid w:val="005A0F6D"/>
    <w:rsid w:val="005A211E"/>
    <w:rsid w:val="005B4A65"/>
    <w:rsid w:val="005B67C7"/>
    <w:rsid w:val="005C726E"/>
    <w:rsid w:val="005D0460"/>
    <w:rsid w:val="005E4529"/>
    <w:rsid w:val="005E6BA4"/>
    <w:rsid w:val="005E783F"/>
    <w:rsid w:val="0060094D"/>
    <w:rsid w:val="00601606"/>
    <w:rsid w:val="006111B7"/>
    <w:rsid w:val="00611BFA"/>
    <w:rsid w:val="00611E21"/>
    <w:rsid w:val="006140B3"/>
    <w:rsid w:val="006336FA"/>
    <w:rsid w:val="00646A3D"/>
    <w:rsid w:val="00647B5E"/>
    <w:rsid w:val="00651D28"/>
    <w:rsid w:val="00653381"/>
    <w:rsid w:val="0065401B"/>
    <w:rsid w:val="00674BB8"/>
    <w:rsid w:val="006A6DA8"/>
    <w:rsid w:val="006A7A47"/>
    <w:rsid w:val="006B3510"/>
    <w:rsid w:val="006C2E20"/>
    <w:rsid w:val="006D017A"/>
    <w:rsid w:val="006D3C89"/>
    <w:rsid w:val="006D631D"/>
    <w:rsid w:val="006E25F3"/>
    <w:rsid w:val="006F45C0"/>
    <w:rsid w:val="006F65C2"/>
    <w:rsid w:val="006F79B6"/>
    <w:rsid w:val="0071382D"/>
    <w:rsid w:val="00716275"/>
    <w:rsid w:val="00722380"/>
    <w:rsid w:val="0072264C"/>
    <w:rsid w:val="00730E3D"/>
    <w:rsid w:val="007318F0"/>
    <w:rsid w:val="00734926"/>
    <w:rsid w:val="00740D1B"/>
    <w:rsid w:val="0074569A"/>
    <w:rsid w:val="00760762"/>
    <w:rsid w:val="00780CAF"/>
    <w:rsid w:val="007812FE"/>
    <w:rsid w:val="00781778"/>
    <w:rsid w:val="007827E1"/>
    <w:rsid w:val="00796C14"/>
    <w:rsid w:val="007A1363"/>
    <w:rsid w:val="007A1D3F"/>
    <w:rsid w:val="007B5869"/>
    <w:rsid w:val="007B7328"/>
    <w:rsid w:val="007C2ED8"/>
    <w:rsid w:val="007C395E"/>
    <w:rsid w:val="007C766E"/>
    <w:rsid w:val="007D0295"/>
    <w:rsid w:val="007D300B"/>
    <w:rsid w:val="007E0A7A"/>
    <w:rsid w:val="007E2702"/>
    <w:rsid w:val="007F4820"/>
    <w:rsid w:val="00813291"/>
    <w:rsid w:val="0081721F"/>
    <w:rsid w:val="008346AC"/>
    <w:rsid w:val="0084039D"/>
    <w:rsid w:val="0085097B"/>
    <w:rsid w:val="00874066"/>
    <w:rsid w:val="00876787"/>
    <w:rsid w:val="0088112E"/>
    <w:rsid w:val="00884486"/>
    <w:rsid w:val="008A571B"/>
    <w:rsid w:val="008B03A1"/>
    <w:rsid w:val="008B49C4"/>
    <w:rsid w:val="008C0753"/>
    <w:rsid w:val="008C558A"/>
    <w:rsid w:val="008D07C9"/>
    <w:rsid w:val="008D47C1"/>
    <w:rsid w:val="008D6B45"/>
    <w:rsid w:val="008E2AAF"/>
    <w:rsid w:val="008E4D6A"/>
    <w:rsid w:val="008E63FD"/>
    <w:rsid w:val="008F15C2"/>
    <w:rsid w:val="008F377C"/>
    <w:rsid w:val="00906F8A"/>
    <w:rsid w:val="00914557"/>
    <w:rsid w:val="00915EB2"/>
    <w:rsid w:val="009459AD"/>
    <w:rsid w:val="00947DBE"/>
    <w:rsid w:val="00954C3A"/>
    <w:rsid w:val="009738C6"/>
    <w:rsid w:val="00974611"/>
    <w:rsid w:val="009B09A5"/>
    <w:rsid w:val="009B3F13"/>
    <w:rsid w:val="009B5FF8"/>
    <w:rsid w:val="009D5780"/>
    <w:rsid w:val="009E1413"/>
    <w:rsid w:val="009E18F7"/>
    <w:rsid w:val="009E6726"/>
    <w:rsid w:val="009F58BD"/>
    <w:rsid w:val="009F6016"/>
    <w:rsid w:val="00A00C03"/>
    <w:rsid w:val="00A029C1"/>
    <w:rsid w:val="00A142FA"/>
    <w:rsid w:val="00A20A5E"/>
    <w:rsid w:val="00A31AA9"/>
    <w:rsid w:val="00A3237E"/>
    <w:rsid w:val="00A4578A"/>
    <w:rsid w:val="00A47B1F"/>
    <w:rsid w:val="00A569B3"/>
    <w:rsid w:val="00A56FDA"/>
    <w:rsid w:val="00A81800"/>
    <w:rsid w:val="00A87788"/>
    <w:rsid w:val="00A96475"/>
    <w:rsid w:val="00AA205E"/>
    <w:rsid w:val="00AA7F53"/>
    <w:rsid w:val="00AB0AC3"/>
    <w:rsid w:val="00AE5419"/>
    <w:rsid w:val="00AE7ADF"/>
    <w:rsid w:val="00AF7538"/>
    <w:rsid w:val="00B01145"/>
    <w:rsid w:val="00B0330E"/>
    <w:rsid w:val="00B05071"/>
    <w:rsid w:val="00B13603"/>
    <w:rsid w:val="00B17C9D"/>
    <w:rsid w:val="00B231F5"/>
    <w:rsid w:val="00B33A85"/>
    <w:rsid w:val="00B35624"/>
    <w:rsid w:val="00B36BF2"/>
    <w:rsid w:val="00B42FFA"/>
    <w:rsid w:val="00B446D4"/>
    <w:rsid w:val="00B45CFC"/>
    <w:rsid w:val="00B514AD"/>
    <w:rsid w:val="00B60801"/>
    <w:rsid w:val="00B642E4"/>
    <w:rsid w:val="00B67163"/>
    <w:rsid w:val="00B70C49"/>
    <w:rsid w:val="00B7631C"/>
    <w:rsid w:val="00B7719F"/>
    <w:rsid w:val="00B92640"/>
    <w:rsid w:val="00BA12BD"/>
    <w:rsid w:val="00BA140D"/>
    <w:rsid w:val="00BA53B0"/>
    <w:rsid w:val="00BA7176"/>
    <w:rsid w:val="00BB2518"/>
    <w:rsid w:val="00BC259B"/>
    <w:rsid w:val="00BC3636"/>
    <w:rsid w:val="00BD3052"/>
    <w:rsid w:val="00BF4E67"/>
    <w:rsid w:val="00C03CED"/>
    <w:rsid w:val="00C07263"/>
    <w:rsid w:val="00C168AE"/>
    <w:rsid w:val="00C17E5E"/>
    <w:rsid w:val="00C20099"/>
    <w:rsid w:val="00C21320"/>
    <w:rsid w:val="00C302A6"/>
    <w:rsid w:val="00C36377"/>
    <w:rsid w:val="00C40334"/>
    <w:rsid w:val="00C452A0"/>
    <w:rsid w:val="00C474B2"/>
    <w:rsid w:val="00C51219"/>
    <w:rsid w:val="00C525F0"/>
    <w:rsid w:val="00C55CF6"/>
    <w:rsid w:val="00C5644C"/>
    <w:rsid w:val="00C572D9"/>
    <w:rsid w:val="00C63B38"/>
    <w:rsid w:val="00C66AAD"/>
    <w:rsid w:val="00C7747B"/>
    <w:rsid w:val="00C815B6"/>
    <w:rsid w:val="00C83932"/>
    <w:rsid w:val="00CA1505"/>
    <w:rsid w:val="00CB0712"/>
    <w:rsid w:val="00CC1EDA"/>
    <w:rsid w:val="00CC2535"/>
    <w:rsid w:val="00CD24DC"/>
    <w:rsid w:val="00CD7512"/>
    <w:rsid w:val="00CE182A"/>
    <w:rsid w:val="00CE2D00"/>
    <w:rsid w:val="00CF2AF8"/>
    <w:rsid w:val="00CF30F2"/>
    <w:rsid w:val="00CF724C"/>
    <w:rsid w:val="00D01FA2"/>
    <w:rsid w:val="00D06F0C"/>
    <w:rsid w:val="00D16193"/>
    <w:rsid w:val="00D17533"/>
    <w:rsid w:val="00D27EC6"/>
    <w:rsid w:val="00D61FB8"/>
    <w:rsid w:val="00D751E8"/>
    <w:rsid w:val="00D83139"/>
    <w:rsid w:val="00D91F7E"/>
    <w:rsid w:val="00D95CC2"/>
    <w:rsid w:val="00DA568F"/>
    <w:rsid w:val="00DC4DE5"/>
    <w:rsid w:val="00DD2157"/>
    <w:rsid w:val="00DD2EA9"/>
    <w:rsid w:val="00DE5B23"/>
    <w:rsid w:val="00DF0343"/>
    <w:rsid w:val="00DF5E68"/>
    <w:rsid w:val="00E0695F"/>
    <w:rsid w:val="00E10005"/>
    <w:rsid w:val="00E146F4"/>
    <w:rsid w:val="00E15011"/>
    <w:rsid w:val="00E1723A"/>
    <w:rsid w:val="00E3092F"/>
    <w:rsid w:val="00E35E27"/>
    <w:rsid w:val="00E42166"/>
    <w:rsid w:val="00E45131"/>
    <w:rsid w:val="00E456D1"/>
    <w:rsid w:val="00E65986"/>
    <w:rsid w:val="00E76177"/>
    <w:rsid w:val="00E81634"/>
    <w:rsid w:val="00ED0ECF"/>
    <w:rsid w:val="00EF1D18"/>
    <w:rsid w:val="00F019D9"/>
    <w:rsid w:val="00F02851"/>
    <w:rsid w:val="00F349FC"/>
    <w:rsid w:val="00F35254"/>
    <w:rsid w:val="00F35759"/>
    <w:rsid w:val="00F373DA"/>
    <w:rsid w:val="00F421BB"/>
    <w:rsid w:val="00F6316A"/>
    <w:rsid w:val="00F65B6F"/>
    <w:rsid w:val="00F83DE4"/>
    <w:rsid w:val="00F84DFE"/>
    <w:rsid w:val="00F91C35"/>
    <w:rsid w:val="00FA44A4"/>
    <w:rsid w:val="00FA665C"/>
    <w:rsid w:val="00FB1BF0"/>
    <w:rsid w:val="00FB27A8"/>
    <w:rsid w:val="00FB2E7E"/>
    <w:rsid w:val="00FB7858"/>
    <w:rsid w:val="00FC4246"/>
    <w:rsid w:val="00FD623E"/>
    <w:rsid w:val="00FE171E"/>
    <w:rsid w:val="00FE585A"/>
    <w:rsid w:val="00FE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45CA5B-E943-4F86-A602-FF72A92A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eastAsia="MS Mincho"/>
      <w:sz w:val="22"/>
      <w:szCs w:val="24"/>
      <w:lang w:val="es-E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eastAsia="MS Mincho"/>
      <w:sz w:val="22"/>
      <w:szCs w:val="24"/>
      <w:lang w:val="es-ES"/>
    </w:rPr>
  </w:style>
  <w:style w:type="character" w:customStyle="1" w:styleId="Heading1Char">
    <w:name w:val="Heading 1 Char"/>
    <w:aliases w:val="IPPC Headsection Char"/>
    <w:link w:val="Heading1"/>
    <w:rPr>
      <w:rFonts w:eastAsia="MS Mincho"/>
      <w:b/>
      <w:bCs/>
      <w:sz w:val="22"/>
      <w:szCs w:val="24"/>
      <w:lang w:val="es-E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es-ES"/>
    </w:rPr>
  </w:style>
  <w:style w:type="character" w:customStyle="1" w:styleId="IPPNormalbold">
    <w:name w:val="IPP Normal bold"/>
    <w:rPr>
      <w:rFonts w:ascii="Times New Roman" w:eastAsia="Times" w:hAnsi="Times New Roman"/>
      <w:b/>
      <w:sz w:val="22"/>
      <w:szCs w:val="21"/>
      <w:lang w:val="es-ES"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rPr>
      <w:rFonts w:ascii="Times New Roman" w:hAnsi="Times New Roman"/>
      <w:sz w:val="22"/>
      <w:u w:val="single"/>
      <w:lang w:val="es-ES"/>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link w:val="Heading2"/>
    <w:rPr>
      <w:rFonts w:ascii="Calibri" w:eastAsia="MS Mincho" w:hAnsi="Calibri"/>
      <w:b/>
      <w:bCs/>
      <w:i/>
      <w:iCs/>
      <w:sz w:val="28"/>
      <w:szCs w:val="28"/>
      <w:lang w:val="es-ES"/>
    </w:rPr>
  </w:style>
  <w:style w:type="character" w:customStyle="1" w:styleId="Heading3Char">
    <w:name w:val="Heading 3 Char"/>
    <w:link w:val="Heading3"/>
    <w:rPr>
      <w:rFonts w:ascii="Calibri" w:eastAsia="MS Mincho" w:hAnsi="Calibri"/>
      <w:b/>
      <w:bCs/>
      <w:sz w:val="26"/>
      <w:szCs w:val="26"/>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link w:val="FootnoteText"/>
    <w:semiHidden/>
    <w:rPr>
      <w:rFonts w:eastAsia="MS Mincho"/>
      <w:szCs w:val="24"/>
      <w:lang w:val="es-ES"/>
    </w:rPr>
  </w:style>
  <w:style w:type="character" w:styleId="FootnoteReference">
    <w:name w:val="footnote reference"/>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MS Mincho" w:hAnsi="Tahoma" w:cs="Tahoma"/>
      <w:sz w:val="16"/>
      <w:szCs w:val="16"/>
      <w:lang w:val="es-E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link w:val="PlainText"/>
    <w:uiPriority w:val="99"/>
    <w:rPr>
      <w:rFonts w:ascii="Courier" w:eastAsia="Times" w:hAnsi="Courier"/>
      <w:sz w:val="21"/>
      <w:szCs w:val="21"/>
      <w:lang w:val="es-ES"/>
    </w:rPr>
  </w:style>
  <w:style w:type="paragraph" w:customStyle="1" w:styleId="IPPNumberedListLast">
    <w:name w:val="IPP NumberedListLast"/>
    <w:basedOn w:val="IPPNumberedList"/>
    <w:qFormat/>
    <w:pPr>
      <w:spacing w:after="180"/>
    </w:pPr>
  </w:style>
  <w:style w:type="character" w:styleId="Strong">
    <w:name w:val="Strong"/>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s-ES"/>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s/core-activities/standards-setting/isp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1" ma:contentTypeDescription="Create a new document." ma:contentTypeScope="" ma:versionID="61142f1ed0c1dec27da566218e6f21e8">
  <xsd:schema xmlns:xs="http://www.w3.org/2001/XMLSchema" xmlns:xsd="http://www.w3.org/2001/XMLSchema" xmlns:p="http://schemas.microsoft.com/office/2006/metadata/properties" xmlns:ns2="cc7ce8ca-8f52-44ec-9496-3c41d0f5ad18" xmlns:ns3="4fb7a208-8fac-4c53-8d25-a43bcf43b5d1" targetNamespace="http://schemas.microsoft.com/office/2006/metadata/properties" ma:root="true" ma:fieldsID="077319f449a11b6f7df61a45f15c51ad" ns2:_="" ns3:_="">
    <xsd:import namespace="cc7ce8ca-8f52-44ec-9496-3c41d0f5ad18"/>
    <xsd:import namespace="4fb7a208-8fac-4c53-8d25-a43bcf43b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4fb7a208-8fac-4c53-8d25-a43bcf43b5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3BE6E030-7F4D-4FA7-B775-E505ECAA312B}">
  <ds:schemaRefs>
    <ds:schemaRef ds:uri="http://schemas.microsoft.com/sharepoint/v3/contenttype/forms"/>
  </ds:schemaRefs>
</ds:datastoreItem>
</file>

<file path=customXml/itemProps2.xml><?xml version="1.0" encoding="utf-8"?>
<ds:datastoreItem xmlns:ds="http://schemas.openxmlformats.org/officeDocument/2006/customXml" ds:itemID="{D923420D-1F36-4B8E-8075-DA8B18034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4fb7a208-8fac-4c53-8d25-a43bcf43b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516F0-355A-40A4-9D6D-2AAF61E737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4BB28D-57C7-4E61-99D5-00CF8782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2</Pages>
  <Words>620</Words>
  <Characters>3536</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4148</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Cassin, Aoife (AGDI)</cp:lastModifiedBy>
  <cp:revision>2</cp:revision>
  <cp:lastPrinted>2020-07-03T07:41:00Z</cp:lastPrinted>
  <dcterms:created xsi:type="dcterms:W3CDTF">2020-07-03T15:10:00Z</dcterms:created>
  <dcterms:modified xsi:type="dcterms:W3CDTF">2020-07-03T15:10:00Z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0x0101000AC78A91C8838E4CB12C6EAFBD4A90C0</vt:lpwstr>
  </property>
</Properties>
</file>