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rPr>
          <w:sz w:val="20"/>
          <w:rStyle w:val="PleaseReviewParagraphId"/>
          <w:noProof/>
        </w:rPr>
        <w:t>[PleaseReview document review. Review title: 2022 First Consultation: Draft Specification for ISPM: Annex International movement of mango (Mangifera indica) fruit to ISPM 46. Document title: 2021-011_DraftSpec_Annex-ISPM46_Mango_Es_2022-06-30.docx]</w:t>
      </w:r>
    </w:p>
    <w:p w14:paraId="7223B70E" w14:textId="50008553">
      <w:pPr>
        <w:spacing w:before="120"/>
        <w:rPr>
          <w:b/>
          <w:bCs/>
        </w:rPr>
      </w:pPr>
      <w:r>
        <w:rPr>
          <w:rStyle w:val="PleaseReviewParagraphId"/>
          <w:b w:val="off"/>
          <w:i w:val="off"/>
        </w:rPr>
        <w:t>[1]</w:t>
      </w:r>
      <w:r>
        <w:rPr>
          <w:b/>
        </w:rPr>
        <w:t xml:space="preserve">PROYECTO DE ESPECIFICACIÓN PARA UNA NIMF: Anexo </w:t>
      </w:r>
      <w:r>
        <w:rPr>
          <w:b/>
          <w:i/>
        </w:rPr>
        <w:t>Movimiento internacional del fruto del mango (</w:t>
      </w:r>
      <w:r>
        <w:rPr>
          <w:b/>
        </w:rPr>
        <w:t>Mangifera indica</w:t>
      </w:r>
      <w:r>
        <w:rPr>
          <w:b/>
          <w:i/>
        </w:rPr>
        <w:t>)</w:t>
      </w:r>
      <w:r>
        <w:rPr>
          <w:b/>
        </w:rPr>
        <w:t xml:space="preserve"> (2021-011) de la NIMF 46</w:t>
      </w:r>
    </w:p>
    <w:p w14:paraId="334A22CD" w14:textId="77777777">
      <w:pPr>
        <w:pStyle w:val="IPPSubheadSpace"/>
      </w:pPr>
      <w:r>
        <w:rPr>
          <w:rStyle w:val="PleaseReviewParagraphId"/>
          <w:b w:val="off"/>
          <w:i w:val="off"/>
        </w:rPr>
        <w:t>[2]</w:t>
      </w:r>
      <w:r>
        <w:t>Historia de la publicación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4FF02A59" w14:textId="77777777">
        <w:trPr>
          <w:trHeight w:val="286"/>
        </w:trPr>
        <w:tc>
          <w:tcPr>
            <w:tcW w:w="9039" w:type="dxa"/>
            <w:gridSpan w:val="2"/>
          </w:tcPr>
          <w:p w14:paraId="3E25EC89" w14:textId="77777777">
            <w:pPr>
              <w:pStyle w:val="IPPArialTable"/>
              <w:spacing w:before="0" w:after="0"/>
              <w:rPr>
                <w:spacing w:val="-2"/>
                <w:szCs w:val="18"/>
              </w:rPr>
            </w:pPr>
            <w:r>
              <w:rPr>
                <w:rStyle w:val="PleaseReviewParagraphId"/>
                <w:b w:val="off"/>
                <w:i w:val="off"/>
              </w:rPr>
              <w:t>[3]</w:t>
            </w:r>
            <w:r>
              <w:rPr>
                <w:spacing w:val="-2"/>
              </w:rPr>
              <w:t>Esta no es una parte oficial de la especificación; la Secretaría de la CIPF la modificará después de la aprobación.</w:t>
            </w:r>
          </w:p>
        </w:tc>
      </w:tr>
      <w:tr w14:paraId="6540F21E" w14:textId="77777777">
        <w:trPr>
          <w:trHeight w:val="286"/>
        </w:trPr>
        <w:tc>
          <w:tcPr>
            <w:tcW w:w="2273" w:type="dxa"/>
          </w:tcPr>
          <w:p w14:paraId="4B95655C" w14:textId="77777777">
            <w:pPr>
              <w:pStyle w:val="IPPArialTable"/>
              <w:spacing w:before="0" w:after="0"/>
              <w:rPr>
                <w:b/>
                <w:bCs/>
                <w:szCs w:val="18"/>
              </w:rPr>
            </w:pPr>
            <w:r>
              <w:rPr>
                <w:rStyle w:val="PleaseReviewParagraphId"/>
                <w:b w:val="off"/>
                <w:i w:val="off"/>
              </w:rPr>
              <w:t>[4]</w:t>
            </w:r>
            <w:r>
              <w:rPr>
                <w:b/>
              </w:rPr>
              <w:t>Fecha de este documento</w:t>
            </w:r>
          </w:p>
        </w:tc>
        <w:tc>
          <w:tcPr>
            <w:tcW w:w="6766" w:type="dxa"/>
          </w:tcPr>
          <w:p w14:paraId="3D5E49C5" w14:textId="77777777">
            <w:pPr>
              <w:pStyle w:val="IPPArialTable"/>
              <w:spacing w:before="0" w:after="0"/>
              <w:rPr>
                <w:szCs w:val="18"/>
              </w:rPr>
            </w:pPr>
            <w:r>
              <w:rPr>
                <w:rStyle w:val="PleaseReviewParagraphId"/>
                <w:b w:val="off"/>
                <w:i w:val="off"/>
              </w:rPr>
              <w:t>[5]</w:t>
            </w:r>
            <w:r>
              <w:t>2022-05-09</w:t>
            </w:r>
          </w:p>
        </w:tc>
      </w:tr>
      <w:tr w14:paraId="002846BE" w14:textId="77777777">
        <w:trPr>
          <w:trHeight w:val="59"/>
        </w:trPr>
        <w:tc>
          <w:tcPr>
            <w:tcW w:w="2273" w:type="dxa"/>
          </w:tcPr>
          <w:p w14:paraId="079543CA" w14:textId="77777777">
            <w:pPr>
              <w:pStyle w:val="IPPArialTable"/>
              <w:spacing w:before="0" w:after="0"/>
              <w:rPr>
                <w:b/>
                <w:bCs/>
                <w:szCs w:val="18"/>
              </w:rPr>
            </w:pPr>
            <w:r>
              <w:rPr>
                <w:rStyle w:val="PleaseReviewParagraphId"/>
                <w:b w:val="off"/>
                <w:i w:val="off"/>
              </w:rPr>
              <w:t>[6]</w:t>
            </w:r>
            <w:r>
              <w:rPr>
                <w:b/>
              </w:rPr>
              <w:t>Categoría del documento</w:t>
            </w:r>
          </w:p>
        </w:tc>
        <w:tc>
          <w:tcPr>
            <w:tcW w:w="6766" w:type="dxa"/>
          </w:tcPr>
          <w:p w14:paraId="04565C87" w14:textId="77777777">
            <w:pPr>
              <w:pStyle w:val="IPPArialTable"/>
              <w:spacing w:before="0" w:after="0"/>
              <w:rPr>
                <w:szCs w:val="18"/>
              </w:rPr>
            </w:pPr>
            <w:r>
              <w:rPr>
                <w:rStyle w:val="PleaseReviewParagraphId"/>
                <w:b w:val="off"/>
                <w:i w:val="off"/>
              </w:rPr>
              <w:t>[7]</w:t>
            </w:r>
            <w:r>
              <w:t>Proyecto de especificación para el anexo de una NIMF</w:t>
            </w:r>
          </w:p>
        </w:tc>
      </w:tr>
      <w:tr w14:paraId="4E9B410E" w14:textId="77777777">
        <w:trPr>
          <w:trHeight w:val="299"/>
        </w:trPr>
        <w:tc>
          <w:tcPr>
            <w:tcW w:w="2273" w:type="dxa"/>
          </w:tcPr>
          <w:p w14:paraId="242E9422" w14:textId="77777777">
            <w:pPr>
              <w:pStyle w:val="IPPArialTable"/>
              <w:spacing w:before="0" w:after="0"/>
              <w:rPr>
                <w:b/>
                <w:bCs/>
                <w:szCs w:val="18"/>
              </w:rPr>
            </w:pPr>
            <w:r>
              <w:rPr>
                <w:rStyle w:val="PleaseReviewParagraphId"/>
                <w:b w:val="off"/>
                <w:i w:val="off"/>
              </w:rPr>
              <w:t>[8]</w:t>
            </w:r>
            <w:r>
              <w:rPr>
                <w:b/>
              </w:rPr>
              <w:t>Etapa actual del documento</w:t>
            </w:r>
          </w:p>
        </w:tc>
        <w:tc>
          <w:tcPr>
            <w:tcW w:w="6766" w:type="dxa"/>
          </w:tcPr>
          <w:p w14:paraId="29F59D2B" w14:textId="77777777">
            <w:pPr>
              <w:pStyle w:val="IPPArialTable"/>
              <w:spacing w:before="0" w:after="0"/>
              <w:rPr>
                <w:szCs w:val="18"/>
              </w:rPr>
            </w:pPr>
            <w:r>
              <w:rPr>
                <w:rStyle w:val="PleaseReviewParagraphId"/>
                <w:b w:val="off"/>
                <w:i w:val="off"/>
              </w:rPr>
              <w:t>[9]</w:t>
            </w:r>
            <w:r>
              <w:rPr>
                <w:i/>
                <w:iCs/>
              </w:rPr>
              <w:t>Para</w:t>
            </w:r>
            <w:r>
              <w:t xml:space="preserve"> primera consulta</w:t>
            </w:r>
          </w:p>
        </w:tc>
      </w:tr>
      <w:tr w14:paraId="7125D889" w14:textId="77777777">
        <w:trPr>
          <w:trHeight w:val="59"/>
        </w:trPr>
        <w:tc>
          <w:tcPr>
            <w:tcW w:w="2273" w:type="dxa"/>
          </w:tcPr>
          <w:p w14:paraId="351B8609" w14:textId="77777777">
            <w:pPr>
              <w:pStyle w:val="IPPArialTable"/>
              <w:spacing w:before="0" w:after="0"/>
              <w:rPr>
                <w:b/>
                <w:bCs/>
                <w:szCs w:val="18"/>
              </w:rPr>
            </w:pPr>
            <w:r>
              <w:rPr>
                <w:rStyle w:val="PleaseReviewParagraphId"/>
                <w:b w:val="off"/>
                <w:i w:val="off"/>
              </w:rPr>
              <w:t>[10]</w:t>
            </w:r>
            <w:r>
              <w:rPr>
                <w:b/>
              </w:rPr>
              <w:t>Etapas principales</w:t>
            </w:r>
          </w:p>
        </w:tc>
        <w:tc>
          <w:tcPr>
            <w:tcW w:w="6766" w:type="dxa"/>
          </w:tcPr>
          <w:p w14:paraId="7BF1D9D6" w14:textId="77777777">
            <w:pPr>
              <w:pStyle w:val="IPPArialTable"/>
              <w:spacing w:before="0" w:after="0"/>
            </w:pPr>
            <w:r>
              <w:rPr>
                <w:rStyle w:val="PleaseReviewParagraphId"/>
                <w:b w:val="off"/>
                <w:i w:val="off"/>
              </w:rPr>
              <w:t>[11]</w:t>
            </w:r>
            <w:r>
              <w:t xml:space="preserve">2022-004: La Comisión de Medidas Fitosanitarias, en su 16.ª reunión (CMF-16) añadió el tema “Anexo </w:t>
            </w:r>
            <w:r>
              <w:rPr>
                <w:i/>
                <w:iCs/>
              </w:rPr>
              <w:t>Movimiento internacional del fruto del mango (</w:t>
            </w:r>
            <w:r>
              <w:t>Mangifera indica</w:t>
            </w:r>
            <w:r>
              <w:rPr>
                <w:i/>
                <w:iCs/>
              </w:rPr>
              <w:t>)</w:t>
            </w:r>
            <w:r>
              <w:t xml:space="preserve"> (2021-011) a la NIMF 46 (</w:t>
            </w:r>
            <w:r>
              <w:rPr>
                <w:i/>
                <w:iCs/>
              </w:rPr>
              <w:t>Normas para medidas fitosanitarias específicas para productos</w:t>
            </w:r>
            <w:r>
              <w:t>)”, con prioridad 1.</w:t>
            </w:r>
          </w:p>
          <w:p w14:paraId="083EED64" w14:textId="77777777">
            <w:pPr>
              <w:pStyle w:val="IPPArialTable"/>
              <w:spacing w:before="0" w:after="0"/>
            </w:pPr>
            <w:r>
              <w:rPr>
                <w:rStyle w:val="PleaseReviewParagraphId"/>
                <w:b w:val="off"/>
                <w:i w:val="off"/>
              </w:rPr>
              <w:t>[12]</w:t>
            </w:r>
            <w:r>
              <w:t>2022-04: El Comité de Normas (CN) revisó el anexo y lo aprobó para la primera consulta.</w:t>
            </w:r>
          </w:p>
        </w:tc>
      </w:tr>
      <w:tr w14:paraId="74A8CC5D" w14:textId="77777777">
        <w:trPr>
          <w:trHeight w:val="59"/>
        </w:trPr>
        <w:tc>
          <w:tcPr>
            <w:tcW w:w="2273" w:type="dxa"/>
          </w:tcPr>
          <w:p w14:paraId="53F0FD59" w14:textId="77777777">
            <w:pPr>
              <w:pStyle w:val="IPPArialTable"/>
              <w:spacing w:before="0" w:after="0"/>
              <w:rPr>
                <w:b/>
                <w:bCs/>
                <w:szCs w:val="18"/>
              </w:rPr>
            </w:pPr>
            <w:r>
              <w:rPr>
                <w:rStyle w:val="PleaseReviewParagraphId"/>
                <w:b w:val="off"/>
                <w:i w:val="off"/>
              </w:rPr>
              <w:t>[13]</w:t>
            </w:r>
            <w:r>
              <w:rPr>
                <w:b/>
              </w:rPr>
              <w:t>Cronología de los administradores</w:t>
            </w:r>
          </w:p>
        </w:tc>
        <w:tc>
          <w:tcPr>
            <w:tcW w:w="6766" w:type="dxa"/>
          </w:tcPr>
          <w:p w14:paraId="5F3429A7" w14:textId="77777777">
            <w:pPr>
              <w:pStyle w:val="IPPArialTable"/>
              <w:spacing w:before="0" w:after="0"/>
              <w:rPr>
                <w:szCs w:val="18"/>
              </w:rPr>
            </w:pPr>
            <w:r>
              <w:rPr>
                <w:rStyle w:val="PleaseReviewParagraphId"/>
                <w:b w:val="off"/>
                <w:i w:val="off"/>
              </w:rPr>
              <w:t>[14]</w:t>
            </w:r>
            <w:r>
              <w:t>2022-05 CN: Sra. Joanne WILSON (NZ, administradora principal)</w:t>
            </w:r>
          </w:p>
          <w:p w14:paraId="6F2EE234" w14:textId="77777777">
            <w:pPr>
              <w:pStyle w:val="IPPArialTable"/>
              <w:spacing w:before="0" w:after="0"/>
            </w:pPr>
            <w:r>
              <w:rPr>
                <w:rStyle w:val="PleaseReviewParagraphId"/>
                <w:b w:val="off"/>
                <w:i w:val="off"/>
              </w:rPr>
              <w:t>[15]</w:t>
            </w:r>
            <w:r>
              <w:t>2022-05 CN: Sr. Hernando MORERA-GONZÁLEZ (CR, administrador adjunto)</w:t>
            </w:r>
          </w:p>
        </w:tc>
      </w:tr>
      <w:tr w14:paraId="27A1199E" w14:textId="77777777">
        <w:trPr>
          <w:trHeight w:val="59"/>
        </w:trPr>
        <w:tc>
          <w:tcPr>
            <w:tcW w:w="2273" w:type="dxa"/>
          </w:tcPr>
          <w:p w14:paraId="0AB50626" w14:textId="556CDA78">
            <w:pPr>
              <w:pStyle w:val="IPPArialTable"/>
              <w:spacing w:before="0" w:after="0"/>
              <w:rPr>
                <w:b/>
                <w:bCs/>
                <w:szCs w:val="18"/>
              </w:rPr>
            </w:pPr>
            <w:r>
              <w:rPr>
                <w:rStyle w:val="PleaseReviewParagraphId"/>
                <w:b w:val="off"/>
                <w:i w:val="off"/>
              </w:rPr>
              <w:t>[16]</w:t>
            </w:r>
            <w:r>
              <w:rPr>
                <w:b/>
              </w:rPr>
              <w:t>Notas</w:t>
            </w:r>
          </w:p>
        </w:tc>
        <w:tc>
          <w:tcPr>
            <w:tcW w:w="6766" w:type="dxa"/>
          </w:tcPr>
          <w:p w14:paraId="5DB984BE" w14:textId="77777777">
            <w:pPr>
              <w:pStyle w:val="IPPArialTable"/>
              <w:spacing w:before="0" w:after="0"/>
              <w:rPr>
                <w:szCs w:val="18"/>
              </w:rPr>
            </w:pPr>
            <w:r>
              <w:rPr>
                <w:rStyle w:val="PleaseReviewParagraphId"/>
                <w:b w:val="off"/>
                <w:i w:val="off"/>
              </w:rPr>
              <w:t>[17]</w:t>
            </w:r>
            <w:r>
              <w:t>El presente documento es un proyecto.</w:t>
            </w:r>
          </w:p>
          <w:p w14:paraId="31265BEB" w14:textId="77777777">
            <w:pPr>
              <w:pStyle w:val="IPPArialTable"/>
              <w:spacing w:before="0" w:after="0"/>
              <w:rPr>
                <w:szCs w:val="18"/>
              </w:rPr>
            </w:pPr>
            <w:r>
              <w:rPr>
                <w:rStyle w:val="PleaseReviewParagraphId"/>
                <w:b w:val="off"/>
                <w:i w:val="off"/>
              </w:rPr>
              <w:t>[18]</w:t>
            </w:r>
            <w:r>
              <w:t>2022-05: Editado</w:t>
            </w:r>
          </w:p>
        </w:tc>
      </w:tr>
    </w:tbl>
    <w:p w14:paraId="16344EE6" w14:textId="77777777">
      <w:pPr>
        <w:pStyle w:val="IPPSubheadSpace"/>
      </w:pPr>
      <w:r>
        <w:rPr>
          <w:rStyle w:val="PleaseReviewParagraphId"/>
          <w:b w:val="off"/>
          <w:i w:val="off"/>
        </w:rPr>
        <w:t>[19]</w:t>
      </w:r>
      <w:r>
        <w:t>Título</w:t>
      </w:r>
    </w:p>
    <w:p w14:paraId="6FC37ACF" w14:textId="77777777">
      <w:pPr>
        <w:pStyle w:val="IPPParagraphnumbering"/>
        <w:numPr>
          <w:ilvl w:val="0"/>
          <w:numId w:val="0"/>
        </w:numPr>
      </w:pPr>
      <w:r>
        <w:rPr>
          <w:rStyle w:val="PleaseReviewParagraphId"/>
          <w:b w:val="off"/>
          <w:i w:val="off"/>
        </w:rPr>
        <w:t>[20]</w:t>
      </w:r>
      <w:r>
        <w:t xml:space="preserve">Anexo </w:t>
      </w:r>
      <w:r>
        <w:rPr>
          <w:i/>
          <w:iCs/>
        </w:rPr>
        <w:t>Movimiento internacional del fruto del mango (</w:t>
      </w:r>
      <w:r>
        <w:t>Mangifera indica</w:t>
      </w:r>
      <w:r>
        <w:rPr>
          <w:i/>
          <w:iCs/>
        </w:rPr>
        <w:t>)</w:t>
      </w:r>
      <w:r>
        <w:t xml:space="preserve"> (2021-011) de la NIMF 46 (</w:t>
      </w:r>
      <w:r>
        <w:rPr>
          <w:i/>
          <w:iCs/>
        </w:rPr>
        <w:t>Normas para medidas fitosanitarias específicas para productos</w:t>
      </w:r>
      <w:r>
        <w:t>).</w:t>
      </w:r>
    </w:p>
    <w:p w14:paraId="394B4C50" w14:textId="3F07973F">
      <w:pPr>
        <w:pStyle w:val="IPPSubheadSpace"/>
      </w:pPr>
      <w:r>
        <w:rPr>
          <w:rStyle w:val="PleaseReviewParagraphId"/>
          <w:b w:val="off"/>
          <w:i w:val="off"/>
        </w:rPr>
        <w:t>[21]</w:t>
      </w:r>
      <w:r>
        <w:t>Justificación del anexo a la norma</w:t>
      </w:r>
    </w:p>
    <w:p w14:paraId="18BB6F4F" w14:textId="41F4D71C">
      <w:pPr>
        <w:pStyle w:val="IPPParagraphnumbering"/>
        <w:numPr>
          <w:ilvl w:val="0"/>
          <w:numId w:val="0"/>
        </w:numPr>
      </w:pPr>
      <w:r>
        <w:rPr>
          <w:rStyle w:val="PleaseReviewParagraphId"/>
          <w:b w:val="off"/>
          <w:i w:val="off"/>
        </w:rPr>
        <w:t>[22]</w:t>
      </w:r>
      <w:r>
        <w:t>El fruto del mango, que puede hospedar plagas como moscas de la fruta, polillas y escarabajos xilófagos y cochinillas, es un producto ampliamente comercializado a escala internacional.</w:t>
      </w:r>
    </w:p>
    <w:p w14:paraId="69A9DFCC" w14:textId="77777777">
      <w:pPr>
        <w:pStyle w:val="IPPParagraphnumbering"/>
        <w:numPr>
          <w:ilvl w:val="0"/>
          <w:numId w:val="0"/>
        </w:numPr>
      </w:pPr>
      <w:r>
        <w:rPr>
          <w:rStyle w:val="PleaseReviewParagraphId"/>
          <w:b w:val="off"/>
          <w:i w:val="off"/>
        </w:rPr>
        <w:t>[23]</w:t>
      </w:r>
      <w:r>
        <w:t>Varias partes contratantes han establecido y aceptado medidas fitosanitarias dirigidas a gestionar con eficacia las plagas asociadas al producto comercializado. Esto hace que el fruto del mango sea un producto adecuado al que dedicar un anexo de la Norma internacional para medidas fitosanitarias (NIMF) 46 (</w:t>
      </w:r>
      <w:r>
        <w:rPr>
          <w:i/>
          <w:iCs/>
        </w:rPr>
        <w:t>Normas para medidas fitosanitarias específicas para productos</w:t>
      </w:r>
      <w:r>
        <w:t>).</w:t>
      </w:r>
    </w:p>
    <w:p w14:paraId="34FB747E" w14:textId="77777777">
      <w:pPr>
        <w:pStyle w:val="IPPParagraphnumbering"/>
        <w:numPr>
          <w:ilvl w:val="0"/>
          <w:numId w:val="0"/>
        </w:numPr>
      </w:pPr>
      <w:r>
        <w:rPr>
          <w:rStyle w:val="PleaseReviewParagraphId"/>
          <w:b w:val="off"/>
          <w:i w:val="off"/>
        </w:rPr>
        <w:t>[24]</w:t>
      </w:r>
      <w:r>
        <w:t>La Norma regional sobre medidas fitosanitarias de la Comisión de Protección Vegetal para Asia y el Pacífico sobre el movimiento del fruto fresco del mango (APPPC, 2019) proporciona un buen fundamento para la elaboración de esta norma específica para un producto.</w:t>
      </w:r>
    </w:p>
    <w:p w14:paraId="2DB0E861" w14:textId="21421A6A">
      <w:pPr>
        <w:pStyle w:val="IPPSubheadSpace"/>
      </w:pPr>
      <w:r>
        <w:rPr>
          <w:rStyle w:val="PleaseReviewParagraphId"/>
          <w:b w:val="off"/>
          <w:i w:val="off"/>
        </w:rPr>
        <w:t>[25]</w:t>
      </w:r>
      <w:r>
        <w:t>Ámbito</w:t>
      </w:r>
    </w:p>
    <w:p w14:paraId="76CFAC93" w14:textId="77777777">
      <w:pPr>
        <w:pStyle w:val="IPPParagraphnumbering"/>
        <w:numPr>
          <w:ilvl w:val="0"/>
          <w:numId w:val="0"/>
        </w:numPr>
      </w:pPr>
      <w:r>
        <w:rPr>
          <w:rStyle w:val="PleaseReviewParagraphId"/>
          <w:b w:val="off"/>
          <w:i w:val="off"/>
        </w:rPr>
        <w:t>[26]</w:t>
      </w:r>
      <w:r>
        <w:t>El anexo debería proporcionar orientación a las organizaciones nacionales de protección fitosanitaria (ONPF) con respecto a la posibilidad de adoptar medidas fitosanitarias para la importación y exportación del fruto fresco del mango. Ello comprende información sobre la evaluación del riesgo de plagas (NIMF 2 [</w:t>
      </w:r>
      <w:r>
        <w:rPr>
          <w:i/>
          <w:iCs/>
        </w:rPr>
        <w:t>Marco para el análisis de riesgo de plagas</w:t>
      </w:r>
      <w:r>
        <w:t>] y NIMF 11 [</w:t>
      </w:r>
      <w:r>
        <w:rPr>
          <w:i/>
          <w:iCs/>
        </w:rPr>
        <w:t>Análisis de riesgo de plagas para plagas cuarentenarias]</w:t>
      </w:r>
      <w:r>
        <w:t>), las opciones de gestión de los riesgos de plagas y los tratamientos (NIMF 18 [</w:t>
      </w:r>
      <w:r>
        <w:rPr>
          <w:i/>
          <w:iCs/>
        </w:rPr>
        <w:t>Directrices para utilizar la irradiación como medida fitosanitaria</w:t>
      </w:r>
      <w:r>
        <w:t>] y NIMF 28 [</w:t>
      </w:r>
      <w:r>
        <w:rPr>
          <w:i/>
          <w:iCs/>
        </w:rPr>
        <w:t>Tratamientos fitosanitarios para plagas reglamentadas</w:t>
      </w:r>
      <w:r>
        <w:t>]), el embalaje, la inspección (NIMF 23 [</w:t>
      </w:r>
      <w:r>
        <w:rPr>
          <w:i/>
          <w:iCs/>
        </w:rPr>
        <w:t>Directrices para la inspección</w:t>
      </w:r>
      <w:r>
        <w:t>]) y la certificación fitosanitaria (NIMF 7 [</w:t>
      </w:r>
      <w:r>
        <w:rPr>
          <w:i/>
          <w:iCs/>
        </w:rPr>
        <w:t>Sistema de certificación fitosanitaria</w:t>
      </w:r>
      <w:r>
        <w:t>] y NIMF 12 [</w:t>
      </w:r>
      <w:r>
        <w:rPr>
          <w:i/>
          <w:iCs/>
        </w:rPr>
        <w:t>Certificados fitosanitarios</w:t>
      </w:r>
      <w:r>
        <w:t>]) del fruto fresco del mango. En el anexo se deberían determinar las plagas o grupos de plagas comunes y significativas que se sabe están asociadas al fruto fresco del mango en la exportación y describir las medidas fitosanitarias seleccionadas que se podrán aplicar para reducir el riesgo de plagas antes de la exportación.</w:t>
      </w:r>
    </w:p>
    <w:p w14:paraId="181C6D5B" w14:textId="77777777">
      <w:pPr>
        <w:pStyle w:val="IPPParagraphnumbering"/>
        <w:numPr>
          <w:ilvl w:val="0"/>
          <w:numId w:val="0"/>
        </w:numPr>
      </w:pPr>
      <w:r>
        <w:rPr>
          <w:rStyle w:val="PleaseReviewParagraphId"/>
          <w:b w:val="off"/>
          <w:i w:val="off"/>
        </w:rPr>
        <w:t>[27]</w:t>
      </w:r>
      <w:r>
        <w:t>Este anexo no se debería aplicar al mango elaborado (desecado, congelado o enlatado), ni a las semillas o partes vegetativas de la planta de mango).</w:t>
      </w:r>
    </w:p>
    <w:p w14:paraId="159BE98B" w14:textId="77777777">
      <w:pPr>
        <w:pStyle w:val="IPPSubheadSpace"/>
      </w:pPr>
      <w:r>
        <w:rPr>
          <w:rStyle w:val="PleaseReviewParagraphId"/>
          <w:b w:val="off"/>
          <w:i w:val="off"/>
        </w:rPr>
        <w:t>[28]</w:t>
      </w:r>
      <w:r>
        <w:lastRenderedPageBreak/>
        <w:t>Propósito</w:t>
      </w:r>
    </w:p>
    <w:p w14:paraId="195B36CA" w14:textId="77777777">
      <w:pPr>
        <w:pStyle w:val="IPPParagraphnumbering"/>
        <w:numPr>
          <w:ilvl w:val="0"/>
          <w:numId w:val="0"/>
        </w:numPr>
      </w:pPr>
      <w:r>
        <w:rPr>
          <w:rStyle w:val="PleaseReviewParagraphId"/>
          <w:b w:val="off"/>
          <w:i w:val="off"/>
        </w:rPr>
        <w:t>[29]</w:t>
      </w:r>
      <w:r>
        <w:t>El anexo de NIMF proporcionará orientación a las ONPF que, en la actualidad, importan o exportan fruto fresco de mango para el consumo o la elaboración, o que tienen previsto hacerlo.</w:t>
      </w:r>
    </w:p>
    <w:p w14:paraId="5B51AD30" w14:textId="77777777">
      <w:pPr>
        <w:pStyle w:val="IPPSubheadSpace"/>
        <w:ind w:left="0" w:firstLine="0"/>
      </w:pPr>
      <w:r>
        <w:rPr>
          <w:rStyle w:val="PleaseReviewParagraphId"/>
          <w:b w:val="off"/>
          <w:i w:val="off"/>
        </w:rPr>
        <w:t>[30]</w:t>
      </w:r>
      <w:r>
        <w:t>Tareas</w:t>
      </w:r>
    </w:p>
    <w:p w14:paraId="676DE10D" w14:textId="77777777">
      <w:pPr>
        <w:pStyle w:val="IPPParagraphnumberingclose"/>
        <w:numPr>
          <w:ilvl w:val="0"/>
          <w:numId w:val="0"/>
        </w:numPr>
      </w:pPr>
      <w:r>
        <w:rPr>
          <w:rStyle w:val="PleaseReviewParagraphId"/>
          <w:b w:val="off"/>
          <w:i w:val="off"/>
        </w:rPr>
        <w:t>[31]</w:t>
      </w:r>
      <w:r>
        <w:t>Siguiendo los requisitos establecidos en la NIMF 46, el Grupo técnico sobre normas para productos debería garantizar que se llevan a cabo las tareas siguientes:</w:t>
      </w:r>
    </w:p>
    <w:p w14:paraId="7D5FAF06" w14:textId="77777777">
      <w:pPr>
        <w:pStyle w:val="IPPNumberedList"/>
      </w:pPr>
      <w:r>
        <w:rPr>
          <w:rStyle w:val="PleaseReviewParagraphId"/>
          <w:b w:val="off"/>
          <w:i w:val="off"/>
        </w:rPr>
        <w:t>[32]</w:t>
      </w:r>
      <w:r>
        <w:t>determinar y proporcionar una lista de las plagas o grupos de plagas asociados al fruto fresco del mango en la exportación;</w:t>
      </w:r>
    </w:p>
    <w:p w14:paraId="5ACA6A52" w14:textId="77777777">
      <w:pPr>
        <w:pStyle w:val="IPPNumberedList"/>
      </w:pPr>
      <w:r>
        <w:rPr>
          <w:rStyle w:val="PleaseReviewParagraphId"/>
          <w:b w:val="off"/>
          <w:i w:val="off"/>
        </w:rPr>
        <w:t>[33]</w:t>
      </w:r>
      <w:r>
        <w:t>determinar las opciones de medidas fitosanitarias eficaces o combinaciones eficaces de medidas fitosanitarias, contra estas plagas o grupos de plagas;</w:t>
      </w:r>
    </w:p>
    <w:p w14:paraId="225DB06B" w14:textId="7FFC15C4">
      <w:pPr>
        <w:pStyle w:val="IPPNumberedList"/>
      </w:pPr>
      <w:r>
        <w:rPr>
          <w:rStyle w:val="PleaseReviewParagraphId"/>
          <w:b w:val="off"/>
          <w:i w:val="off"/>
        </w:rPr>
        <w:t>[34]</w:t>
      </w:r>
      <w:bookmarkStart w:name="_Hlk102663787" w:id="0"/>
      <w:r>
        <w:t>evaluar las posibles opciones de medidas fitosanitarias para su inclusión en el anexo y considerar si hay información suficiente sobre su eficacia para respaldar su inclusión;</w:t>
      </w:r>
    </w:p>
    <w:bookmarkEnd w:id="0"/>
    <w:p w14:paraId="7F45D089" w14:textId="77777777">
      <w:pPr>
        <w:pStyle w:val="IPPNumberedList"/>
      </w:pPr>
      <w:r>
        <w:rPr>
          <w:rStyle w:val="PleaseReviewParagraphId"/>
          <w:b w:val="off"/>
          <w:i w:val="off"/>
        </w:rPr>
        <w:t>[35]</w:t>
      </w:r>
      <w:r>
        <w:t>considerar y enumerar los métodos disponibles que se podrán utilizar para detectar plagas o grupos de plagas que se sabe están asociados al fruto fresco del mango en la exportación;</w:t>
      </w:r>
    </w:p>
    <w:p w14:paraId="345E058A" w14:textId="77777777">
      <w:pPr>
        <w:pStyle w:val="IPPNumberedList"/>
      </w:pPr>
      <w:r>
        <w:rPr>
          <w:rStyle w:val="PleaseReviewParagraphId"/>
          <w:b w:val="off"/>
          <w:i w:val="off"/>
        </w:rPr>
        <w:t>[36]</w:t>
      </w:r>
      <w:r>
        <w:t>considerar las normas y directrices existentes, elaboradas bajo los auspicios de la Secretaría de la Convención Internacional de Protección Fitosanitaria (CIPF) o por organizaciones regionales de protección fitosanitaria y otras organizaciones internacionales, para gestionar el riesgo de plagas asociado al movimiento internacional del fruto fresco del mango;</w:t>
      </w:r>
    </w:p>
    <w:p w14:paraId="16075D05" w14:textId="591F654B">
      <w:pPr>
        <w:pStyle w:val="IPPNumberedList"/>
      </w:pPr>
      <w:r>
        <w:rPr>
          <w:rStyle w:val="PleaseReviewParagraphId"/>
          <w:b w:val="off"/>
          <w:i w:val="off"/>
        </w:rPr>
        <w:t>[37]</w:t>
      </w:r>
      <w:r>
        <w:t>ponerse en contacto con el resto de los grupos técnicos (Grupo técnico sobre protocolos de diagnóstico, Grupo técnico sobre el glosario, Grupo técnico sobre tratamientos fitosanitarios) y con el Comité de Aplicación y Desarrollo de la Capacidad, cuando sea necesario;</w:t>
      </w:r>
    </w:p>
    <w:p w14:paraId="33885325" w14:textId="3FDC34A7">
      <w:pPr>
        <w:pStyle w:val="IPPNumberedList"/>
      </w:pPr>
      <w:r>
        <w:rPr>
          <w:rStyle w:val="PleaseReviewParagraphId"/>
          <w:b w:val="off"/>
          <w:i w:val="off"/>
        </w:rPr>
        <w:t>[38]</w:t>
      </w:r>
      <w:r>
        <w:t>analizar la aplicación del anexo por las partes contratantes y determinar los posibles problemas operativos y técnicos de la aplicación; facilitar información y formular posibles recomendaciones sobre estos problemas al CN.</w:t>
      </w:r>
    </w:p>
    <w:p w14:paraId="0FEA937A" w14:textId="083BF9C5">
      <w:pPr>
        <w:pStyle w:val="IPPSubheadSpace"/>
      </w:pPr>
      <w:r>
        <w:rPr>
          <w:rStyle w:val="PleaseReviewParagraphId"/>
          <w:b w:val="off"/>
          <w:i w:val="off"/>
        </w:rPr>
        <w:t>[39]</w:t>
      </w:r>
      <w:r>
        <w:t>Fuentes de recursos</w:t>
      </w:r>
    </w:p>
    <w:p w14:paraId="35286B6A" w14:textId="1274E4E9">
      <w:pPr>
        <w:pStyle w:val="IPPParagraphnumbering"/>
        <w:numPr>
          <w:ilvl w:val="0"/>
          <w:numId w:val="0"/>
        </w:numPr>
      </w:pPr>
      <w:r>
        <w:rPr>
          <w:rStyle w:val="PleaseReviewParagraphId"/>
          <w:b w:val="off"/>
          <w:i w:val="off"/>
        </w:rPr>
        <w:t>[40]</w:t>
      </w:r>
      <w:r>
        <w:t xml:space="preserve">La financiación para la reunión podrá proceder de fuentes distintas del Programa ordinario de la CIPF (FAO). Según se recomendó en la segunda reunión de la Comisión Interina de Medidas Fitosanitarias (1999), siempre que sea posible, los participantes en actividades de establecimiento de normas financiarán de forma voluntaria los gastos de desplazamiento y dietas que se generen por su asistencia a las reuniones. Los participantes podrán solicitar ayuda financiera, en el entendimiento de que los recursos son limitados y de que se otorgará prioridad a los participantes de países en desarrollo. Consúltese el documento </w:t>
      </w:r>
      <w:r>
        <w:rPr>
          <w:i/>
          <w:iCs/>
        </w:rPr>
        <w:t>Criteria used for prioritizing participants to receive travel assistance to attend meetings organized by the IPPC Secretariat</w:t>
      </w:r>
      <w:r>
        <w:t xml:space="preserve"> (Criterios de prioridad aplicados en la concesión de ayudas de viaje para financiar la asistencia a las reuniones organizadas por la Secretaría de la CIPF) publicado en el Portal fitosanitario internacional (PFI) (véase </w:t>
      </w:r>
      <w:hyperlink w:history="1" r:id="rId11">
        <w:r>
          <w:rPr>
            <w:rStyle w:val="Hyperlink"/>
          </w:rPr>
          <w:t>www.ippc.int/es/core-activities</w:t>
        </w:r>
      </w:hyperlink>
      <w:r>
        <w:t>).</w:t>
      </w:r>
    </w:p>
    <w:p w14:paraId="6AAD8EE8" w14:textId="77777777">
      <w:pPr>
        <w:pStyle w:val="IPPSubheadSpace"/>
      </w:pPr>
      <w:r>
        <w:rPr>
          <w:rStyle w:val="PleaseReviewParagraphId"/>
          <w:b w:val="off"/>
          <w:i w:val="off"/>
        </w:rPr>
        <w:t>[41]</w:t>
      </w:r>
      <w:r>
        <w:t>Colaborador</w:t>
      </w:r>
    </w:p>
    <w:p w14:paraId="1F504C79" w14:textId="77777777">
      <w:pPr>
        <w:pStyle w:val="IPPParagraphnumbering"/>
        <w:numPr>
          <w:ilvl w:val="0"/>
          <w:numId w:val="0"/>
        </w:numPr>
      </w:pPr>
      <w:r>
        <w:rPr>
          <w:rStyle w:val="PleaseReviewParagraphId"/>
          <w:b w:val="off"/>
          <w:i w:val="off"/>
        </w:rPr>
        <w:t>[42]</w:t>
      </w:r>
      <w:r>
        <w:t>Por determinar.</w:t>
      </w:r>
    </w:p>
    <w:p w14:paraId="669290E7" w14:textId="77777777">
      <w:pPr>
        <w:pStyle w:val="IPPSubheadSpace"/>
      </w:pPr>
      <w:r>
        <w:rPr>
          <w:rStyle w:val="PleaseReviewParagraphId"/>
          <w:b w:val="off"/>
          <w:i w:val="off"/>
        </w:rPr>
        <w:t>[43]</w:t>
      </w:r>
      <w:r>
        <w:t>Administrador</w:t>
      </w:r>
    </w:p>
    <w:p w14:paraId="1FCDCAAE" w14:textId="55763B15">
      <w:pPr>
        <w:pStyle w:val="IPPParagraphnumbering"/>
        <w:numPr>
          <w:ilvl w:val="0"/>
          <w:numId w:val="0"/>
        </w:numPr>
      </w:pPr>
      <w:r>
        <w:rPr>
          <w:rStyle w:val="PleaseReviewParagraphId"/>
          <w:b w:val="off"/>
          <w:i w:val="off"/>
        </w:rPr>
        <w:t>[44]</w:t>
      </w:r>
      <w:r>
        <w:t xml:space="preserve">Consúltese la </w:t>
      </w:r>
      <w:r>
        <w:rPr>
          <w:i/>
        </w:rPr>
        <w:t>Lista de temas de las normas de la CIPF</w:t>
      </w:r>
      <w:r>
        <w:t xml:space="preserve"> publicada en el PFI (véase </w:t>
      </w:r>
      <w:hyperlink w:history="1" r:id="rId12">
        <w:r>
          <w:rPr>
            <w:rStyle w:val="Hyperlink"/>
          </w:rPr>
          <w:t>www.ippc.int/es/core-activities/standards-setting/list-topics-ippc-standards</w:t>
        </w:r>
      </w:hyperlink>
      <w:r>
        <w:t>).</w:t>
      </w:r>
    </w:p>
    <w:p w14:paraId="34E54A1B" w14:textId="7FE9A892">
      <w:pPr>
        <w:pStyle w:val="IPPSubheadSpace"/>
      </w:pPr>
      <w:r>
        <w:rPr>
          <w:rStyle w:val="PleaseReviewParagraphId"/>
          <w:b w:val="off"/>
          <w:i w:val="off"/>
        </w:rPr>
        <w:t>[45]</w:t>
      </w:r>
      <w:r>
        <w:t>Expertos</w:t>
      </w:r>
    </w:p>
    <w:p w14:paraId="5B58BFEE" w14:textId="77777777">
      <w:pPr>
        <w:pStyle w:val="IPPParagraphnumbering"/>
        <w:numPr>
          <w:ilvl w:val="0"/>
          <w:numId w:val="0"/>
        </w:numPr>
      </w:pPr>
      <w:r>
        <w:rPr>
          <w:rStyle w:val="PleaseReviewParagraphId"/>
          <w:b w:val="off"/>
          <w:i w:val="off"/>
        </w:rPr>
        <w:t>[46]</w:t>
      </w:r>
      <w:r>
        <w:t>El Grupo técnico sobre normas para productos y otros expertos, si se considera necesario.</w:t>
      </w:r>
    </w:p>
    <w:p w14:paraId="76C7EA4B" w14:textId="77777777">
      <w:pPr>
        <w:pStyle w:val="IPPSubheadSpace"/>
      </w:pPr>
      <w:r>
        <w:rPr>
          <w:rStyle w:val="PleaseReviewParagraphId"/>
          <w:b w:val="off"/>
          <w:i w:val="off"/>
        </w:rPr>
        <w:t>[47]</w:t>
      </w:r>
      <w:r>
        <w:t>Referencias</w:t>
      </w:r>
    </w:p>
    <w:p w14:paraId="6E744178" w14:textId="77777777">
      <w:pPr>
        <w:pStyle w:val="IPPParagraphnumbering"/>
        <w:numPr>
          <w:ilvl w:val="0"/>
          <w:numId w:val="0"/>
        </w:numPr>
      </w:pPr>
      <w:r>
        <w:rPr>
          <w:rStyle w:val="PleaseReviewParagraphId"/>
          <w:b w:val="off"/>
          <w:i w:val="off"/>
        </w:rPr>
        <w:t>[48]</w:t>
      </w:r>
      <w:r>
        <w:t>La CIPF, las NIMF pertinentes y otras normas y acuerdos nacionales, regionales e internacionales que puedan aplicarse a las tareas, otras referencias contenidas en el formulario de presentación y los documentos de debate presentados en relación con este trabajo.</w:t>
      </w:r>
    </w:p>
    <w:p w14:paraId="7D008D1B" w14:textId="79D0F0B5">
      <w:pPr>
        <w:pStyle w:val="IPPReferences"/>
        <w:rPr>
          <w:rStyle w:val="Hyperlink"/>
          <w:color w:val="auto"/>
        </w:rPr>
      </w:pPr>
      <w:r>
        <w:rPr>
          <w:rStyle w:val="PleaseReviewParagraphId"/>
          <w:b w:val="off"/>
          <w:i w:val="off"/>
        </w:rPr>
        <w:t>[49]</w:t>
      </w:r>
      <w:r>
        <w:rPr>
          <w:b/>
          <w:bCs/>
        </w:rPr>
        <w:lastRenderedPageBreak/>
        <w:t>APPPC (Comisión de Protección Vegetal para Asia y el Pacífico)</w:t>
      </w:r>
      <w:r>
        <w:t xml:space="preserve">. 2021. </w:t>
      </w:r>
      <w:r>
        <w:rPr>
          <w:i/>
        </w:rPr>
        <w:t>International movement of fresh mango (</w:t>
      </w:r>
      <w:r>
        <w:t>Mangifera indica</w:t>
      </w:r>
      <w:r>
        <w:rPr>
          <w:i/>
        </w:rPr>
        <w:t>) fruit</w:t>
      </w:r>
      <w:r>
        <w:t xml:space="preserve"> (Movimiento internacional del fruto fresco del mango [</w:t>
      </w:r>
      <w:r>
        <w:rPr>
          <w:i/>
          <w:iCs/>
        </w:rPr>
        <w:t>Mangifera indica</w:t>
      </w:r>
      <w:r>
        <w:t xml:space="preserve">]). Norma regional sobre medidas fitosanitarias 11. Bangkok, APPPC, FAO. 12 páginas. </w:t>
      </w:r>
      <w:hyperlink w:history="1" r:id="rId13">
        <w:r>
          <w:rPr>
            <w:rStyle w:val="Hyperlink"/>
          </w:rPr>
          <w:t>www.fao.org/3/cb5357en/cb5357en.pdf</w:t>
        </w:r>
      </w:hyperlink>
      <w:r>
        <w:t>.</w:t>
      </w:r>
    </w:p>
    <w:p w14:paraId="19323009" w14:textId="5FAF4504">
      <w:pPr>
        <w:pStyle w:val="IPPReferences"/>
      </w:pPr>
      <w:r>
        <w:rPr>
          <w:rStyle w:val="PleaseReviewParagraphId"/>
          <w:b w:val="off"/>
          <w:i w:val="off"/>
        </w:rPr>
        <w:t>[50]</w:t>
      </w:r>
      <w:r>
        <w:rPr>
          <w:b/>
        </w:rPr>
        <w:t>NIMF 2</w:t>
      </w:r>
      <w:r>
        <w:t xml:space="preserve">. 2019. </w:t>
      </w:r>
      <w:r>
        <w:rPr>
          <w:i/>
          <w:iCs/>
        </w:rPr>
        <w:t>Marco para el análisis de riesgo de plagas.</w:t>
      </w:r>
      <w:r>
        <w:t xml:space="preserve"> Roma, Secretaría de la CIPF, FAO. </w:t>
      </w:r>
      <w:hyperlink w:history="1" r:id="rId14">
        <w:r>
          <w:rPr>
            <w:rStyle w:val="Hyperlink"/>
          </w:rPr>
          <w:t>www.ippc.int/es/publications/592/</w:t>
        </w:r>
      </w:hyperlink>
      <w:r>
        <w:t>.</w:t>
      </w:r>
    </w:p>
    <w:p w14:paraId="35697A0C" w14:textId="61F78EA1">
      <w:pPr>
        <w:pStyle w:val="IPPReferences"/>
      </w:pPr>
      <w:r>
        <w:rPr>
          <w:rStyle w:val="PleaseReviewParagraphId"/>
          <w:b w:val="off"/>
          <w:i w:val="off"/>
        </w:rPr>
        <w:t>[51]</w:t>
      </w:r>
      <w:r>
        <w:rPr>
          <w:b/>
        </w:rPr>
        <w:t>NIMF 7</w:t>
      </w:r>
      <w:r>
        <w:t xml:space="preserve">. 2016. </w:t>
      </w:r>
      <w:r>
        <w:rPr>
          <w:i/>
          <w:iCs/>
        </w:rPr>
        <w:t>Sistema de certificación fitosanitaria</w:t>
      </w:r>
      <w:r>
        <w:t xml:space="preserve">. Roma, Secretaría de la CIPF, FAO. </w:t>
      </w:r>
      <w:hyperlink w:history="1" r:id="rId15">
        <w:r>
          <w:rPr>
            <w:rStyle w:val="Hyperlink"/>
          </w:rPr>
          <w:t>www.ippc.int/es/publications/613/</w:t>
        </w:r>
      </w:hyperlink>
      <w:r>
        <w:t>.</w:t>
      </w:r>
    </w:p>
    <w:p w14:paraId="2A7C01B7" w14:textId="7127B111">
      <w:pPr>
        <w:pStyle w:val="IPPReferences"/>
      </w:pPr>
      <w:r>
        <w:rPr>
          <w:rStyle w:val="PleaseReviewParagraphId"/>
          <w:b w:val="off"/>
          <w:i w:val="off"/>
        </w:rPr>
        <w:t>[52]</w:t>
      </w:r>
      <w:r>
        <w:rPr>
          <w:b/>
        </w:rPr>
        <w:t>NIMF 11</w:t>
      </w:r>
      <w:r>
        <w:t xml:space="preserve">. 2019. </w:t>
      </w:r>
      <w:r>
        <w:rPr>
          <w:i/>
        </w:rPr>
        <w:t>Análisis de riesgo de plagas para plagas cuarentenarias</w:t>
      </w:r>
      <w:r>
        <w:t xml:space="preserve">. Roma, Secretaría de la CIPF, FAO. </w:t>
      </w:r>
      <w:hyperlink w:history="1" r:id="rId16">
        <w:r>
          <w:rPr>
            <w:rStyle w:val="Hyperlink"/>
          </w:rPr>
          <w:t>www.ippc.int/es/publications/639/</w:t>
        </w:r>
      </w:hyperlink>
      <w:r>
        <w:t>.</w:t>
      </w:r>
    </w:p>
    <w:p w14:paraId="725A9DC6" w14:textId="1AC0DFAD">
      <w:pPr>
        <w:pStyle w:val="IPPReferences"/>
      </w:pPr>
      <w:r>
        <w:rPr>
          <w:rStyle w:val="PleaseReviewParagraphId"/>
          <w:b w:val="off"/>
          <w:i w:val="off"/>
        </w:rPr>
        <w:t>[53]</w:t>
      </w:r>
      <w:r>
        <w:rPr>
          <w:b/>
        </w:rPr>
        <w:t>NIMF 12</w:t>
      </w:r>
      <w:r>
        <w:t xml:space="preserve">. 2022. </w:t>
      </w:r>
      <w:r>
        <w:rPr>
          <w:i/>
        </w:rPr>
        <w:t>Certificados fitosanitarios</w:t>
      </w:r>
      <w:r>
        <w:t xml:space="preserve">. Roma, Secretaría de la CIPF, FAO. </w:t>
      </w:r>
      <w:hyperlink w:history="1" r:id="rId17">
        <w:r>
          <w:rPr>
            <w:rStyle w:val="Hyperlink"/>
          </w:rPr>
          <w:t>www.ippc.int/es/publications/609/</w:t>
        </w:r>
      </w:hyperlink>
      <w:r>
        <w:t>.</w:t>
      </w:r>
    </w:p>
    <w:p w14:paraId="19639C09" w14:textId="7451A51E">
      <w:pPr>
        <w:pStyle w:val="IPPReferences"/>
      </w:pPr>
      <w:r>
        <w:rPr>
          <w:rStyle w:val="PleaseReviewParagraphId"/>
          <w:b w:val="off"/>
          <w:i w:val="off"/>
        </w:rPr>
        <w:t>[54]</w:t>
      </w:r>
      <w:r>
        <w:rPr>
          <w:b/>
        </w:rPr>
        <w:t>NIMF 18</w:t>
      </w:r>
      <w:r>
        <w:t xml:space="preserve">. 2019. </w:t>
      </w:r>
      <w:r>
        <w:rPr>
          <w:i/>
        </w:rPr>
        <w:t>Directrices para utilizar la irradiación como medida fitosanitaria</w:t>
      </w:r>
      <w:r>
        <w:t xml:space="preserve">. Roma, Secretaría de la CIPF, FAO. </w:t>
      </w:r>
      <w:hyperlink w:history="1" r:id="rId18">
        <w:r>
          <w:rPr>
            <w:rStyle w:val="Hyperlink"/>
          </w:rPr>
          <w:t>www.ippc.int/es/publications/604/</w:t>
        </w:r>
      </w:hyperlink>
      <w:r>
        <w:t>.</w:t>
      </w:r>
    </w:p>
    <w:p w14:paraId="1D65B65A" w14:textId="7B3875B8">
      <w:pPr>
        <w:pStyle w:val="IPPReferences"/>
      </w:pPr>
      <w:r>
        <w:rPr>
          <w:rStyle w:val="PleaseReviewParagraphId"/>
          <w:b w:val="off"/>
          <w:i w:val="off"/>
        </w:rPr>
        <w:t>[55]</w:t>
      </w:r>
      <w:r>
        <w:rPr>
          <w:b/>
        </w:rPr>
        <w:t>NIMF 23</w:t>
      </w:r>
      <w:r>
        <w:t xml:space="preserve">. 2019. </w:t>
      </w:r>
      <w:r>
        <w:rPr>
          <w:i/>
        </w:rPr>
        <w:t>Directrices para la inspección</w:t>
      </w:r>
      <w:r>
        <w:t xml:space="preserve">. Roma, Secretaría de la CIPF, FAO. </w:t>
      </w:r>
      <w:hyperlink w:history="1" r:id="rId19">
        <w:r>
          <w:rPr>
            <w:rStyle w:val="Hyperlink"/>
          </w:rPr>
          <w:t>www.ippc.int/es/publications/598/</w:t>
        </w:r>
      </w:hyperlink>
      <w:r>
        <w:t>.</w:t>
      </w:r>
    </w:p>
    <w:p w14:paraId="62114D32" w14:textId="4008FD91">
      <w:pPr>
        <w:pStyle w:val="IPPReferences"/>
      </w:pPr>
      <w:r>
        <w:rPr>
          <w:rStyle w:val="PleaseReviewParagraphId"/>
          <w:b w:val="off"/>
          <w:i w:val="off"/>
        </w:rPr>
        <w:t>[56]</w:t>
      </w:r>
      <w:r>
        <w:rPr>
          <w:b/>
        </w:rPr>
        <w:t>NIMF 28</w:t>
      </w:r>
      <w:r>
        <w:t xml:space="preserve">. 2016. </w:t>
      </w:r>
      <w:r>
        <w:rPr>
          <w:i/>
        </w:rPr>
        <w:t>Tratamientos fitosanitarios para plagas reglamentadas</w:t>
      </w:r>
      <w:r>
        <w:t xml:space="preserve">. Roma, Secretaría de la CIPF, FAO. </w:t>
      </w:r>
      <w:hyperlink w:history="1" r:id="rId20">
        <w:r>
          <w:rPr>
            <w:rStyle w:val="Hyperlink"/>
          </w:rPr>
          <w:t>www.ippc.int/es/publications/591/</w:t>
        </w:r>
      </w:hyperlink>
      <w:r>
        <w:t>.</w:t>
      </w:r>
    </w:p>
    <w:p w14:paraId="4CCB6156" w14:textId="5350D210">
      <w:pPr>
        <w:pStyle w:val="IPPReferences"/>
      </w:pPr>
      <w:r>
        <w:rPr>
          <w:rStyle w:val="PleaseReviewParagraphId"/>
          <w:b w:val="off"/>
          <w:i w:val="off"/>
        </w:rPr>
        <w:t>[57]</w:t>
      </w:r>
      <w:r>
        <w:rPr>
          <w:b/>
        </w:rPr>
        <w:t>NIMF 46</w:t>
      </w:r>
      <w:r>
        <w:t xml:space="preserve">. 2022. </w:t>
      </w:r>
      <w:r>
        <w:rPr>
          <w:i/>
          <w:iCs/>
        </w:rPr>
        <w:t>Normas para medidas fitosanitarias específicas para productos</w:t>
      </w:r>
      <w:r>
        <w:t xml:space="preserve">. Roma, Secretaría de la CIPF, FAO. </w:t>
      </w:r>
      <w:hyperlink w:history="1" r:id="rId21">
        <w:r>
          <w:rPr>
            <w:rStyle w:val="Hyperlink"/>
          </w:rPr>
          <w:t>www.ippc.int/es/publications/91184/</w:t>
        </w:r>
      </w:hyperlink>
      <w:r>
        <w:t>.</w:t>
      </w:r>
    </w:p>
    <w:p w14:paraId="316208D8" w14:textId="77777777">
      <w:pPr>
        <w:pStyle w:val="IPPSubheadSpace"/>
      </w:pPr>
      <w:r>
        <w:rPr>
          <w:rStyle w:val="PleaseReviewParagraphId"/>
          <w:b w:val="off"/>
          <w:i w:val="off"/>
        </w:rPr>
        <w:t>[58]</w:t>
      </w:r>
      <w:r>
        <w:t>Documentos de debate</w:t>
      </w:r>
    </w:p>
    <w:p w14:paraId="4C3DE4D3" w14:textId="1D71D989">
      <w:pPr>
        <w:pStyle w:val="IPPParagraphnumbering"/>
        <w:numPr>
          <w:ilvl w:val="0"/>
          <w:numId w:val="0"/>
        </w:numPr>
      </w:pPr>
      <w:r>
        <w:rPr>
          <w:rStyle w:val="PleaseReviewParagraphId"/>
          <w:b w:val="off"/>
          <w:i w:val="off"/>
        </w:rPr>
        <w:t>[59]</w:t>
      </w:r>
      <w:r>
        <w:t>Se alienta a los participantes y las partes interesadas a remitir documentos de debate a la Secretaría de la CIPF (</w:t>
      </w:r>
      <w:hyperlink w:history="1" r:id="rId22">
        <w:r>
          <w:rPr>
            <w:rStyle w:val="Hyperlink"/>
          </w:rPr>
          <w:t>ippc@fao.org</w:t>
        </w:r>
      </w:hyperlink>
      <w:r>
        <w:t>) para examen del Grupo técnico sobre normas para productos.</w:t>
      </w:r>
    </w:p>
    <w:sectPr>
      <w:type w:val="continuous"/>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838" w14:textId="77777777">
      <w:r>
        <w:rPr>
          <w:rStyle w:val="PleaseReviewParagraphId"/>
          <w:b w:val="off"/>
          <w:i w:val="off"/>
        </w:rPr>
        <w:t>[]</w:t>
      </w:r>
      <w:r>
        <w:separator/>
      </w:r>
    </w:p>
  </w:endnote>
  <w:endnote w:type="continuationSeparator" w:id="0">
    <w:p w14:paraId="7FC13EEB"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478F" w14:textId="77777777">
      <w:r>
        <w:rPr>
          <w:rStyle w:val="PleaseReviewParagraphId"/>
          <w:b w:val="off"/>
          <w:i w:val="off"/>
        </w:rPr>
        <w:t>[]</w:t>
      </w:r>
      <w:r>
        <w:separator/>
      </w:r>
    </w:p>
  </w:footnote>
  <w:footnote w:type="continuationSeparator" w:id="0">
    <w:p w14:paraId="1522DF22" w14:textId="77777777">
      <w:r>
        <w:rPr>
          <w:rStyle w:val="PleaseReviewParagraphId"/>
          <w:b w:val="off"/>
          <w:i w:val="off"/>
        </w:rPr>
        <w:t>[]</w:t>
      </w:r>
      <w:r>
        <w:continuationSeparator/>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4E3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CEF0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02FA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CEA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CC2D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CEC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5E63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2AD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E3F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9494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3AC2B898"/>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1">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1">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1">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1">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1">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1">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6391513">
    <w:abstractNumId w:val="17"/>
  </w:num>
  <w:num w:numId="2" w16cid:durableId="1757482905">
    <w:abstractNumId w:val="16"/>
  </w:num>
  <w:num w:numId="3" w16cid:durableId="1866021512">
    <w:abstractNumId w:val="31"/>
  </w:num>
  <w:num w:numId="4" w16cid:durableId="242842185">
    <w:abstractNumId w:val="26"/>
  </w:num>
  <w:num w:numId="5" w16cid:durableId="592323550">
    <w:abstractNumId w:val="30"/>
  </w:num>
  <w:num w:numId="6" w16cid:durableId="1692099512">
    <w:abstractNumId w:val="12"/>
  </w:num>
  <w:num w:numId="7" w16cid:durableId="94595997">
    <w:abstractNumId w:val="18"/>
  </w:num>
  <w:num w:numId="8" w16cid:durableId="653340090">
    <w:abstractNumId w:val="10"/>
  </w:num>
  <w:num w:numId="9" w16cid:durableId="882907345">
    <w:abstractNumId w:val="28"/>
  </w:num>
  <w:num w:numId="10" w16cid:durableId="1688601130">
    <w:abstractNumId w:val="13"/>
  </w:num>
  <w:num w:numId="11" w16cid:durableId="347879118">
    <w:abstractNumId w:val="15"/>
  </w:num>
  <w:num w:numId="12" w16cid:durableId="382752140">
    <w:abstractNumId w:val="32"/>
  </w:num>
  <w:num w:numId="13" w16cid:durableId="1393236642">
    <w:abstractNumId w:val="25"/>
  </w:num>
  <w:num w:numId="14" w16cid:durableId="373891119">
    <w:abstractNumId w:val="20"/>
  </w:num>
  <w:num w:numId="15" w16cid:durableId="1263104766">
    <w:abstractNumId w:val="19"/>
  </w:num>
  <w:num w:numId="16" w16cid:durableId="1959331493">
    <w:abstractNumId w:val="10"/>
  </w:num>
  <w:num w:numId="17" w16cid:durableId="614336243">
    <w:abstractNumId w:val="21"/>
  </w:num>
  <w:num w:numId="18" w16cid:durableId="1876112464">
    <w:abstractNumId w:val="27"/>
  </w:num>
  <w:num w:numId="19" w16cid:durableId="1435445020">
    <w:abstractNumId w:val="10"/>
  </w:num>
  <w:num w:numId="20" w16cid:durableId="35275387">
    <w:abstractNumId w:val="11"/>
  </w:num>
  <w:num w:numId="21" w16cid:durableId="1771046503">
    <w:abstractNumId w:val="22"/>
  </w:num>
  <w:num w:numId="22" w16cid:durableId="1907035311">
    <w:abstractNumId w:val="33"/>
  </w:num>
  <w:num w:numId="23" w16cid:durableId="491530332">
    <w:abstractNumId w:val="14"/>
  </w:num>
  <w:num w:numId="24" w16cid:durableId="149194227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8673676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16cid:durableId="10376700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16cid:durableId="87295638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100790266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138799216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16cid:durableId="480773056">
    <w:abstractNumId w:val="23"/>
  </w:num>
  <w:num w:numId="31" w16cid:durableId="1511522572">
    <w:abstractNumId w:val="29"/>
  </w:num>
  <w:num w:numId="32" w16cid:durableId="1780684467">
    <w:abstractNumId w:val="24"/>
  </w:num>
  <w:num w:numId="33" w16cid:durableId="1347291174">
    <w:abstractNumId w:val="9"/>
  </w:num>
  <w:num w:numId="34" w16cid:durableId="637761766">
    <w:abstractNumId w:val="7"/>
  </w:num>
  <w:num w:numId="35" w16cid:durableId="364447065">
    <w:abstractNumId w:val="6"/>
  </w:num>
  <w:num w:numId="36" w16cid:durableId="107550292">
    <w:abstractNumId w:val="5"/>
  </w:num>
  <w:num w:numId="37" w16cid:durableId="1303536724">
    <w:abstractNumId w:val="4"/>
  </w:num>
  <w:num w:numId="38" w16cid:durableId="314267015">
    <w:abstractNumId w:val="8"/>
  </w:num>
  <w:num w:numId="39" w16cid:durableId="1992051161">
    <w:abstractNumId w:val="3"/>
  </w:num>
  <w:num w:numId="40" w16cid:durableId="1196237674">
    <w:abstractNumId w:val="2"/>
  </w:num>
  <w:num w:numId="41" w16cid:durableId="2123068164">
    <w:abstractNumId w:val="1"/>
  </w:num>
  <w:num w:numId="42" w16cid:durableId="847673104">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NDUxMzYzNDM3NTRV0lEKTi0uzszPAykwNKgFAEjWZKYtAAAA"/>
  </w:docVars>
  <w:rsids>
    <w:rsidRoot w:val="00CD6E70"/>
    <w:rsid w:val="00012842"/>
    <w:rsid w:val="00013203"/>
    <w:rsid w:val="00016EE5"/>
    <w:rsid w:val="000278A8"/>
    <w:rsid w:val="0003363F"/>
    <w:rsid w:val="00036D6E"/>
    <w:rsid w:val="00041CEC"/>
    <w:rsid w:val="00042041"/>
    <w:rsid w:val="0004626B"/>
    <w:rsid w:val="000532FD"/>
    <w:rsid w:val="00065CE8"/>
    <w:rsid w:val="00067008"/>
    <w:rsid w:val="000708DD"/>
    <w:rsid w:val="00074282"/>
    <w:rsid w:val="00080717"/>
    <w:rsid w:val="00086FDD"/>
    <w:rsid w:val="00087C0D"/>
    <w:rsid w:val="000A3E02"/>
    <w:rsid w:val="000C34C1"/>
    <w:rsid w:val="000D2BF9"/>
    <w:rsid w:val="000E0C8E"/>
    <w:rsid w:val="000E26F2"/>
    <w:rsid w:val="000E64F9"/>
    <w:rsid w:val="000F7522"/>
    <w:rsid w:val="00102233"/>
    <w:rsid w:val="00112E1D"/>
    <w:rsid w:val="001161D1"/>
    <w:rsid w:val="00116207"/>
    <w:rsid w:val="00127A7B"/>
    <w:rsid w:val="00130147"/>
    <w:rsid w:val="00142E0E"/>
    <w:rsid w:val="00143CCF"/>
    <w:rsid w:val="001501CF"/>
    <w:rsid w:val="00156539"/>
    <w:rsid w:val="00170CEE"/>
    <w:rsid w:val="00172B35"/>
    <w:rsid w:val="0018392B"/>
    <w:rsid w:val="00186DFB"/>
    <w:rsid w:val="00187F16"/>
    <w:rsid w:val="00190582"/>
    <w:rsid w:val="001905C2"/>
    <w:rsid w:val="001A4622"/>
    <w:rsid w:val="001D4FF0"/>
    <w:rsid w:val="001F6E51"/>
    <w:rsid w:val="001F7454"/>
    <w:rsid w:val="00210BCF"/>
    <w:rsid w:val="002226CF"/>
    <w:rsid w:val="00225BBB"/>
    <w:rsid w:val="00233CC8"/>
    <w:rsid w:val="0024534B"/>
    <w:rsid w:val="00253E72"/>
    <w:rsid w:val="0026405D"/>
    <w:rsid w:val="0026435B"/>
    <w:rsid w:val="0026493B"/>
    <w:rsid w:val="00276777"/>
    <w:rsid w:val="0027686B"/>
    <w:rsid w:val="00283A0A"/>
    <w:rsid w:val="00285A28"/>
    <w:rsid w:val="002907FE"/>
    <w:rsid w:val="00294ACC"/>
    <w:rsid w:val="0029569B"/>
    <w:rsid w:val="002A42C9"/>
    <w:rsid w:val="002B3953"/>
    <w:rsid w:val="002B5E98"/>
    <w:rsid w:val="002B68C1"/>
    <w:rsid w:val="002B777A"/>
    <w:rsid w:val="002D1111"/>
    <w:rsid w:val="002D30DD"/>
    <w:rsid w:val="002D61BB"/>
    <w:rsid w:val="002E130C"/>
    <w:rsid w:val="002E1A03"/>
    <w:rsid w:val="002E1D76"/>
    <w:rsid w:val="002F2972"/>
    <w:rsid w:val="002F652C"/>
    <w:rsid w:val="003012CE"/>
    <w:rsid w:val="00314DE2"/>
    <w:rsid w:val="00321CB1"/>
    <w:rsid w:val="00326C5E"/>
    <w:rsid w:val="003307C4"/>
    <w:rsid w:val="00330E59"/>
    <w:rsid w:val="0034410C"/>
    <w:rsid w:val="003478FB"/>
    <w:rsid w:val="00353163"/>
    <w:rsid w:val="00372312"/>
    <w:rsid w:val="003823E9"/>
    <w:rsid w:val="00391E1A"/>
    <w:rsid w:val="00394494"/>
    <w:rsid w:val="003A1A38"/>
    <w:rsid w:val="003C1891"/>
    <w:rsid w:val="003D2B6D"/>
    <w:rsid w:val="003D52A0"/>
    <w:rsid w:val="003D6AE1"/>
    <w:rsid w:val="003E0D16"/>
    <w:rsid w:val="003E7C94"/>
    <w:rsid w:val="003F65FC"/>
    <w:rsid w:val="00400E44"/>
    <w:rsid w:val="004070AE"/>
    <w:rsid w:val="0041386E"/>
    <w:rsid w:val="004151E9"/>
    <w:rsid w:val="004200E4"/>
    <w:rsid w:val="0042448D"/>
    <w:rsid w:val="004247D5"/>
    <w:rsid w:val="004337CD"/>
    <w:rsid w:val="0044424E"/>
    <w:rsid w:val="004557FB"/>
    <w:rsid w:val="0045623A"/>
    <w:rsid w:val="004627E0"/>
    <w:rsid w:val="00495A96"/>
    <w:rsid w:val="00495BBC"/>
    <w:rsid w:val="004A6E95"/>
    <w:rsid w:val="004B081F"/>
    <w:rsid w:val="004C184B"/>
    <w:rsid w:val="004C439A"/>
    <w:rsid w:val="004D1977"/>
    <w:rsid w:val="004D4672"/>
    <w:rsid w:val="004D7E1C"/>
    <w:rsid w:val="004E24C2"/>
    <w:rsid w:val="004F13CF"/>
    <w:rsid w:val="00501F1E"/>
    <w:rsid w:val="00502985"/>
    <w:rsid w:val="00510D5B"/>
    <w:rsid w:val="005125C2"/>
    <w:rsid w:val="00515BB6"/>
    <w:rsid w:val="00517C5F"/>
    <w:rsid w:val="0053224B"/>
    <w:rsid w:val="0057013D"/>
    <w:rsid w:val="00570632"/>
    <w:rsid w:val="00580FA9"/>
    <w:rsid w:val="00583024"/>
    <w:rsid w:val="00586FCA"/>
    <w:rsid w:val="00592F1D"/>
    <w:rsid w:val="00597A86"/>
    <w:rsid w:val="005A3263"/>
    <w:rsid w:val="005B1471"/>
    <w:rsid w:val="005B4A54"/>
    <w:rsid w:val="005C3E81"/>
    <w:rsid w:val="005C4395"/>
    <w:rsid w:val="005D07DC"/>
    <w:rsid w:val="005D5A5B"/>
    <w:rsid w:val="005E4E14"/>
    <w:rsid w:val="005F14D6"/>
    <w:rsid w:val="005F2173"/>
    <w:rsid w:val="005F513B"/>
    <w:rsid w:val="006074DE"/>
    <w:rsid w:val="006173CA"/>
    <w:rsid w:val="006238E9"/>
    <w:rsid w:val="0062501B"/>
    <w:rsid w:val="00633952"/>
    <w:rsid w:val="00634AF0"/>
    <w:rsid w:val="00644670"/>
    <w:rsid w:val="006472DA"/>
    <w:rsid w:val="006535EC"/>
    <w:rsid w:val="00660AA6"/>
    <w:rsid w:val="00661FAC"/>
    <w:rsid w:val="00663A30"/>
    <w:rsid w:val="0066567F"/>
    <w:rsid w:val="00666EF2"/>
    <w:rsid w:val="006727C0"/>
    <w:rsid w:val="0067474F"/>
    <w:rsid w:val="00677EEE"/>
    <w:rsid w:val="0068334A"/>
    <w:rsid w:val="00683439"/>
    <w:rsid w:val="00697F93"/>
    <w:rsid w:val="006B03CC"/>
    <w:rsid w:val="006B074E"/>
    <w:rsid w:val="006B27DD"/>
    <w:rsid w:val="006B5E65"/>
    <w:rsid w:val="006B7CAD"/>
    <w:rsid w:val="006C1DD9"/>
    <w:rsid w:val="006D4F8A"/>
    <w:rsid w:val="006E5259"/>
    <w:rsid w:val="006F745C"/>
    <w:rsid w:val="007009D0"/>
    <w:rsid w:val="0070455B"/>
    <w:rsid w:val="00713AEA"/>
    <w:rsid w:val="0072622A"/>
    <w:rsid w:val="007277FA"/>
    <w:rsid w:val="00734143"/>
    <w:rsid w:val="007357F0"/>
    <w:rsid w:val="007364D3"/>
    <w:rsid w:val="00741961"/>
    <w:rsid w:val="007528A8"/>
    <w:rsid w:val="00763F7F"/>
    <w:rsid w:val="00765228"/>
    <w:rsid w:val="00782DF2"/>
    <w:rsid w:val="0078377B"/>
    <w:rsid w:val="00791A19"/>
    <w:rsid w:val="00797B94"/>
    <w:rsid w:val="007B2B36"/>
    <w:rsid w:val="007B7D46"/>
    <w:rsid w:val="007C7BFA"/>
    <w:rsid w:val="007E67F4"/>
    <w:rsid w:val="007E7872"/>
    <w:rsid w:val="007F4421"/>
    <w:rsid w:val="00802481"/>
    <w:rsid w:val="00807E9A"/>
    <w:rsid w:val="0081699F"/>
    <w:rsid w:val="00832487"/>
    <w:rsid w:val="008365D8"/>
    <w:rsid w:val="0084549C"/>
    <w:rsid w:val="00851D2D"/>
    <w:rsid w:val="00857339"/>
    <w:rsid w:val="00863E5D"/>
    <w:rsid w:val="00866373"/>
    <w:rsid w:val="00871276"/>
    <w:rsid w:val="0087329D"/>
    <w:rsid w:val="008732BB"/>
    <w:rsid w:val="0087427C"/>
    <w:rsid w:val="00876210"/>
    <w:rsid w:val="008948A7"/>
    <w:rsid w:val="008B04D8"/>
    <w:rsid w:val="008B2DEA"/>
    <w:rsid w:val="008C0091"/>
    <w:rsid w:val="008C2797"/>
    <w:rsid w:val="008D3666"/>
    <w:rsid w:val="008E5177"/>
    <w:rsid w:val="008E5CEB"/>
    <w:rsid w:val="008F3060"/>
    <w:rsid w:val="00903AC4"/>
    <w:rsid w:val="00905949"/>
    <w:rsid w:val="00924120"/>
    <w:rsid w:val="00924A74"/>
    <w:rsid w:val="00930886"/>
    <w:rsid w:val="00933B2E"/>
    <w:rsid w:val="00943DD6"/>
    <w:rsid w:val="00951190"/>
    <w:rsid w:val="009563FA"/>
    <w:rsid w:val="009626B9"/>
    <w:rsid w:val="009647D0"/>
    <w:rsid w:val="00964A39"/>
    <w:rsid w:val="00972CA7"/>
    <w:rsid w:val="00976D28"/>
    <w:rsid w:val="009849D1"/>
    <w:rsid w:val="00995723"/>
    <w:rsid w:val="009A3C53"/>
    <w:rsid w:val="009A4510"/>
    <w:rsid w:val="009B552B"/>
    <w:rsid w:val="009C3419"/>
    <w:rsid w:val="009D6A30"/>
    <w:rsid w:val="009F187D"/>
    <w:rsid w:val="009F5BB6"/>
    <w:rsid w:val="009F7F6D"/>
    <w:rsid w:val="00A006A7"/>
    <w:rsid w:val="00A0793F"/>
    <w:rsid w:val="00A102AE"/>
    <w:rsid w:val="00A10AF4"/>
    <w:rsid w:val="00A14681"/>
    <w:rsid w:val="00A24065"/>
    <w:rsid w:val="00A26756"/>
    <w:rsid w:val="00A272CB"/>
    <w:rsid w:val="00A32BAF"/>
    <w:rsid w:val="00A40B9B"/>
    <w:rsid w:val="00A40DA4"/>
    <w:rsid w:val="00A555E8"/>
    <w:rsid w:val="00A6108C"/>
    <w:rsid w:val="00A617A3"/>
    <w:rsid w:val="00A6245B"/>
    <w:rsid w:val="00A72791"/>
    <w:rsid w:val="00A849D1"/>
    <w:rsid w:val="00A8699A"/>
    <w:rsid w:val="00A86E6E"/>
    <w:rsid w:val="00A8762D"/>
    <w:rsid w:val="00A94B98"/>
    <w:rsid w:val="00AA18F5"/>
    <w:rsid w:val="00AA3D95"/>
    <w:rsid w:val="00AA5F46"/>
    <w:rsid w:val="00AB21CA"/>
    <w:rsid w:val="00AB310E"/>
    <w:rsid w:val="00AD31BE"/>
    <w:rsid w:val="00AD744A"/>
    <w:rsid w:val="00AD7C74"/>
    <w:rsid w:val="00AE19B1"/>
    <w:rsid w:val="00AE7847"/>
    <w:rsid w:val="00B037A2"/>
    <w:rsid w:val="00B34207"/>
    <w:rsid w:val="00B3707E"/>
    <w:rsid w:val="00B4119C"/>
    <w:rsid w:val="00B508AC"/>
    <w:rsid w:val="00B57061"/>
    <w:rsid w:val="00B60DDB"/>
    <w:rsid w:val="00B64180"/>
    <w:rsid w:val="00B7343E"/>
    <w:rsid w:val="00B75971"/>
    <w:rsid w:val="00B9232A"/>
    <w:rsid w:val="00B959AA"/>
    <w:rsid w:val="00BA081F"/>
    <w:rsid w:val="00BA50F5"/>
    <w:rsid w:val="00BC4D32"/>
    <w:rsid w:val="00BC6796"/>
    <w:rsid w:val="00BD0B4D"/>
    <w:rsid w:val="00BD7D79"/>
    <w:rsid w:val="00BF1245"/>
    <w:rsid w:val="00BF76E2"/>
    <w:rsid w:val="00BF792D"/>
    <w:rsid w:val="00C21F03"/>
    <w:rsid w:val="00C235EE"/>
    <w:rsid w:val="00C27766"/>
    <w:rsid w:val="00C3108C"/>
    <w:rsid w:val="00C332F9"/>
    <w:rsid w:val="00C43C8E"/>
    <w:rsid w:val="00C51384"/>
    <w:rsid w:val="00C53B12"/>
    <w:rsid w:val="00C6377D"/>
    <w:rsid w:val="00C71F51"/>
    <w:rsid w:val="00C75BB2"/>
    <w:rsid w:val="00C92A7A"/>
    <w:rsid w:val="00CA4C05"/>
    <w:rsid w:val="00CA5AD6"/>
    <w:rsid w:val="00CA7414"/>
    <w:rsid w:val="00CD6E70"/>
    <w:rsid w:val="00CF47FE"/>
    <w:rsid w:val="00CF521F"/>
    <w:rsid w:val="00D07AEC"/>
    <w:rsid w:val="00D10FB4"/>
    <w:rsid w:val="00D12024"/>
    <w:rsid w:val="00D245D6"/>
    <w:rsid w:val="00D26FB2"/>
    <w:rsid w:val="00D275BD"/>
    <w:rsid w:val="00D33F70"/>
    <w:rsid w:val="00D368F3"/>
    <w:rsid w:val="00D404DC"/>
    <w:rsid w:val="00D51518"/>
    <w:rsid w:val="00D5365E"/>
    <w:rsid w:val="00D574CC"/>
    <w:rsid w:val="00D80DA4"/>
    <w:rsid w:val="00D85DC2"/>
    <w:rsid w:val="00D9185C"/>
    <w:rsid w:val="00D936D6"/>
    <w:rsid w:val="00DA0F57"/>
    <w:rsid w:val="00DB30BD"/>
    <w:rsid w:val="00DC4BCE"/>
    <w:rsid w:val="00DE1730"/>
    <w:rsid w:val="00DE4B4D"/>
    <w:rsid w:val="00DF4459"/>
    <w:rsid w:val="00E02206"/>
    <w:rsid w:val="00E02FB4"/>
    <w:rsid w:val="00E302C0"/>
    <w:rsid w:val="00E34C12"/>
    <w:rsid w:val="00E4760F"/>
    <w:rsid w:val="00E648D6"/>
    <w:rsid w:val="00E64FF8"/>
    <w:rsid w:val="00E65838"/>
    <w:rsid w:val="00E6789B"/>
    <w:rsid w:val="00E67FB1"/>
    <w:rsid w:val="00E71711"/>
    <w:rsid w:val="00E86DAB"/>
    <w:rsid w:val="00E904B7"/>
    <w:rsid w:val="00E9576A"/>
    <w:rsid w:val="00EA307B"/>
    <w:rsid w:val="00EA31E5"/>
    <w:rsid w:val="00EA3C96"/>
    <w:rsid w:val="00EA70A4"/>
    <w:rsid w:val="00EB2717"/>
    <w:rsid w:val="00EB55B7"/>
    <w:rsid w:val="00EC5FC3"/>
    <w:rsid w:val="00EC618F"/>
    <w:rsid w:val="00ED59A2"/>
    <w:rsid w:val="00ED704C"/>
    <w:rsid w:val="00EE3BDC"/>
    <w:rsid w:val="00EF2AB5"/>
    <w:rsid w:val="00EF39F1"/>
    <w:rsid w:val="00EF6569"/>
    <w:rsid w:val="00F0232E"/>
    <w:rsid w:val="00F02CF8"/>
    <w:rsid w:val="00F031E3"/>
    <w:rsid w:val="00F05223"/>
    <w:rsid w:val="00F06191"/>
    <w:rsid w:val="00F07CC1"/>
    <w:rsid w:val="00F11888"/>
    <w:rsid w:val="00F12379"/>
    <w:rsid w:val="00F15612"/>
    <w:rsid w:val="00F2222D"/>
    <w:rsid w:val="00F2385E"/>
    <w:rsid w:val="00F245FB"/>
    <w:rsid w:val="00F32D2A"/>
    <w:rsid w:val="00F37013"/>
    <w:rsid w:val="00F455BF"/>
    <w:rsid w:val="00F471A2"/>
    <w:rsid w:val="00F672E3"/>
    <w:rsid w:val="00F70E64"/>
    <w:rsid w:val="00F74F8B"/>
    <w:rsid w:val="00FA029C"/>
    <w:rsid w:val="00FA32BA"/>
    <w:rsid w:val="00FA5393"/>
    <w:rsid w:val="00FA589A"/>
    <w:rsid w:val="00FC4B2A"/>
    <w:rsid w:val="00FC6847"/>
    <w:rsid w:val="00FD1B8D"/>
    <w:rsid w:val="00FD4D54"/>
    <w:rsid w:val="00FD7978"/>
    <w:rsid w:val="00FE2EB7"/>
    <w:rsid w:val="00FF19C3"/>
    <w:rsid w:val="2B95EC4A"/>
    <w:rsid w:val="7A4B8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BB67A"/>
  <w15:chartTrackingRefBased/>
  <w15:docId w15:val="{4D116BE7-CCB8-4BC0-B5C7-CAF7734D146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MS Mincho"/>
      <w:sz w:val="22"/>
      <w:szCs w:val="24"/>
      <w:lang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before="60"/>
    </w:pPr>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character" w:customStyle="1" w:styleId="Underline">
    <w:name w:val="Underline"/>
    <w:rPr>
      <w:u w:val="single"/>
    </w:rPr>
  </w:style>
  <w:style w:type="character" w:styleId="Hyperlink">
    <w:name w:val="Hyperlink"/>
    <w:rPr>
      <w:color w:val="0000FF"/>
      <w:u w:val="none"/>
    </w:rPr>
  </w:style>
  <w:style w:type="character" w:styleId="FollowedHyperlink">
    <w:name w:val="FollowedHyperlink"/>
    <w:rPr>
      <w:color w:val="800080"/>
      <w:u w:val="none"/>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1">
    <w:name w:val="Заголовок 1 Знак"/>
    <w:basedOn w:val="DefaultParagraphFont"/>
    <w:rPr>
      <w:rFonts w:eastAsia="MS Mincho"/>
      <w:b/>
      <w:bCs/>
      <w:sz w:val="22"/>
      <w:szCs w:val="24"/>
      <w:lang w:val="es-E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qFormat/>
    <w:rPr>
      <w:lang w:val="es-E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es-ES"/>
    </w:rPr>
  </w:style>
  <w:style w:type="paragraph" w:customStyle="1" w:styleId="Comments">
    <w:name w:val="Comments"/>
    <w:basedOn w:val="Normal"/>
    <w:pPr>
      <w:ind w:left="284" w:hanging="284"/>
    </w:p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paragraph" w:customStyle="1" w:styleId="IPPNumberedList">
    <w:name w:val="IPP NumberedList"/>
    <w:basedOn w:val="IPPBullet1"/>
    <w:qFormat/>
    <w:pPr>
      <w:numPr>
        <w:numId w:val="8"/>
      </w:numPr>
    </w:pPr>
  </w:style>
  <w:style w:type="paragraph" w:customStyle="1" w:styleId="IPPBullet1">
    <w:name w:val="IPP Bullet1"/>
    <w:basedOn w:val="IPPBullet1Last"/>
    <w:qFormat/>
    <w:pPr>
      <w:numPr>
        <w:numId w:val="31"/>
      </w:numPr>
      <w:spacing w:after="60"/>
      <w:ind w:left="567" w:hanging="567"/>
    </w:pPr>
  </w:style>
  <w:style w:type="paragraph" w:customStyle="1" w:styleId="IPPBullet1Last">
    <w:name w:val="IPP Bullet1Last"/>
    <w:basedOn w:val="IPPNormal"/>
    <w:next w:val="IPPNormal"/>
    <w:autoRedefine/>
    <w:qFormat/>
    <w:pPr>
      <w:numPr>
        <w:numId w:val="4"/>
      </w:numPr>
    </w:pPr>
  </w:style>
  <w:style w:type="paragraph" w:customStyle="1" w:styleId="IPPNumberClose">
    <w:name w:val="IPP NumberClose"/>
    <w:basedOn w:val="IPPNumber"/>
    <w:qFormat/>
    <w:pPr>
      <w:keepNext/>
      <w:spacing w:after="60"/>
    </w:p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Number">
    <w:name w:val="IPP Number"/>
    <w:basedOn w:val="IPPNormal"/>
    <w:qFormat/>
    <w:pPr>
      <w:numPr>
        <w:numId w:val="1"/>
      </w:numPr>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List">
    <w:name w:val="IPP List"/>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pPr>
      <w:spacing w:after="180"/>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character" w:customStyle="1" w:styleId="2">
    <w:name w:val="Заголовок 2 Знак"/>
    <w:basedOn w:val="DefaultParagraphFont"/>
    <w:rPr>
      <w:rFonts w:ascii="Calibri" w:eastAsia="MS Mincho" w:hAnsi="Calibri"/>
      <w:b/>
      <w:bCs/>
      <w:i/>
      <w:iCs/>
      <w:sz w:val="28"/>
      <w:szCs w:val="28"/>
      <w:lang w:val="es-ES" w:eastAsia="en-US"/>
    </w:rPr>
  </w:style>
  <w:style w:type="character" w:customStyle="1" w:styleId="3">
    <w:name w:val="Заголовок 3 Знак"/>
    <w:basedOn w:val="DefaultParagraphFont"/>
    <w:rPr>
      <w:rFonts w:ascii="Calibri" w:eastAsia="MS Mincho" w:hAnsi="Calibri"/>
      <w:b/>
      <w:bCs/>
      <w:sz w:val="26"/>
      <w:szCs w:val="26"/>
      <w:lang w:val="es-ES" w:eastAsia="en-US"/>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a">
    <w:name w:val="Текст сноски Знак"/>
    <w:basedOn w:val="DefaultParagraphFont"/>
    <w:semiHidden/>
    <w:rPr>
      <w:rFonts w:eastAsia="MS Mincho"/>
      <w:szCs w:val="24"/>
      <w:lang w:val="es-ES" w:eastAsia="en-US"/>
    </w:rPr>
  </w:style>
  <w:style w:type="paragraph" w:customStyle="1" w:styleId="Indent1">
    <w:name w:val="Indent 1"/>
    <w:basedOn w:val="Normal"/>
    <w:qFormat/>
    <w:pPr>
      <w:spacing w:after="60"/>
      <w:ind w:left="567"/>
      <w:jc w:val="left"/>
    </w:pPr>
    <w:rPr>
      <w:rFonts w:ascii="Georgia" w:eastAsia="Times" w:hAnsi="Georgia"/>
      <w:sz w:val="18"/>
    </w:rPr>
  </w:style>
  <w:style w:type="paragraph" w:customStyle="1" w:styleId="Subhead">
    <w:name w:val="Subhead"/>
    <w:basedOn w:val="Normal"/>
    <w:qFormat/>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a0">
    <w:name w:val="Текст Знак"/>
    <w:basedOn w:val="DefaultParagraphFont"/>
    <w:uiPriority w:val="99"/>
    <w:rPr>
      <w:rFonts w:ascii="Courier" w:eastAsia="Times" w:hAnsi="Courier"/>
      <w:sz w:val="21"/>
      <w:szCs w:val="21"/>
      <w:lang w:val="es-ES" w:eastAsia="en-US"/>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2"/>
      </w:numPr>
    </w:pPr>
  </w:style>
  <w:style w:type="paragraph" w:customStyle="1" w:styleId="IPPLetterList">
    <w:name w:val="IPP LetterList"/>
    <w:basedOn w:val="IPPBullet2"/>
    <w:qFormat/>
    <w:pPr>
      <w:numPr>
        <w:numId w:val="9"/>
      </w:numPr>
      <w:jc w:val="left"/>
    </w:pPr>
  </w:style>
  <w:style w:type="paragraph" w:customStyle="1" w:styleId="IPPLetterListIndent">
    <w:name w:val="IPP LetterList Indent"/>
    <w:basedOn w:val="IPPLetterList"/>
    <w:qFormat/>
    <w:pPr>
      <w:numPr>
        <w:numId w:val="6"/>
      </w:numPr>
    </w:pPr>
  </w:style>
  <w:style w:type="paragraph" w:customStyle="1" w:styleId="CharChar">
    <w:name w:val="(文字) (文字) Char (文字) (文字) Char"/>
    <w:basedOn w:val="Normal"/>
    <w:pPr>
      <w:spacing w:after="160" w:line="240" w:lineRule="exact"/>
      <w:jc w:val="left"/>
    </w:pPr>
    <w:rPr>
      <w:rFonts w:ascii="Tahoma" w:hAnsi="Tahoma"/>
      <w:sz w:val="20"/>
    </w:rPr>
  </w:style>
  <w:style w:type="paragraph" w:customStyle="1" w:styleId="IPPSubheadSpace">
    <w:name w:val="IPP Subhead Space"/>
    <w:basedOn w:val="IPPSubhead"/>
    <w:qFormat/>
    <w:pPr>
      <w:tabs>
        <w:tab w:val="left" w:pos="567"/>
      </w:tabs>
      <w:spacing w:before="60" w:after="60"/>
    </w:pPr>
  </w:style>
  <w:style w:type="paragraph" w:customStyle="1" w:styleId="CarCar">
    <w:name w:val="Car Car"/>
    <w:basedOn w:val="Normal"/>
    <w:pPr>
      <w:spacing w:after="160" w:line="240" w:lineRule="exact"/>
      <w:jc w:val="left"/>
    </w:pPr>
    <w:rPr>
      <w:rFonts w:ascii="Tahoma" w:hAnsi="Tahoma"/>
      <w:sz w:val="20"/>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21"/>
      </w:numPr>
    </w:pPr>
  </w:style>
  <w:style w:type="paragraph" w:customStyle="1" w:styleId="IPPHdg2Num">
    <w:name w:val="IPP Hdg2Num"/>
    <w:basedOn w:val="IPPHeading2"/>
    <w:next w:val="IPPNormal"/>
    <w:qFormat/>
    <w:pPr>
      <w:numPr>
        <w:ilvl w:val="1" numString="1.1. "/>
        <w:numId w:val="22"/>
      </w:numPr>
    </w:p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pPr>
      <w:spacing w:after="60"/>
    </w:pPr>
  </w:style>
  <w:style w:type="character" w:customStyle="1" w:styleId="a1">
    <w:name w:val="Верхний колонтитул Знак"/>
    <w:basedOn w:val="DefaultParagraphFont"/>
    <w:rPr>
      <w:rFonts w:eastAsia="MS Mincho"/>
      <w:sz w:val="22"/>
      <w:szCs w:val="24"/>
      <w:lang w:val="es-ES" w:eastAsia="en-US"/>
    </w:rPr>
  </w:style>
  <w:style w:type="character" w:customStyle="1" w:styleId="a2">
    <w:name w:val="Нижний колонтитул Знак"/>
    <w:basedOn w:val="DefaultParagraphFont"/>
    <w:rPr>
      <w:rFonts w:eastAsia="MS Mincho"/>
      <w:sz w:val="22"/>
      <w:szCs w:val="24"/>
      <w:lang w:val="es-ES" w:eastAsia="en-US"/>
    </w:rPr>
  </w:style>
  <w:style w:type="character" w:customStyle="1" w:styleId="IPPNormalChar">
    <w:name w:val="IPP Normal Char"/>
    <w:link w:val="IPPNormal"/>
    <w:rPr>
      <w:rFonts w:eastAsia="Times"/>
      <w:sz w:val="22"/>
      <w:szCs w:val="24"/>
      <w:lang w:val="es-ES" w:eastAsia="en-U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a3">
    <w:name w:val="Текст выноски Знак"/>
    <w:basedOn w:val="DefaultParagraphFont"/>
    <w:rPr>
      <w:rFonts w:ascii="Tahoma" w:eastAsia="MS Mincho" w:hAnsi="Tahoma" w:cs="Tahoma"/>
      <w:sz w:val="16"/>
      <w:szCs w:val="16"/>
      <w:lang w:val="es-ES" w:eastAsia="en-U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en-US"/>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pPr>
      <w:numPr>
        <w:numId w:val="7"/>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24"/>
      </w:numPr>
    </w:pPr>
  </w:style>
  <w:style w:type="paragraph" w:customStyle="1" w:styleId="IPPParagraphnumberingclose">
    <w:name w:val="IPP Paragraph numbering close"/>
    <w:basedOn w:val="IPPParagraphnumbering"/>
    <w:qFormat/>
    <w:pPr>
      <w:keepNext/>
      <w:spacing w:after="60"/>
    </w:pPr>
  </w:style>
  <w:style w:type="paragraph" w:customStyle="1" w:styleId="IPPPargraphnumbering">
    <w:name w:val="IPP Pargraph numbering"/>
    <w:basedOn w:val="IPPNormal"/>
    <w:qFormat/>
    <w:pPr>
      <w:tabs>
        <w:tab w:val="num" w:pos="360"/>
      </w:tabs>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rPr>
      <w:rFonts w:eastAsia="MS Mincho"/>
      <w:sz w:val="22"/>
      <w:szCs w:val="24"/>
      <w:lang w:val="es-ES" w:eastAsia="en-US"/>
    </w:rPr>
  </w:style>
  <w:style w:type="character" w:customStyle="1" w:styleId="BalloonTextChar">
    <w:name w:val="Balloon Text Char"/>
    <w:basedOn w:val="DefaultParagraphFont"/>
    <w:link w:val="BalloonText"/>
    <w:rPr>
      <w:rFonts w:ascii="Tahoma" w:eastAsia="MS Mincho" w:hAnsi="Tahoma" w:cs="Tahoma"/>
      <w:sz w:val="16"/>
      <w:szCs w:val="16"/>
      <w:lang w:val="es-ES" w:eastAsia="en-US"/>
    </w:rPr>
  </w:style>
  <w:style w:type="character" w:customStyle="1" w:styleId="Heading1Char">
    <w:name w:val="Heading 1 Char"/>
    <w:basedOn w:val="DefaultParagraphFont"/>
    <w:link w:val="Heading1"/>
    <w:rPr>
      <w:rFonts w:eastAsia="MS Mincho"/>
      <w:b/>
      <w:bCs/>
      <w:sz w:val="22"/>
      <w:szCs w:val="24"/>
      <w:lang w:val="es-ES" w:eastAsia="en-US"/>
    </w:rPr>
  </w:style>
  <w:style w:type="character" w:customStyle="1" w:styleId="Heading2Char">
    <w:name w:val="Heading 2 Char"/>
    <w:basedOn w:val="DefaultParagraphFont"/>
    <w:link w:val="Heading2"/>
    <w:rPr>
      <w:rFonts w:ascii="Calibri" w:eastAsia="MS Mincho" w:hAnsi="Calibri"/>
      <w:b/>
      <w:bCs/>
      <w:i/>
      <w:iCs/>
      <w:sz w:val="28"/>
      <w:szCs w:val="28"/>
      <w:lang w:val="es-ES" w:eastAsia="en-US"/>
    </w:rPr>
  </w:style>
  <w:style w:type="character" w:customStyle="1" w:styleId="Heading3Char">
    <w:name w:val="Heading 3 Char"/>
    <w:basedOn w:val="DefaultParagraphFont"/>
    <w:link w:val="Heading3"/>
    <w:rPr>
      <w:rFonts w:ascii="Calibri" w:eastAsia="MS Mincho" w:hAnsi="Calibri"/>
      <w:b/>
      <w:bCs/>
      <w:sz w:val="26"/>
      <w:szCs w:val="26"/>
      <w:lang w:val="es-ES" w:eastAsia="en-US"/>
    </w:rPr>
  </w:style>
  <w:style w:type="character" w:customStyle="1" w:styleId="FootnoteTextChar">
    <w:name w:val="Footnote Text Char"/>
    <w:basedOn w:val="DefaultParagraphFont"/>
    <w:link w:val="FootnoteText"/>
    <w:semiHidden/>
    <w:rPr>
      <w:rFonts w:eastAsia="MS Mincho"/>
      <w:szCs w:val="24"/>
      <w:lang w:val="es-ES" w:eastAsia="en-US"/>
    </w:rPr>
  </w:style>
  <w:style w:type="character" w:customStyle="1" w:styleId="PlainTextChar">
    <w:name w:val="Plain Text Char"/>
    <w:basedOn w:val="DefaultParagraphFont"/>
    <w:link w:val="PlainText"/>
    <w:uiPriority w:val="99"/>
    <w:rPr>
      <w:rFonts w:ascii="Courier" w:eastAsia="Times" w:hAnsi="Courier"/>
      <w:sz w:val="21"/>
      <w:szCs w:val="21"/>
      <w:lang w:val="es-ES" w:eastAsia="en-US"/>
    </w:rPr>
  </w:style>
  <w:style w:type="character" w:customStyle="1" w:styleId="HeaderChar">
    <w:name w:val="Header Char"/>
    <w:basedOn w:val="DefaultParagraphFont"/>
    <w:link w:val="Header"/>
    <w:rPr>
      <w:rFonts w:eastAsia="MS Mincho"/>
      <w:sz w:val="22"/>
      <w:szCs w:val="24"/>
      <w:lang w:val="es-ES" w:eastAsia="en-US"/>
    </w:rPr>
  </w:style>
  <w:style w:type="paragraph" w:styleId="Revision">
    <w:name w:val="Revision"/>
    <w:hidden/>
    <w:semiHidden/>
    <w:rPr>
      <w:rFonts w:eastAsia="MS Mincho"/>
      <w:sz w:val="22"/>
      <w:szCs w:val="24"/>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o.org/3/cb5357en/cb5357en.pdf" TargetMode="External" Id="rId13" /><Relationship Type="http://schemas.openxmlformats.org/officeDocument/2006/relationships/hyperlink" Target="https://www.ippc.int/es/publications/604/" TargetMode="External" Id="rId18" /><Relationship Type="http://schemas.openxmlformats.org/officeDocument/2006/relationships/customXml" Target="../customXml/item3.xml" Id="rId3" /><Relationship Type="http://schemas.openxmlformats.org/officeDocument/2006/relationships/hyperlink" Target="https://www.ippc.int/es/publications/91184/" TargetMode="External" Id="rId21" /><Relationship Type="http://schemas.openxmlformats.org/officeDocument/2006/relationships/settings" Target="settings.xml" Id="rId7" /><Relationship Type="http://schemas.openxmlformats.org/officeDocument/2006/relationships/hyperlink" Target="https://www.ippc.int/es/core-activities/standards-setting/list-topics-ippc-standards/" TargetMode="External" Id="rId12" /><Relationship Type="http://schemas.openxmlformats.org/officeDocument/2006/relationships/hyperlink" Target="https://www.ippc.int/es/publications/609/" TargetMode="External" Id="rId17" /><Relationship Type="http://schemas.openxmlformats.org/officeDocument/2006/relationships/customXml" Target="../customXml/item2.xml" Id="rId2" /><Relationship Type="http://schemas.openxmlformats.org/officeDocument/2006/relationships/hyperlink" Target="https://www.ippc.int/es/publications/639/" TargetMode="External" Id="rId16" /><Relationship Type="http://schemas.openxmlformats.org/officeDocument/2006/relationships/hyperlink" Target="https://www.ippc.int/es/publications/591/"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s/core-activities/"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ippc.int/es/publications/613/"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ippc.int/es/publications/598/"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pc.int/es/publications/592/" TargetMode="External" Id="rId14" /><Relationship Type="http://schemas.openxmlformats.org/officeDocument/2006/relationships/hyperlink" Target="mailto:ippc@fao.org" TargetMode="External" Id="rId22"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0D492-F8D8-49D5-86B5-3EA13427FF0A}">
  <ds:schemaRefs>
    <ds:schemaRef ds:uri="http://schemas.openxmlformats.org/officeDocument/2006/bibliography"/>
  </ds:schemaRefs>
</ds:datastoreItem>
</file>

<file path=customXml/itemProps2.xml><?xml version="1.0" encoding="utf-8"?>
<ds:datastoreItem xmlns:ds="http://schemas.openxmlformats.org/officeDocument/2006/customXml" ds:itemID="{426DFB1E-2E7E-43AA-B368-1C50A92E2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67181-0927-4743-B840-1195BC782375}">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4.xml><?xml version="1.0" encoding="utf-8"?>
<ds:datastoreItem xmlns:ds="http://schemas.openxmlformats.org/officeDocument/2006/customXml" ds:itemID="{C81AB28B-6675-45FD-B61B-E1F5A3B22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IPPC_2015-06-04.dotx</Template>
  <TotalTime>29</TotalTime>
  <Pages>3</Pages>
  <Words>1201</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IPPC-Styles</vt:lpstr>
    </vt:vector>
  </TitlesOfParts>
  <Company>FAO of the UN</Company>
  <LinksUpToDate>false</LinksUpToDate>
  <CharactersWithSpaces>9127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Mushegian, Edgar (NSP)</cp:lastModifiedBy>
  <cp:revision>19</cp:revision>
  <cp:lastPrinted>2022-06-30T08:24:00Z</cp:lastPrinted>
  <dcterms:created xsi:type="dcterms:W3CDTF">2022-05-13T08:12:00Z</dcterms:created>
  <dcterms:modified xsi:type="dcterms:W3CDTF">2022-06-30T16:42:00Z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