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2022 ICD Draft Specification: Implementation of risk-based inspection for imported consignments, Guide (2018-022). Document title: 2018-022_DS_RiskBasedInspection_ES.docx]</w:t>
      </w:r>
    </w:p>
    <w:p w14:paraId="4B9E772B" w14:textId="77777777">
      <w:pPr>
        <w:spacing w:before="60" w:after="60"/>
        <w:rPr>
          <w:b/>
          <w:color w:val="000000" w:themeColor="text1"/>
          <w:sz w:val="24"/>
        </w:rPr>
      </w:pPr>
      <w:r>
        <w:rPr>
          <w:rStyle w:val="PleaseReviewParagraphId"/>
          <w:b w:val="off"/>
          <w:i w:val="off"/>
        </w:rPr>
        <w:t>[1]</w:t>
      </w:r>
      <w:r>
        <w:rPr>
          <w:b/>
          <w:color w:val="000000" w:themeColor="text1"/>
          <w:sz w:val="24"/>
        </w:rPr>
        <w:t>PROYECTO DE ESPECIFICACIÓN: APLICACIÓN DE LA INSPECCIÓN BASADA EN EL RIESGO PARA ENVÍOS IMPORTADOS, GUÍA (2018-022)</w:t>
      </w:r>
    </w:p>
    <w:p w14:paraId="61168FD5" w14:textId="0E7C24DA">
      <w:pPr>
        <w:spacing w:before="60" w:after="60"/>
        <w:rPr>
          <w:rFonts w:eastAsia="Times" w:cs="Times New Roman"/>
          <w:b/>
          <w:bCs/>
        </w:rPr>
      </w:pPr>
      <w:r>
        <w:rPr>
          <w:rStyle w:val="PleaseReviewParagraphId"/>
          <w:b w:val="off"/>
          <w:i w:val="off"/>
        </w:rPr>
        <w:t>[2]</w:t>
      </w:r>
      <w:r>
        <w:rPr>
          <w:rFonts w:eastAsia="Times" w:cs="Times New Roman"/>
          <w:b/>
          <w:bCs/>
        </w:rPr>
        <w:t>Status box</w:t>
      </w:r>
    </w:p>
    <w:tbl>
      <w:tblPr>
        <w:tblW w:w="5000" w:type="pct"/>
        <w:jc w:val="center"/>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1"/>
        <w:gridCol w:w="6749"/>
      </w:tblGrid>
      <w:tr w14:paraId="335E8854" w14:textId="77777777">
        <w:trPr>
          <w:trHeight w:val="286"/>
          <w:jc w:val="center"/>
        </w:trPr>
        <w:tc>
          <w:tcPr>
            <w:tcW w:w="9020" w:type="dxa"/>
            <w:gridSpan w:val="2"/>
          </w:tcPr>
          <w:p w14:paraId="3998BB84" w14:textId="77777777">
            <w:pPr>
              <w:spacing w:before="60" w:after="60"/>
              <w:rPr>
                <w:rFonts w:ascii="Arial" w:hAnsi="Arial" w:eastAsia="Times"/>
                <w:sz w:val="18"/>
                <w:szCs w:val="18"/>
                <w:lang w:val="en-US"/>
              </w:rPr>
            </w:pPr>
            <w:r>
              <w:rPr>
                <w:rStyle w:val="PleaseReviewParagraphId"/>
                <w:b w:val="off"/>
                <w:i w:val="off"/>
              </w:rPr>
              <w:t>[3]</w:t>
            </w:r>
            <w:r>
              <w:rPr>
                <w:rFonts w:ascii="Arial" w:hAnsi="Arial" w:eastAsia="Times"/>
                <w:sz w:val="18"/>
                <w:szCs w:val="18"/>
                <w:lang w:val="en-US"/>
              </w:rPr>
              <w:t>This status box is not an official part of the Guide and will be modified by the IPPC Secretariat</w:t>
            </w:r>
          </w:p>
        </w:tc>
      </w:tr>
      <w:tr w14:paraId="1EC640A8" w14:textId="77777777">
        <w:trPr>
          <w:trHeight w:val="286"/>
          <w:jc w:val="center"/>
        </w:trPr>
        <w:tc>
          <w:tcPr>
            <w:tcW w:w="2271" w:type="dxa"/>
          </w:tcPr>
          <w:p w14:paraId="4CA0BC08" w14:textId="77777777">
            <w:pPr>
              <w:spacing w:before="60" w:after="60"/>
              <w:rPr>
                <w:rFonts w:ascii="Arial" w:hAnsi="Arial" w:eastAsia="Times"/>
                <w:b/>
                <w:bCs/>
                <w:sz w:val="18"/>
                <w:szCs w:val="18"/>
              </w:rPr>
            </w:pPr>
            <w:r>
              <w:rPr>
                <w:rStyle w:val="PleaseReviewParagraphId"/>
                <w:b w:val="off"/>
                <w:i w:val="off"/>
              </w:rPr>
              <w:t>[4]</w:t>
            </w:r>
            <w:r>
              <w:rPr>
                <w:rFonts w:ascii="Arial" w:hAnsi="Arial" w:eastAsia="Times"/>
                <w:b/>
                <w:bCs/>
                <w:sz w:val="18"/>
                <w:szCs w:val="18"/>
              </w:rPr>
              <w:t xml:space="preserve">Topic number: </w:t>
            </w:r>
          </w:p>
        </w:tc>
        <w:tc>
          <w:tcPr>
            <w:tcW w:w="6749" w:type="dxa"/>
          </w:tcPr>
          <w:p w14:paraId="4D5A5D9D" w14:textId="77777777">
            <w:pPr>
              <w:spacing w:before="60" w:after="60"/>
              <w:rPr>
                <w:rFonts w:ascii="Arial" w:hAnsi="Arial" w:eastAsia="Times"/>
                <w:sz w:val="18"/>
                <w:szCs w:val="18"/>
              </w:rPr>
            </w:pPr>
            <w:r>
              <w:rPr>
                <w:rStyle w:val="PleaseReviewParagraphId"/>
                <w:b w:val="off"/>
                <w:i w:val="off"/>
              </w:rPr>
              <w:t>[5]</w:t>
            </w:r>
            <w:r>
              <w:rPr>
                <w:rFonts w:ascii="Arial" w:hAnsi="Arial" w:eastAsia="Times"/>
                <w:sz w:val="18"/>
                <w:szCs w:val="18"/>
              </w:rPr>
              <w:t>2018-022</w:t>
            </w:r>
          </w:p>
        </w:tc>
      </w:tr>
      <w:tr w14:paraId="2F024A9E" w14:textId="77777777">
        <w:trPr>
          <w:trHeight w:val="286"/>
          <w:jc w:val="center"/>
        </w:trPr>
        <w:tc>
          <w:tcPr>
            <w:tcW w:w="2271" w:type="dxa"/>
          </w:tcPr>
          <w:p w14:paraId="36AB20BC" w14:textId="77777777">
            <w:pPr>
              <w:spacing w:before="60" w:after="60"/>
              <w:rPr>
                <w:rFonts w:ascii="Arial" w:hAnsi="Arial" w:eastAsia="Times"/>
                <w:b/>
                <w:bCs/>
                <w:sz w:val="18"/>
                <w:szCs w:val="18"/>
              </w:rPr>
            </w:pPr>
            <w:r>
              <w:rPr>
                <w:rStyle w:val="PleaseReviewParagraphId"/>
                <w:b w:val="off"/>
                <w:i w:val="off"/>
              </w:rPr>
              <w:t>[6]</w:t>
            </w:r>
            <w:r>
              <w:rPr>
                <w:rFonts w:ascii="Arial" w:hAnsi="Arial" w:eastAsia="Times"/>
                <w:b/>
                <w:bCs/>
                <w:sz w:val="18"/>
                <w:szCs w:val="18"/>
              </w:rPr>
              <w:t xml:space="preserve">Title </w:t>
            </w:r>
          </w:p>
        </w:tc>
        <w:tc>
          <w:tcPr>
            <w:tcW w:w="6749" w:type="dxa"/>
          </w:tcPr>
          <w:p w14:paraId="5E138C82" w14:textId="77777777">
            <w:pPr>
              <w:spacing w:before="60" w:after="60"/>
              <w:rPr>
                <w:rFonts w:ascii="Arial" w:hAnsi="Arial" w:eastAsia="Times"/>
                <w:sz w:val="18"/>
                <w:szCs w:val="18"/>
                <w:lang w:val="en-US"/>
              </w:rPr>
            </w:pPr>
            <w:r>
              <w:rPr>
                <w:rStyle w:val="PleaseReviewParagraphId"/>
                <w:b w:val="off"/>
                <w:i w:val="off"/>
              </w:rPr>
              <w:t>[7]</w:t>
            </w:r>
            <w:r>
              <w:rPr>
                <w:rFonts w:ascii="Arial" w:hAnsi="Arial" w:eastAsia="Times"/>
                <w:sz w:val="18"/>
                <w:szCs w:val="18"/>
                <w:lang w:val="en-US"/>
              </w:rPr>
              <w:t>Implementation of risk-based inspection for imported consignments</w:t>
            </w:r>
          </w:p>
        </w:tc>
      </w:tr>
      <w:tr w14:paraId="19374E14" w14:textId="77777777">
        <w:trPr>
          <w:trHeight w:val="299"/>
          <w:jc w:val="center"/>
        </w:trPr>
        <w:tc>
          <w:tcPr>
            <w:tcW w:w="2271" w:type="dxa"/>
          </w:tcPr>
          <w:p w14:paraId="05F55EC0" w14:textId="77777777">
            <w:pPr>
              <w:spacing w:before="60" w:after="60"/>
              <w:rPr>
                <w:rFonts w:ascii="Arial" w:hAnsi="Arial" w:eastAsia="Times"/>
                <w:b/>
                <w:bCs/>
                <w:sz w:val="18"/>
                <w:szCs w:val="18"/>
              </w:rPr>
            </w:pPr>
            <w:r>
              <w:rPr>
                <w:rStyle w:val="PleaseReviewParagraphId"/>
                <w:b w:val="off"/>
                <w:i w:val="off"/>
              </w:rPr>
              <w:t>[8]</w:t>
            </w:r>
            <w:r>
              <w:rPr>
                <w:rFonts w:ascii="Arial" w:hAnsi="Arial" w:eastAsia="Times"/>
                <w:b/>
                <w:bCs/>
                <w:sz w:val="18"/>
                <w:szCs w:val="18"/>
              </w:rPr>
              <w:t>Document category</w:t>
            </w:r>
          </w:p>
        </w:tc>
        <w:tc>
          <w:tcPr>
            <w:tcW w:w="6749" w:type="dxa"/>
          </w:tcPr>
          <w:p w14:paraId="3140ACF0" w14:textId="77777777">
            <w:pPr>
              <w:spacing w:before="60" w:after="60"/>
              <w:rPr>
                <w:rFonts w:ascii="Arial" w:hAnsi="Arial" w:eastAsia="Times"/>
                <w:sz w:val="18"/>
                <w:szCs w:val="18"/>
              </w:rPr>
            </w:pPr>
            <w:r>
              <w:rPr>
                <w:rStyle w:val="PleaseReviewParagraphId"/>
                <w:b w:val="off"/>
                <w:i w:val="off"/>
              </w:rPr>
              <w:t>[9]</w:t>
            </w:r>
            <w:r>
              <w:rPr>
                <w:rFonts w:ascii="Arial" w:hAnsi="Arial" w:eastAsia="Times"/>
                <w:sz w:val="18"/>
                <w:szCs w:val="18"/>
              </w:rPr>
              <w:t>IPPC Guide</w:t>
            </w:r>
          </w:p>
        </w:tc>
      </w:tr>
      <w:tr w14:paraId="076097A7" w14:textId="77777777">
        <w:trPr>
          <w:trHeight w:val="299"/>
          <w:jc w:val="center"/>
        </w:trPr>
        <w:tc>
          <w:tcPr>
            <w:tcW w:w="2271" w:type="dxa"/>
          </w:tcPr>
          <w:p w14:paraId="79BB1567" w14:textId="77777777">
            <w:pPr>
              <w:spacing w:before="60" w:after="60"/>
              <w:rPr>
                <w:rFonts w:ascii="Arial" w:hAnsi="Arial" w:eastAsia="Times"/>
                <w:b/>
                <w:bCs/>
                <w:sz w:val="18"/>
                <w:szCs w:val="18"/>
              </w:rPr>
            </w:pPr>
            <w:r>
              <w:rPr>
                <w:rStyle w:val="PleaseReviewParagraphId"/>
                <w:b w:val="off"/>
                <w:i w:val="off"/>
              </w:rPr>
              <w:t>[10]</w:t>
            </w:r>
            <w:r>
              <w:rPr>
                <w:rFonts w:ascii="Arial" w:hAnsi="Arial" w:eastAsia="Times"/>
                <w:b/>
                <w:bCs/>
                <w:sz w:val="18"/>
                <w:szCs w:val="18"/>
              </w:rPr>
              <w:t>Date of this document</w:t>
            </w:r>
          </w:p>
        </w:tc>
        <w:tc>
          <w:tcPr>
            <w:tcW w:w="6749" w:type="dxa"/>
          </w:tcPr>
          <w:p w14:paraId="1930FCD8" w14:textId="77777777">
            <w:pPr>
              <w:spacing w:before="60" w:after="60"/>
              <w:rPr>
                <w:rFonts w:ascii="Arial" w:hAnsi="Arial" w:eastAsia="Times"/>
                <w:sz w:val="18"/>
                <w:szCs w:val="18"/>
              </w:rPr>
            </w:pPr>
            <w:r>
              <w:rPr>
                <w:rStyle w:val="PleaseReviewParagraphId"/>
                <w:b w:val="off"/>
                <w:i w:val="off"/>
              </w:rPr>
              <w:t>[11]</w:t>
            </w:r>
            <w:r>
              <w:rPr>
                <w:rFonts w:ascii="Arial" w:hAnsi="Arial" w:eastAsia="Times"/>
                <w:sz w:val="18"/>
                <w:szCs w:val="18"/>
              </w:rPr>
              <w:t>2022-03-16</w:t>
            </w:r>
          </w:p>
        </w:tc>
      </w:tr>
      <w:tr w14:paraId="67E1104B" w14:textId="77777777">
        <w:trPr>
          <w:trHeight w:val="299"/>
          <w:jc w:val="center"/>
        </w:trPr>
        <w:tc>
          <w:tcPr>
            <w:tcW w:w="2271" w:type="dxa"/>
          </w:tcPr>
          <w:p w14:paraId="1FA6A974" w14:textId="77777777">
            <w:pPr>
              <w:spacing w:before="60" w:after="60"/>
              <w:rPr>
                <w:rFonts w:ascii="Arial" w:hAnsi="Arial" w:eastAsia="Times"/>
                <w:b/>
                <w:bCs/>
                <w:sz w:val="18"/>
                <w:szCs w:val="18"/>
              </w:rPr>
            </w:pPr>
            <w:r>
              <w:rPr>
                <w:rStyle w:val="PleaseReviewParagraphId"/>
                <w:b w:val="off"/>
                <w:i w:val="off"/>
              </w:rPr>
              <w:t>[12]</w:t>
            </w:r>
            <w:r>
              <w:rPr>
                <w:rFonts w:ascii="Arial" w:hAnsi="Arial" w:eastAsia="Times"/>
                <w:b/>
                <w:bCs/>
                <w:sz w:val="18"/>
                <w:szCs w:val="18"/>
              </w:rPr>
              <w:t>Current document stage</w:t>
            </w:r>
          </w:p>
        </w:tc>
        <w:tc>
          <w:tcPr>
            <w:tcW w:w="6749" w:type="dxa"/>
          </w:tcPr>
          <w:p w14:paraId="57BF7B11" w14:textId="77777777">
            <w:pPr>
              <w:spacing w:before="60" w:after="60"/>
              <w:rPr>
                <w:rFonts w:ascii="Arial" w:hAnsi="Arial" w:eastAsia="Times"/>
                <w:sz w:val="18"/>
                <w:szCs w:val="18"/>
              </w:rPr>
            </w:pPr>
            <w:r>
              <w:rPr>
                <w:rStyle w:val="PleaseReviewParagraphId"/>
                <w:b w:val="off"/>
                <w:i w:val="off"/>
              </w:rPr>
              <w:t>[13]</w:t>
            </w:r>
            <w:r>
              <w:rPr>
                <w:rFonts w:ascii="Arial" w:hAnsi="Arial" w:eastAsia="Times"/>
                <w:sz w:val="18"/>
                <w:szCs w:val="18"/>
              </w:rPr>
              <w:t>Draft Specification</w:t>
            </w:r>
          </w:p>
        </w:tc>
      </w:tr>
      <w:tr w14:paraId="02DA0BE9" w14:textId="77777777">
        <w:trPr>
          <w:trHeight w:val="491"/>
          <w:jc w:val="center"/>
        </w:trPr>
        <w:tc>
          <w:tcPr>
            <w:tcW w:w="2271" w:type="dxa"/>
          </w:tcPr>
          <w:p w14:paraId="403AF446" w14:textId="77777777">
            <w:pPr>
              <w:spacing w:before="60" w:after="60"/>
              <w:rPr>
                <w:rFonts w:ascii="Arial" w:hAnsi="Arial" w:eastAsia="Times"/>
                <w:b/>
                <w:bCs/>
                <w:sz w:val="18"/>
                <w:szCs w:val="18"/>
              </w:rPr>
            </w:pPr>
            <w:r>
              <w:rPr>
                <w:rStyle w:val="PleaseReviewParagraphId"/>
                <w:b w:val="off"/>
                <w:i w:val="off"/>
              </w:rPr>
              <w:t>[14]</w:t>
            </w:r>
            <w:r>
              <w:rPr>
                <w:rFonts w:ascii="Arial" w:hAnsi="Arial" w:eastAsia="Times"/>
                <w:b/>
                <w:bCs/>
                <w:sz w:val="18"/>
                <w:szCs w:val="18"/>
              </w:rPr>
              <w:t>Major stages</w:t>
            </w:r>
          </w:p>
        </w:tc>
        <w:tc>
          <w:tcPr>
            <w:tcW w:w="6749" w:type="dxa"/>
            <w:shd w:val="clear" w:color="auto" w:fill="auto"/>
          </w:tcPr>
          <w:p w14:paraId="30B9F1E7" w14:textId="77777777">
            <w:pPr>
              <w:spacing w:after="60"/>
              <w:rPr>
                <w:rFonts w:ascii="Arial" w:hAnsi="Arial" w:eastAsia="Times"/>
                <w:sz w:val="18"/>
                <w:szCs w:val="18"/>
                <w:lang w:val="en-US"/>
              </w:rPr>
            </w:pPr>
            <w:r>
              <w:rPr>
                <w:rStyle w:val="PleaseReviewParagraphId"/>
                <w:b w:val="off"/>
                <w:i w:val="off"/>
              </w:rPr>
              <w:t>[15]</w:t>
            </w:r>
            <w:r>
              <w:rPr>
                <w:rFonts w:ascii="Arial" w:hAnsi="Arial" w:eastAsia="Times"/>
                <w:sz w:val="18"/>
                <w:szCs w:val="18"/>
                <w:lang w:val="en-US"/>
              </w:rPr>
              <w:t xml:space="preserve">2021-04: </w:t>
            </w:r>
            <w:r>
              <w:rPr>
                <w:lang w:val="en-US"/>
              </w:rPr>
              <w:t xml:space="preserve">  </w:t>
            </w:r>
            <w:r>
              <w:rPr>
                <w:rFonts w:ascii="Arial" w:hAnsi="Arial" w:eastAsia="Times"/>
                <w:sz w:val="18"/>
                <w:szCs w:val="18"/>
                <w:lang w:val="en-US"/>
              </w:rPr>
              <w:t>CPM-15 (2021) added this topic to List of Implementation and Capacity Development Topics; priority 1</w:t>
            </w:r>
          </w:p>
          <w:p w14:paraId="688207E7" w14:textId="77777777">
            <w:pPr>
              <w:spacing w:after="60"/>
              <w:rPr>
                <w:rFonts w:ascii="Arial" w:hAnsi="Arial" w:eastAsia="Times"/>
                <w:sz w:val="18"/>
                <w:szCs w:val="18"/>
                <w:lang w:val="en-US"/>
              </w:rPr>
            </w:pPr>
            <w:r>
              <w:rPr>
                <w:rStyle w:val="PleaseReviewParagraphId"/>
                <w:b w:val="off"/>
                <w:i w:val="off"/>
              </w:rPr>
              <w:t>[16]</w:t>
            </w:r>
            <w:r>
              <w:rPr>
                <w:rFonts w:ascii="Arial" w:hAnsi="Arial" w:eastAsia="Times"/>
                <w:sz w:val="18"/>
                <w:szCs w:val="18"/>
                <w:lang w:val="en-US"/>
              </w:rPr>
              <w:t>2022-11: Implementation and Capacity Development Committee (IC) lead identified Ms Kyu-Ock YIM (KOR) and Ms Stephanie BLOEM (USA) as Assistant lead.</w:t>
            </w:r>
          </w:p>
          <w:p w14:paraId="5F7612B7" w14:textId="77777777">
            <w:pPr>
              <w:spacing w:after="60"/>
              <w:rPr>
                <w:rFonts w:ascii="Arial" w:hAnsi="Arial" w:eastAsia="Times"/>
                <w:sz w:val="18"/>
                <w:szCs w:val="18"/>
                <w:lang w:val="en-US"/>
              </w:rPr>
            </w:pPr>
            <w:r>
              <w:rPr>
                <w:rStyle w:val="PleaseReviewParagraphId"/>
                <w:b w:val="off"/>
                <w:i w:val="off"/>
              </w:rPr>
              <w:t>[17]</w:t>
            </w:r>
            <w:r>
              <w:rPr>
                <w:rFonts w:ascii="Arial" w:hAnsi="Arial" w:eastAsia="Times"/>
                <w:sz w:val="18"/>
                <w:szCs w:val="18"/>
                <w:lang w:val="en-US"/>
              </w:rPr>
              <w:t>2021-06: The IC agreed that the draft specification should be developed for the 2022 consultation</w:t>
            </w:r>
          </w:p>
          <w:p w14:paraId="4FB8E29A" w14:textId="77777777">
            <w:pPr>
              <w:spacing w:after="60"/>
              <w:rPr>
                <w:rFonts w:ascii="Arial" w:hAnsi="Arial" w:eastAsia="Times"/>
                <w:sz w:val="18"/>
                <w:szCs w:val="18"/>
                <w:lang w:val="en-US"/>
              </w:rPr>
            </w:pPr>
            <w:r>
              <w:rPr>
                <w:rStyle w:val="PleaseReviewParagraphId"/>
                <w:b w:val="off"/>
                <w:i w:val="off"/>
              </w:rPr>
              <w:t>[18]</w:t>
            </w:r>
            <w:r>
              <w:rPr>
                <w:rFonts w:ascii="Arial" w:hAnsi="Arial" w:eastAsia="Times"/>
                <w:sz w:val="18"/>
                <w:szCs w:val="18"/>
                <w:lang w:val="en-US"/>
              </w:rPr>
              <w:t xml:space="preserve">2022-03 : </w:t>
            </w:r>
            <w:r>
              <w:rPr>
                <w:rStyle w:val="Heading1Char"/>
                <w:rFonts w:ascii="Arial" w:hAnsi="Arial" w:cs="Arial"/>
                <w:color w:val="000000"/>
                <w:sz w:val="18"/>
                <w:szCs w:val="18"/>
                <w:shd w:val="clear" w:color="auto" w:fill="FFFFFF"/>
                <w:lang w:val="en-US"/>
              </w:rPr>
              <w:t xml:space="preserve"> </w:t>
            </w:r>
            <w:r>
              <w:rPr>
                <w:rStyle w:val="normaltextrun"/>
                <w:rFonts w:ascii="Arial" w:hAnsi="Arial" w:cs="Arial"/>
                <w:color w:val="000000"/>
                <w:sz w:val="18"/>
                <w:szCs w:val="18"/>
                <w:shd w:val="clear" w:color="auto" w:fill="FFFFFF"/>
                <w:lang w:val="en-US"/>
              </w:rPr>
              <w:t>IC approved draft specification for consultation</w:t>
            </w:r>
            <w:r>
              <w:rPr>
                <w:rStyle w:val="eop"/>
                <w:rFonts w:ascii="Arial" w:hAnsi="Arial" w:cs="Arial"/>
                <w:color w:val="000000"/>
                <w:sz w:val="18"/>
                <w:szCs w:val="18"/>
                <w:shd w:val="clear" w:color="auto" w:fill="FFFFFF"/>
                <w:lang w:val="en-US"/>
              </w:rPr>
              <w:t> </w:t>
            </w:r>
          </w:p>
        </w:tc>
      </w:tr>
      <w:tr w14:paraId="53171888" w14:textId="77777777">
        <w:trPr>
          <w:trHeight w:val="491"/>
          <w:jc w:val="center"/>
        </w:trPr>
        <w:tc>
          <w:tcPr>
            <w:tcW w:w="2271" w:type="dxa"/>
          </w:tcPr>
          <w:p w14:paraId="02079495" w14:textId="77777777">
            <w:pPr>
              <w:spacing w:before="60" w:after="60"/>
              <w:rPr>
                <w:rFonts w:ascii="Arial" w:hAnsi="Arial" w:eastAsia="Times"/>
                <w:b/>
                <w:bCs/>
                <w:sz w:val="18"/>
                <w:szCs w:val="18"/>
                <w:lang w:val="en-US"/>
              </w:rPr>
            </w:pPr>
            <w:r>
              <w:rPr>
                <w:rStyle w:val="PleaseReviewParagraphId"/>
                <w:b w:val="off"/>
                <w:i w:val="off"/>
              </w:rPr>
              <w:t>[19]</w:t>
            </w:r>
            <w:r>
              <w:rPr>
                <w:rFonts w:ascii="Arial" w:hAnsi="Arial" w:eastAsia="Times"/>
                <w:b/>
                <w:bCs/>
                <w:sz w:val="18"/>
                <w:szCs w:val="18"/>
                <w:lang w:val="en-US"/>
              </w:rPr>
              <w:t xml:space="preserve">Implementation </w:t>
            </w:r>
            <w:r>
              <w:rPr>
                <w:lang w:val="en-US"/>
              </w:rPr>
              <w:t xml:space="preserve"> </w:t>
            </w:r>
            <w:r>
              <w:rPr>
                <w:rFonts w:ascii="Arial" w:hAnsi="Arial" w:eastAsia="Times"/>
                <w:b/>
                <w:bCs/>
                <w:sz w:val="18"/>
                <w:szCs w:val="18"/>
                <w:lang w:val="en-US"/>
              </w:rPr>
              <w:t>and Capacity Development Committee (IC) leads</w:t>
            </w:r>
          </w:p>
        </w:tc>
        <w:tc>
          <w:tcPr>
            <w:tcW w:w="6749" w:type="dxa"/>
          </w:tcPr>
          <w:p w14:paraId="4694BCAD" w14:textId="7AD1FE21">
            <w:pPr>
              <w:spacing w:before="60" w:after="60"/>
              <w:rPr>
                <w:rFonts w:ascii="Arial" w:hAnsi="Arial" w:eastAsia="Times"/>
                <w:sz w:val="18"/>
                <w:szCs w:val="18"/>
                <w:lang w:val="en-US"/>
              </w:rPr>
            </w:pPr>
            <w:r>
              <w:rPr>
                <w:rStyle w:val="PleaseReviewParagraphId"/>
                <w:b w:val="off"/>
                <w:i w:val="off"/>
              </w:rPr>
              <w:t>[20]</w:t>
            </w:r>
            <w:r>
              <w:rPr>
                <w:rFonts w:ascii="Arial" w:hAnsi="Arial" w:eastAsia="Times"/>
                <w:sz w:val="18"/>
                <w:szCs w:val="18"/>
                <w:lang w:val="en-US"/>
              </w:rPr>
              <w:t xml:space="preserve">2021-11:  </w:t>
            </w:r>
            <w:r>
              <w:rPr>
                <w:lang w:val="en-US"/>
              </w:rPr>
              <w:t xml:space="preserve"> </w:t>
            </w:r>
            <w:r>
              <w:rPr>
                <w:rFonts w:ascii="Arial" w:hAnsi="Arial" w:eastAsia="Times"/>
                <w:sz w:val="18"/>
                <w:szCs w:val="18"/>
                <w:lang w:val="en-US"/>
              </w:rPr>
              <w:t>Kyu-Ock YIM (IC lead) and Stephanie BLOEM (Assistant lead)</w:t>
            </w:r>
          </w:p>
        </w:tc>
      </w:tr>
      <w:tr w14:paraId="248A88DB" w14:textId="77777777">
        <w:trPr>
          <w:trHeight w:val="491"/>
          <w:jc w:val="center"/>
        </w:trPr>
        <w:tc>
          <w:tcPr>
            <w:tcW w:w="2271" w:type="dxa"/>
          </w:tcPr>
          <w:p w14:paraId="3814F186" w14:textId="77777777">
            <w:pPr>
              <w:spacing w:before="60" w:after="60"/>
              <w:rPr>
                <w:rFonts w:ascii="Arial" w:hAnsi="Arial" w:eastAsia="Times"/>
                <w:b/>
                <w:bCs/>
                <w:sz w:val="18"/>
                <w:szCs w:val="18"/>
              </w:rPr>
            </w:pPr>
            <w:r>
              <w:rPr>
                <w:rStyle w:val="PleaseReviewParagraphId"/>
                <w:b w:val="off"/>
                <w:i w:val="off"/>
              </w:rPr>
              <w:t>[21]</w:t>
            </w:r>
            <w:r>
              <w:rPr>
                <w:rFonts w:ascii="Arial" w:hAnsi="Arial" w:eastAsia="Times"/>
                <w:b/>
                <w:bCs/>
                <w:sz w:val="18"/>
                <w:szCs w:val="18"/>
              </w:rPr>
              <w:t>IPPC Secretariat lead</w:t>
            </w:r>
          </w:p>
        </w:tc>
        <w:tc>
          <w:tcPr>
            <w:tcW w:w="6749" w:type="dxa"/>
          </w:tcPr>
          <w:p w14:paraId="16826C89" w14:textId="77777777">
            <w:pPr>
              <w:spacing w:before="60" w:after="60"/>
              <w:rPr>
                <w:rFonts w:ascii="Arial" w:hAnsi="Arial" w:eastAsia="Times"/>
                <w:sz w:val="18"/>
                <w:szCs w:val="18"/>
              </w:rPr>
            </w:pPr>
            <w:r>
              <w:rPr>
                <w:rStyle w:val="PleaseReviewParagraphId"/>
                <w:b w:val="off"/>
                <w:i w:val="off"/>
              </w:rPr>
              <w:t>[22]</w:t>
            </w:r>
            <w:r>
              <w:rPr>
                <w:rFonts w:ascii="Arial" w:hAnsi="Arial" w:eastAsia="Times"/>
                <w:sz w:val="18"/>
                <w:szCs w:val="18"/>
              </w:rPr>
              <w:t>2021-02: Descartes KOUMBA</w:t>
            </w:r>
          </w:p>
        </w:tc>
      </w:tr>
      <w:tr w14:paraId="7E05677A" w14:textId="77777777">
        <w:trPr>
          <w:trHeight w:val="491"/>
          <w:jc w:val="center"/>
        </w:trPr>
        <w:tc>
          <w:tcPr>
            <w:tcW w:w="2271" w:type="dxa"/>
            <w:tcBorders>
              <w:bottom w:val="single" w:color="7F7F7F" w:themeColor="text1" w:themeTint="80" w:sz="2" w:space="0"/>
            </w:tcBorders>
          </w:tcPr>
          <w:p w14:paraId="71B0FF2A" w14:textId="77777777">
            <w:pPr>
              <w:spacing w:before="60" w:after="60"/>
              <w:rPr>
                <w:rFonts w:ascii="Arial" w:hAnsi="Arial" w:eastAsia="Times"/>
                <w:b/>
                <w:bCs/>
                <w:sz w:val="18"/>
                <w:szCs w:val="18"/>
              </w:rPr>
            </w:pPr>
            <w:r>
              <w:rPr>
                <w:rStyle w:val="PleaseReviewParagraphId"/>
                <w:b w:val="off"/>
                <w:i w:val="off"/>
              </w:rPr>
              <w:t>[23]</w:t>
            </w:r>
            <w:r>
              <w:rPr>
                <w:rFonts w:ascii="Arial" w:hAnsi="Arial" w:eastAsia="Times"/>
                <w:b/>
                <w:bCs/>
                <w:sz w:val="18"/>
                <w:szCs w:val="18"/>
              </w:rPr>
              <w:t xml:space="preserve">Working Group experts </w:t>
            </w:r>
          </w:p>
        </w:tc>
        <w:tc>
          <w:tcPr>
            <w:tcW w:w="6749" w:type="dxa"/>
            <w:tcBorders>
              <w:bottom w:val="single" w:color="7F7F7F" w:themeColor="text1" w:themeTint="80" w:sz="2" w:space="0"/>
            </w:tcBorders>
          </w:tcPr>
          <w:p w14:paraId="2E39E4A5" w14:textId="77777777">
            <w:pPr>
              <w:spacing w:before="60" w:after="60"/>
              <w:rPr>
                <w:rFonts w:ascii="Arial" w:hAnsi="Arial" w:eastAsia="Times"/>
                <w:sz w:val="18"/>
                <w:szCs w:val="18"/>
              </w:rPr>
            </w:pPr>
            <w:r>
              <w:rPr>
                <w:rStyle w:val="PleaseReviewParagraphId"/>
                <w:b w:val="off"/>
                <w:i w:val="off"/>
              </w:rPr>
              <w:t>[24]</w:t>
            </w:r>
          </w:p>
        </w:tc>
      </w:tr>
      <w:tr w14:paraId="6209016F" w14:textId="77777777">
        <w:trPr>
          <w:trHeight w:val="491"/>
          <w:jc w:val="center"/>
        </w:trPr>
        <w:tc>
          <w:tcPr>
            <w:tcW w:w="2271" w:type="dxa"/>
            <w:tcBorders>
              <w:bottom w:val="single" w:color="auto" w:sz="4" w:space="0"/>
            </w:tcBorders>
          </w:tcPr>
          <w:p w14:paraId="305FB5D9" w14:textId="77777777">
            <w:pPr>
              <w:spacing w:before="60" w:after="60"/>
              <w:rPr>
                <w:rFonts w:ascii="Arial" w:hAnsi="Arial" w:eastAsia="Times"/>
                <w:b/>
                <w:bCs/>
                <w:sz w:val="18"/>
                <w:szCs w:val="18"/>
              </w:rPr>
            </w:pPr>
            <w:r>
              <w:rPr>
                <w:rStyle w:val="PleaseReviewParagraphId"/>
                <w:b w:val="off"/>
                <w:i w:val="off"/>
              </w:rPr>
              <w:t>[25]</w:t>
            </w:r>
            <w:r>
              <w:rPr>
                <w:rFonts w:ascii="Arial" w:hAnsi="Arial" w:eastAsia="Times"/>
                <w:b/>
                <w:bCs/>
                <w:sz w:val="18"/>
                <w:szCs w:val="18"/>
              </w:rPr>
              <w:t>Notes</w:t>
            </w:r>
          </w:p>
        </w:tc>
        <w:tc>
          <w:tcPr>
            <w:tcW w:w="6749" w:type="dxa"/>
            <w:tcBorders>
              <w:bottom w:val="single" w:color="auto" w:sz="4" w:space="0"/>
            </w:tcBorders>
          </w:tcPr>
          <w:p w14:paraId="62D0097E" w14:textId="77777777">
            <w:pPr>
              <w:spacing w:after="180"/>
              <w:rPr>
                <w:rFonts w:ascii="Arial" w:hAnsi="Arial" w:eastAsia="Times"/>
                <w:sz w:val="18"/>
                <w:szCs w:val="18"/>
              </w:rPr>
            </w:pPr>
            <w:r>
              <w:rPr>
                <w:rStyle w:val="PleaseReviewParagraphId"/>
                <w:b w:val="off"/>
                <w:i w:val="off"/>
              </w:rPr>
              <w:t>[26]</w:t>
            </w:r>
          </w:p>
        </w:tc>
      </w:tr>
    </w:tbl>
    <w:p w14:paraId="49703393" w14:textId="074AB2A9">
      <w:pPr>
        <w:pStyle w:val="IPPHeading1"/>
      </w:pPr>
      <w:r>
        <w:rPr>
          <w:rStyle w:val="PleaseReviewParagraphId"/>
          <w:b w:val="off"/>
          <w:i w:val="off"/>
        </w:rPr>
        <w:t>[27]</w:t>
      </w:r>
      <w:r>
        <w:rPr>
          <w:rFonts w:eastAsia="Times New Roman" w:cs="Times New Roman"/>
          <w:color w:val="000000" w:themeColor="text1"/>
        </w:rPr>
        <w:br w:type="page"/>
      </w:r>
    </w:p>
    <w:p w14:paraId="3B32809B" w14:textId="34A70A80">
      <w:pPr>
        <w:pStyle w:val="IPPNormal"/>
        <w:rPr>
          <w:b/>
          <w:sz w:val="24"/>
          <w:szCs w:val="22"/>
        </w:rPr>
      </w:pPr>
      <w:r>
        <w:rPr>
          <w:rStyle w:val="PleaseReviewParagraphId"/>
          <w:b w:val="off"/>
          <w:i w:val="off"/>
        </w:rPr>
        <w:t>[28]</w:t>
      </w:r>
      <w:r>
        <w:rPr>
          <w:b/>
          <w:sz w:val="24"/>
          <w:szCs w:val="22"/>
        </w:rPr>
        <w:lastRenderedPageBreak/>
        <w:t xml:space="preserve">1. </w:t>
        <w:tab/>
        <w:t>Título</w:t>
      </w:r>
    </w:p>
    <w:p w14:paraId="3587D0E6" w14:textId="58D46FA3">
      <w:pPr>
        <w:pStyle w:val="IPPNormal"/>
      </w:pPr>
      <w:r>
        <w:rPr>
          <w:rStyle w:val="PleaseReviewParagraphId"/>
          <w:b w:val="off"/>
          <w:i w:val="off"/>
        </w:rPr>
        <w:t>[29]</w:t>
      </w:r>
      <w:r>
        <w:t>Aplicación de la inspección basada en el riesgo para envíos importados (2018-022)</w:t>
      </w:r>
    </w:p>
    <w:p w14:paraId="5FCE0DE8" w14:textId="568D65AC">
      <w:pPr>
        <w:pStyle w:val="IPPHeading1"/>
      </w:pPr>
      <w:r>
        <w:rPr>
          <w:rStyle w:val="PleaseReviewParagraphId"/>
          <w:b w:val="off"/>
          <w:i w:val="off"/>
        </w:rPr>
        <w:t>[30]</w:t>
      </w:r>
      <w:r>
        <w:t xml:space="preserve">2. </w:t>
        <w:tab/>
        <w:t>Tipo de recurso para la aplicación</w:t>
      </w:r>
    </w:p>
    <w:p w14:paraId="6EA1F036" w14:textId="0286FD07">
      <w:pPr>
        <w:pStyle w:val="IPPNormal"/>
      </w:pPr>
      <w:r>
        <w:rPr>
          <w:rStyle w:val="PleaseReviewParagraphId"/>
          <w:b w:val="off"/>
          <w:i w:val="off"/>
        </w:rPr>
        <w:t>[31]</w:t>
      </w:r>
      <w:r>
        <w:t xml:space="preserve">Guía de la Convención Internacional de Protección Fitosanitaria (CIPF) </w:t>
      </w:r>
    </w:p>
    <w:p w14:paraId="5940AB4C" w14:textId="71A5635D">
      <w:pPr>
        <w:pStyle w:val="IPPHeading1"/>
      </w:pPr>
      <w:r>
        <w:rPr>
          <w:rStyle w:val="PleaseReviewParagraphId"/>
          <w:b w:val="off"/>
          <w:i w:val="off"/>
        </w:rPr>
        <w:t>[32]</w:t>
      </w:r>
      <w:r>
        <w:t xml:space="preserve">3. </w:t>
        <w:tab/>
        <w:t>Artículos de la Convención, Normas Internacionales para Medidas Fitosanitarias (NIMF) y recomendaciones de la Comisión de Medidas Fitosanitarias (CMF) que se abordarán mediante el recurso para la aplicación propuesto</w:t>
      </w:r>
    </w:p>
    <w:p w14:paraId="2AD82873" w14:textId="7C9BE673">
      <w:pPr>
        <w:pStyle w:val="IPPNormal"/>
      </w:pPr>
      <w:r>
        <w:rPr>
          <w:rStyle w:val="PleaseReviewParagraphId"/>
          <w:b w:val="off"/>
          <w:i w:val="off"/>
        </w:rPr>
        <w:t>[33]</w:t>
      </w:r>
      <w:r>
        <w:t>CIPF (en particular los artículos IV.2 c], VII.1 a], VII.2 c], VII.2 g] y VII.2 h])</w:t>
      </w:r>
    </w:p>
    <w:p w14:paraId="06015343" w14:textId="7AAF994E">
      <w:pPr>
        <w:pStyle w:val="IPPNormal"/>
      </w:pPr>
      <w:r>
        <w:rPr>
          <w:rStyle w:val="PleaseReviewParagraphId"/>
          <w:b w:val="off"/>
          <w:i w:val="off"/>
        </w:rPr>
        <w:t>[34]</w:t>
      </w:r>
      <w:r>
        <w:t xml:space="preserve">NIMF 23: </w:t>
      </w:r>
      <w:r>
        <w:rPr>
          <w:i/>
        </w:rPr>
        <w:t>Directrices para la inspección.</w:t>
      </w:r>
      <w:r>
        <w:t> </w:t>
      </w:r>
    </w:p>
    <w:p w14:paraId="5599CDC8" w14:textId="7FECB89A">
      <w:pPr>
        <w:pStyle w:val="IPPNormal"/>
      </w:pPr>
      <w:r>
        <w:rPr>
          <w:rStyle w:val="PleaseReviewParagraphId"/>
          <w:b w:val="off"/>
          <w:i w:val="off"/>
        </w:rPr>
        <w:t>[35]</w:t>
      </w:r>
      <w:r>
        <w:t xml:space="preserve">NIMF 31: </w:t>
      </w:r>
      <w:r>
        <w:rPr>
          <w:i/>
        </w:rPr>
        <w:t>Metodologías para muestreo de envíos.</w:t>
      </w:r>
    </w:p>
    <w:p w14:paraId="0EA364E8" w14:textId="45C011A5">
      <w:pPr>
        <w:pStyle w:val="IPPNormal"/>
        <w:rPr>
          <w:rStyle w:val="normaltextrun"/>
          <w:rFonts w:cs="Times New Roman" w:eastAsiaTheme="minorEastAsia"/>
          <w:color w:val="000000" w:themeColor="text1"/>
        </w:rPr>
      </w:pPr>
      <w:r>
        <w:rPr>
          <w:rStyle w:val="PleaseReviewParagraphId"/>
          <w:b w:val="off"/>
          <w:i w:val="off"/>
        </w:rPr>
        <w:t>[36]</w:t>
      </w:r>
      <w:r>
        <w:t xml:space="preserve">NIMF 32: </w:t>
      </w:r>
      <w:r>
        <w:rPr>
          <w:i/>
        </w:rPr>
        <w:t>Categorización de productos según su riesgo de plagas.</w:t>
      </w:r>
    </w:p>
    <w:p w14:paraId="2172A23B" w14:textId="02DF2572">
      <w:pPr>
        <w:pStyle w:val="IPPHeading1"/>
      </w:pPr>
      <w:r>
        <w:rPr>
          <w:rStyle w:val="PleaseReviewParagraphId"/>
          <w:b w:val="off"/>
          <w:i w:val="off"/>
        </w:rPr>
        <w:t>[37]</w:t>
      </w:r>
      <w:r>
        <w:t xml:space="preserve">4. </w:t>
        <w:tab/>
        <w:t xml:space="preserve">Ámbito de aplicación </w:t>
      </w:r>
    </w:p>
    <w:p w14:paraId="582906D5" w14:textId="5197C4C9">
      <w:pPr>
        <w:pStyle w:val="IPPNormal"/>
      </w:pPr>
      <w:r>
        <w:rPr>
          <w:rStyle w:val="PleaseReviewParagraphId"/>
          <w:b w:val="off"/>
          <w:i w:val="off"/>
        </w:rPr>
        <w:t>[38]</w:t>
      </w:r>
      <w:r>
        <w:t>La presente guía de la CIPF está concebida para facilitar la aplicación de los principios y las normas pertinentes de la Convención a fin de mejorar la inspección fitosanitaria basada en los riesgos derivados del comercio internacional de plantas, productos vegetales y otros artículos reglamentados. Está limitada por la definición acordada de “inspección” y el ámbito de las NIMF pertinentes.</w:t>
      </w:r>
    </w:p>
    <w:p w14:paraId="6960F2A6" w14:textId="45AC388B">
      <w:pPr>
        <w:pStyle w:val="IPPHeading1"/>
      </w:pPr>
      <w:r>
        <w:rPr>
          <w:rStyle w:val="PleaseReviewParagraphId"/>
          <w:b w:val="off"/>
          <w:i w:val="off"/>
        </w:rPr>
        <w:t>[39]</w:t>
      </w:r>
      <w:r>
        <w:t xml:space="preserve">5. </w:t>
        <w:tab/>
        <w:t xml:space="preserve">Propósito </w:t>
      </w:r>
    </w:p>
    <w:p w14:paraId="3CCEF34D" w14:textId="68FA57E4">
      <w:pPr>
        <w:pStyle w:val="IPPNormal"/>
      </w:pPr>
      <w:r>
        <w:rPr>
          <w:rStyle w:val="PleaseReviewParagraphId"/>
          <w:b w:val="off"/>
          <w:i w:val="off"/>
        </w:rPr>
        <w:t>[40]</w:t>
      </w:r>
      <w:r>
        <w:t>La guía ser</w:t>
      </w:r>
      <w:r>
        <w:rPr>
          <w:lang w:val="es-CO"/>
        </w:rPr>
        <w:t>á diseñada para</w:t>
      </w:r>
      <w:r>
        <w:t xml:space="preserve"> ayudar a las Organizaciones Nacionales de Protección Fitosanitaria (ONPF) a entender y aplicar las mejores prácticas de gestión de los riesgos asociados a la utilización de la inspección como medida fitosanitaria en relación con envíos importados.</w:t>
      </w:r>
    </w:p>
    <w:p w14:paraId="16E73DC6" w14:textId="1FFAB982">
      <w:pPr>
        <w:pStyle w:val="IPPNormal"/>
      </w:pPr>
      <w:r>
        <w:rPr>
          <w:rStyle w:val="PleaseReviewParagraphId"/>
          <w:b w:val="off"/>
          <w:i w:val="off"/>
        </w:rPr>
        <w:t>[41]</w:t>
      </w:r>
      <w:r>
        <w:t>Las ONPF se enfrentan a la dificultad de optimizar sus recursos de gestión de riesgos, especialmente el personal, para abordar el creciente volumen de comercio y de pasajeros de forma justa y técnicamente justificada. La aplicación de la inspección basada en el riesgo debería seguir un enfoque dirigido a asignar recursos para la inspección basándose en la evidencia de riesgo. Gracias al desarrollo de tecnologías de gestión de datos, es posible hacer un análisis más detallado y preciso de los registros de las importaciones. Actualmente, la tecnología permite hacer un análisis sistemático y automatizado de los datos derivados de las inspecciones con vistas a considerar la relación de los productos, los países, el volumen, los exportadores, las estaciones y otras variables de la inspección como factores que afectan al riesgo. La inspección basada en el riesgo se puede aplicar dentro del marco jurídico vigente relativo a la protección fitosanitaria en algunos países, pero es posible que en otros sea necesario modificar algunos aspectos jurídicos y procedimentales.</w:t>
      </w:r>
    </w:p>
    <w:p w14:paraId="1877D2F2" w14:textId="7B01F3D4">
      <w:pPr>
        <w:pStyle w:val="IPPHeading1"/>
      </w:pPr>
      <w:r>
        <w:rPr>
          <w:rStyle w:val="PleaseReviewParagraphId"/>
          <w:b w:val="off"/>
          <w:i w:val="off"/>
        </w:rPr>
        <w:t>[42]</w:t>
      </w:r>
      <w:r>
        <w:t xml:space="preserve">6. </w:t>
        <w:tab/>
        <w:t>Contenido del recurso para la aplicación propuesto</w:t>
      </w:r>
    </w:p>
    <w:p w14:paraId="10631231" w14:textId="2DF175B2">
      <w:pPr>
        <w:pStyle w:val="IPPNormal"/>
      </w:pPr>
      <w:r>
        <w:rPr>
          <w:rStyle w:val="PleaseReviewParagraphId"/>
          <w:b w:val="off"/>
          <w:i w:val="off"/>
        </w:rPr>
        <w:t>[43]</w:t>
      </w:r>
      <w:r>
        <w:t>El grupo de trabajo debería elaborar la guía sobre la base de los resultados de las tareas siguientes:</w:t>
      </w:r>
    </w:p>
    <w:p w14:paraId="54E4DC35" w14:textId="627A88CC">
      <w:pPr>
        <w:pStyle w:val="IPPNumberedList"/>
        <w:rPr>
          <w:rFonts w:eastAsiaTheme="minorEastAsia"/>
        </w:rPr>
      </w:pPr>
      <w:r>
        <w:rPr>
          <w:rStyle w:val="PleaseReviewParagraphId"/>
          <w:b w:val="off"/>
          <w:i w:val="off"/>
        </w:rPr>
        <w:t>[44]</w:t>
      </w:r>
      <w:r>
        <w:t>describir el concepto de inspección basada en el riesgo y sus beneficios;</w:t>
      </w:r>
    </w:p>
    <w:p w14:paraId="4502AB64" w14:textId="11DED513">
      <w:pPr>
        <w:pStyle w:val="IPPNumberedList"/>
        <w:rPr>
          <w:rFonts w:eastAsiaTheme="minorEastAsia"/>
        </w:rPr>
      </w:pPr>
      <w:r>
        <w:rPr>
          <w:rStyle w:val="PleaseReviewParagraphId"/>
          <w:b w:val="off"/>
          <w:i w:val="off"/>
        </w:rPr>
        <w:t>[45]</w:t>
      </w:r>
      <w:r>
        <w:t>determinar las prácticas habituales de inspección y las dificultades relacionadas con diferentes riesgos;</w:t>
      </w:r>
    </w:p>
    <w:p w14:paraId="08DCCDA9" w14:textId="37B09207">
      <w:pPr>
        <w:pStyle w:val="IPPNumberedList"/>
        <w:rPr>
          <w:rFonts w:eastAsiaTheme="minorEastAsia"/>
        </w:rPr>
      </w:pPr>
      <w:r>
        <w:rPr>
          <w:rStyle w:val="PleaseReviewParagraphId"/>
          <w:b w:val="off"/>
          <w:i w:val="off"/>
        </w:rPr>
        <w:t>[46]</w:t>
      </w:r>
      <w:r>
        <w:t>describir parámetros para analizar el riesgo de los envíos;</w:t>
      </w:r>
    </w:p>
    <w:p w14:paraId="2F60A8DF" w14:textId="0BDEEA64">
      <w:pPr>
        <w:pStyle w:val="IPPNumberedList"/>
        <w:rPr>
          <w:rFonts w:eastAsiaTheme="minorEastAsia"/>
        </w:rPr>
      </w:pPr>
      <w:r>
        <w:rPr>
          <w:rStyle w:val="PleaseReviewParagraphId"/>
          <w:b w:val="off"/>
          <w:i w:val="off"/>
        </w:rPr>
        <w:t>[47]</w:t>
      </w:r>
      <w:r>
        <w:t>presentar los requisitos jurídicos y fitosanitarios para establecer un sistema de inspección basada en el riesgo;</w:t>
      </w:r>
    </w:p>
    <w:p w14:paraId="06E3F51F" w14:textId="7BF70CB8">
      <w:pPr>
        <w:pStyle w:val="IPPNumberedList"/>
        <w:rPr>
          <w:rFonts w:eastAsiaTheme="minorEastAsia"/>
        </w:rPr>
      </w:pPr>
      <w:r>
        <w:rPr>
          <w:rStyle w:val="PleaseReviewParagraphId"/>
          <w:b w:val="off"/>
          <w:i w:val="off"/>
        </w:rPr>
        <w:t>[48]</w:t>
      </w:r>
      <w:r>
        <w:t>describir los datos apropiados y las instalaciones y el equipo de análisis necesarios para llevar a cabo la inspección basada en el riesgo para envíos importados;</w:t>
      </w:r>
    </w:p>
    <w:p w14:paraId="5A6CED0E" w14:textId="0C748C92">
      <w:pPr>
        <w:pStyle w:val="IPPNumberedList"/>
        <w:rPr>
          <w:rFonts w:eastAsiaTheme="minorEastAsia"/>
        </w:rPr>
      </w:pPr>
      <w:r>
        <w:rPr>
          <w:rStyle w:val="PleaseReviewParagraphId"/>
          <w:b w:val="off"/>
          <w:i w:val="off"/>
        </w:rPr>
        <w:t>[49]</w:t>
      </w:r>
      <w:r>
        <w:lastRenderedPageBreak/>
        <w:t>proporcionar orientación a las ONPF sobre el modo de mejorar la inspección basada en el riesgo consultando los datos históricos derivados de las inspecciones (incluidos los negativos);</w:t>
      </w:r>
    </w:p>
    <w:p w14:paraId="1372362D" w14:textId="4FAFF93C">
      <w:pPr>
        <w:pStyle w:val="IPPNumberedList"/>
        <w:rPr>
          <w:rFonts w:eastAsiaTheme="minorEastAsia"/>
        </w:rPr>
      </w:pPr>
      <w:r>
        <w:rPr>
          <w:rStyle w:val="PleaseReviewParagraphId"/>
          <w:b w:val="off"/>
          <w:i w:val="off"/>
        </w:rPr>
        <w:t>[50]</w:t>
      </w:r>
      <w:r>
        <w:t xml:space="preserve">Discutir los diversos grados de aplicación de la inspección basada en el riesgo; </w:t>
      </w:r>
    </w:p>
    <w:p w14:paraId="61246617" w14:textId="75D23A4B">
      <w:pPr>
        <w:pStyle w:val="IPPNumberedList"/>
        <w:rPr>
          <w:rFonts w:eastAsiaTheme="minorEastAsia"/>
        </w:rPr>
      </w:pPr>
      <w:r>
        <w:rPr>
          <w:rStyle w:val="PleaseReviewParagraphId"/>
          <w:b w:val="off"/>
          <w:i w:val="off"/>
        </w:rPr>
        <w:t>[51]</w:t>
      </w:r>
      <w:r>
        <w:t xml:space="preserve">proporcionar orientación sobre el modo de llevar a cabo la inspección de los envíos con diferentes grados de riesgo, considerando factores como la intensidad del muestreo y los intervalos de confianza y seleccionando los niveles de detección (NIMF 31),  incluyendo las preocupaciones señaladas en el documento </w:t>
      </w:r>
      <w:r>
        <w:rPr>
          <w:i/>
          <w:iCs/>
        </w:rPr>
        <w:t>Metodologías para muestreo de envíos</w:t>
      </w:r>
      <w:r>
        <w:t xml:space="preserve"> (2021-015);</w:t>
      </w:r>
    </w:p>
    <w:p w14:paraId="1B55897A" w14:textId="2D02F073">
      <w:pPr>
        <w:pStyle w:val="IPPNumberedList"/>
        <w:rPr>
          <w:rFonts w:eastAsiaTheme="minorEastAsia"/>
        </w:rPr>
      </w:pPr>
      <w:r>
        <w:rPr>
          <w:rStyle w:val="PleaseReviewParagraphId"/>
          <w:b w:val="off"/>
          <w:i w:val="off"/>
        </w:rPr>
        <w:t>[52]</w:t>
      </w:r>
      <w:r>
        <w:t>describir el modo en que el muestreo basado en el riesgo puede reducir el tratamiento a la llegada (en particular la fumigación con bromuro de metilo);</w:t>
      </w:r>
    </w:p>
    <w:p w14:paraId="5574D2BB" w14:textId="1D134C4E">
      <w:pPr>
        <w:pStyle w:val="IPPNumberedList"/>
        <w:rPr>
          <w:rFonts w:eastAsiaTheme="minorEastAsia"/>
        </w:rPr>
      </w:pPr>
      <w:r>
        <w:rPr>
          <w:rStyle w:val="PleaseReviewParagraphId"/>
          <w:b w:val="off"/>
          <w:i w:val="off"/>
        </w:rPr>
        <w:t>[53]</w:t>
      </w:r>
      <w:r>
        <w:t>proporcionar ejemplos de procedimientos de inspección basada en el riesgo para envíos importados;</w:t>
      </w:r>
    </w:p>
    <w:p w14:paraId="70753C84" w14:textId="59E855A1">
      <w:pPr>
        <w:pStyle w:val="IPPNumberedList"/>
        <w:spacing w:after="180"/>
        <w:rPr>
          <w:rFonts w:eastAsiaTheme="minorEastAsia"/>
        </w:rPr>
      </w:pPr>
      <w:r>
        <w:rPr>
          <w:rStyle w:val="PleaseReviewParagraphId"/>
          <w:b w:val="off"/>
          <w:i w:val="off"/>
        </w:rPr>
        <w:t>[54]</w:t>
      </w:r>
      <w:r>
        <w:t>proponer estudios de casos en los que se destaquen las experiencias de las ONPF en la aplicación de la inspección basada en el riesgo  para envíos importados.</w:t>
      </w:r>
    </w:p>
    <w:p w14:paraId="397285FB" w14:textId="14F3F9DD">
      <w:pPr>
        <w:pStyle w:val="IPPHeading1"/>
      </w:pPr>
      <w:r>
        <w:rPr>
          <w:rStyle w:val="PleaseReviewParagraphId"/>
          <w:b w:val="off"/>
          <w:i w:val="off"/>
        </w:rPr>
        <w:t>[55]</w:t>
      </w:r>
      <w:r>
        <w:t xml:space="preserve">7. </w:t>
        <w:tab/>
        <w:t xml:space="preserve">Contribuciones financieras y en especie </w:t>
      </w:r>
    </w:p>
    <w:p w14:paraId="6650F048" w14:textId="72C7ADBA">
      <w:pPr>
        <w:pStyle w:val="IPPNormal"/>
      </w:pPr>
      <w:r>
        <w:rPr>
          <w:rStyle w:val="PleaseReviewParagraphId"/>
          <w:b w:val="off"/>
          <w:i w:val="off"/>
        </w:rPr>
        <w:t>[56]</w:t>
      </w:r>
      <w:r>
        <w:t>Esta guía se elaborará con el apoyo financiero de la República de Corea.</w:t>
      </w:r>
    </w:p>
    <w:p w14:paraId="0C4AF52F" w14:textId="6EC551D9">
      <w:pPr>
        <w:pStyle w:val="IPPHeading1"/>
      </w:pPr>
      <w:r>
        <w:rPr>
          <w:rStyle w:val="PleaseReviewParagraphId"/>
          <w:b w:val="off"/>
          <w:i w:val="off"/>
        </w:rPr>
        <w:t>[57]</w:t>
      </w:r>
      <w:r>
        <w:t xml:space="preserve">8. </w:t>
        <w:tab/>
        <w:t xml:space="preserve">Criterios de selección de los expertos del grupo de trabajo </w:t>
      </w:r>
    </w:p>
    <w:p w14:paraId="4E833EA1" w14:textId="418B1CBD">
      <w:pPr>
        <w:pStyle w:val="IPPNormal"/>
      </w:pPr>
      <w:r>
        <w:rPr>
          <w:rStyle w:val="PleaseReviewParagraphId"/>
          <w:b w:val="off"/>
          <w:i w:val="off"/>
        </w:rPr>
        <w:t>[58]</w:t>
      </w:r>
      <w:r>
        <w:t xml:space="preserve">La Secretaría de la CIPF y el Comité de Aplicación y Desarrollo de la Capacidad (CACD) respaldan la equidad, la diversidad y la inclusión y alientan a todos los expertos interesados a presentar sus candidaturas para participar en el grupo de trabajo que se encargará de elaborar esta guía de la CIPF. </w:t>
      </w:r>
    </w:p>
    <w:p w14:paraId="7B0B14D4" w14:textId="65CE9BF6">
      <w:pPr>
        <w:pStyle w:val="IPPNormal"/>
      </w:pPr>
      <w:r>
        <w:rPr>
          <w:rStyle w:val="PleaseReviewParagraphId"/>
          <w:b w:val="off"/>
          <w:i w:val="off"/>
        </w:rPr>
        <w:t>[59]</w:t>
      </w:r>
      <w:r>
        <w:t xml:space="preserve">Los miembros del grupo de trabajo se seleccionarán en función de sus conocimientos técnicos y prácticos en la materia. En la selección de los expertos se tendrá en cuenta también la representación geográfica de países tanto en desarrollo como desarrollados para velar por que el material elaborado sea aplicable a nivel mundial y refleje las mejores prácticas de todo el mundo. </w:t>
      </w:r>
    </w:p>
    <w:p w14:paraId="6CE7E300" w14:textId="6B36037F">
      <w:pPr>
        <w:pStyle w:val="IPPNormal"/>
      </w:pPr>
      <w:r>
        <w:rPr>
          <w:rStyle w:val="PleaseReviewParagraphId"/>
          <w:b w:val="off"/>
          <w:i w:val="off"/>
        </w:rPr>
        <w:t>[60]</w:t>
      </w:r>
      <w:r>
        <w:t>Para seleccionar a los miembros del grupo de trabajo se deberían utilizar los criterios siguientes:</w:t>
      </w:r>
    </w:p>
    <w:p w14:paraId="16FC7628" w14:textId="353D5A9D">
      <w:pPr>
        <w:pStyle w:val="IPPNumberedList"/>
        <w:numPr>
          <w:ilvl w:val="0"/>
          <w:numId w:val="47"/>
        </w:numPr>
      </w:pPr>
      <w:r>
        <w:rPr>
          <w:rStyle w:val="PleaseReviewParagraphId"/>
          <w:b w:val="off"/>
          <w:i w:val="off"/>
        </w:rPr>
        <w:t>[61]</w:t>
      </w:r>
      <w:r>
        <w:t>competencias prácticas y conocimientos sobre uno o varios de los siguientes ámbitos:</w:t>
      </w:r>
    </w:p>
    <w:p w14:paraId="6E4D9972" w14:textId="0FA5B0D1">
      <w:pPr>
        <w:pStyle w:val="IPPBullet1"/>
        <w:ind w:left="709" w:hanging="283"/>
      </w:pPr>
      <w:r>
        <w:rPr>
          <w:rStyle w:val="PleaseReviewParagraphId"/>
          <w:b w:val="off"/>
          <w:i w:val="off"/>
        </w:rPr>
        <w:t>[62]</w:t>
      </w:r>
      <w:r>
        <w:t>elaboración o gestión de sistemas fitosanitarios con referencia a exportaciones e importaciones;</w:t>
      </w:r>
    </w:p>
    <w:p w14:paraId="32049E1B" w14:textId="627CE90A">
      <w:pPr>
        <w:pStyle w:val="IPPBullet1"/>
        <w:ind w:left="709" w:hanging="283"/>
      </w:pPr>
      <w:r>
        <w:rPr>
          <w:rStyle w:val="PleaseReviewParagraphId"/>
          <w:b w:val="off"/>
          <w:i w:val="off"/>
        </w:rPr>
        <w:t>[63]</w:t>
      </w:r>
      <w:r>
        <w:t xml:space="preserve">planificación estratégica de actividades fitosanitarias; </w:t>
      </w:r>
    </w:p>
    <w:p w14:paraId="763236AA" w14:textId="10DA5009">
      <w:pPr>
        <w:pStyle w:val="IPPBullet1"/>
        <w:ind w:left="709" w:hanging="283"/>
      </w:pPr>
      <w:r>
        <w:rPr>
          <w:rStyle w:val="PleaseReviewParagraphId"/>
          <w:b w:val="off"/>
          <w:i w:val="off"/>
        </w:rPr>
        <w:t>[64]</w:t>
      </w:r>
      <w:r>
        <w:t>experiencia en la gestión de inspecciones fitosanitarias;</w:t>
      </w:r>
    </w:p>
    <w:p w14:paraId="7F68152F" w14:textId="6D050E6E">
      <w:pPr>
        <w:pStyle w:val="IPPBullet1"/>
        <w:ind w:left="709" w:hanging="283"/>
      </w:pPr>
      <w:r>
        <w:rPr>
          <w:rStyle w:val="PleaseReviewParagraphId"/>
          <w:b w:val="off"/>
          <w:i w:val="off"/>
        </w:rPr>
        <w:t>[65]</w:t>
      </w:r>
      <w:r>
        <w:t xml:space="preserve">experiencia en la gestión de datos relativos a los resultados de las inspecciones; </w:t>
      </w:r>
    </w:p>
    <w:p w14:paraId="5701AEF9" w14:textId="76077E14">
      <w:pPr>
        <w:pStyle w:val="IPPBullet1"/>
        <w:ind w:left="709" w:hanging="283"/>
      </w:pPr>
      <w:r>
        <w:rPr>
          <w:rStyle w:val="PleaseReviewParagraphId"/>
          <w:b w:val="off"/>
          <w:i w:val="off"/>
        </w:rPr>
        <w:t>[66]</w:t>
      </w:r>
      <w:r>
        <w:t>aplicación de la inspección basada en el riesgo;</w:t>
      </w:r>
    </w:p>
    <w:p w14:paraId="76A26CE2" w14:textId="187CC9AB">
      <w:pPr>
        <w:pStyle w:val="IPPBullet1"/>
        <w:ind w:left="709" w:hanging="283"/>
      </w:pPr>
      <w:r>
        <w:rPr>
          <w:rStyle w:val="PleaseReviewParagraphId"/>
          <w:b w:val="off"/>
          <w:i w:val="off"/>
        </w:rPr>
        <w:t>[67]</w:t>
      </w:r>
      <w:r>
        <w:t>certificación de exportaciones;</w:t>
      </w:r>
    </w:p>
    <w:p w14:paraId="5037FF8E" w14:textId="0651571A">
      <w:pPr>
        <w:pStyle w:val="IPPBullet1"/>
        <w:ind w:left="709" w:hanging="283"/>
      </w:pPr>
      <w:r>
        <w:rPr>
          <w:rStyle w:val="PleaseReviewParagraphId"/>
          <w:b w:val="off"/>
          <w:i w:val="off"/>
        </w:rPr>
        <w:t>[68]</w:t>
      </w:r>
      <w:r>
        <w:t>verificación de importaciones;</w:t>
      </w:r>
    </w:p>
    <w:p w14:paraId="0F53C255" w14:textId="2C0FB759">
      <w:pPr>
        <w:pStyle w:val="IPPBullet1"/>
        <w:ind w:left="709" w:hanging="283"/>
      </w:pPr>
      <w:r>
        <w:rPr>
          <w:rStyle w:val="PleaseReviewParagraphId"/>
          <w:b w:val="off"/>
          <w:i w:val="off"/>
        </w:rPr>
        <w:t>[69]</w:t>
      </w:r>
      <w:r>
        <w:t xml:space="preserve">análisis de riesgo de plagas; </w:t>
      </w:r>
    </w:p>
    <w:p w14:paraId="1B52DEE5" w14:textId="223D26CA">
      <w:pPr>
        <w:pStyle w:val="IPPNumberedList"/>
        <w:rPr>
          <w:rFonts w:ascii="Calibri" w:hAnsi="Calibri" w:eastAsia="Malgun Gothic"/>
        </w:rPr>
      </w:pPr>
      <w:r>
        <w:rPr>
          <w:rStyle w:val="PleaseReviewParagraphId"/>
          <w:b w:val="off"/>
          <w:i w:val="off"/>
        </w:rPr>
        <w:t>[70]</w:t>
      </w:r>
      <w:r>
        <w:t>excelente conocimiento práctico del inglés y capacidad de formular ideas y escribir con claridad en dicho idioma.</w:t>
      </w:r>
    </w:p>
    <w:p w14:paraId="456C63F9" w14:textId="3C658F30">
      <w:pPr>
        <w:pStyle w:val="IPPHeading1"/>
      </w:pPr>
      <w:r>
        <w:rPr>
          <w:rStyle w:val="PleaseReviewParagraphId"/>
          <w:b w:val="off"/>
          <w:i w:val="off"/>
        </w:rPr>
        <w:t>[71]</w:t>
      </w:r>
      <w:r>
        <w:t xml:space="preserve">9. </w:t>
        <w:tab/>
        <w:t xml:space="preserve">Referencias </w:t>
      </w:r>
    </w:p>
    <w:p w14:paraId="4DD052C8" w14:textId="5F64DB4A">
      <w:pPr>
        <w:pStyle w:val="IPPNormal"/>
        <w:jc w:val="left"/>
      </w:pPr>
      <w:r>
        <w:rPr>
          <w:rStyle w:val="PleaseReviewParagraphId"/>
          <w:b w:val="off"/>
          <w:i w:val="off"/>
        </w:rPr>
        <w:t>[72]</w:t>
      </w:r>
      <w:r>
        <w:rPr>
          <w:b/>
        </w:rPr>
        <w:t xml:space="preserve">NIMF 1. </w:t>
      </w:r>
      <w:r>
        <w:t>2021.</w:t>
      </w:r>
      <w:r>
        <w:rPr>
          <w:b/>
        </w:rPr>
        <w:t xml:space="preserve"> </w:t>
      </w:r>
      <w:r>
        <w:rPr>
          <w:i/>
        </w:rPr>
        <w:t>Principios fitosanitarios para la protección de las plantas y la aplicación de medidas fitosanitarias en el comercio internacional</w:t>
      </w:r>
      <w:r>
        <w:t xml:space="preserve">. Roma, Secretaría de la CIPF, FAO. </w:t>
      </w:r>
      <w:hyperlink w:history="1" r:id="rId11">
        <w:r>
          <w:rPr>
            <w:rStyle w:val="Hyperlink"/>
          </w:rPr>
          <w:t>https://www.ippc.int/es/publications/596/</w:t>
        </w:r>
      </w:hyperlink>
      <w:r>
        <w:t xml:space="preserve">. </w:t>
      </w:r>
    </w:p>
    <w:p w14:paraId="174797F2" w14:textId="7DCA273F">
      <w:pPr>
        <w:pStyle w:val="IPPNormal"/>
        <w:jc w:val="left"/>
      </w:pPr>
      <w:r>
        <w:rPr>
          <w:rStyle w:val="PleaseReviewParagraphId"/>
          <w:b w:val="off"/>
          <w:i w:val="off"/>
        </w:rPr>
        <w:t>[73]</w:t>
      </w:r>
      <w:r>
        <w:rPr>
          <w:b/>
        </w:rPr>
        <w:t>NIMF 5.</w:t>
      </w:r>
      <w:r>
        <w:rPr>
          <w:i/>
        </w:rPr>
        <w:t xml:space="preserve"> Glosario de términos fitosanitarios. </w:t>
      </w:r>
      <w:r>
        <w:t xml:space="preserve">Roma, Secretaría de la CIPF, FAO. </w:t>
      </w:r>
      <w:hyperlink w:history="1" r:id="rId12">
        <w:r>
          <w:rPr>
            <w:rStyle w:val="Hyperlink"/>
          </w:rPr>
          <w:t>https://www.ippc.int/es/publications/622/</w:t>
        </w:r>
      </w:hyperlink>
      <w:r>
        <w:t>.</w:t>
      </w:r>
    </w:p>
    <w:p w14:paraId="17F37292" w14:textId="446EE124">
      <w:pPr>
        <w:pStyle w:val="IPPNormal"/>
        <w:jc w:val="left"/>
      </w:pPr>
      <w:r>
        <w:rPr>
          <w:rStyle w:val="PleaseReviewParagraphId"/>
          <w:b w:val="off"/>
          <w:i w:val="off"/>
        </w:rPr>
        <w:t>[74]</w:t>
      </w:r>
      <w:r>
        <w:rPr>
          <w:rStyle w:val="normaltextrun"/>
          <w:b/>
          <w:color w:val="000000" w:themeColor="text1"/>
        </w:rPr>
        <w:t>NIMF 7.</w:t>
      </w:r>
      <w:r>
        <w:rPr>
          <w:rStyle w:val="normaltextrun"/>
          <w:color w:val="000000" w:themeColor="text1"/>
        </w:rPr>
        <w:t xml:space="preserve"> 2021. </w:t>
      </w:r>
      <w:r>
        <w:rPr>
          <w:rStyle w:val="normaltextrun"/>
          <w:i/>
          <w:iCs/>
          <w:color w:val="000000" w:themeColor="text1"/>
        </w:rPr>
        <w:t>Sistema de certificación fitosanitaria</w:t>
      </w:r>
      <w:r>
        <w:rPr>
          <w:rStyle w:val="normaltextrun"/>
          <w:color w:val="000000" w:themeColor="text1"/>
        </w:rPr>
        <w:t xml:space="preserve">. </w:t>
      </w:r>
      <w:r>
        <w:t xml:space="preserve">Roma, Secretaría de la CIPF, FAO. </w:t>
      </w:r>
      <w:hyperlink w:history="1" r:id="rId13">
        <w:r>
          <w:rPr>
            <w:rStyle w:val="Hyperlink"/>
          </w:rPr>
          <w:t>https://www.ippc.int/es/publications/613/</w:t>
        </w:r>
      </w:hyperlink>
      <w:r>
        <w:t xml:space="preserve">. </w:t>
      </w:r>
    </w:p>
    <w:p w14:paraId="38760F2B" w14:textId="1A4A6DE7">
      <w:pPr>
        <w:pStyle w:val="IPPNormal"/>
        <w:jc w:val="left"/>
      </w:pPr>
      <w:r>
        <w:rPr>
          <w:rStyle w:val="PleaseReviewParagraphId"/>
          <w:b w:val="off"/>
          <w:i w:val="off"/>
        </w:rPr>
        <w:t>[75]</w:t>
      </w:r>
      <w:r>
        <w:rPr>
          <w:b/>
        </w:rPr>
        <w:lastRenderedPageBreak/>
        <w:t>NIMF 20.</w:t>
      </w:r>
      <w:r>
        <w:t xml:space="preserve"> 2021. </w:t>
      </w:r>
      <w:r>
        <w:rPr>
          <w:i/>
          <w:iCs/>
        </w:rPr>
        <w:t>Directrices sobre un sistema fitosanitario de reglamentación de importaciones</w:t>
      </w:r>
      <w:r>
        <w:t xml:space="preserve">. Roma, Secretaría de la CIPF, FAO. </w:t>
      </w:r>
      <w:hyperlink w:history="1" r:id="rId14">
        <w:r>
          <w:rPr>
            <w:rStyle w:val="Hyperlink"/>
          </w:rPr>
          <w:t>https://www.ippc.int/es/publications/602/</w:t>
        </w:r>
      </w:hyperlink>
      <w:r>
        <w:t xml:space="preserve">. </w:t>
      </w:r>
    </w:p>
    <w:p w14:paraId="3175779D" w14:textId="2670DA83">
      <w:pPr>
        <w:pStyle w:val="IPPNormal"/>
        <w:jc w:val="left"/>
      </w:pPr>
      <w:r>
        <w:rPr>
          <w:rStyle w:val="PleaseReviewParagraphId"/>
          <w:b w:val="off"/>
          <w:i w:val="off"/>
        </w:rPr>
        <w:t>[76]</w:t>
      </w:r>
      <w:r>
        <w:rPr>
          <w:b/>
        </w:rPr>
        <w:t>NIMF 23.</w:t>
      </w:r>
      <w:r>
        <w:t xml:space="preserve"> 2021. </w:t>
      </w:r>
      <w:r>
        <w:rPr>
          <w:i/>
        </w:rPr>
        <w:t>Directrices para la inspección</w:t>
      </w:r>
      <w:r>
        <w:t xml:space="preserve">. Roma, Secretaría de la CIPF, FAO. </w:t>
      </w:r>
      <w:hyperlink w:history="1" r:id="rId15">
        <w:r>
          <w:rPr>
            <w:rStyle w:val="Hyperlink"/>
          </w:rPr>
          <w:t>https://www.ippc.int/es/publications/598/</w:t>
        </w:r>
      </w:hyperlink>
      <w:r>
        <w:t>.</w:t>
      </w:r>
    </w:p>
    <w:p w14:paraId="027A9D87" w14:textId="5483CE3A">
      <w:pPr>
        <w:pStyle w:val="IPPNormal"/>
        <w:jc w:val="left"/>
      </w:pPr>
      <w:r>
        <w:rPr>
          <w:rStyle w:val="PleaseReviewParagraphId"/>
          <w:b w:val="off"/>
          <w:i w:val="off"/>
        </w:rPr>
        <w:t>[77]</w:t>
      </w:r>
      <w:r>
        <w:rPr>
          <w:b/>
        </w:rPr>
        <w:t>NIMF 31.</w:t>
      </w:r>
      <w:r>
        <w:t xml:space="preserve"> 2021. </w:t>
      </w:r>
      <w:r>
        <w:rPr>
          <w:i/>
          <w:iCs/>
        </w:rPr>
        <w:t>Metodologías para muestreo de envíos</w:t>
      </w:r>
      <w:r>
        <w:t xml:space="preserve">. Roma, Secretaría de la CIPF, FAO. </w:t>
      </w:r>
      <w:hyperlink w:history="1" r:id="rId16">
        <w:r>
          <w:rPr>
            <w:rStyle w:val="Hyperlink"/>
          </w:rPr>
          <w:t>https://www.ippc.int/es/publications/588/</w:t>
        </w:r>
      </w:hyperlink>
      <w:r>
        <w:t>.</w:t>
      </w:r>
    </w:p>
    <w:p w14:paraId="7AA545D8" w14:textId="7A1B1826">
      <w:pPr>
        <w:pStyle w:val="IPPNormal"/>
        <w:jc w:val="left"/>
        <w:rPr>
          <w:rFonts w:cs="Times New Roman" w:eastAsiaTheme="minorEastAsia"/>
          <w:color w:val="000000" w:themeColor="text1"/>
        </w:rPr>
      </w:pPr>
      <w:r>
        <w:rPr>
          <w:rStyle w:val="PleaseReviewParagraphId"/>
          <w:b w:val="off"/>
          <w:i w:val="off"/>
        </w:rPr>
        <w:t>[78]</w:t>
      </w:r>
      <w:r>
        <w:rPr>
          <w:b/>
        </w:rPr>
        <w:t>NIMF 32.</w:t>
      </w:r>
      <w:r>
        <w:t xml:space="preserve"> 2021. </w:t>
      </w:r>
      <w:r>
        <w:rPr>
          <w:i/>
        </w:rPr>
        <w:t>Categorización de productos según su riesgo de plagas</w:t>
      </w:r>
      <w:r>
        <w:t xml:space="preserve">. Roma, Secretaría de la CIPF, FAO. </w:t>
      </w:r>
      <w:hyperlink w:history="1" r:id="rId17">
        <w:r>
          <w:rPr>
            <w:rStyle w:val="Hyperlink"/>
          </w:rPr>
          <w:t>https://www.ippc.int/es/publications/587/</w:t>
        </w:r>
      </w:hyperlink>
      <w:r>
        <w:t>.</w:t>
      </w:r>
    </w:p>
    <w:p w14:paraId="4E78005D" w14:textId="4F449AB1">
      <w:pPr>
        <w:pStyle w:val="IPPNormal"/>
        <w:jc w:val="left"/>
        <w:rPr>
          <w:b/>
          <w:bCs/>
        </w:rPr>
      </w:pPr>
      <w:r>
        <w:rPr>
          <w:rStyle w:val="PleaseReviewParagraphId"/>
          <w:b w:val="off"/>
          <w:i w:val="off"/>
        </w:rPr>
        <w:t>[79]</w:t>
      </w:r>
      <w:r>
        <w:rPr>
          <w:b/>
        </w:rPr>
        <w:t xml:space="preserve">Secretaría de la CIPF. </w:t>
      </w:r>
      <w:r>
        <w:t xml:space="preserve">(Próximamente). Inspección. Curso de aprendizaje en línea de la CIPF. En: Cursos de aprendizaje en línea de la Convención Internacional de Protección Fitosanitaria. Roma, Secretaría de la CIPF, FAO. Consultado el 9 de febrero de 2022. </w:t>
      </w:r>
      <w:hyperlink w:history="1" r:id="rId18">
        <w:r>
          <w:rPr>
            <w:rStyle w:val="Hyperlink"/>
          </w:rPr>
          <w:t>https://www.ippc.int/es/e-learning/</w:t>
        </w:r>
      </w:hyperlink>
      <w:r>
        <w:t xml:space="preserve">. </w:t>
      </w:r>
    </w:p>
    <w:p w14:paraId="706583E9" w14:textId="64A9503C">
      <w:pPr>
        <w:pStyle w:val="IPPNormal"/>
        <w:jc w:val="left"/>
        <w:rPr>
          <w:rFonts w:cs="Times New Roman"/>
        </w:rPr>
      </w:pPr>
      <w:r>
        <w:rPr>
          <w:rStyle w:val="PleaseReviewParagraphId"/>
          <w:b w:val="off"/>
          <w:i w:val="off"/>
        </w:rPr>
        <w:t>[80]</w:t>
      </w:r>
      <w:r>
        <w:rPr>
          <w:b/>
        </w:rPr>
        <w:t xml:space="preserve">Secretaría de la CIPF. </w:t>
      </w:r>
      <w:r>
        <w:t xml:space="preserve">2021. Informe de la 15.ª reunión virtual del Comité de Aplicación y Desarrollo de la Capacidad (2021-06 IC VM15). Roma, Secretaría de la CIPF, FAO. </w:t>
      </w:r>
      <w:hyperlink w:history="1" r:id="rId19">
        <w:r>
          <w:rPr>
            <w:rStyle w:val="Hyperlink"/>
          </w:rPr>
          <w:t>https://www.ippc.int/es/publications/90286/</w:t>
        </w:r>
      </w:hyperlink>
      <w:r>
        <w:t xml:space="preserve">. </w:t>
      </w:r>
    </w:p>
    <w:p w14:paraId="460D6F2E" w14:textId="3ABCE93D">
      <w:pPr>
        <w:pStyle w:val="IPPNormal"/>
        <w:jc w:val="left"/>
      </w:pPr>
      <w:r>
        <w:rPr>
          <w:rStyle w:val="PleaseReviewParagraphId"/>
          <w:b w:val="off"/>
          <w:i w:val="off"/>
        </w:rPr>
        <w:t>[81]</w:t>
      </w:r>
      <w:r>
        <w:rPr>
          <w:b/>
        </w:rPr>
        <w:t xml:space="preserve">Secretaría de la CIPF. </w:t>
      </w:r>
      <w:r>
        <w:t xml:space="preserve">2021. Informe de la 17.ª reunión virtual del Comité de Aplicación y Desarrollo de la Capacidad (2021-11 IC VM17). Roma, Secretaría de la CIPF, FAO. </w:t>
      </w:r>
      <w:hyperlink w:history="1" r:id="rId20">
        <w:r>
          <w:rPr>
            <w:rStyle w:val="Hyperlink"/>
          </w:rPr>
          <w:t>https://www.ippc.int/es/publications/90774/</w:t>
        </w:r>
      </w:hyperlink>
      <w:r>
        <w:t xml:space="preserve">. </w:t>
      </w:r>
    </w:p>
    <w:p w14:paraId="12D227D9" w14:textId="0236A619">
      <w:pPr>
        <w:pStyle w:val="IPPNormal"/>
        <w:jc w:val="left"/>
      </w:pPr>
      <w:r>
        <w:rPr>
          <w:rStyle w:val="PleaseReviewParagraphId"/>
          <w:b w:val="off"/>
          <w:i w:val="off"/>
        </w:rPr>
        <w:t>[82]</w:t>
      </w:r>
      <w:r>
        <w:rPr>
          <w:b/>
        </w:rPr>
        <w:t>Secretaría de la CIPF.</w:t>
      </w:r>
      <w:r>
        <w:t xml:space="preserve"> 2015. </w:t>
      </w:r>
      <w:r>
        <w:rPr>
          <w:i/>
        </w:rPr>
        <w:t>Import verification: A guide to import verification for national plant protection organizations</w:t>
      </w:r>
      <w:r>
        <w:t xml:space="preserve"> (Verificación de las importaciones: guía sobre la verificación de las importaciones para las organizaciones nacionales de protección fitosanitaria). Roma, Secretaría de la CIPF, FAO. </w:t>
      </w:r>
      <w:hyperlink r:id="rId21">
        <w:r>
          <w:rPr>
            <w:rStyle w:val="Hyperlink"/>
          </w:rPr>
          <w:t>https://www.ippc.int/es/publications/90635./</w:t>
        </w:r>
      </w:hyperlink>
      <w:r>
        <w:t xml:space="preserve"> </w:t>
      </w:r>
    </w:p>
    <w:p w14:paraId="4F7C80F3" w14:textId="4373D6C2">
      <w:pPr>
        <w:pStyle w:val="IPPNormal"/>
        <w:jc w:val="left"/>
        <w:rPr>
          <w:b/>
          <w:bCs/>
        </w:rPr>
      </w:pPr>
      <w:r>
        <w:rPr>
          <w:rStyle w:val="PleaseReviewParagraphId"/>
          <w:b w:val="off"/>
          <w:i w:val="off"/>
        </w:rPr>
        <w:t>[83]</w:t>
      </w:r>
      <w:r>
        <w:rPr>
          <w:b/>
        </w:rPr>
        <w:t>Secretaría de la CIPF.</w:t>
      </w:r>
      <w:r>
        <w:t xml:space="preserve"> 2015. </w:t>
      </w:r>
      <w:r>
        <w:rPr>
          <w:i/>
        </w:rPr>
        <w:t>Operation of a national plant protection organization: A guide to understanding the principal requirements for operating an organization to protect national plant resources from pests</w:t>
      </w:r>
      <w:r>
        <w:t xml:space="preserve"> (Funcionamiento de una organización nacional de protección fitosanitaria: guía para entender los principales requisitos relativos al funcionamiento de una organización para proteger los recursos vegetales nacionales de las plagas). Roma, Secretaría de la CIPF, FAO.</w:t>
      </w:r>
      <w:r>
        <w:rPr>
          <w:color w:val="2B579A"/>
        </w:rPr>
        <w:t xml:space="preserve"> </w:t>
      </w:r>
      <w:hyperlink w:history="1" r:id="rId22">
        <w:r>
          <w:rPr>
            <w:rStyle w:val="Hyperlink"/>
          </w:rPr>
          <w:t>https://www.ippc.int/es/publications/90633/</w:t>
        </w:r>
      </w:hyperlink>
      <w:r>
        <w:t>.</w:t>
      </w:r>
      <w:r>
        <w:rPr>
          <w:color w:val="2B579A"/>
        </w:rPr>
        <w:t xml:space="preserve"> </w:t>
      </w:r>
    </w:p>
    <w:p w14:paraId="46EB4D5B" w14:textId="4E0297CF">
      <w:pPr>
        <w:pStyle w:val="IPPNormal"/>
        <w:jc w:val="left"/>
      </w:pPr>
      <w:r>
        <w:rPr>
          <w:rStyle w:val="PleaseReviewParagraphId"/>
          <w:b w:val="off"/>
          <w:i w:val="off"/>
        </w:rPr>
        <w:t>[84]</w:t>
      </w:r>
      <w:r>
        <w:rPr>
          <w:b/>
        </w:rPr>
        <w:t>Secretaría de la CIPF.</w:t>
      </w:r>
      <w:r>
        <w:t xml:space="preserve"> 2014. </w:t>
      </w:r>
      <w:r>
        <w:rPr>
          <w:i/>
          <w:iCs/>
        </w:rPr>
        <w:t>Tránsito</w:t>
      </w:r>
      <w:r>
        <w:t>.</w:t>
      </w:r>
      <w:r>
        <w:rPr>
          <w:i/>
        </w:rPr>
        <w:t xml:space="preserve"> </w:t>
      </w:r>
      <w:r>
        <w:rPr>
          <w:i/>
          <w:iCs/>
        </w:rPr>
        <w:t>Cuestiones fitosanitarias de los envíos en tránsito: una guía para las organizaciones nacionales de protección fitosanitaria</w:t>
      </w:r>
      <w:r>
        <w:t xml:space="preserve">. Roma, Secretaría de la CIPF, FAO. </w:t>
      </w:r>
      <w:hyperlink r:id="rId23">
        <w:r>
          <w:rPr>
            <w:rStyle w:val="Hyperlink"/>
          </w:rPr>
          <w:t>https://www.ippc.int/es/publications/90639/</w:t>
        </w:r>
      </w:hyperlink>
      <w:r>
        <w:t xml:space="preserve">. </w:t>
      </w:r>
    </w:p>
    <w:p w14:paraId="1808C976" w14:textId="58F07435">
      <w:pPr>
        <w:tabs>
          <w:tab w:val="left" w:pos="720"/>
        </w:tabs>
        <w:spacing w:after="180"/>
        <w:rPr>
          <w:rFonts w:cs="Times New Roman"/>
        </w:rPr>
      </w:pPr>
      <w:r>
        <w:rPr>
          <w:rStyle w:val="PleaseReviewParagraphId"/>
          <w:b w:val="off"/>
          <w:i w:val="off"/>
        </w:rPr>
        <w:t>[85]</w:t>
      </w:r>
      <w:r>
        <w:rPr>
          <w:b/>
        </w:rPr>
        <w:t>Secretaría de la CIPF.</w:t>
      </w:r>
      <w:r>
        <w:t xml:space="preserve"> 1997. Convención Internacional de Protección Fitosanitaria. Roma, Secretaría de la CIPF, FAO.</w:t>
      </w:r>
    </w:p>
    <w:p w14:paraId="7DCF0393" w14:textId="6C0FACCA">
      <w:pPr>
        <w:pStyle w:val="IPPNormal"/>
        <w:jc w:val="left"/>
      </w:pPr>
      <w:r>
        <w:rPr>
          <w:rStyle w:val="PleaseReviewParagraphId"/>
          <w:b w:val="off"/>
          <w:i w:val="off"/>
        </w:rPr>
        <w:t>[86]</w:t>
      </w:r>
      <w:r>
        <w:rPr>
          <w:b/>
        </w:rPr>
        <w:t>NAPPO</w:t>
      </w:r>
      <w:r>
        <w:t xml:space="preserve"> (Organización Norteamericana de Protección a las Plantas). Recursos e instrumentos de aprendizaje sobre el muestreo basado en el riesgo. En: Instrumentos de la NAPPO. Raleigh (Estados Unidos de América). Consultado el 2 de marzo de 2022. </w:t>
      </w:r>
      <w:hyperlink r:id="rId24">
        <w:r>
          <w:rPr>
            <w:rStyle w:val="Hyperlink"/>
          </w:rPr>
          <w:t>https://nappo.org/english/learning-tools/Resources-and-Learning-Tools-for-Risk-Based-Sampling</w:t>
        </w:r>
      </w:hyperlink>
      <w:r>
        <w:t xml:space="preserve">. </w:t>
      </w:r>
    </w:p>
    <w:p w14:paraId="0399FC30" w14:textId="6807E7D6">
      <w:pPr>
        <w:pStyle w:val="IPPNormal"/>
        <w:jc w:val="left"/>
        <w:rPr>
          <w:rStyle w:val="eop"/>
          <w:rFonts w:cs="Times New Roman"/>
          <w:color w:val="000000" w:themeColor="text1"/>
        </w:rPr>
      </w:pPr>
      <w:r>
        <w:rPr>
          <w:rStyle w:val="PleaseReviewParagraphId"/>
          <w:b w:val="off"/>
          <w:i w:val="off"/>
        </w:rPr>
        <w:t>[87]</w:t>
      </w:r>
      <w:r>
        <w:rPr>
          <w:b/>
        </w:rPr>
        <w:t>Grupo del Banco Mundial.</w:t>
      </w:r>
      <w:r>
        <w:t xml:space="preserve"> 2020.</w:t>
      </w:r>
      <w:r>
        <w:rPr>
          <w:b/>
        </w:rPr>
        <w:t xml:space="preserve"> </w:t>
      </w:r>
      <w:r>
        <w:rPr>
          <w:i/>
        </w:rPr>
        <w:t>Risk prioritization in phytosanitary management</w:t>
      </w:r>
      <w:r>
        <w:t xml:space="preserve"> (Determinación de prioridades para la gestión de riesgos en la gestión fitosanitaria). Consultado el 2 de marzo de 2022. </w:t>
      </w:r>
      <w:hyperlink w:history="1" r:id="rId25">
        <w:r>
          <w:rPr>
            <w:rStyle w:val="Hyperlink"/>
          </w:rPr>
          <w:t>https://thedocs.worldbank.org/en/doc/186841605045083824-0090022020/original/WBGRiskPrioritizationinPhytosanitaryManagementFINALweb.pdf</w:t>
        </w:r>
      </w:hyperlink>
      <w:r>
        <w:t>.</w:t>
      </w:r>
    </w:p>
    <w:sectPr>
      <w:pgSz w:w="11906" w:h="16838" w:code="9"/>
      <w:pgMar w:top="1440" w:right="1440" w:bottom="1440" w:left="1440" w:header="720" w:footer="720" w:gutter="0"/>
      <w:cols w:space="720"/>
      <w:titlePg/>
      <w:docGrid w:linePitch="360"/>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00DD" w16cex:dateUtc="2022-06-21T13:33:00Z"/>
</w16cex:commentsExtensible>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14125C" w16cid:durableId="265C00DD"/>
</w16cid:commentsIds>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1A260" w14:textId="77777777">
      <w:r>
        <w:rPr>
          <w:rStyle w:val="PleaseReviewParagraphId"/>
          <w:b w:val="off"/>
          <w:i w:val="off"/>
        </w:rPr>
        <w:t>[]</w:t>
      </w:r>
      <w:r>
        <w:separator/>
      </w:r>
    </w:p>
  </w:endnote>
  <w:endnote w:type="continuationSeparator" w:id="0">
    <w:p w14:paraId="7AFE4144" w14:textId="77777777">
      <w:r>
        <w:rPr>
          <w:rStyle w:val="PleaseReviewParagraphId"/>
          <w:b w:val="off"/>
          <w:i w:val="off"/>
        </w:rPr>
        <w:t>[]</w:t>
      </w:r>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A17F0" w14:textId="77777777">
      <w:r>
        <w:rPr>
          <w:rStyle w:val="PleaseReviewParagraphId"/>
          <w:b w:val="off"/>
          <w:i w:val="off"/>
        </w:rPr>
        <w:t>[]</w:t>
      </w:r>
      <w:r>
        <w:separator/>
      </w:r>
    </w:p>
  </w:footnote>
  <w:footnote w:type="continuationSeparator" w:id="0">
    <w:p w14:paraId="082C388A" w14:textId="77777777">
      <w:r>
        <w:rPr>
          <w:rStyle w:val="PleaseReviewParagraphId"/>
          <w:b w:val="off"/>
          <w:i w:val="off"/>
        </w:rPr>
        <w:t>[]</w:t>
      </w:r>
      <w:r>
        <w:continuationSeparator/>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BB507A04"/>
    <w:lvl w:ilvl="0" w:tplc="7AA6CB76">
      <w:start w:val="1"/>
      <w:numFmt w:val="decimal"/>
      <w:pStyle w:val="IPPNumberedList"/>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7404"/>
    <w:multiLevelType w:val="hybridMultilevel"/>
    <w:tmpl w:val="175EB746"/>
    <w:lvl w:ilvl="0" w:tplc="85BCE416">
      <w:start w:val="1"/>
      <w:numFmt w:val="decimal"/>
      <w:lvlText w:val="%1."/>
      <w:lvlJc w:val="left"/>
      <w:pPr>
        <w:ind w:left="720" w:hanging="360"/>
      </w:pPr>
    </w:lvl>
    <w:lvl w:ilvl="1" w:tplc="CF848F4C">
      <w:start w:val="1"/>
      <w:numFmt w:val="lowerLetter"/>
      <w:lvlText w:val="%2."/>
      <w:lvlJc w:val="left"/>
      <w:pPr>
        <w:ind w:left="1440" w:hanging="360"/>
      </w:pPr>
    </w:lvl>
    <w:lvl w:ilvl="2" w:tplc="FBD4BE4C">
      <w:start w:val="1"/>
      <w:numFmt w:val="lowerRoman"/>
      <w:lvlText w:val="%3."/>
      <w:lvlJc w:val="right"/>
      <w:pPr>
        <w:ind w:left="2160" w:hanging="180"/>
      </w:pPr>
    </w:lvl>
    <w:lvl w:ilvl="3" w:tplc="1864F966">
      <w:start w:val="1"/>
      <w:numFmt w:val="decimal"/>
      <w:lvlText w:val="%4."/>
      <w:lvlJc w:val="left"/>
      <w:pPr>
        <w:ind w:left="2880" w:hanging="360"/>
      </w:pPr>
    </w:lvl>
    <w:lvl w:ilvl="4" w:tplc="6D167BC8">
      <w:start w:val="1"/>
      <w:numFmt w:val="lowerLetter"/>
      <w:lvlText w:val="%5."/>
      <w:lvlJc w:val="left"/>
      <w:pPr>
        <w:ind w:left="3600" w:hanging="360"/>
      </w:pPr>
    </w:lvl>
    <w:lvl w:ilvl="5" w:tplc="3E28E300">
      <w:start w:val="1"/>
      <w:numFmt w:val="lowerRoman"/>
      <w:lvlText w:val="%6."/>
      <w:lvlJc w:val="right"/>
      <w:pPr>
        <w:ind w:left="4320" w:hanging="180"/>
      </w:pPr>
    </w:lvl>
    <w:lvl w:ilvl="6" w:tplc="0ECC26E2">
      <w:start w:val="1"/>
      <w:numFmt w:val="decimal"/>
      <w:lvlText w:val="%7."/>
      <w:lvlJc w:val="left"/>
      <w:pPr>
        <w:ind w:left="5040" w:hanging="360"/>
      </w:pPr>
    </w:lvl>
    <w:lvl w:ilvl="7" w:tplc="1E2A91FA">
      <w:start w:val="1"/>
      <w:numFmt w:val="lowerLetter"/>
      <w:lvlText w:val="%8."/>
      <w:lvlJc w:val="left"/>
      <w:pPr>
        <w:ind w:left="5760" w:hanging="360"/>
      </w:pPr>
    </w:lvl>
    <w:lvl w:ilvl="8" w:tplc="949CB9C0">
      <w:start w:val="1"/>
      <w:numFmt w:val="lowerRoman"/>
      <w:lvlText w:val="%9."/>
      <w:lvlJc w:val="right"/>
      <w:pPr>
        <w:ind w:left="6480" w:hanging="180"/>
      </w:p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FC61B3"/>
    <w:multiLevelType w:val="hybridMultilevel"/>
    <w:tmpl w:val="B1A48A7E"/>
    <w:lvl w:ilvl="0" w:tplc="AB36B26C">
      <w:start w:val="1"/>
      <w:numFmt w:val="decimal"/>
      <w:lvlText w:val="%1."/>
      <w:lvlJc w:val="left"/>
      <w:pPr>
        <w:ind w:left="720" w:hanging="360"/>
      </w:pPr>
    </w:lvl>
    <w:lvl w:ilvl="1" w:tplc="8E5AA2F6">
      <w:start w:val="1"/>
      <w:numFmt w:val="lowerLetter"/>
      <w:lvlText w:val="%2."/>
      <w:lvlJc w:val="left"/>
      <w:pPr>
        <w:ind w:left="1440" w:hanging="360"/>
      </w:pPr>
    </w:lvl>
    <w:lvl w:ilvl="2" w:tplc="254A15D6">
      <w:start w:val="1"/>
      <w:numFmt w:val="lowerRoman"/>
      <w:lvlText w:val="%3."/>
      <w:lvlJc w:val="right"/>
      <w:pPr>
        <w:ind w:left="2160" w:hanging="180"/>
      </w:pPr>
    </w:lvl>
    <w:lvl w:ilvl="3" w:tplc="1120396A">
      <w:start w:val="1"/>
      <w:numFmt w:val="decimal"/>
      <w:lvlText w:val="%4."/>
      <w:lvlJc w:val="left"/>
      <w:pPr>
        <w:ind w:left="2880" w:hanging="360"/>
      </w:pPr>
    </w:lvl>
    <w:lvl w:ilvl="4" w:tplc="1B8402A8">
      <w:start w:val="1"/>
      <w:numFmt w:val="lowerLetter"/>
      <w:lvlText w:val="%5."/>
      <w:lvlJc w:val="left"/>
      <w:pPr>
        <w:ind w:left="3600" w:hanging="360"/>
      </w:pPr>
    </w:lvl>
    <w:lvl w:ilvl="5" w:tplc="3C5613EA">
      <w:start w:val="1"/>
      <w:numFmt w:val="lowerRoman"/>
      <w:lvlText w:val="%6."/>
      <w:lvlJc w:val="right"/>
      <w:pPr>
        <w:ind w:left="4320" w:hanging="180"/>
      </w:pPr>
    </w:lvl>
    <w:lvl w:ilvl="6" w:tplc="46441E2A">
      <w:start w:val="1"/>
      <w:numFmt w:val="decimal"/>
      <w:lvlText w:val="%7."/>
      <w:lvlJc w:val="left"/>
      <w:pPr>
        <w:ind w:left="5040" w:hanging="360"/>
      </w:pPr>
    </w:lvl>
    <w:lvl w:ilvl="7" w:tplc="971EC9EA">
      <w:start w:val="1"/>
      <w:numFmt w:val="lowerLetter"/>
      <w:lvlText w:val="%8."/>
      <w:lvlJc w:val="left"/>
      <w:pPr>
        <w:ind w:left="5760" w:hanging="360"/>
      </w:pPr>
    </w:lvl>
    <w:lvl w:ilvl="8" w:tplc="97EA5546">
      <w:start w:val="1"/>
      <w:numFmt w:val="lowerRoman"/>
      <w:lvlText w:val="%9."/>
      <w:lvlJc w:val="right"/>
      <w:pPr>
        <w:ind w:left="6480" w:hanging="180"/>
      </w:pPr>
    </w:lvl>
  </w:abstractNum>
  <w:abstractNum w:abstractNumId="5" w15:restartNumberingAfterBreak="0">
    <w:nsid w:val="0C751786"/>
    <w:multiLevelType w:val="hybridMultilevel"/>
    <w:tmpl w:val="64D0FB46"/>
    <w:lvl w:ilvl="0" w:tplc="38C0919A">
      <w:start w:val="1"/>
      <w:numFmt w:val="decimal"/>
      <w:lvlText w:val="(%1)"/>
      <w:lvlJc w:val="left"/>
      <w:pPr>
        <w:ind w:left="927" w:hanging="360"/>
      </w:pPr>
      <w:rPr>
        <w:rFonts w:ascii="Times New Roman" w:hAnsi="Times New Roman" w:cs="Times New Roman" w:hint="default"/>
        <w:b w:val="0"/>
        <w:i w:val="0"/>
        <w:color w:val="auto"/>
        <w:sz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A132A"/>
    <w:multiLevelType w:val="hybridMultilevel"/>
    <w:tmpl w:val="D8CA4F1A"/>
    <w:lvl w:ilvl="0" w:tplc="2B12D702">
      <w:start w:val="1"/>
      <w:numFmt w:val="decimal"/>
      <w:lvlText w:val="%1."/>
      <w:lvlJc w:val="left"/>
      <w:pPr>
        <w:ind w:left="720" w:hanging="360"/>
      </w:pPr>
    </w:lvl>
    <w:lvl w:ilvl="1" w:tplc="19B6CFB4">
      <w:start w:val="1"/>
      <w:numFmt w:val="lowerLetter"/>
      <w:lvlText w:val="%2."/>
      <w:lvlJc w:val="left"/>
      <w:pPr>
        <w:ind w:left="1440" w:hanging="360"/>
      </w:pPr>
    </w:lvl>
    <w:lvl w:ilvl="2" w:tplc="DD36FDA2">
      <w:start w:val="1"/>
      <w:numFmt w:val="lowerRoman"/>
      <w:lvlText w:val="%3."/>
      <w:lvlJc w:val="right"/>
      <w:pPr>
        <w:ind w:left="2160" w:hanging="180"/>
      </w:pPr>
    </w:lvl>
    <w:lvl w:ilvl="3" w:tplc="FE7A2F7E">
      <w:start w:val="1"/>
      <w:numFmt w:val="decimal"/>
      <w:lvlText w:val="%4."/>
      <w:lvlJc w:val="left"/>
      <w:pPr>
        <w:ind w:left="2880" w:hanging="360"/>
      </w:pPr>
    </w:lvl>
    <w:lvl w:ilvl="4" w:tplc="6BECC9D4">
      <w:start w:val="1"/>
      <w:numFmt w:val="lowerLetter"/>
      <w:lvlText w:val="%5."/>
      <w:lvlJc w:val="left"/>
      <w:pPr>
        <w:ind w:left="3600" w:hanging="360"/>
      </w:pPr>
    </w:lvl>
    <w:lvl w:ilvl="5" w:tplc="61743C10">
      <w:start w:val="1"/>
      <w:numFmt w:val="lowerRoman"/>
      <w:lvlText w:val="%6."/>
      <w:lvlJc w:val="right"/>
      <w:pPr>
        <w:ind w:left="4320" w:hanging="180"/>
      </w:pPr>
    </w:lvl>
    <w:lvl w:ilvl="6" w:tplc="BE265EF2">
      <w:start w:val="1"/>
      <w:numFmt w:val="decimal"/>
      <w:lvlText w:val="%7."/>
      <w:lvlJc w:val="left"/>
      <w:pPr>
        <w:ind w:left="5040" w:hanging="360"/>
      </w:pPr>
    </w:lvl>
    <w:lvl w:ilvl="7" w:tplc="027EEC70">
      <w:start w:val="1"/>
      <w:numFmt w:val="lowerLetter"/>
      <w:lvlText w:val="%8."/>
      <w:lvlJc w:val="left"/>
      <w:pPr>
        <w:ind w:left="5760" w:hanging="360"/>
      </w:pPr>
    </w:lvl>
    <w:lvl w:ilvl="8" w:tplc="21EA936C">
      <w:start w:val="1"/>
      <w:numFmt w:val="lowerRoman"/>
      <w:lvlText w:val="%9."/>
      <w:lvlJc w:val="right"/>
      <w:pPr>
        <w:ind w:left="6480" w:hanging="180"/>
      </w:pPr>
    </w:lvl>
  </w:abstractNum>
  <w:abstractNum w:abstractNumId="7" w15:restartNumberingAfterBreak="0">
    <w:nsid w:val="11F33C4E"/>
    <w:multiLevelType w:val="hybridMultilevel"/>
    <w:tmpl w:val="9AAE8784"/>
    <w:lvl w:ilvl="0" w:tplc="5B9E4A82">
      <w:start w:val="1"/>
      <w:numFmt w:val="bullet"/>
      <w:lvlText w:val=""/>
      <w:lvlJc w:val="left"/>
      <w:pPr>
        <w:ind w:left="720" w:hanging="360"/>
      </w:pPr>
      <w:rPr>
        <w:rFonts w:ascii="Symbol" w:hAnsi="Symbol" w:hint="default"/>
      </w:rPr>
    </w:lvl>
    <w:lvl w:ilvl="1" w:tplc="C838BC18">
      <w:start w:val="1"/>
      <w:numFmt w:val="bullet"/>
      <w:lvlText w:val="o"/>
      <w:lvlJc w:val="left"/>
      <w:pPr>
        <w:ind w:left="1440" w:hanging="360"/>
      </w:pPr>
      <w:rPr>
        <w:rFonts w:ascii="Courier New" w:hAnsi="Courier New" w:hint="default"/>
      </w:rPr>
    </w:lvl>
    <w:lvl w:ilvl="2" w:tplc="688890BA">
      <w:start w:val="1"/>
      <w:numFmt w:val="bullet"/>
      <w:lvlText w:val=""/>
      <w:lvlJc w:val="left"/>
      <w:pPr>
        <w:ind w:left="2160" w:hanging="360"/>
      </w:pPr>
      <w:rPr>
        <w:rFonts w:ascii="Wingdings" w:hAnsi="Wingdings" w:hint="default"/>
      </w:rPr>
    </w:lvl>
    <w:lvl w:ilvl="3" w:tplc="AB1CE97C">
      <w:start w:val="1"/>
      <w:numFmt w:val="bullet"/>
      <w:lvlText w:val=""/>
      <w:lvlJc w:val="left"/>
      <w:pPr>
        <w:ind w:left="2880" w:hanging="360"/>
      </w:pPr>
      <w:rPr>
        <w:rFonts w:ascii="Symbol" w:hAnsi="Symbol" w:hint="default"/>
      </w:rPr>
    </w:lvl>
    <w:lvl w:ilvl="4" w:tplc="DA2C7270">
      <w:start w:val="1"/>
      <w:numFmt w:val="bullet"/>
      <w:lvlText w:val="o"/>
      <w:lvlJc w:val="left"/>
      <w:pPr>
        <w:ind w:left="3600" w:hanging="360"/>
      </w:pPr>
      <w:rPr>
        <w:rFonts w:ascii="Courier New" w:hAnsi="Courier New" w:hint="default"/>
      </w:rPr>
    </w:lvl>
    <w:lvl w:ilvl="5" w:tplc="B05C44A6">
      <w:start w:val="1"/>
      <w:numFmt w:val="bullet"/>
      <w:lvlText w:val=""/>
      <w:lvlJc w:val="left"/>
      <w:pPr>
        <w:ind w:left="4320" w:hanging="360"/>
      </w:pPr>
      <w:rPr>
        <w:rFonts w:ascii="Wingdings" w:hAnsi="Wingdings" w:hint="default"/>
      </w:rPr>
    </w:lvl>
    <w:lvl w:ilvl="6" w:tplc="0BFC1104">
      <w:start w:val="1"/>
      <w:numFmt w:val="bullet"/>
      <w:lvlText w:val=""/>
      <w:lvlJc w:val="left"/>
      <w:pPr>
        <w:ind w:left="5040" w:hanging="360"/>
      </w:pPr>
      <w:rPr>
        <w:rFonts w:ascii="Symbol" w:hAnsi="Symbol" w:hint="default"/>
      </w:rPr>
    </w:lvl>
    <w:lvl w:ilvl="7" w:tplc="3AB004EC">
      <w:start w:val="1"/>
      <w:numFmt w:val="bullet"/>
      <w:lvlText w:val="o"/>
      <w:lvlJc w:val="left"/>
      <w:pPr>
        <w:ind w:left="5760" w:hanging="360"/>
      </w:pPr>
      <w:rPr>
        <w:rFonts w:ascii="Courier New" w:hAnsi="Courier New" w:hint="default"/>
      </w:rPr>
    </w:lvl>
    <w:lvl w:ilvl="8" w:tplc="15D88738">
      <w:start w:val="1"/>
      <w:numFmt w:val="bullet"/>
      <w:lvlText w:val=""/>
      <w:lvlJc w:val="left"/>
      <w:pPr>
        <w:ind w:left="6480" w:hanging="360"/>
      </w:pPr>
      <w:rPr>
        <w:rFonts w:ascii="Wingdings" w:hAnsi="Wingdings" w:hint="default"/>
      </w:rPr>
    </w:lvl>
  </w:abstractNum>
  <w:abstractNum w:abstractNumId="8" w15:restartNumberingAfterBreak="0">
    <w:nsid w:val="15F80BF8"/>
    <w:multiLevelType w:val="hybridMultilevel"/>
    <w:tmpl w:val="D28854F8"/>
    <w:lvl w:ilvl="0" w:tplc="0180EF26">
      <w:start w:val="1"/>
      <w:numFmt w:val="decimal"/>
      <w:lvlText w:val="[%1]"/>
      <w:lvlJc w:val="left"/>
      <w:pPr>
        <w:ind w:left="720" w:hanging="360"/>
      </w:pPr>
    </w:lvl>
    <w:lvl w:ilvl="1" w:tplc="37EE31B0">
      <w:start w:val="1"/>
      <w:numFmt w:val="lowerLetter"/>
      <w:lvlText w:val="%2."/>
      <w:lvlJc w:val="left"/>
      <w:pPr>
        <w:ind w:left="1440" w:hanging="360"/>
      </w:pPr>
    </w:lvl>
    <w:lvl w:ilvl="2" w:tplc="926CDC9E">
      <w:start w:val="1"/>
      <w:numFmt w:val="lowerRoman"/>
      <w:lvlText w:val="%3."/>
      <w:lvlJc w:val="right"/>
      <w:pPr>
        <w:ind w:left="2160" w:hanging="180"/>
      </w:pPr>
    </w:lvl>
    <w:lvl w:ilvl="3" w:tplc="121403D8">
      <w:start w:val="1"/>
      <w:numFmt w:val="decimal"/>
      <w:lvlText w:val="%4."/>
      <w:lvlJc w:val="left"/>
      <w:pPr>
        <w:ind w:left="2880" w:hanging="360"/>
      </w:pPr>
    </w:lvl>
    <w:lvl w:ilvl="4" w:tplc="E6527C88">
      <w:start w:val="1"/>
      <w:numFmt w:val="lowerLetter"/>
      <w:lvlText w:val="%5."/>
      <w:lvlJc w:val="left"/>
      <w:pPr>
        <w:ind w:left="3600" w:hanging="360"/>
      </w:pPr>
    </w:lvl>
    <w:lvl w:ilvl="5" w:tplc="DE20FB38">
      <w:start w:val="1"/>
      <w:numFmt w:val="lowerRoman"/>
      <w:lvlText w:val="%6."/>
      <w:lvlJc w:val="right"/>
      <w:pPr>
        <w:ind w:left="4320" w:hanging="180"/>
      </w:pPr>
    </w:lvl>
    <w:lvl w:ilvl="6" w:tplc="1D3494E8">
      <w:start w:val="1"/>
      <w:numFmt w:val="decimal"/>
      <w:lvlText w:val="%7."/>
      <w:lvlJc w:val="left"/>
      <w:pPr>
        <w:ind w:left="5040" w:hanging="360"/>
      </w:pPr>
    </w:lvl>
    <w:lvl w:ilvl="7" w:tplc="08F02630">
      <w:start w:val="1"/>
      <w:numFmt w:val="lowerLetter"/>
      <w:lvlText w:val="%8."/>
      <w:lvlJc w:val="left"/>
      <w:pPr>
        <w:ind w:left="5760" w:hanging="360"/>
      </w:pPr>
    </w:lvl>
    <w:lvl w:ilvl="8" w:tplc="43AEFDA8">
      <w:start w:val="1"/>
      <w:numFmt w:val="lowerRoman"/>
      <w:lvlText w:val="%9."/>
      <w:lvlJc w:val="right"/>
      <w:pPr>
        <w:ind w:left="6480" w:hanging="180"/>
      </w:pPr>
    </w:lvl>
  </w:abstractNum>
  <w:abstractNum w:abstractNumId="9" w15:restartNumberingAfterBreak="0">
    <w:nsid w:val="1B7D47F8"/>
    <w:multiLevelType w:val="multilevel"/>
    <w:tmpl w:val="8BEC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1BED0BD3"/>
    <w:multiLevelType w:val="hybridMultilevel"/>
    <w:tmpl w:val="B38EBD54"/>
    <w:lvl w:ilvl="0" w:tplc="BF5CC17C">
      <w:start w:val="1"/>
      <w:numFmt w:val="decimal"/>
      <w:lvlText w:val="(%1)"/>
      <w:lvlJc w:val="left"/>
      <w:pPr>
        <w:ind w:left="720" w:hanging="360"/>
      </w:pPr>
    </w:lvl>
    <w:lvl w:ilvl="1" w:tplc="42D089B4">
      <w:start w:val="1"/>
      <w:numFmt w:val="lowerLetter"/>
      <w:lvlText w:val="%2."/>
      <w:lvlJc w:val="left"/>
      <w:pPr>
        <w:ind w:left="1440" w:hanging="360"/>
      </w:pPr>
    </w:lvl>
    <w:lvl w:ilvl="2" w:tplc="69986A4A">
      <w:start w:val="1"/>
      <w:numFmt w:val="lowerRoman"/>
      <w:lvlText w:val="%3."/>
      <w:lvlJc w:val="right"/>
      <w:pPr>
        <w:ind w:left="2160" w:hanging="180"/>
      </w:pPr>
    </w:lvl>
    <w:lvl w:ilvl="3" w:tplc="15F4730E">
      <w:start w:val="1"/>
      <w:numFmt w:val="decimal"/>
      <w:lvlText w:val="%4."/>
      <w:lvlJc w:val="left"/>
      <w:pPr>
        <w:ind w:left="2880" w:hanging="360"/>
      </w:pPr>
    </w:lvl>
    <w:lvl w:ilvl="4" w:tplc="661CDBD0">
      <w:start w:val="1"/>
      <w:numFmt w:val="lowerLetter"/>
      <w:lvlText w:val="%5."/>
      <w:lvlJc w:val="left"/>
      <w:pPr>
        <w:ind w:left="3600" w:hanging="360"/>
      </w:pPr>
    </w:lvl>
    <w:lvl w:ilvl="5" w:tplc="7890C5BA">
      <w:start w:val="1"/>
      <w:numFmt w:val="lowerRoman"/>
      <w:lvlText w:val="%6."/>
      <w:lvlJc w:val="right"/>
      <w:pPr>
        <w:ind w:left="4320" w:hanging="180"/>
      </w:pPr>
    </w:lvl>
    <w:lvl w:ilvl="6" w:tplc="E540661E">
      <w:start w:val="1"/>
      <w:numFmt w:val="decimal"/>
      <w:lvlText w:val="%7."/>
      <w:lvlJc w:val="left"/>
      <w:pPr>
        <w:ind w:left="5040" w:hanging="360"/>
      </w:pPr>
    </w:lvl>
    <w:lvl w:ilvl="7" w:tplc="F73EB014">
      <w:start w:val="1"/>
      <w:numFmt w:val="lowerLetter"/>
      <w:lvlText w:val="%8."/>
      <w:lvlJc w:val="left"/>
      <w:pPr>
        <w:ind w:left="5760" w:hanging="360"/>
      </w:pPr>
    </w:lvl>
    <w:lvl w:ilvl="8" w:tplc="996422D8">
      <w:start w:val="1"/>
      <w:numFmt w:val="lowerRoman"/>
      <w:lvlText w:val="%9."/>
      <w:lvlJc w:val="right"/>
      <w:pPr>
        <w:ind w:left="6480" w:hanging="180"/>
      </w:pPr>
    </w:lvl>
  </w:abstractNum>
  <w:abstractNum w:abstractNumId="12" w15:restartNumberingAfterBreak="0">
    <w:nsid w:val="1F1D477E"/>
    <w:multiLevelType w:val="multilevel"/>
    <w:tmpl w:val="C368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332D66"/>
    <w:multiLevelType w:val="hybridMultilevel"/>
    <w:tmpl w:val="A6A0EA12"/>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29612DF7"/>
    <w:multiLevelType w:val="multilevel"/>
    <w:tmpl w:val="06E871E4"/>
    <w:numStyleLink w:val="IPPParagraphnumberedlist"/>
  </w:abstractNum>
  <w:abstractNum w:abstractNumId="15" w15:restartNumberingAfterBreak="0">
    <w:nsid w:val="31A83C05"/>
    <w:multiLevelType w:val="hybridMultilevel"/>
    <w:tmpl w:val="77543DC4"/>
    <w:lvl w:ilvl="0" w:tplc="F89AB9F4">
      <w:start w:val="1"/>
      <w:numFmt w:val="bullet"/>
      <w:lvlText w:val="-"/>
      <w:lvlJc w:val="left"/>
      <w:pPr>
        <w:ind w:left="1080" w:hanging="360"/>
      </w:pPr>
      <w:rPr>
        <w:rFonts w:ascii="Times New Roman" w:hAnsi="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7"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B14ACD"/>
    <w:multiLevelType w:val="multilevel"/>
    <w:tmpl w:val="CDAE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BF4092"/>
    <w:multiLevelType w:val="hybridMultilevel"/>
    <w:tmpl w:val="C26AE9FC"/>
    <w:lvl w:ilvl="0" w:tplc="F42A7E28">
      <w:start w:val="1"/>
      <w:numFmt w:val="decimal"/>
      <w:lvlText w:val="(%1)"/>
      <w:lvlJc w:val="left"/>
      <w:pPr>
        <w:ind w:left="720" w:hanging="360"/>
      </w:pPr>
    </w:lvl>
    <w:lvl w:ilvl="1" w:tplc="20B2B056">
      <w:start w:val="1"/>
      <w:numFmt w:val="lowerLetter"/>
      <w:lvlText w:val="%2."/>
      <w:lvlJc w:val="left"/>
      <w:pPr>
        <w:ind w:left="1440" w:hanging="360"/>
      </w:pPr>
    </w:lvl>
    <w:lvl w:ilvl="2" w:tplc="7F5EB09E">
      <w:start w:val="1"/>
      <w:numFmt w:val="lowerRoman"/>
      <w:lvlText w:val="%3."/>
      <w:lvlJc w:val="right"/>
      <w:pPr>
        <w:ind w:left="2160" w:hanging="180"/>
      </w:pPr>
    </w:lvl>
    <w:lvl w:ilvl="3" w:tplc="35C88C74">
      <w:start w:val="1"/>
      <w:numFmt w:val="decimal"/>
      <w:lvlText w:val="%4."/>
      <w:lvlJc w:val="left"/>
      <w:pPr>
        <w:ind w:left="2880" w:hanging="360"/>
      </w:pPr>
    </w:lvl>
    <w:lvl w:ilvl="4" w:tplc="E32E1144">
      <w:start w:val="1"/>
      <w:numFmt w:val="lowerLetter"/>
      <w:lvlText w:val="%5."/>
      <w:lvlJc w:val="left"/>
      <w:pPr>
        <w:ind w:left="3600" w:hanging="360"/>
      </w:pPr>
    </w:lvl>
    <w:lvl w:ilvl="5" w:tplc="D5F2305A">
      <w:start w:val="1"/>
      <w:numFmt w:val="lowerRoman"/>
      <w:lvlText w:val="%6."/>
      <w:lvlJc w:val="right"/>
      <w:pPr>
        <w:ind w:left="4320" w:hanging="180"/>
      </w:pPr>
    </w:lvl>
    <w:lvl w:ilvl="6" w:tplc="42C60042">
      <w:start w:val="1"/>
      <w:numFmt w:val="decimal"/>
      <w:lvlText w:val="%7."/>
      <w:lvlJc w:val="left"/>
      <w:pPr>
        <w:ind w:left="5040" w:hanging="360"/>
      </w:pPr>
    </w:lvl>
    <w:lvl w:ilvl="7" w:tplc="57607A72">
      <w:start w:val="1"/>
      <w:numFmt w:val="lowerLetter"/>
      <w:lvlText w:val="%8."/>
      <w:lvlJc w:val="left"/>
      <w:pPr>
        <w:ind w:left="5760" w:hanging="360"/>
      </w:pPr>
    </w:lvl>
    <w:lvl w:ilvl="8" w:tplc="F34E849C">
      <w:start w:val="1"/>
      <w:numFmt w:val="lowerRoman"/>
      <w:lvlText w:val="%9."/>
      <w:lvlJc w:val="right"/>
      <w:pPr>
        <w:ind w:left="6480" w:hanging="180"/>
      </w:pPr>
    </w:lvl>
  </w:abstractNum>
  <w:abstractNum w:abstractNumId="2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D55419D"/>
    <w:multiLevelType w:val="multilevel"/>
    <w:tmpl w:val="C8481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9B5F8A"/>
    <w:multiLevelType w:val="hybridMultilevel"/>
    <w:tmpl w:val="03F64FA4"/>
    <w:lvl w:ilvl="0" w:tplc="DC1EFB88">
      <w:start w:val="1"/>
      <w:numFmt w:val="bullet"/>
      <w:lvlText w:val=""/>
      <w:lvlJc w:val="left"/>
      <w:pPr>
        <w:ind w:left="720" w:hanging="360"/>
      </w:pPr>
      <w:rPr>
        <w:rFonts w:ascii="Symbol" w:hAnsi="Symbol" w:hint="default"/>
      </w:rPr>
    </w:lvl>
    <w:lvl w:ilvl="1" w:tplc="3C108F02">
      <w:start w:val="1"/>
      <w:numFmt w:val="bullet"/>
      <w:lvlText w:val="o"/>
      <w:lvlJc w:val="left"/>
      <w:pPr>
        <w:ind w:left="1440" w:hanging="360"/>
      </w:pPr>
      <w:rPr>
        <w:rFonts w:ascii="Courier New" w:hAnsi="Courier New" w:hint="default"/>
      </w:rPr>
    </w:lvl>
    <w:lvl w:ilvl="2" w:tplc="D082C326">
      <w:start w:val="1"/>
      <w:numFmt w:val="bullet"/>
      <w:lvlText w:val=""/>
      <w:lvlJc w:val="left"/>
      <w:pPr>
        <w:ind w:left="2160" w:hanging="360"/>
      </w:pPr>
      <w:rPr>
        <w:rFonts w:ascii="Wingdings" w:hAnsi="Wingdings" w:hint="default"/>
      </w:rPr>
    </w:lvl>
    <w:lvl w:ilvl="3" w:tplc="408A50EC">
      <w:start w:val="1"/>
      <w:numFmt w:val="bullet"/>
      <w:lvlText w:val=""/>
      <w:lvlJc w:val="left"/>
      <w:pPr>
        <w:ind w:left="2880" w:hanging="360"/>
      </w:pPr>
      <w:rPr>
        <w:rFonts w:ascii="Symbol" w:hAnsi="Symbol" w:hint="default"/>
      </w:rPr>
    </w:lvl>
    <w:lvl w:ilvl="4" w:tplc="CD6E9CE6">
      <w:start w:val="1"/>
      <w:numFmt w:val="bullet"/>
      <w:lvlText w:val="o"/>
      <w:lvlJc w:val="left"/>
      <w:pPr>
        <w:ind w:left="3600" w:hanging="360"/>
      </w:pPr>
      <w:rPr>
        <w:rFonts w:ascii="Courier New" w:hAnsi="Courier New" w:hint="default"/>
      </w:rPr>
    </w:lvl>
    <w:lvl w:ilvl="5" w:tplc="A4AE12D0">
      <w:start w:val="1"/>
      <w:numFmt w:val="bullet"/>
      <w:lvlText w:val=""/>
      <w:lvlJc w:val="left"/>
      <w:pPr>
        <w:ind w:left="4320" w:hanging="360"/>
      </w:pPr>
      <w:rPr>
        <w:rFonts w:ascii="Wingdings" w:hAnsi="Wingdings" w:hint="default"/>
      </w:rPr>
    </w:lvl>
    <w:lvl w:ilvl="6" w:tplc="15F4B7F2">
      <w:start w:val="1"/>
      <w:numFmt w:val="bullet"/>
      <w:lvlText w:val=""/>
      <w:lvlJc w:val="left"/>
      <w:pPr>
        <w:ind w:left="5040" w:hanging="360"/>
      </w:pPr>
      <w:rPr>
        <w:rFonts w:ascii="Symbol" w:hAnsi="Symbol" w:hint="default"/>
      </w:rPr>
    </w:lvl>
    <w:lvl w:ilvl="7" w:tplc="715E7F6A">
      <w:start w:val="1"/>
      <w:numFmt w:val="bullet"/>
      <w:lvlText w:val="o"/>
      <w:lvlJc w:val="left"/>
      <w:pPr>
        <w:ind w:left="5760" w:hanging="360"/>
      </w:pPr>
      <w:rPr>
        <w:rFonts w:ascii="Courier New" w:hAnsi="Courier New" w:hint="default"/>
      </w:rPr>
    </w:lvl>
    <w:lvl w:ilvl="8" w:tplc="ABC06F78">
      <w:start w:val="1"/>
      <w:numFmt w:val="bullet"/>
      <w:lvlText w:val=""/>
      <w:lvlJc w:val="left"/>
      <w:pPr>
        <w:ind w:left="6480" w:hanging="360"/>
      </w:pPr>
      <w:rPr>
        <w:rFonts w:ascii="Wingdings" w:hAnsi="Wingdings" w:hint="default"/>
      </w:rPr>
    </w:lvl>
  </w:abstractNum>
  <w:abstractNum w:abstractNumId="24" w15:restartNumberingAfterBreak="0">
    <w:nsid w:val="5F922F91"/>
    <w:multiLevelType w:val="multilevel"/>
    <w:tmpl w:val="2BB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0C5190"/>
    <w:multiLevelType w:val="hybridMultilevel"/>
    <w:tmpl w:val="AE8831D8"/>
    <w:lvl w:ilvl="0" w:tplc="1009000F">
      <w:start w:val="1"/>
      <w:numFmt w:val="decimal"/>
      <w:lvlText w:val="%1."/>
      <w:lvlJc w:val="left"/>
      <w:pPr>
        <w:ind w:left="1069" w:hanging="360"/>
      </w:p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6" w15:restartNumberingAfterBreak="0">
    <w:nsid w:val="625E6D92"/>
    <w:multiLevelType w:val="multilevel"/>
    <w:tmpl w:val="EB1E9F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4C64396"/>
    <w:multiLevelType w:val="hybridMultilevel"/>
    <w:tmpl w:val="496AB994"/>
    <w:lvl w:ilvl="0" w:tplc="F89AB9F4">
      <w:start w:val="1"/>
      <w:numFmt w:val="bullet"/>
      <w:lvlText w:val="-"/>
      <w:lvlJc w:val="left"/>
      <w:pPr>
        <w:ind w:left="1440" w:hanging="360"/>
      </w:pPr>
      <w:rPr>
        <w:rFonts w:ascii="Times New Roman" w:hAnsi="Times New Roman" w:hint="default"/>
      </w:rPr>
    </w:lvl>
    <w:lvl w:ilvl="1" w:tplc="7B5E6244">
      <w:start w:val="1"/>
      <w:numFmt w:val="bullet"/>
      <w:lvlText w:val="o"/>
      <w:lvlJc w:val="left"/>
      <w:pPr>
        <w:ind w:left="2160" w:hanging="360"/>
      </w:pPr>
      <w:rPr>
        <w:rFonts w:ascii="Courier New" w:hAnsi="Courier New" w:hint="default"/>
      </w:rPr>
    </w:lvl>
    <w:lvl w:ilvl="2" w:tplc="22404E92">
      <w:start w:val="1"/>
      <w:numFmt w:val="bullet"/>
      <w:lvlText w:val=""/>
      <w:lvlJc w:val="left"/>
      <w:pPr>
        <w:ind w:left="2880" w:hanging="360"/>
      </w:pPr>
      <w:rPr>
        <w:rFonts w:ascii="Wingdings" w:hAnsi="Wingdings" w:hint="default"/>
      </w:rPr>
    </w:lvl>
    <w:lvl w:ilvl="3" w:tplc="93161A04">
      <w:start w:val="1"/>
      <w:numFmt w:val="bullet"/>
      <w:lvlText w:val=""/>
      <w:lvlJc w:val="left"/>
      <w:pPr>
        <w:ind w:left="3600" w:hanging="360"/>
      </w:pPr>
      <w:rPr>
        <w:rFonts w:ascii="Symbol" w:hAnsi="Symbol" w:hint="default"/>
      </w:rPr>
    </w:lvl>
    <w:lvl w:ilvl="4" w:tplc="82FED376">
      <w:start w:val="1"/>
      <w:numFmt w:val="bullet"/>
      <w:lvlText w:val="o"/>
      <w:lvlJc w:val="left"/>
      <w:pPr>
        <w:ind w:left="4320" w:hanging="360"/>
      </w:pPr>
      <w:rPr>
        <w:rFonts w:ascii="Courier New" w:hAnsi="Courier New" w:hint="default"/>
      </w:rPr>
    </w:lvl>
    <w:lvl w:ilvl="5" w:tplc="DD0CCE28">
      <w:start w:val="1"/>
      <w:numFmt w:val="bullet"/>
      <w:lvlText w:val=""/>
      <w:lvlJc w:val="left"/>
      <w:pPr>
        <w:ind w:left="5040" w:hanging="360"/>
      </w:pPr>
      <w:rPr>
        <w:rFonts w:ascii="Wingdings" w:hAnsi="Wingdings" w:hint="default"/>
      </w:rPr>
    </w:lvl>
    <w:lvl w:ilvl="6" w:tplc="6DDABA06">
      <w:start w:val="1"/>
      <w:numFmt w:val="bullet"/>
      <w:lvlText w:val=""/>
      <w:lvlJc w:val="left"/>
      <w:pPr>
        <w:ind w:left="5760" w:hanging="360"/>
      </w:pPr>
      <w:rPr>
        <w:rFonts w:ascii="Symbol" w:hAnsi="Symbol" w:hint="default"/>
      </w:rPr>
    </w:lvl>
    <w:lvl w:ilvl="7" w:tplc="2452EB3C">
      <w:start w:val="1"/>
      <w:numFmt w:val="bullet"/>
      <w:lvlText w:val="o"/>
      <w:lvlJc w:val="left"/>
      <w:pPr>
        <w:ind w:left="6480" w:hanging="360"/>
      </w:pPr>
      <w:rPr>
        <w:rFonts w:ascii="Courier New" w:hAnsi="Courier New" w:hint="default"/>
      </w:rPr>
    </w:lvl>
    <w:lvl w:ilvl="8" w:tplc="1FA68EA4">
      <w:start w:val="1"/>
      <w:numFmt w:val="bullet"/>
      <w:lvlText w:val=""/>
      <w:lvlJc w:val="left"/>
      <w:pPr>
        <w:ind w:left="7200" w:hanging="360"/>
      </w:pPr>
      <w:rPr>
        <w:rFonts w:ascii="Wingdings" w:hAnsi="Wingdings" w:hint="default"/>
      </w:rPr>
    </w:lvl>
  </w:abstractNum>
  <w:abstractNum w:abstractNumId="2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54E39"/>
    <w:multiLevelType w:val="hybridMultilevel"/>
    <w:tmpl w:val="52EA3E24"/>
    <w:lvl w:ilvl="0" w:tplc="34EC9708">
      <w:numFmt w:val="bullet"/>
      <w:pStyle w:val="IPPBullet1"/>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0B63D7"/>
    <w:multiLevelType w:val="hybridMultilevel"/>
    <w:tmpl w:val="A11C41C0"/>
    <w:lvl w:ilvl="0" w:tplc="9C32ABD2">
      <w:start w:val="8"/>
      <w:numFmt w:val="bullet"/>
      <w:lvlText w:val="-"/>
      <w:lvlJc w:val="left"/>
      <w:pPr>
        <w:ind w:left="1069" w:hanging="360"/>
      </w:pPr>
      <w:rPr>
        <w:rFonts w:ascii="Times New Roman" w:eastAsia="Times"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B1F20"/>
    <w:multiLevelType w:val="hybridMultilevel"/>
    <w:tmpl w:val="B06C92EC"/>
    <w:lvl w:ilvl="0" w:tplc="16ECE44C">
      <w:start w:val="3"/>
      <w:numFmt w:val="bullet"/>
      <w:lvlText w:val="-"/>
      <w:lvlJc w:val="righ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D1594A"/>
    <w:multiLevelType w:val="hybridMultilevel"/>
    <w:tmpl w:val="4BB25E06"/>
    <w:lvl w:ilvl="0" w:tplc="7A4EA1F8">
      <w:start w:val="1"/>
      <w:numFmt w:val="decimal"/>
      <w:lvlText w:val="(%1)"/>
      <w:lvlJc w:val="left"/>
      <w:pPr>
        <w:ind w:left="720" w:hanging="360"/>
      </w:pPr>
    </w:lvl>
    <w:lvl w:ilvl="1" w:tplc="206E8A1C">
      <w:start w:val="1"/>
      <w:numFmt w:val="lowerLetter"/>
      <w:lvlText w:val="%2."/>
      <w:lvlJc w:val="left"/>
      <w:pPr>
        <w:ind w:left="1440" w:hanging="360"/>
      </w:pPr>
    </w:lvl>
    <w:lvl w:ilvl="2" w:tplc="D21AA556">
      <w:start w:val="1"/>
      <w:numFmt w:val="lowerRoman"/>
      <w:lvlText w:val="%3."/>
      <w:lvlJc w:val="right"/>
      <w:pPr>
        <w:ind w:left="2160" w:hanging="180"/>
      </w:pPr>
    </w:lvl>
    <w:lvl w:ilvl="3" w:tplc="87263A24">
      <w:start w:val="1"/>
      <w:numFmt w:val="decimal"/>
      <w:lvlText w:val="%4."/>
      <w:lvlJc w:val="left"/>
      <w:pPr>
        <w:ind w:left="2880" w:hanging="360"/>
      </w:pPr>
    </w:lvl>
    <w:lvl w:ilvl="4" w:tplc="BF385A04">
      <w:start w:val="1"/>
      <w:numFmt w:val="lowerLetter"/>
      <w:lvlText w:val="%5."/>
      <w:lvlJc w:val="left"/>
      <w:pPr>
        <w:ind w:left="3600" w:hanging="360"/>
      </w:pPr>
    </w:lvl>
    <w:lvl w:ilvl="5" w:tplc="CAFCA9B4">
      <w:start w:val="1"/>
      <w:numFmt w:val="lowerRoman"/>
      <w:lvlText w:val="%6."/>
      <w:lvlJc w:val="right"/>
      <w:pPr>
        <w:ind w:left="4320" w:hanging="180"/>
      </w:pPr>
    </w:lvl>
    <w:lvl w:ilvl="6" w:tplc="CC4287B6">
      <w:start w:val="1"/>
      <w:numFmt w:val="decimal"/>
      <w:lvlText w:val="%7."/>
      <w:lvlJc w:val="left"/>
      <w:pPr>
        <w:ind w:left="5040" w:hanging="360"/>
      </w:pPr>
    </w:lvl>
    <w:lvl w:ilvl="7" w:tplc="CA1ACEB8">
      <w:start w:val="1"/>
      <w:numFmt w:val="lowerLetter"/>
      <w:lvlText w:val="%8."/>
      <w:lvlJc w:val="left"/>
      <w:pPr>
        <w:ind w:left="5760" w:hanging="360"/>
      </w:pPr>
    </w:lvl>
    <w:lvl w:ilvl="8" w:tplc="1528FB02">
      <w:start w:val="1"/>
      <w:numFmt w:val="lowerRoman"/>
      <w:lvlText w:val="%9."/>
      <w:lvlJc w:val="right"/>
      <w:pPr>
        <w:ind w:left="6480" w:hanging="180"/>
      </w:pPr>
    </w:lvl>
  </w:abstractNum>
  <w:num w:numId="1">
    <w:abstractNumId w:val="6"/>
  </w:num>
  <w:num w:numId="2">
    <w:abstractNumId w:val="4"/>
  </w:num>
  <w:num w:numId="3">
    <w:abstractNumId w:val="23"/>
  </w:num>
  <w:num w:numId="4">
    <w:abstractNumId w:val="27"/>
  </w:num>
  <w:num w:numId="5">
    <w:abstractNumId w:val="20"/>
  </w:num>
  <w:num w:numId="6">
    <w:abstractNumId w:val="34"/>
  </w:num>
  <w:num w:numId="7">
    <w:abstractNumId w:val="7"/>
  </w:num>
  <w:num w:numId="8">
    <w:abstractNumId w:val="1"/>
  </w:num>
  <w:num w:numId="9">
    <w:abstractNumId w:val="11"/>
  </w:num>
  <w:num w:numId="10">
    <w:abstractNumId w:val="8"/>
  </w:num>
  <w:num w:numId="11">
    <w:abstractNumId w:val="9"/>
  </w:num>
  <w:num w:numId="12">
    <w:abstractNumId w:val="22"/>
  </w:num>
  <w:num w:numId="13">
    <w:abstractNumId w:val="26"/>
  </w:num>
  <w:num w:numId="14">
    <w:abstractNumId w:val="18"/>
  </w:num>
  <w:num w:numId="15">
    <w:abstractNumId w:val="32"/>
  </w:num>
  <w:num w:numId="16">
    <w:abstractNumId w:val="12"/>
  </w:num>
  <w:num w:numId="17">
    <w:abstractNumId w:val="24"/>
  </w:num>
  <w:num w:numId="18">
    <w:abstractNumId w:val="25"/>
  </w:num>
  <w:num w:numId="19">
    <w:abstractNumId w:val="13"/>
  </w:num>
  <w:num w:numId="20">
    <w:abstractNumId w:val="15"/>
  </w:num>
  <w:num w:numId="21">
    <w:abstractNumId w:val="18"/>
  </w:num>
  <w:num w:numId="22">
    <w:abstractNumId w:val="18"/>
  </w:num>
  <w:num w:numId="23">
    <w:abstractNumId w:val="5"/>
  </w:num>
  <w:num w:numId="24">
    <w:abstractNumId w:val="30"/>
  </w:num>
  <w:num w:numId="25">
    <w:abstractNumId w:val="28"/>
  </w:num>
  <w:num w:numId="26">
    <w:abstractNumId w:val="3"/>
  </w:num>
  <w:num w:numId="27">
    <w:abstractNumId w:val="2"/>
  </w:num>
  <w:num w:numId="28">
    <w:abstractNumId w:val="16"/>
  </w:num>
  <w:num w:numId="29">
    <w:abstractNumId w:val="31"/>
  </w:num>
  <w:num w:numId="30">
    <w:abstractNumId w:val="21"/>
  </w:num>
  <w:num w:numId="31">
    <w:abstractNumId w:val="17"/>
  </w:num>
  <w:num w:numId="32">
    <w:abstractNumId w:val="33"/>
  </w:num>
  <w:num w:numId="33">
    <w:abstractNumId w:val="10"/>
  </w:num>
  <w:num w:numId="34">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5">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6">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8">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9">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0">
    <w:abstractNumId w:val="0"/>
  </w:num>
  <w:num w:numId="41">
    <w:abstractNumId w:val="19"/>
  </w:num>
  <w:num w:numId="42">
    <w:abstractNumId w:val="29"/>
  </w:num>
  <w:num w:numId="43">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4">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5">
    <w:abstractNumId w:val="14"/>
  </w:num>
  <w:num w:numId="46">
    <w:abstractNumId w:val="0"/>
  </w:num>
  <w:num w:numId="47">
    <w:abstractNumId w:val="0"/>
    <w:lvlOverride w:ilvl="0">
      <w:startOverride w:val="1"/>
    </w:lvlOverride>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S"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en-US" w:vendorID="64" w:dllVersion="131078" w:nlCheck="1" w:checkStyle="1"/>
  <w:attachedTemplate r:id="rId1"/>
  <w:linkStyle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yMDYyNTc0NjM0MLdU0lEKTi0uzszPAykwrAUA9xoAiSwAAAA="/>
  </w:docVars>
  <w:rsids>
    <w:rsidRoot w:val="7F25C76D"/>
    <w:rsid w:val="00013AEA"/>
    <w:rsid w:val="000747C3"/>
    <w:rsid w:val="000E277A"/>
    <w:rsid w:val="001264FD"/>
    <w:rsid w:val="00130256"/>
    <w:rsid w:val="00131A35"/>
    <w:rsid w:val="001B0150"/>
    <w:rsid w:val="001C5DBA"/>
    <w:rsid w:val="00200510"/>
    <w:rsid w:val="00204082"/>
    <w:rsid w:val="0021041E"/>
    <w:rsid w:val="002147B3"/>
    <w:rsid w:val="002808D0"/>
    <w:rsid w:val="0028633C"/>
    <w:rsid w:val="002D20AB"/>
    <w:rsid w:val="002E7A7C"/>
    <w:rsid w:val="00300A54"/>
    <w:rsid w:val="003136D7"/>
    <w:rsid w:val="0032390A"/>
    <w:rsid w:val="003345E5"/>
    <w:rsid w:val="00406C63"/>
    <w:rsid w:val="00412DB0"/>
    <w:rsid w:val="00493B3F"/>
    <w:rsid w:val="00497EB3"/>
    <w:rsid w:val="004B1A5D"/>
    <w:rsid w:val="004F6CA6"/>
    <w:rsid w:val="004F7D14"/>
    <w:rsid w:val="00543150"/>
    <w:rsid w:val="005727C3"/>
    <w:rsid w:val="005868AC"/>
    <w:rsid w:val="005C49A4"/>
    <w:rsid w:val="005C6553"/>
    <w:rsid w:val="005C6F50"/>
    <w:rsid w:val="005E13CD"/>
    <w:rsid w:val="005E70A8"/>
    <w:rsid w:val="005F535A"/>
    <w:rsid w:val="006047A7"/>
    <w:rsid w:val="0063192F"/>
    <w:rsid w:val="006716FE"/>
    <w:rsid w:val="007030D3"/>
    <w:rsid w:val="007053C5"/>
    <w:rsid w:val="00771E1B"/>
    <w:rsid w:val="00795178"/>
    <w:rsid w:val="0079673D"/>
    <w:rsid w:val="00796AE9"/>
    <w:rsid w:val="007B57A9"/>
    <w:rsid w:val="007D06B8"/>
    <w:rsid w:val="007D2514"/>
    <w:rsid w:val="007D4EE5"/>
    <w:rsid w:val="00821DCE"/>
    <w:rsid w:val="00834FF3"/>
    <w:rsid w:val="00865FE6"/>
    <w:rsid w:val="008936EE"/>
    <w:rsid w:val="00896012"/>
    <w:rsid w:val="008E1D2C"/>
    <w:rsid w:val="00960A5D"/>
    <w:rsid w:val="00992958"/>
    <w:rsid w:val="009E1BE2"/>
    <w:rsid w:val="009F5EF9"/>
    <w:rsid w:val="00A1090D"/>
    <w:rsid w:val="00A20CE6"/>
    <w:rsid w:val="00A4307C"/>
    <w:rsid w:val="00A6479A"/>
    <w:rsid w:val="00A85F80"/>
    <w:rsid w:val="00AA5560"/>
    <w:rsid w:val="00AC3A87"/>
    <w:rsid w:val="00AC7148"/>
    <w:rsid w:val="00AF228E"/>
    <w:rsid w:val="00BB2CA4"/>
    <w:rsid w:val="00C04C4E"/>
    <w:rsid w:val="00C47C48"/>
    <w:rsid w:val="00C5712F"/>
    <w:rsid w:val="00C60AFD"/>
    <w:rsid w:val="00CC068D"/>
    <w:rsid w:val="00D038AB"/>
    <w:rsid w:val="00D403C2"/>
    <w:rsid w:val="00D9700A"/>
    <w:rsid w:val="00DC6034"/>
    <w:rsid w:val="00DD0925"/>
    <w:rsid w:val="00DD2386"/>
    <w:rsid w:val="00DE4638"/>
    <w:rsid w:val="00E45BC3"/>
    <w:rsid w:val="00E61A6B"/>
    <w:rsid w:val="00E77834"/>
    <w:rsid w:val="00EC553F"/>
    <w:rsid w:val="00EE1DAB"/>
    <w:rsid w:val="00F15F21"/>
    <w:rsid w:val="00F2060F"/>
    <w:rsid w:val="00F3686A"/>
    <w:rsid w:val="00F71249"/>
    <w:rsid w:val="00FB5933"/>
    <w:rsid w:val="00FE65A3"/>
    <w:rsid w:val="0A4C7A28"/>
    <w:rsid w:val="0A70A2B7"/>
    <w:rsid w:val="18CBF0F0"/>
    <w:rsid w:val="1A67C151"/>
    <w:rsid w:val="1AF6AC5C"/>
    <w:rsid w:val="24CD7C7D"/>
    <w:rsid w:val="278CD67F"/>
    <w:rsid w:val="3097BF22"/>
    <w:rsid w:val="33958C45"/>
    <w:rsid w:val="342CB4E7"/>
    <w:rsid w:val="364D9EF9"/>
    <w:rsid w:val="38F5DB9F"/>
    <w:rsid w:val="3B716DA2"/>
    <w:rsid w:val="4303A2A1"/>
    <w:rsid w:val="451D7347"/>
    <w:rsid w:val="4B8CB4CB"/>
    <w:rsid w:val="50E53F9F"/>
    <w:rsid w:val="5581D4EF"/>
    <w:rsid w:val="56B9093C"/>
    <w:rsid w:val="5AF7D5CF"/>
    <w:rsid w:val="629EA245"/>
    <w:rsid w:val="62ECB4AF"/>
    <w:rsid w:val="6DC8AB9A"/>
    <w:rsid w:val="73A88902"/>
    <w:rsid w:val="75DA45AA"/>
    <w:rsid w:val="78FFE83F"/>
    <w:rsid w:val="7DB65004"/>
    <w:rsid w:val="7F25C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5C76D"/>
  <w15:chartTrackingRefBased/>
  <w15:docId w15:val="{549024C9-7542-4C2D-BA99-EE6D4D7E69DB}"/>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MS Mincho" w:hAnsi="Times New Roman"/>
      <w:szCs w:val="24"/>
      <w:lang w:eastAsia="zh-CN"/>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sz w:val="20"/>
      <w:szCs w:val="24"/>
      <w:lang w:val="es-ES" w:eastAsia="zh-CN"/>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IPPBullet2">
    <w:name w:val="IPP Bullet2"/>
    <w:basedOn w:val="IPPNormal"/>
    <w:next w:val="IPPBullet1"/>
    <w:qFormat/>
    <w:pPr>
      <w:numPr>
        <w:numId w:val="29"/>
      </w:numPr>
      <w:tabs>
        <w:tab w:val="left" w:pos="1134"/>
      </w:tabs>
      <w:spacing w:after="60"/>
    </w:p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Normal">
    <w:name w:val="IPP Normal"/>
    <w:basedOn w:val="Normal"/>
    <w:link w:val="IPPNormalChar"/>
    <w:qFormat/>
    <w:pPr>
      <w:spacing w:after="180"/>
    </w:pPr>
    <w:rPr>
      <w:rFonts w:eastAsia="Times"/>
    </w:rPr>
  </w:style>
  <w:style w:type="paragraph" w:customStyle="1" w:styleId="IPPNumberedList">
    <w:name w:val="IPP NumberedList"/>
    <w:basedOn w:val="IPPBullet1"/>
    <w:qFormat/>
    <w:pPr>
      <w:numPr>
        <w:numId w:val="46"/>
      </w:numPr>
    </w:pPr>
  </w:style>
  <w:style w:type="paragraph" w:customStyle="1" w:styleId="IPPParagraphnumbering">
    <w:name w:val="IPP Paragraph numbering"/>
    <w:basedOn w:val="IPPNormal"/>
    <w:qFormat/>
    <w:pPr>
      <w:numPr>
        <w:numId w:val="34"/>
      </w:numPr>
    </w:pPr>
  </w:style>
  <w:style w:type="character" w:customStyle="1" w:styleId="IPPNormalChar">
    <w:name w:val="IPP Normal Char"/>
    <w:link w:val="IPPNormal"/>
    <w:rPr>
      <w:rFonts w:ascii="Times New Roman" w:eastAsia="Times" w:hAnsi="Times New Roman"/>
      <w:szCs w:val="24"/>
      <w:lang w:val="es-ES" w:eastAsia="zh-CN"/>
    </w:rPr>
  </w:style>
  <w:style w:type="character" w:customStyle="1" w:styleId="normaltextrun">
    <w:name w:val="normaltextrun"/>
    <w:basedOn w:val="DefaultParagraphFont"/>
  </w:style>
  <w:style w:type="character" w:customStyle="1" w:styleId="Heading1Char">
    <w:name w:val="Heading 1 Char"/>
    <w:basedOn w:val="DefaultParagraphFont"/>
    <w:link w:val="Heading1"/>
    <w:rPr>
      <w:rFonts w:ascii="Times New Roman" w:eastAsia="MS Mincho" w:hAnsi="Times New Roman"/>
      <w:b/>
      <w:bCs/>
      <w:szCs w:val="24"/>
      <w:lang w:val="es-ES"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s-ES" w:eastAsia="zh-CN"/>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eop">
    <w:name w:val="eop"/>
    <w:basedOn w:val="DefaultParagraphFont"/>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szCs w:val="24"/>
      <w:lang w:val="es-ES" w:eastAsia="zh-C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szCs w:val="24"/>
      <w:lang w:val="es-ES" w:eastAsia="zh-CN"/>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character" w:styleId="PageNumber">
    <w:name w:val="page number"/>
    <w:rPr>
      <w:rFonts w:ascii="Arial" w:hAnsi="Arial"/>
      <w:b/>
      <w:sz w:val="18"/>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es-ES" w:eastAsia="zh-CN"/>
    </w:rPr>
  </w:style>
  <w:style w:type="table" w:styleId="TableGrid">
    <w:name w:val="Table Grid"/>
    <w:basedOn w:val="TableNormal"/>
    <w:pPr>
      <w:spacing w:after="200" w:line="276"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Calibri" w:eastAsia="MS Mincho" w:hAnsi="Calibri"/>
      <w:b/>
      <w:bCs/>
      <w:i/>
      <w:iCs/>
      <w:sz w:val="28"/>
      <w:szCs w:val="28"/>
      <w:lang w:val="es-ES" w:eastAsia="zh-CN"/>
    </w:rPr>
  </w:style>
  <w:style w:type="character" w:customStyle="1" w:styleId="Heading3Char">
    <w:name w:val="Heading 3 Char"/>
    <w:basedOn w:val="DefaultParagraphFont"/>
    <w:link w:val="Heading3"/>
    <w:rPr>
      <w:rFonts w:ascii="Calibri" w:eastAsia="MS Mincho" w:hAnsi="Calibri"/>
      <w:b/>
      <w:bCs/>
      <w:sz w:val="26"/>
      <w:szCs w:val="26"/>
      <w:lang w:val="es-ES" w:eastAsia="zh-CN"/>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b/>
      <w:sz w:val="22"/>
      <w:szCs w:val="21"/>
      <w:lang w:val="es-ES" w:eastAsia="zh-CN"/>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s-ES"/>
    </w:rPr>
  </w:style>
  <w:style w:type="paragraph" w:customStyle="1" w:styleId="IPPBullet1">
    <w:name w:val="IPP Bullet1"/>
    <w:basedOn w:val="IPPBullet1Last"/>
    <w:qFormat/>
    <w:pPr>
      <w:numPr>
        <w:numId w:val="42"/>
      </w:numPr>
      <w:spacing w:after="60"/>
    </w:pPr>
  </w:style>
  <w:style w:type="paragraph" w:customStyle="1" w:styleId="IPPBullet1Last">
    <w:name w:val="IPP Bullet1Last"/>
    <w:basedOn w:val="IPPNormal"/>
    <w:next w:val="IPPNormal"/>
    <w:autoRedefine/>
    <w:qFormat/>
    <w:pPr>
      <w:numPr>
        <w:numId w:val="30"/>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28"/>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customStyle="1" w:styleId="IPPLetterList">
    <w:name w:val="IPP LetterList"/>
    <w:basedOn w:val="IPPBullet2"/>
    <w:qFormat/>
    <w:pPr>
      <w:numPr>
        <w:numId w:val="25"/>
      </w:numPr>
      <w:jc w:val="left"/>
    </w:pPr>
  </w:style>
  <w:style w:type="paragraph" w:customStyle="1" w:styleId="IPPLetterListIndent">
    <w:name w:val="IPP LetterList Indent"/>
    <w:basedOn w:val="IPPLetterList"/>
    <w:qFormat/>
    <w:pPr>
      <w:numPr>
        <w:numId w:val="26"/>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31"/>
      </w:numPr>
    </w:pPr>
  </w:style>
  <w:style w:type="paragraph" w:customStyle="1" w:styleId="IPPHdg2Num">
    <w:name w:val="IPP Hdg2Num"/>
    <w:basedOn w:val="IPPHeading2"/>
    <w:next w:val="IPPNormal"/>
    <w:qFormat/>
    <w:pPr>
      <w:numPr>
        <w:ilvl w:val="1" numString="1.1. "/>
        <w:numId w:val="32"/>
      </w:numPr>
    </w:pPr>
  </w:style>
  <w:style w:type="character" w:styleId="Strong">
    <w:name w:val="Strong"/>
    <w:basedOn w:val="DefaultParagraphFont"/>
    <w:qFormat/>
    <w:rPr>
      <w:b/>
      <w:bCs/>
    </w:rPr>
  </w:style>
  <w:style w:type="paragraph" w:customStyle="1" w:styleId="IPPParagraphnumberingclose">
    <w:name w:val="IPP Paragraph numbering close"/>
    <w:basedOn w:val="IPPParagraphnumbering"/>
    <w:qFormat/>
    <w:pPr>
      <w:keepNext/>
      <w:numPr>
        <w:numId w:val="0"/>
      </w:numPr>
      <w:spacing w:after="60"/>
    </w:pPr>
  </w:style>
  <w:style w:type="paragraph" w:customStyle="1" w:styleId="IPPNumberedListLast">
    <w:name w:val="IPP NumberedListLast"/>
    <w:basedOn w:val="IPPNumberedList"/>
    <w:qFormat/>
    <w:pPr>
      <w:numPr>
        <w:numId w:val="0"/>
      </w:numPr>
      <w:spacing w:after="180"/>
    </w:pPr>
  </w:style>
  <w:style w:type="paragraph" w:customStyle="1" w:styleId="IPPPargraphnumbering">
    <w:name w:val="IPP Pargraph numbering"/>
    <w:basedOn w:val="IPPNormal"/>
    <w:qFormat/>
    <w:pPr>
      <w:tabs>
        <w:tab w:val="num" w:pos="360"/>
      </w:tabs>
    </w:pPr>
    <w:rPr>
      <w:rFonts w:cs="Times New Roma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005740573">
      <w:bodyDiv w:val="1"/>
      <w:marLeft w:val="0"/>
      <w:marRight w:val="0"/>
      <w:marTop w:val="0"/>
      <w:marBottom w:val="0"/>
      <w:divBdr>
        <w:top w:val="none" w:sz="0" w:space="0" w:color="auto"/>
        <w:left w:val="none" w:sz="0" w:space="0" w:color="auto"/>
        <w:bottom w:val="none" w:sz="0" w:space="0" w:color="auto"/>
        <w:right w:val="none" w:sz="0" w:space="0" w:color="auto"/>
      </w:divBdr>
    </w:div>
    <w:div w:id="1376277848">
      <w:bodyDiv w:val="1"/>
      <w:marLeft w:val="0"/>
      <w:marRight w:val="0"/>
      <w:marTop w:val="0"/>
      <w:marBottom w:val="0"/>
      <w:divBdr>
        <w:top w:val="none" w:sz="0" w:space="0" w:color="auto"/>
        <w:left w:val="none" w:sz="0" w:space="0" w:color="auto"/>
        <w:bottom w:val="none" w:sz="0" w:space="0" w:color="auto"/>
        <w:right w:val="none" w:sz="0" w:space="0" w:color="auto"/>
      </w:divBdr>
    </w:div>
    <w:div w:id="1446458097">
      <w:bodyDiv w:val="1"/>
      <w:marLeft w:val="0"/>
      <w:marRight w:val="0"/>
      <w:marTop w:val="0"/>
      <w:marBottom w:val="0"/>
      <w:divBdr>
        <w:top w:val="none" w:sz="0" w:space="0" w:color="auto"/>
        <w:left w:val="none" w:sz="0" w:space="0" w:color="auto"/>
        <w:bottom w:val="none" w:sz="0" w:space="0" w:color="auto"/>
        <w:right w:val="none" w:sz="0" w:space="0" w:color="auto"/>
      </w:divBdr>
      <w:divsChild>
        <w:div w:id="1375734817">
          <w:marLeft w:val="0"/>
          <w:marRight w:val="0"/>
          <w:marTop w:val="0"/>
          <w:marBottom w:val="0"/>
          <w:divBdr>
            <w:top w:val="none" w:sz="0" w:space="0" w:color="auto"/>
            <w:left w:val="none" w:sz="0" w:space="0" w:color="auto"/>
            <w:bottom w:val="none" w:sz="0" w:space="0" w:color="auto"/>
            <w:right w:val="none" w:sz="0" w:space="0" w:color="auto"/>
          </w:divBdr>
          <w:divsChild>
            <w:div w:id="666059436">
              <w:marLeft w:val="0"/>
              <w:marRight w:val="0"/>
              <w:marTop w:val="0"/>
              <w:marBottom w:val="0"/>
              <w:divBdr>
                <w:top w:val="none" w:sz="0" w:space="0" w:color="auto"/>
                <w:left w:val="none" w:sz="0" w:space="0" w:color="auto"/>
                <w:bottom w:val="none" w:sz="0" w:space="0" w:color="auto"/>
                <w:right w:val="none" w:sz="0" w:space="0" w:color="auto"/>
              </w:divBdr>
              <w:divsChild>
                <w:div w:id="437915360">
                  <w:marLeft w:val="0"/>
                  <w:marRight w:val="0"/>
                  <w:marTop w:val="0"/>
                  <w:marBottom w:val="0"/>
                  <w:divBdr>
                    <w:top w:val="none" w:sz="0" w:space="0" w:color="auto"/>
                    <w:left w:val="none" w:sz="0" w:space="0" w:color="auto"/>
                    <w:bottom w:val="none" w:sz="0" w:space="0" w:color="auto"/>
                    <w:right w:val="none" w:sz="0" w:space="0" w:color="auto"/>
                  </w:divBdr>
                  <w:divsChild>
                    <w:div w:id="15791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79033">
      <w:bodyDiv w:val="1"/>
      <w:marLeft w:val="0"/>
      <w:marRight w:val="0"/>
      <w:marTop w:val="0"/>
      <w:marBottom w:val="0"/>
      <w:divBdr>
        <w:top w:val="none" w:sz="0" w:space="0" w:color="auto"/>
        <w:left w:val="none" w:sz="0" w:space="0" w:color="auto"/>
        <w:bottom w:val="none" w:sz="0" w:space="0" w:color="auto"/>
        <w:right w:val="none" w:sz="0" w:space="0" w:color="auto"/>
      </w:divBdr>
      <w:divsChild>
        <w:div w:id="1346638411">
          <w:marLeft w:val="0"/>
          <w:marRight w:val="0"/>
          <w:marTop w:val="0"/>
          <w:marBottom w:val="0"/>
          <w:divBdr>
            <w:top w:val="none" w:sz="0" w:space="0" w:color="auto"/>
            <w:left w:val="none" w:sz="0" w:space="0" w:color="auto"/>
            <w:bottom w:val="none" w:sz="0" w:space="0" w:color="auto"/>
            <w:right w:val="none" w:sz="0" w:space="0" w:color="auto"/>
          </w:divBdr>
        </w:div>
        <w:div w:id="1662276006">
          <w:marLeft w:val="0"/>
          <w:marRight w:val="0"/>
          <w:marTop w:val="0"/>
          <w:marBottom w:val="0"/>
          <w:divBdr>
            <w:top w:val="none" w:sz="0" w:space="0" w:color="auto"/>
            <w:left w:val="none" w:sz="0" w:space="0" w:color="auto"/>
            <w:bottom w:val="none" w:sz="0" w:space="0" w:color="auto"/>
            <w:right w:val="none" w:sz="0" w:space="0" w:color="auto"/>
          </w:divBdr>
        </w:div>
      </w:divsChild>
    </w:div>
    <w:div w:id="2142113493">
      <w:bodyDiv w:val="1"/>
      <w:marLeft w:val="0"/>
      <w:marRight w:val="0"/>
      <w:marTop w:val="0"/>
      <w:marBottom w:val="0"/>
      <w:divBdr>
        <w:top w:val="none" w:sz="0" w:space="0" w:color="auto"/>
        <w:left w:val="none" w:sz="0" w:space="0" w:color="auto"/>
        <w:bottom w:val="none" w:sz="0" w:space="0" w:color="auto"/>
        <w:right w:val="none" w:sz="0" w:space="0" w:color="auto"/>
      </w:divBdr>
      <w:divsChild>
        <w:div w:id="1983265218">
          <w:marLeft w:val="0"/>
          <w:marRight w:val="0"/>
          <w:marTop w:val="0"/>
          <w:marBottom w:val="0"/>
          <w:divBdr>
            <w:top w:val="none" w:sz="0" w:space="0" w:color="auto"/>
            <w:left w:val="none" w:sz="0" w:space="0" w:color="auto"/>
            <w:bottom w:val="none" w:sz="0" w:space="0" w:color="auto"/>
            <w:right w:val="none" w:sz="0" w:space="0" w:color="auto"/>
          </w:divBdr>
        </w:div>
        <w:div w:id="324863816">
          <w:marLeft w:val="0"/>
          <w:marRight w:val="0"/>
          <w:marTop w:val="0"/>
          <w:marBottom w:val="0"/>
          <w:divBdr>
            <w:top w:val="none" w:sz="0" w:space="0" w:color="auto"/>
            <w:left w:val="none" w:sz="0" w:space="0" w:color="auto"/>
            <w:bottom w:val="none" w:sz="0" w:space="0" w:color="auto"/>
            <w:right w:val="none" w:sz="0" w:space="0" w:color="auto"/>
          </w:divBdr>
        </w:div>
        <w:div w:id="1382292500">
          <w:marLeft w:val="0"/>
          <w:marRight w:val="0"/>
          <w:marTop w:val="0"/>
          <w:marBottom w:val="0"/>
          <w:divBdr>
            <w:top w:val="none" w:sz="0" w:space="0" w:color="auto"/>
            <w:left w:val="none" w:sz="0" w:space="0" w:color="auto"/>
            <w:bottom w:val="none" w:sz="0" w:space="0" w:color="auto"/>
            <w:right w:val="none" w:sz="0" w:space="0" w:color="auto"/>
          </w:divBdr>
        </w:div>
        <w:div w:id="2130274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ppc.int/es/publications/613/" TargetMode="External" Id="rId13" /><Relationship Type="http://schemas.openxmlformats.org/officeDocument/2006/relationships/hyperlink" Target="https://www.ippc.int/es/e-learning/"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ippc.int/es/publications/90635/" TargetMode="External" Id="rId21" /><Relationship Type="http://schemas.microsoft.com/office/2016/09/relationships/commentsIds" Target="commentsIds.xml" Id="rId34" /><Relationship Type="http://schemas.openxmlformats.org/officeDocument/2006/relationships/settings" Target="settings.xml" Id="rId7" /><Relationship Type="http://schemas.openxmlformats.org/officeDocument/2006/relationships/hyperlink" Target="https://www.ippc.int/es/publications/622/" TargetMode="External" Id="rId12" /><Relationship Type="http://schemas.openxmlformats.org/officeDocument/2006/relationships/hyperlink" Target="https://www.ippc.int/es/publications/587/" TargetMode="External" Id="rId17" /><Relationship Type="http://schemas.openxmlformats.org/officeDocument/2006/relationships/hyperlink" Target="https://thedocs.worldbank.org/en/doc/186841605045083824-0090022020/original/WBGRiskPrioritizationinPhytosanitaryManagementFINALweb.pdf" TargetMode="External" Id="rId25" /><Relationship Type="http://schemas.openxmlformats.org/officeDocument/2006/relationships/customXml" Target="../customXml/item2.xml" Id="rId2" /><Relationship Type="http://schemas.openxmlformats.org/officeDocument/2006/relationships/hyperlink" Target="https://www.ippc.int/es/publications/588/" TargetMode="External" Id="rId16" /><Relationship Type="http://schemas.openxmlformats.org/officeDocument/2006/relationships/hyperlink" Target="https://www.ippc.int/es/publications/90774/"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es/publications/596/" TargetMode="External" Id="rId11" /><Relationship Type="http://schemas.openxmlformats.org/officeDocument/2006/relationships/hyperlink" Target="https://nappo.org/english/learning-tools/Resources-and-Learning-Tools-for-Risk-Based-Sampling" TargetMode="External" Id="rId24" /><Relationship Type="http://schemas.openxmlformats.org/officeDocument/2006/relationships/numbering" Target="numbering.xml" Id="rId5" /><Relationship Type="http://schemas.openxmlformats.org/officeDocument/2006/relationships/hyperlink" Target="https://www.ippc.int/es/publications/598/" TargetMode="External" Id="rId15" /><Relationship Type="http://schemas.openxmlformats.org/officeDocument/2006/relationships/hyperlink" Target="https://www.ippc.int/es/publications/90639/" TargetMode="External" Id="rId23" /><Relationship Type="http://schemas.openxmlformats.org/officeDocument/2006/relationships/endnotes" Target="endnotes.xml" Id="rId10" /><Relationship Type="http://schemas.openxmlformats.org/officeDocument/2006/relationships/hyperlink" Target="https://www.ippc.int/es/publications/90286/"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ppc.int/es/publications/602/" TargetMode="External" Id="rId14" /><Relationship Type="http://schemas.openxmlformats.org/officeDocument/2006/relationships/hyperlink" Target="https://www.ippc.int/es/publications/90633/" TargetMode="External" Id="rId22" /><Relationship Type="http://schemas.openxmlformats.org/officeDocument/2006/relationships/theme" Target="theme/theme1.xml" Id="rId27" /><Relationship Type="http://schemas.microsoft.com/office/2018/08/relationships/commentsExtensible" Target="commentsExtensible.xml" Id="rId35" /></Relationships>
</file>

<file path=word/_rels/settings.xml.rels>&#65279;<?xml version="1.0" encoding="utf-8"?><Relationships xmlns="http://schemas.openxmlformats.org/package/2006/relationships"><Relationship Type="http://schemas.openxmlformats.org/officeDocument/2006/relationships/attachedTemplate" Target="file:///C:\Users\Koumbamouendou\AppData\Local\Microsoft\Windows\INetCache\Content.Outlook\4US932A0\IPPC_2015-06-04.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301ED3BD-8B1B-4026-ACD7-976E1D2A6407}">
  <ds:schemaRefs>
    <ds:schemaRef ds:uri="http://schemas.microsoft.com/sharepoint/v3/contenttype/forms"/>
  </ds:schemaRefs>
</ds:datastoreItem>
</file>

<file path=customXml/itemProps2.xml><?xml version="1.0" encoding="utf-8"?>
<ds:datastoreItem xmlns:ds="http://schemas.openxmlformats.org/officeDocument/2006/customXml" ds:itemID="{60C20A64-8CD8-4032-BAD7-EFF6EF124FB4}">
  <ds:schemaRefs>
    <ds:schemaRef ds:uri="http://schemas.microsoft.com/office/2006/metadata/properties"/>
    <ds:schemaRef ds:uri="http://schemas.microsoft.com/office/infopath/2007/PartnerControls"/>
    <ds:schemaRef ds:uri="ea6feb38-a85a-45e8-92e9-814486bbe375"/>
    <ds:schemaRef ds:uri="a05d7f75-f42e-4288-8809-604fd4d9691f"/>
  </ds:schemaRefs>
</ds:datastoreItem>
</file>

<file path=customXml/itemProps3.xml><?xml version="1.0" encoding="utf-8"?>
<ds:datastoreItem xmlns:ds="http://schemas.openxmlformats.org/officeDocument/2006/customXml" ds:itemID="{BB54B81D-1A28-4193-9A22-FD317A125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99B03-43F7-4C14-B9A9-1A5A81BC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148</TotalTime>
  <Pages>4</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Barbara (NSP)</dc:creator>
  <cp:keywords/>
  <dc:description/>
  <cp:lastModifiedBy>Czerwien, Ewa (NSP)</cp:lastModifiedBy>
  <cp:revision>22</cp:revision>
  <dcterms:created xsi:type="dcterms:W3CDTF">2022-06-16T15:17:00Z</dcterms:created>
  <dcterms:modified xsi:type="dcterms:W3CDTF">2022-07-01T12:30:00Z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