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2022 ICD Draft Specification: Authorization of entities to perform phytosanitary actions, Guide (2018-040). Document title: 2018-040_DS_AuthorizationOfEntitiesGuide_ES.docx]</w:t>
      </w:r>
    </w:p>
    <w:p w14:paraId="2947059D" w14:textId="4CDA4A37">
      <w:pPr>
        <w:pStyle w:val="IPPHeadSection"/>
        <w:jc w:val="center"/>
      </w:pPr>
      <w:r>
        <w:rPr>
          <w:rStyle w:val="PleaseReviewParagraphId"/>
          <w:b w:val="off"/>
          <w:i w:val="off"/>
        </w:rPr>
        <w:t>[1]</w:t>
      </w:r>
      <w:r>
        <w:t>PROYECTO DE ESPECIFICACIÓN: guía PARA LA AUTORIZACIÓN de ENTIDADES PARA ejecutar ACCIONES FITOSANITARIAS (2018-040)</w:t>
      </w:r>
    </w:p>
    <w:p w14:paraId="15E88FAB" w14:textId="77777777">
      <w:pPr>
        <w:spacing w:before="60" w:after="60"/>
        <w:rPr>
          <w:rFonts w:eastAsia="Times" w:asciiTheme="majorBidi" w:hAnsiTheme="majorBidi" w:cstheme="majorBidi"/>
          <w:b/>
          <w:bCs/>
        </w:rPr>
      </w:pPr>
      <w:r>
        <w:rPr>
          <w:rStyle w:val="PleaseReviewParagraphId"/>
          <w:b w:val="off"/>
          <w:i w:val="off"/>
        </w:rPr>
        <w:t>[2]</w:t>
      </w:r>
      <w:r>
        <w:rPr>
          <w:rFonts w:eastAsia="Times" w:asciiTheme="majorBidi" w:hAnsiTheme="majorBidi" w:cstheme="majorBidi"/>
          <w:b/>
          <w:bCs/>
        </w:rPr>
        <w:t>Status box</w:t>
      </w:r>
    </w:p>
    <w:tbl>
      <w:tblPr>
        <w:tblW w:w="5000" w:type="pct"/>
        <w:jc w:val="center"/>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1"/>
        <w:gridCol w:w="6749"/>
      </w:tblGrid>
      <w:tr w14:paraId="3E42709E" w14:textId="77777777">
        <w:trPr>
          <w:trHeight w:val="286"/>
          <w:jc w:val="center"/>
        </w:trPr>
        <w:tc>
          <w:tcPr>
            <w:tcW w:w="9020" w:type="dxa"/>
            <w:gridSpan w:val="2"/>
          </w:tcPr>
          <w:p w14:paraId="15DC44A7" w14:textId="77777777">
            <w:pPr>
              <w:spacing w:before="60" w:after="60"/>
              <w:rPr>
                <w:rFonts w:ascii="Arial" w:hAnsi="Arial" w:eastAsia="Times"/>
                <w:sz w:val="18"/>
                <w:szCs w:val="18"/>
                <w:lang w:val="en-US"/>
              </w:rPr>
            </w:pPr>
            <w:r>
              <w:rPr>
                <w:rStyle w:val="PleaseReviewParagraphId"/>
                <w:b w:val="off"/>
                <w:i w:val="off"/>
              </w:rPr>
              <w:t>[3]</w:t>
            </w:r>
            <w:r>
              <w:rPr>
                <w:rFonts w:ascii="Arial" w:hAnsi="Arial" w:eastAsia="Times"/>
                <w:sz w:val="18"/>
                <w:szCs w:val="18"/>
                <w:lang w:val="en-US"/>
              </w:rPr>
              <w:t>This status box is not an official part of the Guide and will be modified by the IPPC Secretariat</w:t>
            </w:r>
          </w:p>
        </w:tc>
      </w:tr>
      <w:tr w14:paraId="64DBA103" w14:textId="77777777">
        <w:trPr>
          <w:trHeight w:val="286"/>
          <w:jc w:val="center"/>
        </w:trPr>
        <w:tc>
          <w:tcPr>
            <w:tcW w:w="2271" w:type="dxa"/>
          </w:tcPr>
          <w:p w14:paraId="15E72ED9" w14:textId="77777777">
            <w:pPr>
              <w:spacing w:before="60" w:after="60"/>
              <w:rPr>
                <w:rFonts w:ascii="Arial" w:hAnsi="Arial" w:eastAsia="Times"/>
                <w:b/>
                <w:bCs/>
                <w:sz w:val="18"/>
                <w:szCs w:val="18"/>
              </w:rPr>
            </w:pPr>
            <w:r>
              <w:rPr>
                <w:rStyle w:val="PleaseReviewParagraphId"/>
                <w:b w:val="off"/>
                <w:i w:val="off"/>
              </w:rPr>
              <w:t>[4]</w:t>
            </w:r>
            <w:r>
              <w:rPr>
                <w:rFonts w:ascii="Arial" w:hAnsi="Arial" w:eastAsia="Times"/>
                <w:b/>
                <w:bCs/>
                <w:sz w:val="18"/>
                <w:szCs w:val="18"/>
              </w:rPr>
              <w:t xml:space="preserve">Submission number: </w:t>
            </w:r>
          </w:p>
        </w:tc>
        <w:tc>
          <w:tcPr>
            <w:tcW w:w="6749" w:type="dxa"/>
          </w:tcPr>
          <w:p w14:paraId="60FCFF51" w14:textId="77777777">
            <w:pPr>
              <w:spacing w:before="60" w:after="60"/>
              <w:rPr>
                <w:rFonts w:ascii="Arial" w:hAnsi="Arial" w:eastAsia="Times"/>
                <w:sz w:val="18"/>
                <w:szCs w:val="18"/>
              </w:rPr>
            </w:pPr>
            <w:r>
              <w:rPr>
                <w:rStyle w:val="PleaseReviewParagraphId"/>
                <w:b w:val="off"/>
                <w:i w:val="off"/>
              </w:rPr>
              <w:t>[5]</w:t>
            </w:r>
            <w:r>
              <w:rPr>
                <w:rFonts w:ascii="Arial" w:hAnsi="Arial" w:eastAsia="Times"/>
                <w:sz w:val="18"/>
                <w:szCs w:val="18"/>
              </w:rPr>
              <w:t>2018-040</w:t>
            </w:r>
          </w:p>
        </w:tc>
      </w:tr>
      <w:tr w14:paraId="4CB39EF5" w14:textId="77777777">
        <w:trPr>
          <w:trHeight w:val="286"/>
          <w:jc w:val="center"/>
        </w:trPr>
        <w:tc>
          <w:tcPr>
            <w:tcW w:w="2271" w:type="dxa"/>
          </w:tcPr>
          <w:p w14:paraId="58BCE115" w14:textId="77777777">
            <w:pPr>
              <w:spacing w:before="60" w:after="60"/>
              <w:rPr>
                <w:rFonts w:ascii="Arial" w:hAnsi="Arial" w:eastAsia="Times"/>
                <w:b/>
                <w:bCs/>
                <w:sz w:val="18"/>
                <w:szCs w:val="18"/>
              </w:rPr>
            </w:pPr>
            <w:r>
              <w:rPr>
                <w:rStyle w:val="PleaseReviewParagraphId"/>
                <w:b w:val="off"/>
                <w:i w:val="off"/>
              </w:rPr>
              <w:t>[6]</w:t>
            </w:r>
            <w:r>
              <w:rPr>
                <w:rFonts w:ascii="Arial" w:hAnsi="Arial" w:eastAsia="Times"/>
                <w:b/>
                <w:bCs/>
                <w:sz w:val="18"/>
                <w:szCs w:val="18"/>
              </w:rPr>
              <w:t>Title</w:t>
            </w:r>
          </w:p>
        </w:tc>
        <w:tc>
          <w:tcPr>
            <w:tcW w:w="6749" w:type="dxa"/>
          </w:tcPr>
          <w:p w14:paraId="6113B92B" w14:textId="77777777">
            <w:pPr>
              <w:spacing w:before="60" w:after="60"/>
              <w:rPr>
                <w:rFonts w:ascii="Arial" w:hAnsi="Arial" w:eastAsia="Times"/>
                <w:sz w:val="18"/>
                <w:szCs w:val="18"/>
                <w:lang w:val="en-US"/>
              </w:rPr>
            </w:pPr>
            <w:r>
              <w:rPr>
                <w:rStyle w:val="PleaseReviewParagraphId"/>
                <w:b w:val="off"/>
                <w:i w:val="off"/>
              </w:rPr>
              <w:t>[7]</w:t>
            </w:r>
            <w:r>
              <w:rPr>
                <w:rFonts w:ascii="Arial" w:hAnsi="Arial" w:eastAsia="Times"/>
                <w:sz w:val="18"/>
                <w:szCs w:val="18"/>
                <w:lang w:val="en-US"/>
              </w:rPr>
              <w:t>Guide on authorization of entities to perform phytosanitary actions</w:t>
            </w:r>
          </w:p>
        </w:tc>
      </w:tr>
      <w:tr w14:paraId="39A0706E" w14:textId="77777777">
        <w:trPr>
          <w:trHeight w:val="286"/>
          <w:jc w:val="center"/>
        </w:trPr>
        <w:tc>
          <w:tcPr>
            <w:tcW w:w="2271" w:type="dxa"/>
          </w:tcPr>
          <w:p w14:paraId="21E5EBE8" w14:textId="77777777">
            <w:pPr>
              <w:spacing w:before="60" w:after="60"/>
              <w:rPr>
                <w:rFonts w:ascii="Arial" w:hAnsi="Arial" w:eastAsia="Times"/>
                <w:b/>
                <w:bCs/>
                <w:sz w:val="18"/>
                <w:szCs w:val="18"/>
              </w:rPr>
            </w:pPr>
            <w:r>
              <w:rPr>
                <w:rStyle w:val="PleaseReviewParagraphId"/>
                <w:b w:val="off"/>
                <w:i w:val="off"/>
              </w:rPr>
              <w:t>[8]</w:t>
            </w:r>
            <w:r>
              <w:rPr>
                <w:rFonts w:ascii="Arial" w:hAnsi="Arial" w:eastAsia="Times"/>
                <w:b/>
                <w:bCs/>
                <w:sz w:val="18"/>
                <w:szCs w:val="18"/>
              </w:rPr>
              <w:t xml:space="preserve">Document category </w:t>
            </w:r>
          </w:p>
        </w:tc>
        <w:tc>
          <w:tcPr>
            <w:tcW w:w="6749" w:type="dxa"/>
          </w:tcPr>
          <w:p w14:paraId="0C97E107" w14:textId="77777777">
            <w:pPr>
              <w:spacing w:before="60" w:after="60"/>
              <w:rPr>
                <w:rFonts w:ascii="Arial" w:hAnsi="Arial" w:eastAsia="Times"/>
                <w:sz w:val="18"/>
                <w:szCs w:val="18"/>
              </w:rPr>
            </w:pPr>
            <w:r>
              <w:rPr>
                <w:rStyle w:val="PleaseReviewParagraphId"/>
                <w:b w:val="off"/>
                <w:i w:val="off"/>
              </w:rPr>
              <w:t>[9]</w:t>
            </w:r>
            <w:r>
              <w:rPr>
                <w:rFonts w:ascii="Arial" w:hAnsi="Arial" w:eastAsia="Times"/>
                <w:sz w:val="18"/>
                <w:szCs w:val="18"/>
              </w:rPr>
              <w:t>IPPC Guide</w:t>
            </w:r>
          </w:p>
        </w:tc>
      </w:tr>
      <w:tr w14:paraId="7505F2A1" w14:textId="77777777">
        <w:trPr>
          <w:trHeight w:val="299"/>
          <w:jc w:val="center"/>
        </w:trPr>
        <w:tc>
          <w:tcPr>
            <w:tcW w:w="2271" w:type="dxa"/>
          </w:tcPr>
          <w:p w14:paraId="5B061037" w14:textId="77777777">
            <w:pPr>
              <w:spacing w:before="60" w:after="60"/>
              <w:rPr>
                <w:rFonts w:ascii="Arial" w:hAnsi="Arial" w:eastAsia="Times"/>
                <w:b/>
                <w:bCs/>
                <w:sz w:val="18"/>
                <w:szCs w:val="18"/>
              </w:rPr>
            </w:pPr>
            <w:r>
              <w:rPr>
                <w:rStyle w:val="PleaseReviewParagraphId"/>
                <w:b w:val="off"/>
                <w:i w:val="off"/>
              </w:rPr>
              <w:t>[10]</w:t>
            </w:r>
            <w:r>
              <w:rPr>
                <w:rFonts w:ascii="Arial" w:hAnsi="Arial" w:eastAsia="Times"/>
                <w:b/>
                <w:bCs/>
                <w:sz w:val="18"/>
                <w:szCs w:val="18"/>
              </w:rPr>
              <w:t>Date of this document</w:t>
            </w:r>
          </w:p>
        </w:tc>
        <w:tc>
          <w:tcPr>
            <w:tcW w:w="6749" w:type="dxa"/>
          </w:tcPr>
          <w:p w14:paraId="12A8E92C" w14:textId="77777777">
            <w:pPr>
              <w:spacing w:before="60" w:after="60"/>
              <w:rPr>
                <w:rFonts w:ascii="Arial" w:hAnsi="Arial" w:eastAsia="Times"/>
                <w:sz w:val="18"/>
                <w:szCs w:val="18"/>
              </w:rPr>
            </w:pPr>
            <w:r>
              <w:rPr>
                <w:rStyle w:val="PleaseReviewParagraphId"/>
                <w:b w:val="off"/>
                <w:i w:val="off"/>
              </w:rPr>
              <w:t>[11]</w:t>
            </w:r>
            <w:r>
              <w:rPr>
                <w:rFonts w:ascii="Arial" w:hAnsi="Arial" w:eastAsia="Times"/>
                <w:sz w:val="18"/>
                <w:szCs w:val="18"/>
              </w:rPr>
              <w:t>2022-03-16</w:t>
            </w:r>
          </w:p>
        </w:tc>
      </w:tr>
      <w:tr w14:paraId="5C1113A8" w14:textId="77777777">
        <w:trPr>
          <w:trHeight w:val="299"/>
          <w:jc w:val="center"/>
        </w:trPr>
        <w:tc>
          <w:tcPr>
            <w:tcW w:w="2271" w:type="dxa"/>
          </w:tcPr>
          <w:p w14:paraId="003A0CCB" w14:textId="77777777">
            <w:pPr>
              <w:spacing w:before="60" w:after="60"/>
              <w:rPr>
                <w:rFonts w:ascii="Arial" w:hAnsi="Arial" w:eastAsia="Times"/>
                <w:b/>
                <w:bCs/>
                <w:sz w:val="18"/>
                <w:szCs w:val="18"/>
              </w:rPr>
            </w:pPr>
            <w:r>
              <w:rPr>
                <w:rStyle w:val="PleaseReviewParagraphId"/>
                <w:b w:val="off"/>
                <w:i w:val="off"/>
              </w:rPr>
              <w:t>[12]</w:t>
            </w:r>
            <w:r>
              <w:rPr>
                <w:rFonts w:ascii="Arial" w:hAnsi="Arial" w:eastAsia="Times"/>
                <w:b/>
                <w:bCs/>
                <w:sz w:val="18"/>
                <w:szCs w:val="18"/>
              </w:rPr>
              <w:t>Current document stage</w:t>
            </w:r>
          </w:p>
        </w:tc>
        <w:tc>
          <w:tcPr>
            <w:tcW w:w="6749" w:type="dxa"/>
          </w:tcPr>
          <w:p w14:paraId="4E09766D" w14:textId="77777777">
            <w:pPr>
              <w:spacing w:before="60" w:after="60"/>
              <w:rPr>
                <w:rFonts w:ascii="Arial" w:hAnsi="Arial" w:eastAsia="Times"/>
                <w:sz w:val="18"/>
                <w:szCs w:val="18"/>
              </w:rPr>
            </w:pPr>
            <w:r>
              <w:rPr>
                <w:rStyle w:val="PleaseReviewParagraphId"/>
                <w:b w:val="off"/>
                <w:i w:val="off"/>
              </w:rPr>
              <w:t>[13]</w:t>
            </w:r>
            <w:r>
              <w:rPr>
                <w:rFonts w:ascii="Arial" w:hAnsi="Arial" w:eastAsia="Times"/>
                <w:sz w:val="18"/>
                <w:szCs w:val="18"/>
              </w:rPr>
              <w:t>Draft Specification</w:t>
            </w:r>
          </w:p>
        </w:tc>
      </w:tr>
      <w:tr w14:paraId="25EAEA65" w14:textId="77777777">
        <w:trPr>
          <w:trHeight w:val="491"/>
          <w:jc w:val="center"/>
        </w:trPr>
        <w:tc>
          <w:tcPr>
            <w:tcW w:w="2271" w:type="dxa"/>
          </w:tcPr>
          <w:p w14:paraId="162BF704" w14:textId="77777777">
            <w:pPr>
              <w:spacing w:before="60" w:after="60"/>
              <w:rPr>
                <w:rFonts w:ascii="Arial" w:hAnsi="Arial" w:eastAsia="Times"/>
                <w:b/>
                <w:bCs/>
                <w:sz w:val="18"/>
                <w:szCs w:val="18"/>
              </w:rPr>
            </w:pPr>
            <w:r>
              <w:rPr>
                <w:rStyle w:val="PleaseReviewParagraphId"/>
                <w:b w:val="off"/>
                <w:i w:val="off"/>
              </w:rPr>
              <w:t>[14]</w:t>
            </w:r>
            <w:r>
              <w:rPr>
                <w:rFonts w:ascii="Arial" w:hAnsi="Arial" w:eastAsia="Times"/>
                <w:b/>
                <w:bCs/>
                <w:sz w:val="18"/>
                <w:szCs w:val="18"/>
              </w:rPr>
              <w:t>Major stages</w:t>
            </w:r>
          </w:p>
        </w:tc>
        <w:tc>
          <w:tcPr>
            <w:tcW w:w="6749" w:type="dxa"/>
          </w:tcPr>
          <w:p w14:paraId="2FB005E8" w14:textId="77777777">
            <w:pPr>
              <w:spacing w:after="60"/>
              <w:rPr>
                <w:rFonts w:ascii="Arial" w:hAnsi="Arial" w:eastAsia="Times"/>
                <w:b/>
                <w:bCs/>
                <w:sz w:val="8"/>
                <w:szCs w:val="18"/>
                <w:lang w:val="en-US"/>
              </w:rPr>
            </w:pPr>
            <w:r>
              <w:rPr>
                <w:rStyle w:val="PleaseReviewParagraphId"/>
                <w:b w:val="off"/>
                <w:i w:val="off"/>
              </w:rPr>
              <w:t>[15]</w:t>
            </w:r>
          </w:p>
          <w:p w14:paraId="0EDF6AA1" w14:textId="77777777">
            <w:pPr>
              <w:spacing w:after="60" w:line="276" w:lineRule="auto"/>
              <w:rPr>
                <w:rFonts w:ascii="Arial" w:hAnsi="Arial" w:eastAsia="Times"/>
                <w:sz w:val="18"/>
                <w:szCs w:val="18"/>
                <w:lang w:val="en-US"/>
              </w:rPr>
            </w:pPr>
            <w:r>
              <w:rPr>
                <w:rStyle w:val="PleaseReviewParagraphId"/>
                <w:b w:val="off"/>
                <w:i w:val="off"/>
              </w:rPr>
              <w:t>[16]</w:t>
            </w:r>
            <w:r>
              <w:rPr>
                <w:rFonts w:ascii="Arial" w:hAnsi="Arial" w:eastAsia="Times"/>
                <w:b/>
                <w:bCs/>
                <w:sz w:val="18"/>
                <w:szCs w:val="18"/>
                <w:lang w:val="en-US"/>
              </w:rPr>
              <w:t>2019-03:</w:t>
            </w:r>
            <w:r>
              <w:rPr>
                <w:rFonts w:ascii="Arial" w:hAnsi="Arial" w:eastAsia="Times"/>
                <w:sz w:val="18"/>
                <w:szCs w:val="18"/>
                <w:lang w:val="en-US"/>
              </w:rPr>
              <w:t xml:space="preserve"> CPM-14 (2019) added this topic to List of Implementation and Capacity Development Topics; priority 1</w:t>
            </w:r>
          </w:p>
          <w:p w14:paraId="2C0A51B2" w14:textId="77777777">
            <w:pPr>
              <w:spacing w:after="60" w:line="276" w:lineRule="auto"/>
              <w:rPr>
                <w:rFonts w:ascii="Arial" w:hAnsi="Arial" w:eastAsia="Times"/>
                <w:sz w:val="18"/>
                <w:szCs w:val="18"/>
                <w:lang w:val="en-US"/>
              </w:rPr>
            </w:pPr>
            <w:r>
              <w:rPr>
                <w:rStyle w:val="PleaseReviewParagraphId"/>
                <w:b w:val="off"/>
                <w:i w:val="off"/>
              </w:rPr>
              <w:t>[17]</w:t>
            </w:r>
            <w:r>
              <w:rPr>
                <w:rFonts w:ascii="Arial" w:hAnsi="Arial" w:eastAsia="Times"/>
                <w:b/>
                <w:bCs/>
                <w:sz w:val="18"/>
                <w:szCs w:val="18"/>
                <w:lang w:val="en-US"/>
              </w:rPr>
              <w:t>2020-11:</w:t>
            </w:r>
            <w:r>
              <w:rPr>
                <w:rFonts w:ascii="Arial" w:hAnsi="Arial" w:eastAsia="Times"/>
                <w:sz w:val="18"/>
                <w:szCs w:val="18"/>
                <w:lang w:val="en-US"/>
              </w:rPr>
              <w:t xml:space="preserve"> Implementation and Capacity Development Committee (IC) lead identified (Dominique PELLETIER (CAN))</w:t>
            </w:r>
          </w:p>
          <w:p w14:paraId="22ECDDC7" w14:textId="77777777">
            <w:pPr>
              <w:spacing w:after="60" w:line="276" w:lineRule="auto"/>
              <w:rPr>
                <w:rFonts w:ascii="Arial" w:hAnsi="Arial" w:eastAsia="Times"/>
                <w:sz w:val="18"/>
                <w:szCs w:val="18"/>
                <w:lang w:val="en-US"/>
              </w:rPr>
            </w:pPr>
            <w:r>
              <w:rPr>
                <w:rStyle w:val="PleaseReviewParagraphId"/>
                <w:b w:val="off"/>
                <w:i w:val="off"/>
              </w:rPr>
              <w:t>[18]</w:t>
            </w:r>
            <w:r>
              <w:rPr>
                <w:rFonts w:ascii="Arial" w:hAnsi="Arial" w:eastAsia="Times"/>
                <w:b/>
                <w:bCs/>
                <w:sz w:val="18"/>
                <w:szCs w:val="18"/>
                <w:lang w:val="en-US"/>
              </w:rPr>
              <w:t>2021-06:</w:t>
            </w:r>
            <w:r>
              <w:rPr>
                <w:rFonts w:ascii="Arial" w:hAnsi="Arial" w:eastAsia="Times"/>
                <w:sz w:val="18"/>
                <w:szCs w:val="18"/>
                <w:lang w:val="en-US"/>
              </w:rPr>
              <w:t xml:space="preserve"> The IC agreed that the draft specification should be developed for the 2022 consultation</w:t>
            </w:r>
          </w:p>
          <w:p w14:paraId="782105DD" w14:textId="76AFED00">
            <w:pPr>
              <w:spacing w:after="60" w:line="276" w:lineRule="auto"/>
              <w:rPr>
                <w:rFonts w:ascii="Arial" w:hAnsi="Arial" w:eastAsia="Times"/>
                <w:sz w:val="18"/>
                <w:szCs w:val="18"/>
                <w:lang w:val="en-US"/>
              </w:rPr>
            </w:pPr>
            <w:r>
              <w:rPr>
                <w:rStyle w:val="PleaseReviewParagraphId"/>
                <w:b w:val="off"/>
                <w:i w:val="off"/>
              </w:rPr>
              <w:t>[19]</w:t>
            </w:r>
            <w:r>
              <w:rPr>
                <w:rFonts w:ascii="Arial" w:hAnsi="Arial" w:eastAsia="Times"/>
                <w:b/>
                <w:sz w:val="18"/>
                <w:szCs w:val="18"/>
                <w:lang w:val="en-US"/>
              </w:rPr>
              <w:t>2022-03</w:t>
            </w:r>
            <w:r>
              <w:rPr>
                <w:rFonts w:ascii="Arial" w:hAnsi="Arial" w:eastAsia="Times"/>
                <w:sz w:val="18"/>
                <w:szCs w:val="18"/>
                <w:lang w:val="en-US"/>
              </w:rPr>
              <w:t xml:space="preserve"> : </w:t>
            </w:r>
            <w:r>
              <w:rPr>
                <w:rStyle w:val="Heading1Char"/>
                <w:rFonts w:ascii="Arial" w:hAnsi="Arial" w:cs="Arial"/>
                <w:color w:val="000000"/>
                <w:sz w:val="18"/>
                <w:szCs w:val="18"/>
                <w:shd w:val="clear" w:color="auto" w:fill="FFFFFF"/>
                <w:lang w:val="en-US"/>
              </w:rPr>
              <w:t xml:space="preserve"> </w:t>
            </w:r>
            <w:r>
              <w:rPr>
                <w:rStyle w:val="normaltextrun"/>
                <w:rFonts w:ascii="Arial" w:hAnsi="Arial" w:cs="Arial"/>
                <w:color w:val="000000"/>
                <w:sz w:val="18"/>
                <w:szCs w:val="18"/>
                <w:shd w:val="clear" w:color="auto" w:fill="FFFFFF"/>
                <w:lang w:val="en-US"/>
              </w:rPr>
              <w:t>IC approved draft specification for consultation</w:t>
            </w:r>
            <w:r>
              <w:rPr>
                <w:rStyle w:val="eop"/>
                <w:rFonts w:ascii="Arial" w:hAnsi="Arial" w:cs="Arial"/>
                <w:color w:val="000000"/>
                <w:sz w:val="18"/>
                <w:szCs w:val="18"/>
                <w:shd w:val="clear" w:color="auto" w:fill="FFFFFF"/>
                <w:lang w:val="en-US"/>
              </w:rPr>
              <w:t> </w:t>
            </w:r>
          </w:p>
        </w:tc>
      </w:tr>
      <w:tr w14:paraId="6CE5AD24" w14:textId="77777777">
        <w:trPr>
          <w:trHeight w:val="491"/>
          <w:jc w:val="center"/>
        </w:trPr>
        <w:tc>
          <w:tcPr>
            <w:tcW w:w="2271" w:type="dxa"/>
          </w:tcPr>
          <w:p w14:paraId="402EE8F4" w14:textId="77777777">
            <w:pPr>
              <w:spacing w:before="60" w:after="60"/>
              <w:rPr>
                <w:rFonts w:ascii="Arial" w:hAnsi="Arial" w:eastAsia="Times"/>
                <w:b/>
                <w:bCs/>
                <w:sz w:val="18"/>
                <w:szCs w:val="18"/>
              </w:rPr>
            </w:pPr>
            <w:r>
              <w:rPr>
                <w:rStyle w:val="PleaseReviewParagraphId"/>
                <w:b w:val="off"/>
                <w:i w:val="off"/>
              </w:rPr>
              <w:t>[20]</w:t>
            </w:r>
            <w:r>
              <w:rPr>
                <w:rFonts w:ascii="Arial" w:hAnsi="Arial" w:eastAsia="Times"/>
                <w:b/>
                <w:bCs/>
                <w:sz w:val="18"/>
                <w:szCs w:val="18"/>
              </w:rPr>
              <w:t>Implementation Committee leads</w:t>
            </w:r>
          </w:p>
        </w:tc>
        <w:tc>
          <w:tcPr>
            <w:tcW w:w="6749" w:type="dxa"/>
          </w:tcPr>
          <w:p w14:paraId="62AB9E52" w14:textId="77777777">
            <w:pPr>
              <w:spacing w:before="60" w:after="60"/>
              <w:rPr>
                <w:rFonts w:ascii="Arial" w:hAnsi="Arial" w:eastAsia="Times"/>
                <w:sz w:val="18"/>
                <w:szCs w:val="18"/>
              </w:rPr>
            </w:pPr>
            <w:r>
              <w:rPr>
                <w:rStyle w:val="PleaseReviewParagraphId"/>
                <w:b w:val="off"/>
                <w:i w:val="off"/>
              </w:rPr>
              <w:t>[21]</w:t>
            </w:r>
            <w:r>
              <w:rPr>
                <w:rFonts w:ascii="Arial" w:hAnsi="Arial" w:eastAsia="Times"/>
                <w:b/>
                <w:bCs/>
                <w:sz w:val="18"/>
                <w:szCs w:val="18"/>
              </w:rPr>
              <w:t>2020-11:</w:t>
            </w:r>
            <w:r>
              <w:rPr>
                <w:rFonts w:ascii="Arial" w:hAnsi="Arial" w:eastAsia="Times"/>
                <w:sz w:val="18"/>
                <w:szCs w:val="18"/>
              </w:rPr>
              <w:t xml:space="preserve"> Dominique PELLETIER</w:t>
            </w:r>
          </w:p>
        </w:tc>
      </w:tr>
      <w:tr w14:paraId="612E33DB" w14:textId="77777777">
        <w:trPr>
          <w:trHeight w:val="491"/>
          <w:jc w:val="center"/>
        </w:trPr>
        <w:tc>
          <w:tcPr>
            <w:tcW w:w="2271" w:type="dxa"/>
          </w:tcPr>
          <w:p w14:paraId="423039DC" w14:textId="77777777">
            <w:pPr>
              <w:spacing w:before="60" w:after="60"/>
              <w:rPr>
                <w:rFonts w:ascii="Arial" w:hAnsi="Arial" w:eastAsia="Times"/>
                <w:b/>
                <w:bCs/>
                <w:sz w:val="18"/>
                <w:szCs w:val="18"/>
              </w:rPr>
            </w:pPr>
            <w:r>
              <w:rPr>
                <w:rStyle w:val="PleaseReviewParagraphId"/>
                <w:b w:val="off"/>
                <w:i w:val="off"/>
              </w:rPr>
              <w:t>[22]</w:t>
            </w:r>
            <w:r>
              <w:rPr>
                <w:rFonts w:ascii="Arial" w:hAnsi="Arial" w:eastAsia="Times"/>
                <w:b/>
                <w:bCs/>
                <w:sz w:val="18"/>
                <w:szCs w:val="18"/>
              </w:rPr>
              <w:t>IPPC Secretariat lead</w:t>
            </w:r>
          </w:p>
        </w:tc>
        <w:tc>
          <w:tcPr>
            <w:tcW w:w="6749" w:type="dxa"/>
          </w:tcPr>
          <w:p w14:paraId="4F288975" w14:textId="77777777">
            <w:pPr>
              <w:spacing w:before="60" w:after="60"/>
              <w:rPr>
                <w:rFonts w:ascii="Arial" w:hAnsi="Arial" w:eastAsia="Times"/>
                <w:sz w:val="18"/>
                <w:szCs w:val="18"/>
              </w:rPr>
            </w:pPr>
            <w:r>
              <w:rPr>
                <w:rStyle w:val="PleaseReviewParagraphId"/>
                <w:b w:val="off"/>
                <w:i w:val="off"/>
              </w:rPr>
              <w:t>[23]</w:t>
            </w:r>
            <w:r>
              <w:rPr>
                <w:rFonts w:ascii="Arial" w:hAnsi="Arial" w:eastAsia="Times"/>
                <w:b/>
                <w:bCs/>
                <w:sz w:val="18"/>
                <w:szCs w:val="18"/>
              </w:rPr>
              <w:t xml:space="preserve">2021-02: </w:t>
            </w:r>
            <w:r>
              <w:rPr>
                <w:rFonts w:ascii="Arial" w:hAnsi="Arial" w:eastAsia="Times"/>
                <w:sz w:val="18"/>
                <w:szCs w:val="18"/>
              </w:rPr>
              <w:t>Descartes KOUMBA</w:t>
            </w:r>
          </w:p>
        </w:tc>
      </w:tr>
      <w:tr w14:paraId="7F21122D" w14:textId="77777777">
        <w:trPr>
          <w:trHeight w:val="491"/>
          <w:jc w:val="center"/>
        </w:trPr>
        <w:tc>
          <w:tcPr>
            <w:tcW w:w="2271" w:type="dxa"/>
            <w:tcBorders>
              <w:bottom w:val="single" w:color="7F7F7F" w:themeColor="text1" w:themeTint="80" w:sz="2" w:space="0"/>
            </w:tcBorders>
          </w:tcPr>
          <w:p w14:paraId="4488370B" w14:textId="77777777">
            <w:pPr>
              <w:spacing w:before="60" w:after="60"/>
              <w:rPr>
                <w:rFonts w:ascii="Arial" w:hAnsi="Arial" w:eastAsia="Times"/>
                <w:b/>
                <w:bCs/>
                <w:sz w:val="18"/>
                <w:szCs w:val="18"/>
              </w:rPr>
            </w:pPr>
            <w:r>
              <w:rPr>
                <w:rStyle w:val="PleaseReviewParagraphId"/>
                <w:b w:val="off"/>
                <w:i w:val="off"/>
              </w:rPr>
              <w:t>[24]</w:t>
            </w:r>
            <w:r>
              <w:rPr>
                <w:rFonts w:ascii="Arial" w:hAnsi="Arial" w:eastAsia="Times"/>
                <w:b/>
                <w:bCs/>
                <w:sz w:val="18"/>
                <w:szCs w:val="18"/>
              </w:rPr>
              <w:t xml:space="preserve">Working Group experts </w:t>
            </w:r>
          </w:p>
        </w:tc>
        <w:tc>
          <w:tcPr>
            <w:tcW w:w="6749" w:type="dxa"/>
            <w:tcBorders>
              <w:bottom w:val="single" w:color="7F7F7F" w:themeColor="text1" w:themeTint="80" w:sz="2" w:space="0"/>
            </w:tcBorders>
          </w:tcPr>
          <w:p w14:paraId="38B47CB6" w14:textId="77777777">
            <w:pPr>
              <w:spacing w:before="60" w:after="60"/>
              <w:rPr>
                <w:rFonts w:ascii="Arial" w:hAnsi="Arial" w:eastAsia="Times"/>
                <w:sz w:val="18"/>
                <w:szCs w:val="18"/>
              </w:rPr>
            </w:pPr>
            <w:r>
              <w:rPr>
                <w:rStyle w:val="PleaseReviewParagraphId"/>
                <w:b w:val="off"/>
                <w:i w:val="off"/>
              </w:rPr>
              <w:t>[25]</w:t>
            </w:r>
          </w:p>
        </w:tc>
      </w:tr>
      <w:tr w14:paraId="04937961" w14:textId="77777777">
        <w:trPr>
          <w:trHeight w:val="491"/>
          <w:jc w:val="center"/>
        </w:trPr>
        <w:tc>
          <w:tcPr>
            <w:tcW w:w="2271" w:type="dxa"/>
            <w:tcBorders>
              <w:bottom w:val="single" w:color="auto" w:sz="4" w:space="0"/>
            </w:tcBorders>
          </w:tcPr>
          <w:p w14:paraId="32C3542A" w14:textId="77777777">
            <w:pPr>
              <w:spacing w:before="60" w:after="60"/>
              <w:rPr>
                <w:rFonts w:ascii="Arial" w:hAnsi="Arial" w:eastAsia="Times"/>
                <w:b/>
                <w:bCs/>
                <w:sz w:val="18"/>
                <w:szCs w:val="18"/>
              </w:rPr>
            </w:pPr>
            <w:r>
              <w:rPr>
                <w:rStyle w:val="PleaseReviewParagraphId"/>
                <w:b w:val="off"/>
                <w:i w:val="off"/>
              </w:rPr>
              <w:t>[26]</w:t>
            </w:r>
            <w:r>
              <w:rPr>
                <w:rFonts w:ascii="Arial" w:hAnsi="Arial" w:eastAsia="Times"/>
                <w:b/>
                <w:bCs/>
                <w:sz w:val="18"/>
                <w:szCs w:val="18"/>
              </w:rPr>
              <w:t>Notes</w:t>
            </w:r>
          </w:p>
        </w:tc>
        <w:tc>
          <w:tcPr>
            <w:tcW w:w="6749" w:type="dxa"/>
            <w:tcBorders>
              <w:bottom w:val="single" w:color="auto" w:sz="4" w:space="0"/>
            </w:tcBorders>
          </w:tcPr>
          <w:p w14:paraId="0A80A701" w14:textId="77777777">
            <w:pPr>
              <w:spacing w:after="180"/>
              <w:rPr>
                <w:rFonts w:ascii="Arial" w:hAnsi="Arial" w:eastAsia="Times"/>
                <w:sz w:val="18"/>
                <w:szCs w:val="18"/>
              </w:rPr>
            </w:pPr>
            <w:r>
              <w:rPr>
                <w:rStyle w:val="PleaseReviewParagraphId"/>
                <w:b w:val="off"/>
                <w:i w:val="off"/>
              </w:rPr>
              <w:t>[27]</w:t>
            </w:r>
          </w:p>
        </w:tc>
      </w:tr>
    </w:tbl>
    <w:p w14:paraId="28A43191" w14:textId="77777777">
      <w:pPr>
        <w:rPr>
          <w:rFonts w:cs="Times New Roman"/>
          <w:bCs/>
          <w:iCs/>
        </w:rPr>
      </w:pPr>
      <w:r>
        <w:rPr>
          <w:rStyle w:val="PleaseReviewParagraphId"/>
          <w:b w:val="off"/>
          <w:i w:val="off"/>
        </w:rPr>
        <w:t>[28]</w:t>
      </w:r>
      <w:r>
        <w:rPr>
          <w:rFonts w:cs="Times New Roman"/>
          <w:bCs/>
          <w:iCs/>
        </w:rPr>
        <w:br w:type="page"/>
      </w:r>
    </w:p>
    <w:p w14:paraId="064C2E8E" w14:textId="6E99A098">
      <w:pPr>
        <w:pStyle w:val="IPPHeading1"/>
      </w:pPr>
      <w:r>
        <w:rPr>
          <w:rStyle w:val="PleaseReviewParagraphId"/>
          <w:b w:val="off"/>
          <w:i w:val="off"/>
        </w:rPr>
        <w:t>[29]</w:t>
      </w:r>
      <w:r>
        <w:lastRenderedPageBreak/>
        <w:t xml:space="preserve">1. </w:t>
        <w:tab/>
        <w:t>Título</w:t>
      </w:r>
    </w:p>
    <w:p w14:paraId="33A2BED9" w14:textId="6B996116">
      <w:pPr>
        <w:pStyle w:val="IPPNormal"/>
      </w:pPr>
      <w:r>
        <w:rPr>
          <w:rStyle w:val="PleaseReviewParagraphId"/>
          <w:b w:val="off"/>
          <w:i w:val="off"/>
        </w:rPr>
        <w:t>[30]</w:t>
      </w:r>
      <w:r>
        <w:t>Guía sobre la autorización de entidades para ejecutar acciones fitosanitarias (2018-040)</w:t>
      </w:r>
    </w:p>
    <w:p w14:paraId="05806CB1" w14:textId="16B2D78A">
      <w:pPr>
        <w:pStyle w:val="IPPHeading1"/>
      </w:pPr>
      <w:r>
        <w:rPr>
          <w:rStyle w:val="PleaseReviewParagraphId"/>
          <w:b w:val="off"/>
          <w:i w:val="off"/>
        </w:rPr>
        <w:t>[31]</w:t>
      </w:r>
      <w:r>
        <w:t xml:space="preserve">2. </w:t>
        <w:tab/>
        <w:t>Tipo de recurso para la aplicación</w:t>
      </w:r>
    </w:p>
    <w:p w14:paraId="2AD67E52" w14:textId="430C3041">
      <w:pPr>
        <w:pStyle w:val="IPPNormal"/>
      </w:pPr>
      <w:r>
        <w:rPr>
          <w:rStyle w:val="PleaseReviewParagraphId"/>
          <w:b w:val="off"/>
          <w:i w:val="off"/>
        </w:rPr>
        <w:t>[32]</w:t>
      </w:r>
      <w:r>
        <w:t xml:space="preserve">Guía de la Convención Internacional de Protección Fitosanitaria (CIPF) </w:t>
      </w:r>
    </w:p>
    <w:p w14:paraId="01B8D63A" w14:textId="22193361">
      <w:pPr>
        <w:pStyle w:val="IPPHeading1"/>
      </w:pPr>
      <w:r>
        <w:rPr>
          <w:rStyle w:val="PleaseReviewParagraphId"/>
          <w:b w:val="off"/>
          <w:i w:val="off"/>
        </w:rPr>
        <w:t>[33]</w:t>
      </w:r>
      <w:r>
        <w:t xml:space="preserve">3. </w:t>
        <w:tab/>
        <w:t>Artículos de la Convención, normas internacionales para medidas fitosanitarias (NIMF) y recomendaciones de la Comisión de Medidas Fitosanitarias (CMF) que se abordarán mediante el recurso para la aplicación propuesto</w:t>
      </w:r>
    </w:p>
    <w:p w14:paraId="2AFF18A8" w14:textId="75BE8BB9">
      <w:pPr>
        <w:pStyle w:val="IPPNormal"/>
      </w:pPr>
      <w:r>
        <w:rPr>
          <w:rStyle w:val="PleaseReviewParagraphId"/>
          <w:b w:val="off"/>
          <w:i w:val="off"/>
        </w:rPr>
        <w:t>[34]</w:t>
      </w:r>
      <w:r>
        <w:t>CIPF (en particular el artículo V.2 a])</w:t>
      </w:r>
    </w:p>
    <w:p w14:paraId="6D172930" w14:textId="1585352A">
      <w:pPr>
        <w:pStyle w:val="IPPNormal"/>
        <w:rPr>
          <w:i/>
          <w:iCs/>
        </w:rPr>
      </w:pPr>
      <w:r>
        <w:rPr>
          <w:rStyle w:val="PleaseReviewParagraphId"/>
          <w:b w:val="off"/>
          <w:i w:val="off"/>
        </w:rPr>
        <w:t>[35]</w:t>
      </w:r>
      <w:r>
        <w:t xml:space="preserve">NIMF 45: </w:t>
      </w:r>
      <w:r>
        <w:rPr>
          <w:i/>
        </w:rPr>
        <w:t>Requisitos para las organizaciones nacionales de protección fitosanitaria cuando autoricen a entidades para ejecutar acciones fitosanitarias</w:t>
      </w:r>
    </w:p>
    <w:p w14:paraId="2C93FA78" w14:textId="4DF54D27">
      <w:pPr>
        <w:pStyle w:val="IPPNormal"/>
      </w:pPr>
      <w:r>
        <w:rPr>
          <w:rStyle w:val="PleaseReviewParagraphId"/>
          <w:b w:val="off"/>
          <w:i w:val="off"/>
        </w:rPr>
        <w:t>[36]</w:t>
      </w:r>
      <w:r>
        <w:t>Se considerará la posibilidad de añadir la nueva NIMF relativa a las auditorías, a la espera de que se apruebe en la 16.ª reunión de la CMF.</w:t>
      </w:r>
    </w:p>
    <w:p w14:paraId="43FC93F4" w14:textId="306E2BB9">
      <w:pPr>
        <w:pStyle w:val="IPPHeading1"/>
      </w:pPr>
      <w:r>
        <w:rPr>
          <w:rStyle w:val="PleaseReviewParagraphId"/>
          <w:b w:val="off"/>
          <w:i w:val="off"/>
        </w:rPr>
        <w:t>[37]</w:t>
      </w:r>
      <w:r>
        <w:t xml:space="preserve">4. </w:t>
        <w:tab/>
        <w:t xml:space="preserve">Ámbito de aplicación </w:t>
      </w:r>
    </w:p>
    <w:p w14:paraId="4BC4C09F" w14:textId="70F3F624">
      <w:pPr>
        <w:pStyle w:val="IPPNormal"/>
      </w:pPr>
      <w:r>
        <w:rPr>
          <w:rStyle w:val="PleaseReviewParagraphId"/>
          <w:b w:val="off"/>
          <w:i w:val="off"/>
        </w:rPr>
        <w:t>[38]</w:t>
      </w:r>
      <w:r>
        <w:t>Esta guía de la CIPF tiene la finalidad de mejorar la comprensión del concepto de autorización a entidades para ejecutar acciones fitosanitarias y contribuir a la aplicación de la NIMF 45 (</w:t>
      </w:r>
      <w:r>
        <w:rPr>
          <w:i/>
          <w:iCs/>
        </w:rPr>
        <w:t>Requisitos para las organizaciones nacionales de protección fitosanitaria cuando autoricen a entidades para ejecutar acciones fitosanitarias</w:t>
      </w:r>
      <w:r>
        <w:t>).</w:t>
      </w:r>
    </w:p>
    <w:p w14:paraId="561E6A74" w14:textId="7529559F">
      <w:pPr>
        <w:pStyle w:val="IPPHeading1"/>
      </w:pPr>
      <w:r>
        <w:rPr>
          <w:rStyle w:val="PleaseReviewParagraphId"/>
          <w:b w:val="off"/>
          <w:i w:val="off"/>
        </w:rPr>
        <w:t>[39]</w:t>
      </w:r>
      <w:r>
        <w:t xml:space="preserve">5. </w:t>
        <w:tab/>
        <w:t xml:space="preserve">Propósito </w:t>
      </w:r>
    </w:p>
    <w:p w14:paraId="1AFBED62" w14:textId="545C6791">
      <w:pPr>
        <w:pStyle w:val="IPPNormal"/>
      </w:pPr>
      <w:r>
        <w:rPr>
          <w:rStyle w:val="PleaseReviewParagraphId"/>
          <w:b w:val="off"/>
          <w:i w:val="off"/>
        </w:rPr>
        <w:t>[40]</w:t>
      </w:r>
      <w:r>
        <w:t>La guía proporcionará orientación a las organizaciones nacionales de protección fitosanitaria (ONPF) y las entidades autorizadas para entender el proceso, cumplir los requisitos y desempeñar sus funciones y responsabilidades durante la elaboración y ejecución de los programas de autorización para llevar a cabo acciones fitosanitarias.</w:t>
      </w:r>
    </w:p>
    <w:p w14:paraId="4DCE8717" w14:textId="699E95D3">
      <w:pPr>
        <w:pStyle w:val="IPPNormal"/>
      </w:pPr>
      <w:r>
        <w:rPr>
          <w:rStyle w:val="PleaseReviewParagraphId"/>
          <w:b w:val="off"/>
          <w:i w:val="off"/>
        </w:rPr>
        <w:t>[41]</w:t>
      </w:r>
      <w:r>
        <w:t>La guía también contendrá ejemplos y estudios de casos para ayudar a las ONPF y las entidades autorizadas a adaptar su proceso de autorización para ejecutar acciones fitosanitarias  manteniéndose consistentes con los requisitos de la CIPF. </w:t>
      </w:r>
    </w:p>
    <w:p w14:paraId="072169EE" w14:textId="69E4F21E">
      <w:pPr>
        <w:pStyle w:val="IPPHeading1"/>
      </w:pPr>
      <w:r>
        <w:rPr>
          <w:rStyle w:val="PleaseReviewParagraphId"/>
          <w:b w:val="off"/>
          <w:i w:val="off"/>
        </w:rPr>
        <w:t>[42]</w:t>
      </w:r>
      <w:r>
        <w:t xml:space="preserve">6. </w:t>
        <w:tab/>
        <w:t>Contenido del recurso para la aplicación propuesto</w:t>
      </w:r>
    </w:p>
    <w:p w14:paraId="27E98A82" w14:textId="77777777">
      <w:pPr>
        <w:pStyle w:val="IPPNormal"/>
      </w:pPr>
      <w:r>
        <w:rPr>
          <w:rStyle w:val="PleaseReviewParagraphId"/>
          <w:b w:val="off"/>
          <w:i w:val="off"/>
        </w:rPr>
        <w:t>[43]</w:t>
      </w:r>
      <w:r>
        <w:t>El grupo de trabajo debería incluir contenido basado en los resultados de las tareas siguientes:</w:t>
      </w:r>
    </w:p>
    <w:p w14:paraId="457355CC" w14:textId="24AD9B2F">
      <w:pPr>
        <w:pStyle w:val="IPPNumberedList"/>
      </w:pPr>
      <w:r>
        <w:rPr>
          <w:rStyle w:val="PleaseReviewParagraphId"/>
          <w:b w:val="off"/>
          <w:i w:val="off"/>
        </w:rPr>
        <w:t>[44]</w:t>
      </w:r>
      <w:r>
        <w:t xml:space="preserve">describir las responsabilidades y obligaciones de las ONPF en relación con la autorización a terceros para ejecutar acciones fitosanitarias; </w:t>
      </w:r>
    </w:p>
    <w:p w14:paraId="653A42AD" w14:textId="69B434CB">
      <w:pPr>
        <w:pStyle w:val="IPPNumberedList"/>
        <w:rPr>
          <w:rFonts w:asciiTheme="minorHAnsi" w:hAnsiTheme="minorHAnsi" w:eastAsiaTheme="minorEastAsia"/>
          <w:szCs w:val="22"/>
        </w:rPr>
      </w:pPr>
      <w:r>
        <w:rPr>
          <w:rStyle w:val="PleaseReviewParagraphId"/>
          <w:b w:val="off"/>
          <w:i w:val="off"/>
        </w:rPr>
        <w:t>[45]</w:t>
      </w:r>
      <w:r>
        <w:t>describir los tipos de acciones fitosanitarias que se pueden delegar a las entidades autorizadas (incluidas entidades nacionales e internacionales), en consonancia con la CIPF y las NIMF;</w:t>
      </w:r>
    </w:p>
    <w:p w14:paraId="04F3EEC5" w14:textId="5F83B12B">
      <w:pPr>
        <w:pStyle w:val="IPPNumberedList"/>
      </w:pPr>
      <w:r>
        <w:rPr>
          <w:rStyle w:val="PleaseReviewParagraphId"/>
          <w:b w:val="off"/>
          <w:i w:val="off"/>
        </w:rPr>
        <w:t>[46]</w:t>
      </w:r>
      <w:r>
        <w:t>describir los mecanismos para permitir la autorización (por ejemplo, el marco jurídico o un memorando de entendimiento);</w:t>
      </w:r>
    </w:p>
    <w:p w14:paraId="1D1BBCFB" w14:textId="03E6B6DE">
      <w:pPr>
        <w:pStyle w:val="IPPNumberedList"/>
      </w:pPr>
      <w:r>
        <w:rPr>
          <w:rStyle w:val="PleaseReviewParagraphId"/>
          <w:b w:val="off"/>
          <w:i w:val="off"/>
        </w:rPr>
        <w:t>[47]</w:t>
      </w:r>
      <w:r>
        <w:t xml:space="preserve">describir la elaboración de los procedimientos y procesos para autorizar entidades y suspender y restablecer las autorizaciones; </w:t>
      </w:r>
    </w:p>
    <w:p w14:paraId="4C2DB29D" w14:textId="5642F5E2">
      <w:pPr>
        <w:pStyle w:val="IPPNumberedList"/>
      </w:pPr>
      <w:r>
        <w:rPr>
          <w:rStyle w:val="PleaseReviewParagraphId"/>
          <w:b w:val="off"/>
          <w:i w:val="off"/>
        </w:rPr>
        <w:t>[48]</w:t>
      </w:r>
      <w:r>
        <w:t>describir el conocimiento y la elaboración de los sistemas de gestión y los manuales del sistema de gestión de la calidad;</w:t>
      </w:r>
    </w:p>
    <w:p w14:paraId="102A0B2D" w14:textId="45FB34CF">
      <w:pPr>
        <w:pStyle w:val="IPPNumberedList"/>
        <w:rPr>
          <w:rFonts w:eastAsia="Times New Roman"/>
        </w:rPr>
      </w:pPr>
      <w:r>
        <w:rPr>
          <w:rStyle w:val="PleaseReviewParagraphId"/>
          <w:b w:val="off"/>
          <w:i w:val="off"/>
        </w:rPr>
        <w:t>[49]</w:t>
      </w:r>
      <w:r>
        <w:t>describir la supervisión de las entidades autorizadas, incluidos los procedimientos de examen y evaluación de competencias;</w:t>
      </w:r>
    </w:p>
    <w:p w14:paraId="37FB8488" w14:textId="52007CFC">
      <w:pPr>
        <w:pStyle w:val="IPPNumberedList"/>
        <w:rPr>
          <w:rFonts w:eastAsia="Times New Roman"/>
        </w:rPr>
      </w:pPr>
      <w:r>
        <w:rPr>
          <w:rStyle w:val="PleaseReviewParagraphId"/>
          <w:b w:val="off"/>
          <w:i w:val="off"/>
        </w:rPr>
        <w:t>[50]</w:t>
      </w:r>
      <w:r>
        <w:t>proporcionar ejemplos de procesos de autorización a entidades para ejecutar acciones fitosanitarias;</w:t>
      </w:r>
    </w:p>
    <w:p w14:paraId="47181E50" w14:textId="07C3D393">
      <w:pPr>
        <w:pStyle w:val="IPPNumberedList"/>
      </w:pPr>
      <w:r>
        <w:rPr>
          <w:rStyle w:val="PleaseReviewParagraphId"/>
          <w:b w:val="off"/>
          <w:i w:val="off"/>
        </w:rPr>
        <w:t>[51]</w:t>
      </w:r>
      <w:r>
        <w:lastRenderedPageBreak/>
        <w:t>proponer estudios de casos que muestren cómo las entidades autorizadas ejecutan acciones fitosanitarias;</w:t>
      </w:r>
    </w:p>
    <w:p w14:paraId="238AAD0D" w14:textId="29346322">
      <w:pPr>
        <w:pStyle w:val="IPPNumberedList"/>
        <w:rPr>
          <w:rFonts w:asciiTheme="minorHAnsi" w:hAnsiTheme="minorHAnsi" w:eastAsiaTheme="minorEastAsia"/>
          <w:szCs w:val="22"/>
        </w:rPr>
      </w:pPr>
      <w:r>
        <w:rPr>
          <w:rStyle w:val="PleaseReviewParagraphId"/>
          <w:b w:val="off"/>
          <w:i w:val="off"/>
        </w:rPr>
        <w:t>[52]</w:t>
      </w:r>
      <w:r>
        <w:t>proporcionar orientación más específica sobre la autorización a entidades para llevar a cabo tratamientos fitosanitarios de fumigación.</w:t>
      </w:r>
    </w:p>
    <w:p w14:paraId="7B772FBD" w14:textId="76BE9CB6">
      <w:pPr>
        <w:pStyle w:val="IPPNormal"/>
      </w:pPr>
      <w:r>
        <w:rPr>
          <w:rStyle w:val="PleaseReviewParagraphId"/>
          <w:b w:val="off"/>
          <w:i w:val="off"/>
        </w:rPr>
        <w:t>[53]</w:t>
      </w:r>
      <w:r>
        <w:rPr>
          <w:i/>
        </w:rPr>
        <w:t>Nota:</w:t>
      </w:r>
      <w:r>
        <w:t xml:space="preserve"> Deberían señalarse los temas que coincidan con los presentados en la guía sobre las auditorías para asegurarse de que ambas guías se complementen y no haya repeticiones.</w:t>
      </w:r>
    </w:p>
    <w:p w14:paraId="266F5DC6" w14:textId="620CC094">
      <w:pPr>
        <w:pStyle w:val="IPPHeading1"/>
      </w:pPr>
      <w:r>
        <w:rPr>
          <w:rStyle w:val="PleaseReviewParagraphId"/>
          <w:b w:val="off"/>
          <w:i w:val="off"/>
        </w:rPr>
        <w:t>[54]</w:t>
      </w:r>
      <w:r>
        <w:t xml:space="preserve">7. </w:t>
        <w:tab/>
        <w:t xml:space="preserve">Contribuciones financieras y en especie </w:t>
      </w:r>
    </w:p>
    <w:p w14:paraId="196D2F00" w14:textId="6770878F">
      <w:pPr>
        <w:pStyle w:val="IPPNormal"/>
        <w:rPr>
          <w:rFonts w:eastAsia="Calibri"/>
          <w:b/>
          <w:bCs/>
        </w:rPr>
      </w:pPr>
      <w:r>
        <w:rPr>
          <w:rStyle w:val="PleaseReviewParagraphId"/>
          <w:b w:val="off"/>
          <w:i w:val="off"/>
        </w:rPr>
        <w:t>[55]</w:t>
      </w:r>
      <w:r>
        <w:t>Se alienta a las partes contratantes a señalar las contribuciones financieras o en especie que se proporcionarán para respaldar la elaboración de esta guía o facilitar la traducción del producto final.</w:t>
      </w:r>
    </w:p>
    <w:p w14:paraId="0CB0E413" w14:textId="134616A5">
      <w:pPr>
        <w:pStyle w:val="IPPHeading1"/>
      </w:pPr>
      <w:r>
        <w:rPr>
          <w:rStyle w:val="PleaseReviewParagraphId"/>
          <w:b w:val="off"/>
          <w:i w:val="off"/>
        </w:rPr>
        <w:t>[56]</w:t>
      </w:r>
      <w:r>
        <w:t xml:space="preserve">8. </w:t>
        <w:tab/>
        <w:t xml:space="preserve">Criterios de selección de los expertos del grupo de trabajo </w:t>
      </w:r>
    </w:p>
    <w:p w14:paraId="792A74E8" w14:textId="109C45C2">
      <w:pPr>
        <w:pStyle w:val="IPPNormal"/>
      </w:pPr>
      <w:r>
        <w:rPr>
          <w:rStyle w:val="PleaseReviewParagraphId"/>
          <w:b w:val="off"/>
          <w:i w:val="off"/>
        </w:rPr>
        <w:t>[57]</w:t>
      </w:r>
      <w:r>
        <w:t xml:space="preserve">La Secretaría de la CIPF y el Comité de Aplicación y Desarrollo de la Capacidad (CACD) respaldan la equidad, la diversidad y la inclusión y alientan a todos los expertos interesados a presentar sus candidaturas para participar en el grupo de trabajo que se encargará de elaborar esta guía de la CIPF. </w:t>
      </w:r>
    </w:p>
    <w:p w14:paraId="6CD3D779" w14:textId="70F76A10">
      <w:pPr>
        <w:pStyle w:val="IPPNormal"/>
      </w:pPr>
      <w:r>
        <w:rPr>
          <w:rStyle w:val="PleaseReviewParagraphId"/>
          <w:b w:val="off"/>
          <w:i w:val="off"/>
        </w:rPr>
        <w:t>[58]</w:t>
      </w:r>
      <w:r>
        <w:t xml:space="preserve">Los miembros del grupo de trabajo se seleccionarán en función de sus conocimientos técnicos y prácticos en la materia. En la selección de los expertos se tendrá en cuenta también la representación geográfica de países tanto en desarrollo como desarrollados para velar por que el material elaborado sea aplicable a nivel mundial y refleje las mejores prácticas de todo el mundo. </w:t>
      </w:r>
    </w:p>
    <w:p w14:paraId="15FE2C14" w14:textId="51513804">
      <w:pPr>
        <w:pStyle w:val="IPPNormal"/>
      </w:pPr>
      <w:r>
        <w:rPr>
          <w:rStyle w:val="PleaseReviewParagraphId"/>
          <w:b w:val="off"/>
          <w:i w:val="off"/>
        </w:rPr>
        <w:t>[59]</w:t>
      </w:r>
      <w:r>
        <w:t>Para seleccionar a los miembros del grupo de trabajo se deberían utilizar los criterios siguientes:</w:t>
      </w:r>
    </w:p>
    <w:p w14:paraId="52EDBD20" w14:textId="4E419CA7">
      <w:pPr>
        <w:pStyle w:val="IPPNumberedList"/>
        <w:numPr>
          <w:ilvl w:val="0"/>
          <w:numId w:val="46"/>
        </w:numPr>
      </w:pPr>
      <w:r>
        <w:rPr>
          <w:rStyle w:val="PleaseReviewParagraphId"/>
          <w:b w:val="off"/>
          <w:i w:val="off"/>
        </w:rPr>
        <w:t>[60]</w:t>
      </w:r>
      <w:r>
        <w:t>competencias prácticas y conocimientos sobre uno o varios de los siguientes ámbitos:</w:t>
      </w:r>
    </w:p>
    <w:p w14:paraId="057D67DE" w14:textId="75285E4D">
      <w:pPr>
        <w:pStyle w:val="IPPBullet1"/>
      </w:pPr>
      <w:r>
        <w:rPr>
          <w:rStyle w:val="PleaseReviewParagraphId"/>
          <w:b w:val="off"/>
          <w:i w:val="off"/>
        </w:rPr>
        <w:t>[61]</w:t>
      </w:r>
      <w:r>
        <w:t>formulación y aplicación de acuerdos con entidades autorizadas;</w:t>
      </w:r>
    </w:p>
    <w:p w14:paraId="37067110" w14:textId="28B6AD7B">
      <w:pPr>
        <w:pStyle w:val="IPPBullet1"/>
      </w:pPr>
      <w:r>
        <w:rPr>
          <w:rStyle w:val="PleaseReviewParagraphId"/>
          <w:b w:val="off"/>
          <w:i w:val="off"/>
        </w:rPr>
        <w:t>[62]</w:t>
      </w:r>
      <w:r>
        <w:t>elaboración de marcos jurídicos para permitir la autorización;</w:t>
      </w:r>
    </w:p>
    <w:p w14:paraId="0D2C3C3F" w14:textId="032A04C1">
      <w:pPr>
        <w:pStyle w:val="IPPBullet1"/>
      </w:pPr>
      <w:r>
        <w:rPr>
          <w:rStyle w:val="PleaseReviewParagraphId"/>
          <w:b w:val="off"/>
          <w:i w:val="off"/>
        </w:rPr>
        <w:t>[63]</w:t>
      </w:r>
      <w:r>
        <w:t>inspección de plantas y productos vegetales;</w:t>
      </w:r>
    </w:p>
    <w:p w14:paraId="750FF0A9" w14:textId="7E051502">
      <w:pPr>
        <w:pStyle w:val="IPPBullet1"/>
      </w:pPr>
      <w:r>
        <w:rPr>
          <w:rStyle w:val="PleaseReviewParagraphId"/>
          <w:b w:val="off"/>
          <w:i w:val="off"/>
        </w:rPr>
        <w:t>[64]</w:t>
      </w:r>
      <w:r>
        <w:t>trabajo con organizaciones nacionales o regionales de protección fitosanitaria;</w:t>
      </w:r>
    </w:p>
    <w:p w14:paraId="7F9070F0" w14:textId="2403F713">
      <w:pPr>
        <w:pStyle w:val="IPPBullet1"/>
      </w:pPr>
      <w:r>
        <w:rPr>
          <w:rStyle w:val="PleaseReviewParagraphId"/>
          <w:b w:val="off"/>
          <w:i w:val="off"/>
        </w:rPr>
        <w:t>[65]</w:t>
      </w:r>
      <w:r>
        <w:t>experiencia en colaboración con laboratorios e institutos de investigación;</w:t>
      </w:r>
    </w:p>
    <w:p w14:paraId="6349969B" w14:textId="472A5C5C">
      <w:pPr>
        <w:pStyle w:val="IPPBullet1"/>
      </w:pPr>
      <w:r>
        <w:rPr>
          <w:rStyle w:val="PleaseReviewParagraphId"/>
          <w:b w:val="off"/>
          <w:i w:val="off"/>
        </w:rPr>
        <w:t>[66]</w:t>
      </w:r>
      <w:r>
        <w:t>certificación de exportaciones;</w:t>
      </w:r>
    </w:p>
    <w:p w14:paraId="1923960C" w14:textId="3F2601B3">
      <w:pPr>
        <w:pStyle w:val="IPPBullet1"/>
      </w:pPr>
      <w:r>
        <w:rPr>
          <w:rStyle w:val="PleaseReviewParagraphId"/>
          <w:b w:val="off"/>
          <w:i w:val="off"/>
        </w:rPr>
        <w:t>[67]</w:t>
      </w:r>
      <w:r>
        <w:t>auditoría con fines fitosanitarios;</w:t>
      </w:r>
    </w:p>
    <w:p w14:paraId="054006C1" w14:textId="5BA3D396">
      <w:pPr>
        <w:pStyle w:val="IPPBullet1"/>
      </w:pPr>
      <w:r>
        <w:rPr>
          <w:rStyle w:val="PleaseReviewParagraphId"/>
          <w:b w:val="off"/>
          <w:i w:val="off"/>
        </w:rPr>
        <w:t>[68]</w:t>
      </w:r>
      <w:r>
        <w:t xml:space="preserve">elaboración o gestión de sistemas de certificación fitosanitaria de exportaciones; </w:t>
      </w:r>
    </w:p>
    <w:p w14:paraId="044FDD07" w14:textId="063D3509">
      <w:pPr>
        <w:pStyle w:val="IPPNumberedList"/>
        <w:spacing w:after="180"/>
      </w:pPr>
      <w:r>
        <w:rPr>
          <w:rStyle w:val="PleaseReviewParagraphId"/>
          <w:b w:val="off"/>
          <w:i w:val="off"/>
        </w:rPr>
        <w:t>[69]</w:t>
      </w:r>
      <w:r>
        <w:t>excelente conocimiento práctico del inglés y capacidad de formular ideas y escribir con claridad en dicho idioma.</w:t>
      </w:r>
    </w:p>
    <w:p w14:paraId="06DF10E4" w14:textId="41BB11C3">
      <w:pPr>
        <w:pStyle w:val="IPPNormal"/>
      </w:pPr>
      <w:r>
        <w:rPr>
          <w:rStyle w:val="PleaseReviewParagraphId"/>
          <w:b w:val="off"/>
          <w:i w:val="off"/>
        </w:rPr>
        <w:t>[70]</w:t>
      </w:r>
      <w:r>
        <w:t>Se alienta al grupo de trabajo a considerar la posibilidad de invitar a terceras entidades a contribuir a la elaboración de la guía, consultándolas o invitándolas a hacer exposiciones ante el grupo de trabajo, etc.</w:t>
      </w:r>
    </w:p>
    <w:p w14:paraId="3697A8E9" w14:textId="6471D111">
      <w:pPr>
        <w:pStyle w:val="IPPNormal"/>
      </w:pPr>
      <w:r>
        <w:rPr>
          <w:rStyle w:val="PleaseReviewParagraphId"/>
          <w:b w:val="off"/>
          <w:i w:val="off"/>
        </w:rPr>
        <w:t>[71]</w:t>
      </w:r>
      <w:r>
        <w:t>Además, sería útil asimismo que el grupo de trabajo pudiera recurrir a los servicios jurídicos de la FAO para pedir asesoramiento sobre los aspectos legales relacionados con los mecanismos para permitir la autorización.</w:t>
      </w:r>
    </w:p>
    <w:p w14:paraId="7337C151" w14:textId="0A10AA2F">
      <w:pPr>
        <w:pStyle w:val="IPPHeading1"/>
        <w:keepLines/>
      </w:pPr>
      <w:r>
        <w:rPr>
          <w:rStyle w:val="PleaseReviewParagraphId"/>
          <w:b w:val="off"/>
          <w:i w:val="off"/>
        </w:rPr>
        <w:t>[72]</w:t>
      </w:r>
      <w:r>
        <w:lastRenderedPageBreak/>
        <w:t xml:space="preserve">9. </w:t>
        <w:tab/>
        <w:t>Referencias</w:t>
      </w:r>
    </w:p>
    <w:p w14:paraId="475CC2B0" w14:textId="1775839C">
      <w:pPr>
        <w:pStyle w:val="IPPNormal"/>
        <w:keepNext/>
        <w:keepLines/>
        <w:jc w:val="left"/>
        <w:rPr>
          <w:b/>
          <w:bCs/>
          <w:color w:val="2B579A"/>
        </w:rPr>
      </w:pPr>
      <w:r>
        <w:rPr>
          <w:rStyle w:val="PleaseReviewParagraphId"/>
          <w:b w:val="off"/>
          <w:i w:val="off"/>
        </w:rPr>
        <w:t>[73]</w:t>
      </w:r>
      <w:r>
        <w:rPr>
          <w:b/>
        </w:rPr>
        <w:t xml:space="preserve">Agencia de Inspección Alimentaria de Canadá. </w:t>
      </w:r>
      <w:r>
        <w:t xml:space="preserve">2015. D-13-02: </w:t>
      </w:r>
      <w:r>
        <w:rPr>
          <w:i/>
          <w:iCs/>
        </w:rPr>
        <w:t>Requirements for the evaluation and recognition of third-party auditors</w:t>
      </w:r>
      <w:r>
        <w:t xml:space="preserve"> (Requisitos para la evaluación y el reconocimiento de terceras partes auditoras). En: </w:t>
      </w:r>
      <w:r>
        <w:rPr>
          <w:i/>
        </w:rPr>
        <w:t>Canadian Food Inspection Agency: Forest products</w:t>
      </w:r>
      <w:r>
        <w:t xml:space="preserve">. Ottawa, Gobierno del Canadá. Consultado el 2 de marzo de 2022. </w:t>
      </w:r>
      <w:hyperlink w:history="1" r:id="rId11">
        <w:r>
          <w:rPr>
            <w:rStyle w:val="Hyperlink"/>
          </w:rPr>
          <w:t>https://inspection.canada.ca/plant-health/invasive-species/directives/forest-products/d-13-02/eng/1422060900536/1438793070887</w:t>
        </w:r>
      </w:hyperlink>
      <w:r>
        <w:t xml:space="preserve">.     </w:t>
      </w:r>
    </w:p>
    <w:p w14:paraId="715C6E46" w14:textId="1FE24AD0">
      <w:pPr>
        <w:pStyle w:val="IPPNormal"/>
        <w:keepNext/>
        <w:keepLines/>
        <w:jc w:val="left"/>
        <w:rPr>
          <w:rFonts w:eastAsiaTheme="minorEastAsia"/>
          <w:b/>
          <w:bCs/>
          <w:color w:val="000000" w:themeColor="text1"/>
        </w:rPr>
      </w:pPr>
      <w:r>
        <w:rPr>
          <w:rStyle w:val="PleaseReviewParagraphId"/>
          <w:b w:val="off"/>
          <w:i w:val="off"/>
        </w:rPr>
        <w:t>[74]</w:t>
      </w:r>
      <w:r>
        <w:rPr>
          <w:b/>
        </w:rPr>
        <w:t>NIMF 5.</w:t>
      </w:r>
      <w:r>
        <w:t> </w:t>
      </w:r>
      <w:r>
        <w:rPr>
          <w:i/>
          <w:iCs/>
        </w:rPr>
        <w:t>Glosario de términos fitosanitarios</w:t>
      </w:r>
      <w:r>
        <w:t>. Roma, Secretaría de la CIPF, FAO.</w:t>
      </w:r>
      <w:r>
        <w:rPr>
          <w:color w:val="000000" w:themeColor="text1"/>
          <w:shd w:val="clear" w:color="auto" w:fill="E6E6E6"/>
        </w:rPr>
        <w:t xml:space="preserve"> </w:t>
      </w:r>
      <w:hyperlink w:history="1" r:id="rId12">
        <w:r>
          <w:rPr>
            <w:rStyle w:val="Hyperlink"/>
          </w:rPr>
          <w:t>https://www.ippc.int/es/publications/622/</w:t>
        </w:r>
      </w:hyperlink>
      <w:r>
        <w:t>.</w:t>
      </w:r>
      <w:r>
        <w:rPr>
          <w:color w:val="000000" w:themeColor="text1"/>
          <w:shd w:val="clear" w:color="auto" w:fill="E6E6E6"/>
        </w:rPr>
        <w:t xml:space="preserve"> </w:t>
      </w:r>
    </w:p>
    <w:p w14:paraId="35CAE305" w14:textId="2014A624">
      <w:pPr>
        <w:pStyle w:val="IPPNormal"/>
        <w:keepNext/>
        <w:keepLines/>
        <w:jc w:val="left"/>
        <w:rPr>
          <w:b/>
          <w:bCs/>
          <w:color w:val="000000" w:themeColor="text1"/>
        </w:rPr>
      </w:pPr>
      <w:r>
        <w:rPr>
          <w:rStyle w:val="PleaseReviewParagraphId"/>
          <w:b w:val="off"/>
          <w:i w:val="off"/>
        </w:rPr>
        <w:t>[75]</w:t>
      </w:r>
      <w:r>
        <w:rPr>
          <w:b/>
          <w:color w:val="000000" w:themeColor="text1"/>
        </w:rPr>
        <w:t xml:space="preserve">ISPM 45. </w:t>
      </w:r>
      <w:r>
        <w:rPr>
          <w:color w:val="000000" w:themeColor="text1"/>
        </w:rPr>
        <w:t xml:space="preserve">2022. </w:t>
      </w:r>
      <w:r>
        <w:rPr>
          <w:i/>
          <w:color w:val="000000" w:themeColor="text1"/>
        </w:rPr>
        <w:t>Requisitos para las organizaciones nacionales de protección fitosanitaria cuando autoricen a entidades para ejecutar acciones fitosanitarias</w:t>
      </w:r>
      <w:r>
        <w:rPr>
          <w:color w:val="000000" w:themeColor="text1"/>
        </w:rPr>
        <w:t>.</w:t>
      </w:r>
      <w:r>
        <w:t xml:space="preserve"> Roma, Secretaría de la CIPF, FAO.</w:t>
      </w:r>
      <w:r>
        <w:rPr>
          <w:b/>
          <w:color w:val="000000" w:themeColor="text1"/>
        </w:rPr>
        <w:t xml:space="preserve"> </w:t>
      </w:r>
      <w:hyperlink w:history="1" r:id="rId13">
        <w:r>
          <w:rPr>
            <w:rStyle w:val="Hyperlink"/>
          </w:rPr>
          <w:t>https://www.ippc.int/es/publications/89734/</w:t>
        </w:r>
      </w:hyperlink>
      <w:r>
        <w:t>.</w:t>
      </w:r>
    </w:p>
    <w:p w14:paraId="68FEA99F" w14:textId="712641DD">
      <w:pPr>
        <w:pStyle w:val="IPPNormal"/>
        <w:jc w:val="left"/>
        <w:rPr>
          <w:rFonts w:eastAsia="Times New Roman"/>
          <w:color w:val="2B579A"/>
          <w:shd w:val="clear" w:color="auto" w:fill="E6E6E6"/>
        </w:rPr>
      </w:pPr>
      <w:r>
        <w:rPr>
          <w:rStyle w:val="PleaseReviewParagraphId"/>
          <w:b w:val="off"/>
          <w:i w:val="off"/>
        </w:rPr>
        <w:t>[76]</w:t>
      </w:r>
      <w:r>
        <w:rPr>
          <w:b/>
          <w:bCs/>
        </w:rPr>
        <w:t>Secretaría de la CIPF</w:t>
      </w:r>
      <w:r>
        <w:t xml:space="preserve">. 2021. </w:t>
      </w:r>
      <w:r>
        <w:rPr>
          <w:i/>
        </w:rPr>
        <w:t>Authorizing entities to perform phytosanitary actions – An overview of the current use of authorization by national plant protection organizations</w:t>
      </w:r>
      <w:r>
        <w:t xml:space="preserve"> (Autorización a entidades para ejecutar acciones fitosanitarias: visión general de la utilización actual de la autorización por organizaciones nacionales de protección fitosanitaria). Roma, Secretaría de la CIPF, FAO.</w:t>
      </w:r>
      <w:r>
        <w:rPr>
          <w:color w:val="2B579A"/>
          <w:shd w:val="clear" w:color="auto" w:fill="E6E6E6"/>
        </w:rPr>
        <w:t xml:space="preserve"> </w:t>
      </w:r>
      <w:hyperlink w:history="1" r:id="rId14">
        <w:r>
          <w:rPr>
            <w:rStyle w:val="Hyperlink"/>
          </w:rPr>
          <w:t>https://www.fao.org/documents/card/es/c/cb3834en/</w:t>
        </w:r>
      </w:hyperlink>
      <w:r>
        <w:t>.</w:t>
      </w:r>
      <w:r>
        <w:rPr>
          <w:color w:val="2B579A"/>
          <w:shd w:val="clear" w:color="auto" w:fill="E6E6E6"/>
        </w:rPr>
        <w:t xml:space="preserve"> </w:t>
      </w:r>
    </w:p>
    <w:p w14:paraId="39C0C8C9" w14:textId="77777777">
      <w:pPr>
        <w:pStyle w:val="IPPNormal"/>
        <w:jc w:val="left"/>
      </w:pPr>
      <w:r>
        <w:rPr>
          <w:rStyle w:val="PleaseReviewParagraphId"/>
          <w:b w:val="off"/>
          <w:i w:val="off"/>
        </w:rPr>
        <w:t>[77]</w:t>
      </w:r>
      <w:r>
        <w:rPr>
          <w:b/>
        </w:rPr>
        <w:t xml:space="preserve">Secretaría de la CIPF. </w:t>
      </w:r>
      <w:r>
        <w:t xml:space="preserve">2021. Informe de la 15.ª reunión virtual del Comité de Aplicación y Desarrollo de la Capacidad (2021-06 IC VM15). Roma, Secretaría de la CIPF, FAO. </w:t>
      </w:r>
      <w:hyperlink w:history="1" r:id="rId15">
        <w:r>
          <w:rPr>
            <w:rStyle w:val="Hyperlink"/>
          </w:rPr>
          <w:t>https://www.ippc.int/es/publications/90286/</w:t>
        </w:r>
      </w:hyperlink>
      <w:r>
        <w:t xml:space="preserve">. </w:t>
      </w:r>
    </w:p>
    <w:p w14:paraId="5908981F" w14:textId="3A3DBA81">
      <w:pPr>
        <w:pStyle w:val="IPPNormal"/>
        <w:jc w:val="left"/>
      </w:pPr>
      <w:r>
        <w:rPr>
          <w:rStyle w:val="PleaseReviewParagraphId"/>
          <w:b w:val="off"/>
          <w:i w:val="off"/>
        </w:rPr>
        <w:t>[78]</w:t>
      </w:r>
      <w:r>
        <w:rPr>
          <w:b/>
        </w:rPr>
        <w:t xml:space="preserve">Secretaría de la CIPF. </w:t>
      </w:r>
      <w:r>
        <w:t xml:space="preserve">2021. Informe de la 17.ª reunión virtual del Comité de Aplicación y Desarrollo de la Capacidad (2021-11 IC VM17). Roma, Secretaría de la CIPF, FAO. </w:t>
      </w:r>
      <w:hyperlink w:history="1" r:id="rId16">
        <w:r>
          <w:rPr>
            <w:rStyle w:val="Hyperlink"/>
          </w:rPr>
          <w:t>https://www.ippc.int/es/publications/90774/</w:t>
        </w:r>
      </w:hyperlink>
      <w:r>
        <w:t xml:space="preserve">. </w:t>
      </w:r>
    </w:p>
    <w:p w14:paraId="4286049B" w14:textId="2A2BC6B8">
      <w:pPr>
        <w:pStyle w:val="IPPNormal"/>
        <w:jc w:val="left"/>
        <w:rPr>
          <w:rFonts w:eastAsia="Times New Roman"/>
        </w:rPr>
      </w:pPr>
      <w:r>
        <w:rPr>
          <w:rStyle w:val="PleaseReviewParagraphId"/>
          <w:b w:val="off"/>
          <w:i w:val="off"/>
        </w:rPr>
        <w:t>[79]</w:t>
      </w:r>
      <w:r>
        <w:rPr>
          <w:b/>
        </w:rPr>
        <w:t>Secretaría de la CIPF.</w:t>
      </w:r>
      <w:r>
        <w:t xml:space="preserve"> 2020. Seminario web: Enhancing the understanding of the concept on authorization of entities to perform phytosanitary actions (Mejorar la comprensión del concepto de autorización a entidades para ejecutar acciones fitosanitarias). </w:t>
      </w:r>
      <w:r>
        <w:rPr>
          <w:lang w:val="en-US"/>
        </w:rPr>
        <w:t xml:space="preserve">En: </w:t>
      </w:r>
      <w:r>
        <w:rPr>
          <w:i/>
          <w:lang w:val="en-US"/>
        </w:rPr>
        <w:t>International Plant Protection Convention: Authorization of entities to perform phytosanitary actions</w:t>
      </w:r>
      <w:r>
        <w:rPr>
          <w:lang w:val="en-US"/>
        </w:rPr>
        <w:t xml:space="preserve">. </w:t>
      </w:r>
      <w:r>
        <w:t xml:space="preserve">Roma, Secretaría de la CIPF, FAO. Consultado el 2 de marzo de 2022. </w:t>
      </w:r>
      <w:hyperlink w:history="1" r:id="rId17">
        <w:r>
          <w:rPr>
            <w:rStyle w:val="Hyperlink"/>
          </w:rPr>
          <w:t>https://www.ippc.int/es/work-area-pages/workshops-and-experts-meeting/ippc-webinar-enhancing-the-understanding-of-the-concept-on-authorization-of-entities-to-perform-phytosanitary-actions/</w:t>
        </w:r>
      </w:hyperlink>
      <w:r>
        <w:t xml:space="preserve">. </w:t>
      </w:r>
    </w:p>
    <w:p w14:paraId="66FF14B1" w14:textId="77777777">
      <w:pPr>
        <w:pStyle w:val="IPPNormal"/>
        <w:jc w:val="left"/>
        <w:rPr>
          <w:rFonts w:eastAsia="Times New Roman"/>
        </w:rPr>
      </w:pPr>
      <w:r>
        <w:rPr>
          <w:rStyle w:val="PleaseReviewParagraphId"/>
          <w:b w:val="off"/>
          <w:i w:val="off"/>
        </w:rPr>
        <w:t>[80]</w:t>
      </w:r>
      <w:r>
        <w:rPr>
          <w:b/>
        </w:rPr>
        <w:t>Secretaría de la CIPF.</w:t>
      </w:r>
      <w:r>
        <w:t xml:space="preserve"> 2015. </w:t>
      </w:r>
      <w:r>
        <w:rPr>
          <w:i/>
        </w:rPr>
        <w:t>Export certification: A guide to export certification for national plant protection organizations</w:t>
      </w:r>
      <w:r>
        <w:t xml:space="preserve"> (Certificación de exportaciones: guía para las organizaciones nacionales de protección fitosanitaria sobre la certificación de exportaciones). Roma, Secretaría de la CIPF, FAO. </w:t>
      </w:r>
      <w:hyperlink w:history="1" r:id="rId18">
        <w:r>
          <w:rPr>
            <w:rStyle w:val="Hyperlink"/>
          </w:rPr>
          <w:t>www.ippc.int/es/publications/90636/</w:t>
        </w:r>
      </w:hyperlink>
      <w:r>
        <w:t>.</w:t>
      </w:r>
      <w:r>
        <w:rPr>
          <w:color w:val="2B579A"/>
          <w:shd w:val="clear" w:color="auto" w:fill="E6E6E6"/>
        </w:rPr>
        <w:t xml:space="preserve"> </w:t>
      </w:r>
    </w:p>
    <w:p w14:paraId="62C9B3A6" w14:textId="77777777">
      <w:pPr>
        <w:pStyle w:val="IPPNormal"/>
        <w:jc w:val="left"/>
      </w:pPr>
      <w:r>
        <w:rPr>
          <w:rStyle w:val="PleaseReviewParagraphId"/>
          <w:b w:val="off"/>
          <w:i w:val="off"/>
        </w:rPr>
        <w:t>[81]</w:t>
      </w:r>
      <w:r>
        <w:rPr>
          <w:b/>
          <w:bCs/>
        </w:rPr>
        <w:t>Secretaría de la CIPF</w:t>
      </w:r>
      <w:r>
        <w:t xml:space="preserve">. 2015. </w:t>
      </w:r>
      <w:r>
        <w:rPr>
          <w:i/>
        </w:rPr>
        <w:t>Operation of a national plant protection organization: A guide to understanding the principal requirements for operating an organization to protect national plant resources from pests</w:t>
      </w:r>
      <w:r>
        <w:t xml:space="preserve"> (Funcionamiento de una organización nacional de protección fitosanitaria: guía para entender los principales requisitos relativos al funcionamiento de una organización para proteger los recursos vegetales nacionales de las plagas). Roma, Secretaría de la CIPF, FAO. </w:t>
      </w:r>
      <w:hyperlink w:history="1" r:id="rId19">
        <w:r>
          <w:rPr>
            <w:rStyle w:val="Hyperlink"/>
          </w:rPr>
          <w:t>https://www.ippc.int/es/publications/90633/</w:t>
        </w:r>
      </w:hyperlink>
      <w:r>
        <w:t>.</w:t>
      </w:r>
      <w:r>
        <w:rPr>
          <w:color w:val="2B579A"/>
        </w:rPr>
        <w:t xml:space="preserve"> </w:t>
      </w:r>
    </w:p>
    <w:p w14:paraId="6E690152" w14:textId="33EE673B">
      <w:pPr>
        <w:pStyle w:val="IPPNormal"/>
        <w:jc w:val="left"/>
        <w:rPr>
          <w:rFonts w:eastAsia="Times New Roman"/>
        </w:rPr>
      </w:pPr>
      <w:r>
        <w:rPr>
          <w:rStyle w:val="PleaseReviewParagraphId"/>
          <w:b w:val="off"/>
          <w:i w:val="off"/>
        </w:rPr>
        <w:t>[82]</w:t>
      </w:r>
      <w:r>
        <w:rPr>
          <w:b/>
          <w:bCs/>
        </w:rPr>
        <w:t>Secretaría de la CIPF</w:t>
      </w:r>
      <w:r>
        <w:t>. 1997. Convención Internacional de Protección Fitosanitaria. Roma, Secretaría de la CIPF, FAO.</w:t>
      </w:r>
      <w:r>
        <w:rPr>
          <w:color w:val="000000" w:themeColor="text1"/>
          <w:shd w:val="clear" w:color="auto" w:fill="E6E6E6"/>
        </w:rPr>
        <w:t xml:space="preserve"> </w:t>
      </w:r>
      <w:hyperlink w:history="1" r:id="rId20">
        <w:r>
          <w:rPr>
            <w:rStyle w:val="Hyperlink"/>
          </w:rPr>
          <w:t>https://www.ippc.int/es/publications/131</w:t>
        </w:r>
      </w:hyperlink>
      <w:r>
        <w:t>.</w:t>
      </w:r>
    </w:p>
    <w:p w14:paraId="014AFA3F" w14:textId="3A8BF179">
      <w:pPr>
        <w:pStyle w:val="IPPNormal"/>
        <w:jc w:val="left"/>
      </w:pPr>
      <w:r>
        <w:rPr>
          <w:rStyle w:val="PleaseReviewParagraphId"/>
          <w:b w:val="off"/>
          <w:i w:val="off"/>
        </w:rPr>
        <w:t>[83]</w:t>
      </w:r>
      <w:r>
        <w:rPr>
          <w:b/>
        </w:rPr>
        <w:t>Secretaría de la CIPF.</w:t>
      </w:r>
      <w:r>
        <w:t xml:space="preserve"> (En prensa). </w:t>
      </w:r>
      <w:r>
        <w:rPr>
          <w:i/>
          <w:iCs/>
        </w:rPr>
        <w:t>Guía de apoyo a la aplicación de la NIMF 15</w:t>
      </w:r>
      <w:r>
        <w:t>. Roma, Secretaría de la CIPF, FAO.</w:t>
      </w:r>
      <w:r>
        <w:rPr>
          <w:color w:val="000000" w:themeColor="text1"/>
        </w:rPr>
        <w:t xml:space="preserve"> </w:t>
      </w:r>
    </w:p>
    <w:p w14:paraId="18701305" w14:textId="2A0336C3">
      <w:pPr>
        <w:pStyle w:val="IPPNormal"/>
        <w:jc w:val="left"/>
      </w:pPr>
      <w:r>
        <w:rPr>
          <w:rStyle w:val="PleaseReviewParagraphId"/>
          <w:b w:val="off"/>
          <w:i w:val="off"/>
        </w:rPr>
        <w:t>[84]</w:t>
      </w:r>
      <w:r>
        <w:rPr>
          <w:b/>
          <w:bCs/>
        </w:rPr>
        <w:t>Secretaría de la CIPF</w:t>
      </w:r>
      <w:r>
        <w:t xml:space="preserve">. (En prensa). Sistema de certificación fitosanitaria para la exportación. Curso de aprendizaje en línea de la CIPF. En: Cursos de aprendizaje en línea de la Convención Internacional </w:t>
        <w:lastRenderedPageBreak/>
        <w:t>de Protección Fitosanitaria. Roma, Secretaría de la CIPF, FAO.</w:t>
      </w:r>
      <w:r>
        <w:rPr>
          <w:color w:val="000000" w:themeColor="text1"/>
          <w:shd w:val="clear" w:color="auto" w:fill="E6E6E6"/>
        </w:rPr>
        <w:t xml:space="preserve"> </w:t>
      </w:r>
      <w:r>
        <w:t xml:space="preserve">Consultado el 9 de febrero de 2022. </w:t>
      </w:r>
      <w:hyperlink r:id="rId21">
        <w:r>
          <w:rPr>
            <w:rStyle w:val="Hyperlink"/>
          </w:rPr>
          <w:t>www.ippc.int/es/e-learning</w:t>
        </w:r>
      </w:hyperlink>
      <w:r>
        <w:t xml:space="preserve">. </w:t>
      </w:r>
    </w:p>
    <w:p w14:paraId="3B91342A" w14:textId="5858A8BC">
      <w:pPr>
        <w:pStyle w:val="IPPNormal"/>
        <w:jc w:val="left"/>
        <w:rPr>
          <w:rFonts w:eastAsiaTheme="minorEastAsia"/>
          <w:b/>
          <w:bCs/>
          <w:color w:val="2B579A"/>
        </w:rPr>
      </w:pPr>
      <w:r>
        <w:rPr>
          <w:rStyle w:val="PleaseReviewParagraphId"/>
          <w:b w:val="off"/>
          <w:i w:val="off"/>
        </w:rPr>
        <w:t>[85]</w:t>
      </w:r>
      <w:r>
        <w:rPr>
          <w:b/>
        </w:rPr>
        <w:t>Secretaría de la CIPF.</w:t>
      </w:r>
      <w:r>
        <w:t xml:space="preserve"> (En prensa). Inspección. Curso de aprendizaje en línea de la CIPF. En: Cursos de aprendizaje en línea de la Convención Internacional de Protección Fitosanitaria. Roma, Secretaría de la CIPF, FAO.</w:t>
      </w:r>
      <w:r>
        <w:rPr>
          <w:color w:val="000000" w:themeColor="text1"/>
          <w:shd w:val="clear" w:color="auto" w:fill="E6E6E6"/>
        </w:rPr>
        <w:t xml:space="preserve"> </w:t>
      </w:r>
      <w:r>
        <w:t xml:space="preserve">Consultado el 9 de febrero de 2022. </w:t>
      </w:r>
      <w:hyperlink r:id="rId22">
        <w:r>
          <w:rPr>
            <w:rStyle w:val="Hyperlink"/>
          </w:rPr>
          <w:t>www.ippc.int/es/e-learning</w:t>
        </w:r>
      </w:hyperlink>
      <w:r>
        <w:t xml:space="preserve">. </w:t>
      </w:r>
    </w:p>
    <w:p w14:paraId="747FF53B" w14:textId="0B3B9646">
      <w:pPr>
        <w:pStyle w:val="IPPNormal"/>
        <w:jc w:val="left"/>
        <w:rPr>
          <w:rStyle w:val="Hyperlink"/>
          <w:rFonts w:eastAsia="Segoe UI" w:cs="Times New Roman"/>
          <w:color w:val="000000" w:themeColor="text1"/>
          <w:u w:val="none"/>
        </w:rPr>
      </w:pPr>
      <w:r>
        <w:rPr>
          <w:rStyle w:val="PleaseReviewParagraphId"/>
          <w:b w:val="off"/>
          <w:i w:val="off"/>
        </w:rPr>
        <w:t>[86]</w:t>
      </w:r>
      <w:r>
        <w:rPr>
          <w:rStyle w:val="Hyperlink"/>
          <w:color w:val="000000" w:themeColor="text1"/>
          <w:u w:val="none"/>
        </w:rPr>
        <w:t>Se invita al grupo de trabajo a consultar también las normas y los procedimientos regionales relacionados con la autorización a entidades para ejecutar acciones fitosanitarias.</w:t>
      </w:r>
    </w:p>
    <w:sectPr>
      <w:pgSz w:w="11906" w:h="16838" w:code="9"/>
      <w:pgMar w:top="1440" w:right="1440" w:bottom="1440" w:left="1440" w:header="720" w:footer="720" w:gutter="0"/>
      <w:cols w:space="720"/>
      <w:titlePg/>
      <w:docGrid w:linePitch="360"/>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E162" w16cex:dateUtc="2022-06-22T23:43:00Z"/>
</w16cex:commentsExtensible>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C8F1E7" w16cid:durableId="265DE162"/>
</w16cid:commentsIds>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71CE9" w14:textId="77777777">
      <w:r>
        <w:rPr>
          <w:rStyle w:val="PleaseReviewParagraphId"/>
          <w:b w:val="off"/>
          <w:i w:val="off"/>
        </w:rPr>
        <w:t>[]</w:t>
      </w:r>
      <w:r>
        <w:separator/>
      </w:r>
    </w:p>
  </w:endnote>
  <w:endnote w:type="continuationSeparator" w:id="0">
    <w:p w14:paraId="708529F8" w14:textId="77777777">
      <w:r>
        <w:rPr>
          <w:rStyle w:val="PleaseReviewParagraphId"/>
          <w:b w:val="off"/>
          <w:i w:val="off"/>
        </w:rPr>
        <w:t>[]</w:t>
      </w:r>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Quay 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77F0B" w14:textId="77777777">
      <w:r>
        <w:rPr>
          <w:rStyle w:val="PleaseReviewParagraphId"/>
          <w:b w:val="off"/>
          <w:i w:val="off"/>
        </w:rPr>
        <w:t>[]</w:t>
      </w:r>
      <w:r>
        <w:separator/>
      </w:r>
    </w:p>
  </w:footnote>
  <w:footnote w:type="continuationSeparator" w:id="0">
    <w:p w14:paraId="113C38A6" w14:textId="77777777">
      <w:r>
        <w:rPr>
          <w:rStyle w:val="PleaseReviewParagraphId"/>
          <w:b w:val="off"/>
          <w:i w:val="off"/>
        </w:rPr>
        <w:t>[]</w:t>
      </w:r>
      <w:r>
        <w:continuationSeparator/>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52B43198"/>
    <w:lvl w:ilvl="0" w:tplc="08EA6EF6">
      <w:start w:val="1"/>
      <w:numFmt w:val="decimal"/>
      <w:pStyle w:val="IPPNumberedList"/>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B4A00"/>
    <w:multiLevelType w:val="hybridMultilevel"/>
    <w:tmpl w:val="4B94CE0E"/>
    <w:lvl w:ilvl="0" w:tplc="9732BEE8">
      <w:start w:val="1"/>
      <w:numFmt w:val="decimal"/>
      <w:lvlText w:val="(%1)"/>
      <w:lvlJc w:val="left"/>
      <w:pPr>
        <w:ind w:left="720" w:hanging="360"/>
      </w:pPr>
    </w:lvl>
    <w:lvl w:ilvl="1" w:tplc="541C4B02">
      <w:start w:val="1"/>
      <w:numFmt w:val="lowerLetter"/>
      <w:lvlText w:val="%2."/>
      <w:lvlJc w:val="left"/>
      <w:pPr>
        <w:ind w:left="1440" w:hanging="360"/>
      </w:pPr>
    </w:lvl>
    <w:lvl w:ilvl="2" w:tplc="FA96E5B0">
      <w:start w:val="1"/>
      <w:numFmt w:val="lowerRoman"/>
      <w:lvlText w:val="%3."/>
      <w:lvlJc w:val="right"/>
      <w:pPr>
        <w:ind w:left="2160" w:hanging="180"/>
      </w:pPr>
    </w:lvl>
    <w:lvl w:ilvl="3" w:tplc="3C3C2C32">
      <w:start w:val="1"/>
      <w:numFmt w:val="decimal"/>
      <w:lvlText w:val="%4."/>
      <w:lvlJc w:val="left"/>
      <w:pPr>
        <w:ind w:left="2880" w:hanging="360"/>
      </w:pPr>
    </w:lvl>
    <w:lvl w:ilvl="4" w:tplc="F9FA7354">
      <w:start w:val="1"/>
      <w:numFmt w:val="lowerLetter"/>
      <w:lvlText w:val="%5."/>
      <w:lvlJc w:val="left"/>
      <w:pPr>
        <w:ind w:left="3600" w:hanging="360"/>
      </w:pPr>
    </w:lvl>
    <w:lvl w:ilvl="5" w:tplc="EB20AF3C">
      <w:start w:val="1"/>
      <w:numFmt w:val="lowerRoman"/>
      <w:lvlText w:val="%6."/>
      <w:lvlJc w:val="right"/>
      <w:pPr>
        <w:ind w:left="4320" w:hanging="180"/>
      </w:pPr>
    </w:lvl>
    <w:lvl w:ilvl="6" w:tplc="FE603C06">
      <w:start w:val="1"/>
      <w:numFmt w:val="decimal"/>
      <w:lvlText w:val="%7."/>
      <w:lvlJc w:val="left"/>
      <w:pPr>
        <w:ind w:left="5040" w:hanging="360"/>
      </w:pPr>
    </w:lvl>
    <w:lvl w:ilvl="7" w:tplc="200CE5F2">
      <w:start w:val="1"/>
      <w:numFmt w:val="lowerLetter"/>
      <w:lvlText w:val="%8."/>
      <w:lvlJc w:val="left"/>
      <w:pPr>
        <w:ind w:left="5760" w:hanging="360"/>
      </w:pPr>
    </w:lvl>
    <w:lvl w:ilvl="8" w:tplc="F3220612">
      <w:start w:val="1"/>
      <w:numFmt w:val="lowerRoman"/>
      <w:lvlText w:val="%9."/>
      <w:lvlJc w:val="right"/>
      <w:pPr>
        <w:ind w:left="6480" w:hanging="180"/>
      </w:pPr>
    </w:lvl>
  </w:abstractNum>
  <w:abstractNum w:abstractNumId="2" w15:restartNumberingAfterBreak="0">
    <w:nsid w:val="04F4282A"/>
    <w:multiLevelType w:val="hybridMultilevel"/>
    <w:tmpl w:val="3C7838FA"/>
    <w:lvl w:ilvl="0" w:tplc="38265B5E">
      <w:start w:val="1"/>
      <w:numFmt w:val="bullet"/>
      <w:lvlText w:val="-"/>
      <w:lvlJc w:val="left"/>
      <w:pPr>
        <w:ind w:left="720" w:hanging="360"/>
      </w:pPr>
      <w:rPr>
        <w:rFonts w:ascii="Times New Roman" w:hAnsi="Times New Roman" w:hint="default"/>
      </w:rPr>
    </w:lvl>
    <w:lvl w:ilvl="1" w:tplc="A96655CA">
      <w:start w:val="1"/>
      <w:numFmt w:val="bullet"/>
      <w:lvlText w:val="o"/>
      <w:lvlJc w:val="left"/>
      <w:pPr>
        <w:ind w:left="1440" w:hanging="360"/>
      </w:pPr>
      <w:rPr>
        <w:rFonts w:ascii="Courier New" w:hAnsi="Courier New" w:hint="default"/>
      </w:rPr>
    </w:lvl>
    <w:lvl w:ilvl="2" w:tplc="AD10E404">
      <w:start w:val="1"/>
      <w:numFmt w:val="bullet"/>
      <w:lvlText w:val=""/>
      <w:lvlJc w:val="left"/>
      <w:pPr>
        <w:ind w:left="2160" w:hanging="360"/>
      </w:pPr>
      <w:rPr>
        <w:rFonts w:ascii="Wingdings" w:hAnsi="Wingdings" w:hint="default"/>
      </w:rPr>
    </w:lvl>
    <w:lvl w:ilvl="3" w:tplc="F5DA4C52">
      <w:start w:val="1"/>
      <w:numFmt w:val="bullet"/>
      <w:lvlText w:val=""/>
      <w:lvlJc w:val="left"/>
      <w:pPr>
        <w:ind w:left="2880" w:hanging="360"/>
      </w:pPr>
      <w:rPr>
        <w:rFonts w:ascii="Symbol" w:hAnsi="Symbol" w:hint="default"/>
      </w:rPr>
    </w:lvl>
    <w:lvl w:ilvl="4" w:tplc="7962032C">
      <w:start w:val="1"/>
      <w:numFmt w:val="bullet"/>
      <w:lvlText w:val="o"/>
      <w:lvlJc w:val="left"/>
      <w:pPr>
        <w:ind w:left="3600" w:hanging="360"/>
      </w:pPr>
      <w:rPr>
        <w:rFonts w:ascii="Courier New" w:hAnsi="Courier New" w:hint="default"/>
      </w:rPr>
    </w:lvl>
    <w:lvl w:ilvl="5" w:tplc="1C0E95B2">
      <w:start w:val="1"/>
      <w:numFmt w:val="bullet"/>
      <w:lvlText w:val=""/>
      <w:lvlJc w:val="left"/>
      <w:pPr>
        <w:ind w:left="4320" w:hanging="360"/>
      </w:pPr>
      <w:rPr>
        <w:rFonts w:ascii="Wingdings" w:hAnsi="Wingdings" w:hint="default"/>
      </w:rPr>
    </w:lvl>
    <w:lvl w:ilvl="6" w:tplc="36AA7ACA">
      <w:start w:val="1"/>
      <w:numFmt w:val="bullet"/>
      <w:lvlText w:val=""/>
      <w:lvlJc w:val="left"/>
      <w:pPr>
        <w:ind w:left="5040" w:hanging="360"/>
      </w:pPr>
      <w:rPr>
        <w:rFonts w:ascii="Symbol" w:hAnsi="Symbol" w:hint="default"/>
      </w:rPr>
    </w:lvl>
    <w:lvl w:ilvl="7" w:tplc="F814A042">
      <w:start w:val="1"/>
      <w:numFmt w:val="bullet"/>
      <w:lvlText w:val="o"/>
      <w:lvlJc w:val="left"/>
      <w:pPr>
        <w:ind w:left="5760" w:hanging="360"/>
      </w:pPr>
      <w:rPr>
        <w:rFonts w:ascii="Courier New" w:hAnsi="Courier New" w:hint="default"/>
      </w:rPr>
    </w:lvl>
    <w:lvl w:ilvl="8" w:tplc="A34E5B9A">
      <w:start w:val="1"/>
      <w:numFmt w:val="bullet"/>
      <w:lvlText w:val=""/>
      <w:lvlJc w:val="left"/>
      <w:pPr>
        <w:ind w:left="6480" w:hanging="360"/>
      </w:pPr>
      <w:rPr>
        <w:rFonts w:ascii="Wingdings" w:hAnsi="Wingdings" w:hint="default"/>
      </w:rPr>
    </w:lvl>
  </w:abstractNum>
  <w:abstractNum w:abstractNumId="3" w15:restartNumberingAfterBreak="0">
    <w:nsid w:val="04FE2427"/>
    <w:multiLevelType w:val="hybridMultilevel"/>
    <w:tmpl w:val="343AFB6E"/>
    <w:lvl w:ilvl="0" w:tplc="5CD0F7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0A6C"/>
    <w:multiLevelType w:val="multilevel"/>
    <w:tmpl w:val="06E871E4"/>
    <w:numStyleLink w:val="IPPParagraphnumberedlist"/>
  </w:abstractNum>
  <w:abstractNum w:abstractNumId="5"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751786"/>
    <w:multiLevelType w:val="hybridMultilevel"/>
    <w:tmpl w:val="7C1A4FC2"/>
    <w:lvl w:ilvl="0" w:tplc="E55A6314">
      <w:start w:val="1"/>
      <w:numFmt w:val="decimal"/>
      <w:lvlText w:val="(%1)"/>
      <w:lvlJc w:val="left"/>
      <w:pPr>
        <w:ind w:left="927" w:hanging="360"/>
      </w:pPr>
      <w:rPr>
        <w:rFonts w:hint="default"/>
        <w:b w:val="0"/>
        <w:i w:val="0"/>
        <w:color w:val="auto"/>
        <w:sz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A3523"/>
    <w:multiLevelType w:val="hybridMultilevel"/>
    <w:tmpl w:val="8BA257C8"/>
    <w:lvl w:ilvl="0" w:tplc="EE6676C6">
      <w:start w:val="1"/>
      <w:numFmt w:val="decimal"/>
      <w:lvlText w:val="%1)"/>
      <w:lvlJc w:val="left"/>
      <w:pPr>
        <w:ind w:left="720" w:hanging="360"/>
      </w:pPr>
    </w:lvl>
    <w:lvl w:ilvl="1" w:tplc="F232110E">
      <w:start w:val="1"/>
      <w:numFmt w:val="lowerLetter"/>
      <w:lvlText w:val="%2."/>
      <w:lvlJc w:val="left"/>
      <w:pPr>
        <w:ind w:left="1440" w:hanging="360"/>
      </w:pPr>
    </w:lvl>
    <w:lvl w:ilvl="2" w:tplc="C25A8204">
      <w:start w:val="1"/>
      <w:numFmt w:val="lowerRoman"/>
      <w:lvlText w:val="%3."/>
      <w:lvlJc w:val="right"/>
      <w:pPr>
        <w:ind w:left="2160" w:hanging="180"/>
      </w:pPr>
    </w:lvl>
    <w:lvl w:ilvl="3" w:tplc="325A3606">
      <w:start w:val="1"/>
      <w:numFmt w:val="decimal"/>
      <w:lvlText w:val="%4."/>
      <w:lvlJc w:val="left"/>
      <w:pPr>
        <w:ind w:left="2880" w:hanging="360"/>
      </w:pPr>
    </w:lvl>
    <w:lvl w:ilvl="4" w:tplc="16F62948">
      <w:start w:val="1"/>
      <w:numFmt w:val="lowerLetter"/>
      <w:lvlText w:val="%5."/>
      <w:lvlJc w:val="left"/>
      <w:pPr>
        <w:ind w:left="3600" w:hanging="360"/>
      </w:pPr>
    </w:lvl>
    <w:lvl w:ilvl="5" w:tplc="393C36C4">
      <w:start w:val="1"/>
      <w:numFmt w:val="lowerRoman"/>
      <w:lvlText w:val="%6."/>
      <w:lvlJc w:val="right"/>
      <w:pPr>
        <w:ind w:left="4320" w:hanging="180"/>
      </w:pPr>
    </w:lvl>
    <w:lvl w:ilvl="6" w:tplc="51081534">
      <w:start w:val="1"/>
      <w:numFmt w:val="decimal"/>
      <w:lvlText w:val="%7."/>
      <w:lvlJc w:val="left"/>
      <w:pPr>
        <w:ind w:left="5040" w:hanging="360"/>
      </w:pPr>
    </w:lvl>
    <w:lvl w:ilvl="7" w:tplc="DDC0A9EA">
      <w:start w:val="1"/>
      <w:numFmt w:val="lowerLetter"/>
      <w:lvlText w:val="%8."/>
      <w:lvlJc w:val="left"/>
      <w:pPr>
        <w:ind w:left="5760" w:hanging="360"/>
      </w:pPr>
    </w:lvl>
    <w:lvl w:ilvl="8" w:tplc="F512792E">
      <w:start w:val="1"/>
      <w:numFmt w:val="lowerRoman"/>
      <w:lvlText w:val="%9."/>
      <w:lvlJc w:val="right"/>
      <w:pPr>
        <w:ind w:left="6480" w:hanging="180"/>
      </w:pPr>
    </w:lvl>
  </w:abstractNum>
  <w:abstractNum w:abstractNumId="8" w15:restartNumberingAfterBreak="0">
    <w:nsid w:val="15F80BF8"/>
    <w:multiLevelType w:val="hybridMultilevel"/>
    <w:tmpl w:val="D28854F8"/>
    <w:lvl w:ilvl="0" w:tplc="0180EF26">
      <w:start w:val="1"/>
      <w:numFmt w:val="decimal"/>
      <w:lvlText w:val="[%1]"/>
      <w:lvlJc w:val="left"/>
      <w:pPr>
        <w:ind w:left="720" w:hanging="360"/>
      </w:pPr>
    </w:lvl>
    <w:lvl w:ilvl="1" w:tplc="37EE31B0">
      <w:start w:val="1"/>
      <w:numFmt w:val="lowerLetter"/>
      <w:lvlText w:val="%2."/>
      <w:lvlJc w:val="left"/>
      <w:pPr>
        <w:ind w:left="1440" w:hanging="360"/>
      </w:pPr>
    </w:lvl>
    <w:lvl w:ilvl="2" w:tplc="926CDC9E">
      <w:start w:val="1"/>
      <w:numFmt w:val="lowerRoman"/>
      <w:lvlText w:val="%3."/>
      <w:lvlJc w:val="right"/>
      <w:pPr>
        <w:ind w:left="2160" w:hanging="180"/>
      </w:pPr>
    </w:lvl>
    <w:lvl w:ilvl="3" w:tplc="121403D8">
      <w:start w:val="1"/>
      <w:numFmt w:val="decimal"/>
      <w:lvlText w:val="%4."/>
      <w:lvlJc w:val="left"/>
      <w:pPr>
        <w:ind w:left="2880" w:hanging="360"/>
      </w:pPr>
    </w:lvl>
    <w:lvl w:ilvl="4" w:tplc="E6527C88">
      <w:start w:val="1"/>
      <w:numFmt w:val="lowerLetter"/>
      <w:lvlText w:val="%5."/>
      <w:lvlJc w:val="left"/>
      <w:pPr>
        <w:ind w:left="3600" w:hanging="360"/>
      </w:pPr>
    </w:lvl>
    <w:lvl w:ilvl="5" w:tplc="DE20FB38">
      <w:start w:val="1"/>
      <w:numFmt w:val="lowerRoman"/>
      <w:lvlText w:val="%6."/>
      <w:lvlJc w:val="right"/>
      <w:pPr>
        <w:ind w:left="4320" w:hanging="180"/>
      </w:pPr>
    </w:lvl>
    <w:lvl w:ilvl="6" w:tplc="1D3494E8">
      <w:start w:val="1"/>
      <w:numFmt w:val="decimal"/>
      <w:lvlText w:val="%7."/>
      <w:lvlJc w:val="left"/>
      <w:pPr>
        <w:ind w:left="5040" w:hanging="360"/>
      </w:pPr>
    </w:lvl>
    <w:lvl w:ilvl="7" w:tplc="08F02630">
      <w:start w:val="1"/>
      <w:numFmt w:val="lowerLetter"/>
      <w:lvlText w:val="%8."/>
      <w:lvlJc w:val="left"/>
      <w:pPr>
        <w:ind w:left="5760" w:hanging="360"/>
      </w:pPr>
    </w:lvl>
    <w:lvl w:ilvl="8" w:tplc="43AEFDA8">
      <w:start w:val="1"/>
      <w:numFmt w:val="lowerRoman"/>
      <w:lvlText w:val="%9."/>
      <w:lvlJc w:val="right"/>
      <w:pPr>
        <w:ind w:left="6480" w:hanging="180"/>
      </w:pPr>
    </w:lvl>
  </w:abstractNum>
  <w:abstractNum w:abstractNumId="9" w15:restartNumberingAfterBreak="0">
    <w:nsid w:val="164F1522"/>
    <w:multiLevelType w:val="hybridMultilevel"/>
    <w:tmpl w:val="62F861F4"/>
    <w:lvl w:ilvl="0" w:tplc="5DF2A8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43B2A"/>
    <w:multiLevelType w:val="hybridMultilevel"/>
    <w:tmpl w:val="012C4010"/>
    <w:lvl w:ilvl="0" w:tplc="25DA9780">
      <w:start w:val="1"/>
      <w:numFmt w:val="bullet"/>
      <w:lvlText w:val=""/>
      <w:lvlJc w:val="left"/>
      <w:pPr>
        <w:ind w:left="720" w:hanging="360"/>
      </w:pPr>
      <w:rPr>
        <w:rFonts w:ascii="Symbol" w:hAnsi="Symbol" w:hint="default"/>
      </w:rPr>
    </w:lvl>
    <w:lvl w:ilvl="1" w:tplc="984E7004">
      <w:start w:val="1"/>
      <w:numFmt w:val="bullet"/>
      <w:lvlText w:val="o"/>
      <w:lvlJc w:val="left"/>
      <w:pPr>
        <w:ind w:left="1440" w:hanging="360"/>
      </w:pPr>
      <w:rPr>
        <w:rFonts w:ascii="Courier New" w:hAnsi="Courier New" w:hint="default"/>
      </w:rPr>
    </w:lvl>
    <w:lvl w:ilvl="2" w:tplc="A7002E62">
      <w:start w:val="1"/>
      <w:numFmt w:val="bullet"/>
      <w:lvlText w:val=""/>
      <w:lvlJc w:val="left"/>
      <w:pPr>
        <w:ind w:left="2160" w:hanging="360"/>
      </w:pPr>
      <w:rPr>
        <w:rFonts w:ascii="Wingdings" w:hAnsi="Wingdings" w:hint="default"/>
      </w:rPr>
    </w:lvl>
    <w:lvl w:ilvl="3" w:tplc="C7BCF666">
      <w:start w:val="1"/>
      <w:numFmt w:val="bullet"/>
      <w:lvlText w:val=""/>
      <w:lvlJc w:val="left"/>
      <w:pPr>
        <w:ind w:left="2880" w:hanging="360"/>
      </w:pPr>
      <w:rPr>
        <w:rFonts w:ascii="Symbol" w:hAnsi="Symbol" w:hint="default"/>
      </w:rPr>
    </w:lvl>
    <w:lvl w:ilvl="4" w:tplc="3DE6F25E">
      <w:start w:val="1"/>
      <w:numFmt w:val="bullet"/>
      <w:lvlText w:val="o"/>
      <w:lvlJc w:val="left"/>
      <w:pPr>
        <w:ind w:left="3600" w:hanging="360"/>
      </w:pPr>
      <w:rPr>
        <w:rFonts w:ascii="Courier New" w:hAnsi="Courier New" w:hint="default"/>
      </w:rPr>
    </w:lvl>
    <w:lvl w:ilvl="5" w:tplc="BBB6A526">
      <w:start w:val="1"/>
      <w:numFmt w:val="bullet"/>
      <w:lvlText w:val=""/>
      <w:lvlJc w:val="left"/>
      <w:pPr>
        <w:ind w:left="4320" w:hanging="360"/>
      </w:pPr>
      <w:rPr>
        <w:rFonts w:ascii="Wingdings" w:hAnsi="Wingdings" w:hint="default"/>
      </w:rPr>
    </w:lvl>
    <w:lvl w:ilvl="6" w:tplc="26224C0A">
      <w:start w:val="1"/>
      <w:numFmt w:val="bullet"/>
      <w:lvlText w:val=""/>
      <w:lvlJc w:val="left"/>
      <w:pPr>
        <w:ind w:left="5040" w:hanging="360"/>
      </w:pPr>
      <w:rPr>
        <w:rFonts w:ascii="Symbol" w:hAnsi="Symbol" w:hint="default"/>
      </w:rPr>
    </w:lvl>
    <w:lvl w:ilvl="7" w:tplc="87B6DC74">
      <w:start w:val="1"/>
      <w:numFmt w:val="bullet"/>
      <w:lvlText w:val="o"/>
      <w:lvlJc w:val="left"/>
      <w:pPr>
        <w:ind w:left="5760" w:hanging="360"/>
      </w:pPr>
      <w:rPr>
        <w:rFonts w:ascii="Courier New" w:hAnsi="Courier New" w:hint="default"/>
      </w:rPr>
    </w:lvl>
    <w:lvl w:ilvl="8" w:tplc="DDE668BC">
      <w:start w:val="1"/>
      <w:numFmt w:val="bullet"/>
      <w:lvlText w:val=""/>
      <w:lvlJc w:val="left"/>
      <w:pPr>
        <w:ind w:left="6480" w:hanging="360"/>
      </w:pPr>
      <w:rPr>
        <w:rFonts w:ascii="Wingdings" w:hAnsi="Wingdings" w:hint="default"/>
      </w:rPr>
    </w:lvl>
  </w:abstractNum>
  <w:abstractNum w:abstractNumId="11" w15:restartNumberingAfterBreak="0">
    <w:nsid w:val="1B7D47F8"/>
    <w:multiLevelType w:val="multilevel"/>
    <w:tmpl w:val="8BEC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1BED0BD3"/>
    <w:multiLevelType w:val="hybridMultilevel"/>
    <w:tmpl w:val="B38EBD54"/>
    <w:lvl w:ilvl="0" w:tplc="BF5CC17C">
      <w:start w:val="1"/>
      <w:numFmt w:val="decimal"/>
      <w:lvlText w:val="(%1)"/>
      <w:lvlJc w:val="left"/>
      <w:pPr>
        <w:ind w:left="720" w:hanging="360"/>
      </w:pPr>
    </w:lvl>
    <w:lvl w:ilvl="1" w:tplc="42D089B4">
      <w:start w:val="1"/>
      <w:numFmt w:val="lowerLetter"/>
      <w:lvlText w:val="%2."/>
      <w:lvlJc w:val="left"/>
      <w:pPr>
        <w:ind w:left="1440" w:hanging="360"/>
      </w:pPr>
    </w:lvl>
    <w:lvl w:ilvl="2" w:tplc="69986A4A">
      <w:start w:val="1"/>
      <w:numFmt w:val="lowerRoman"/>
      <w:lvlText w:val="%3."/>
      <w:lvlJc w:val="right"/>
      <w:pPr>
        <w:ind w:left="2160" w:hanging="180"/>
      </w:pPr>
    </w:lvl>
    <w:lvl w:ilvl="3" w:tplc="15F4730E">
      <w:start w:val="1"/>
      <w:numFmt w:val="decimal"/>
      <w:lvlText w:val="%4."/>
      <w:lvlJc w:val="left"/>
      <w:pPr>
        <w:ind w:left="2880" w:hanging="360"/>
      </w:pPr>
    </w:lvl>
    <w:lvl w:ilvl="4" w:tplc="661CDBD0">
      <w:start w:val="1"/>
      <w:numFmt w:val="lowerLetter"/>
      <w:lvlText w:val="%5."/>
      <w:lvlJc w:val="left"/>
      <w:pPr>
        <w:ind w:left="3600" w:hanging="360"/>
      </w:pPr>
    </w:lvl>
    <w:lvl w:ilvl="5" w:tplc="7890C5BA">
      <w:start w:val="1"/>
      <w:numFmt w:val="lowerRoman"/>
      <w:lvlText w:val="%6."/>
      <w:lvlJc w:val="right"/>
      <w:pPr>
        <w:ind w:left="4320" w:hanging="180"/>
      </w:pPr>
    </w:lvl>
    <w:lvl w:ilvl="6" w:tplc="E540661E">
      <w:start w:val="1"/>
      <w:numFmt w:val="decimal"/>
      <w:lvlText w:val="%7."/>
      <w:lvlJc w:val="left"/>
      <w:pPr>
        <w:ind w:left="5040" w:hanging="360"/>
      </w:pPr>
    </w:lvl>
    <w:lvl w:ilvl="7" w:tplc="F73EB014">
      <w:start w:val="1"/>
      <w:numFmt w:val="lowerLetter"/>
      <w:lvlText w:val="%8."/>
      <w:lvlJc w:val="left"/>
      <w:pPr>
        <w:ind w:left="5760" w:hanging="360"/>
      </w:pPr>
    </w:lvl>
    <w:lvl w:ilvl="8" w:tplc="996422D8">
      <w:start w:val="1"/>
      <w:numFmt w:val="lowerRoman"/>
      <w:lvlText w:val="%9."/>
      <w:lvlJc w:val="right"/>
      <w:pPr>
        <w:ind w:left="6480" w:hanging="180"/>
      </w:pPr>
    </w:lvl>
  </w:abstractNum>
  <w:abstractNum w:abstractNumId="14" w15:restartNumberingAfterBreak="0">
    <w:nsid w:val="24BB4C10"/>
    <w:multiLevelType w:val="hybridMultilevel"/>
    <w:tmpl w:val="772E9CC6"/>
    <w:lvl w:ilvl="0" w:tplc="F49E0B0A">
      <w:start w:val="1"/>
      <w:numFmt w:val="decimal"/>
      <w:lvlText w:val="%1."/>
      <w:lvlJc w:val="left"/>
      <w:pPr>
        <w:ind w:left="720" w:hanging="360"/>
      </w:pPr>
    </w:lvl>
    <w:lvl w:ilvl="1" w:tplc="D04A65E8">
      <w:start w:val="1"/>
      <w:numFmt w:val="lowerLetter"/>
      <w:lvlText w:val="%2."/>
      <w:lvlJc w:val="left"/>
      <w:pPr>
        <w:ind w:left="1440" w:hanging="360"/>
      </w:pPr>
    </w:lvl>
    <w:lvl w:ilvl="2" w:tplc="CDB068F6">
      <w:start w:val="1"/>
      <w:numFmt w:val="lowerRoman"/>
      <w:lvlText w:val="%3."/>
      <w:lvlJc w:val="right"/>
      <w:pPr>
        <w:ind w:left="2160" w:hanging="180"/>
      </w:pPr>
    </w:lvl>
    <w:lvl w:ilvl="3" w:tplc="27C4EBAC">
      <w:start w:val="1"/>
      <w:numFmt w:val="decimal"/>
      <w:lvlText w:val="%4."/>
      <w:lvlJc w:val="left"/>
      <w:pPr>
        <w:ind w:left="2880" w:hanging="360"/>
      </w:pPr>
    </w:lvl>
    <w:lvl w:ilvl="4" w:tplc="D3CA9824">
      <w:start w:val="1"/>
      <w:numFmt w:val="lowerLetter"/>
      <w:lvlText w:val="%5."/>
      <w:lvlJc w:val="left"/>
      <w:pPr>
        <w:ind w:left="3600" w:hanging="360"/>
      </w:pPr>
    </w:lvl>
    <w:lvl w:ilvl="5" w:tplc="4A46CACA">
      <w:start w:val="1"/>
      <w:numFmt w:val="lowerRoman"/>
      <w:lvlText w:val="%6."/>
      <w:lvlJc w:val="right"/>
      <w:pPr>
        <w:ind w:left="4320" w:hanging="180"/>
      </w:pPr>
    </w:lvl>
    <w:lvl w:ilvl="6" w:tplc="3ADC5EE2">
      <w:start w:val="1"/>
      <w:numFmt w:val="decimal"/>
      <w:lvlText w:val="%7."/>
      <w:lvlJc w:val="left"/>
      <w:pPr>
        <w:ind w:left="5040" w:hanging="360"/>
      </w:pPr>
    </w:lvl>
    <w:lvl w:ilvl="7" w:tplc="5C8A95F6">
      <w:start w:val="1"/>
      <w:numFmt w:val="lowerLetter"/>
      <w:lvlText w:val="%8."/>
      <w:lvlJc w:val="left"/>
      <w:pPr>
        <w:ind w:left="5760" w:hanging="360"/>
      </w:pPr>
    </w:lvl>
    <w:lvl w:ilvl="8" w:tplc="67DCBB6E">
      <w:start w:val="1"/>
      <w:numFmt w:val="lowerRoman"/>
      <w:lvlText w:val="%9."/>
      <w:lvlJc w:val="right"/>
      <w:pPr>
        <w:ind w:left="6480" w:hanging="180"/>
      </w:pPr>
    </w:lvl>
  </w:abstractNum>
  <w:abstractNum w:abstractNumId="15" w15:restartNumberingAfterBreak="0">
    <w:nsid w:val="28D955D6"/>
    <w:multiLevelType w:val="hybridMultilevel"/>
    <w:tmpl w:val="910E47DC"/>
    <w:lvl w:ilvl="0" w:tplc="26AAC84E">
      <w:start w:val="1"/>
      <w:numFmt w:val="decimal"/>
      <w:lvlText w:val="%1)"/>
      <w:lvlJc w:val="left"/>
      <w:pPr>
        <w:ind w:left="720" w:hanging="360"/>
      </w:pPr>
    </w:lvl>
    <w:lvl w:ilvl="1" w:tplc="E87462EC">
      <w:start w:val="1"/>
      <w:numFmt w:val="lowerLetter"/>
      <w:lvlText w:val="%2."/>
      <w:lvlJc w:val="left"/>
      <w:pPr>
        <w:ind w:left="1440" w:hanging="360"/>
      </w:pPr>
    </w:lvl>
    <w:lvl w:ilvl="2" w:tplc="7AF0CE48">
      <w:start w:val="1"/>
      <w:numFmt w:val="lowerRoman"/>
      <w:lvlText w:val="%3."/>
      <w:lvlJc w:val="right"/>
      <w:pPr>
        <w:ind w:left="2160" w:hanging="180"/>
      </w:pPr>
    </w:lvl>
    <w:lvl w:ilvl="3" w:tplc="220EF572">
      <w:start w:val="1"/>
      <w:numFmt w:val="decimal"/>
      <w:lvlText w:val="%4."/>
      <w:lvlJc w:val="left"/>
      <w:pPr>
        <w:ind w:left="2880" w:hanging="360"/>
      </w:pPr>
    </w:lvl>
    <w:lvl w:ilvl="4" w:tplc="9C5CE52A">
      <w:start w:val="1"/>
      <w:numFmt w:val="lowerLetter"/>
      <w:lvlText w:val="%5."/>
      <w:lvlJc w:val="left"/>
      <w:pPr>
        <w:ind w:left="3600" w:hanging="360"/>
      </w:pPr>
    </w:lvl>
    <w:lvl w:ilvl="5" w:tplc="0A269CAA">
      <w:start w:val="1"/>
      <w:numFmt w:val="lowerRoman"/>
      <w:lvlText w:val="%6."/>
      <w:lvlJc w:val="right"/>
      <w:pPr>
        <w:ind w:left="4320" w:hanging="180"/>
      </w:pPr>
    </w:lvl>
    <w:lvl w:ilvl="6" w:tplc="99C6A576">
      <w:start w:val="1"/>
      <w:numFmt w:val="decimal"/>
      <w:lvlText w:val="%7."/>
      <w:lvlJc w:val="left"/>
      <w:pPr>
        <w:ind w:left="5040" w:hanging="360"/>
      </w:pPr>
    </w:lvl>
    <w:lvl w:ilvl="7" w:tplc="30881992">
      <w:start w:val="1"/>
      <w:numFmt w:val="lowerLetter"/>
      <w:lvlText w:val="%8."/>
      <w:lvlJc w:val="left"/>
      <w:pPr>
        <w:ind w:left="5760" w:hanging="360"/>
      </w:pPr>
    </w:lvl>
    <w:lvl w:ilvl="8" w:tplc="468493D0">
      <w:start w:val="1"/>
      <w:numFmt w:val="lowerRoman"/>
      <w:lvlText w:val="%9."/>
      <w:lvlJc w:val="right"/>
      <w:pPr>
        <w:ind w:left="6480" w:hanging="180"/>
      </w:pPr>
    </w:lvl>
  </w:abstractNum>
  <w:abstractNum w:abstractNumId="16" w15:restartNumberingAfterBreak="0">
    <w:nsid w:val="2E215685"/>
    <w:multiLevelType w:val="hybridMultilevel"/>
    <w:tmpl w:val="D666B6E6"/>
    <w:lvl w:ilvl="0" w:tplc="44084AA6">
      <w:start w:val="1"/>
      <w:numFmt w:val="bullet"/>
      <w:lvlText w:val=""/>
      <w:lvlJc w:val="left"/>
      <w:pPr>
        <w:ind w:left="720" w:hanging="360"/>
      </w:pPr>
      <w:rPr>
        <w:rFonts w:ascii="Symbol" w:hAnsi="Symbol" w:hint="default"/>
      </w:rPr>
    </w:lvl>
    <w:lvl w:ilvl="1" w:tplc="1AF447C8">
      <w:start w:val="1"/>
      <w:numFmt w:val="bullet"/>
      <w:lvlText w:val="o"/>
      <w:lvlJc w:val="left"/>
      <w:pPr>
        <w:ind w:left="1440" w:hanging="360"/>
      </w:pPr>
      <w:rPr>
        <w:rFonts w:ascii="Courier New" w:hAnsi="Courier New" w:hint="default"/>
      </w:rPr>
    </w:lvl>
    <w:lvl w:ilvl="2" w:tplc="2D683ABE">
      <w:start w:val="1"/>
      <w:numFmt w:val="bullet"/>
      <w:lvlText w:val=""/>
      <w:lvlJc w:val="left"/>
      <w:pPr>
        <w:ind w:left="2160" w:hanging="360"/>
      </w:pPr>
      <w:rPr>
        <w:rFonts w:ascii="Wingdings" w:hAnsi="Wingdings" w:hint="default"/>
      </w:rPr>
    </w:lvl>
    <w:lvl w:ilvl="3" w:tplc="12E8AF96">
      <w:start w:val="1"/>
      <w:numFmt w:val="bullet"/>
      <w:lvlText w:val=""/>
      <w:lvlJc w:val="left"/>
      <w:pPr>
        <w:ind w:left="2880" w:hanging="360"/>
      </w:pPr>
      <w:rPr>
        <w:rFonts w:ascii="Symbol" w:hAnsi="Symbol" w:hint="default"/>
      </w:rPr>
    </w:lvl>
    <w:lvl w:ilvl="4" w:tplc="9D80A428">
      <w:start w:val="1"/>
      <w:numFmt w:val="bullet"/>
      <w:lvlText w:val="o"/>
      <w:lvlJc w:val="left"/>
      <w:pPr>
        <w:ind w:left="3600" w:hanging="360"/>
      </w:pPr>
      <w:rPr>
        <w:rFonts w:ascii="Courier New" w:hAnsi="Courier New" w:hint="default"/>
      </w:rPr>
    </w:lvl>
    <w:lvl w:ilvl="5" w:tplc="45CAC9A0">
      <w:start w:val="1"/>
      <w:numFmt w:val="bullet"/>
      <w:lvlText w:val=""/>
      <w:lvlJc w:val="left"/>
      <w:pPr>
        <w:ind w:left="4320" w:hanging="360"/>
      </w:pPr>
      <w:rPr>
        <w:rFonts w:ascii="Wingdings" w:hAnsi="Wingdings" w:hint="default"/>
      </w:rPr>
    </w:lvl>
    <w:lvl w:ilvl="6" w:tplc="AB8ED15C">
      <w:start w:val="1"/>
      <w:numFmt w:val="bullet"/>
      <w:lvlText w:val=""/>
      <w:lvlJc w:val="left"/>
      <w:pPr>
        <w:ind w:left="5040" w:hanging="360"/>
      </w:pPr>
      <w:rPr>
        <w:rFonts w:ascii="Symbol" w:hAnsi="Symbol" w:hint="default"/>
      </w:rPr>
    </w:lvl>
    <w:lvl w:ilvl="7" w:tplc="3976B48E">
      <w:start w:val="1"/>
      <w:numFmt w:val="bullet"/>
      <w:lvlText w:val="o"/>
      <w:lvlJc w:val="left"/>
      <w:pPr>
        <w:ind w:left="5760" w:hanging="360"/>
      </w:pPr>
      <w:rPr>
        <w:rFonts w:ascii="Courier New" w:hAnsi="Courier New" w:hint="default"/>
      </w:rPr>
    </w:lvl>
    <w:lvl w:ilvl="8" w:tplc="61405B60">
      <w:start w:val="1"/>
      <w:numFmt w:val="bullet"/>
      <w:lvlText w:val=""/>
      <w:lvlJc w:val="left"/>
      <w:pPr>
        <w:ind w:left="6480" w:hanging="360"/>
      </w:pPr>
      <w:rPr>
        <w:rFonts w:ascii="Wingdings" w:hAnsi="Wingdings" w:hint="default"/>
      </w:rPr>
    </w:lvl>
  </w:abstractNum>
  <w:abstractNum w:abstractNumId="17"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8" w15:restartNumberingAfterBreak="0">
    <w:nsid w:val="396636EF"/>
    <w:multiLevelType w:val="multilevel"/>
    <w:tmpl w:val="06E871E4"/>
    <w:numStyleLink w:val="IPPParagraphnumberedlist"/>
  </w:abstractNum>
  <w:abstractNum w:abstractNumId="19"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B14ACD"/>
    <w:multiLevelType w:val="multilevel"/>
    <w:tmpl w:val="CDAE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5B0A54CB"/>
    <w:multiLevelType w:val="hybridMultilevel"/>
    <w:tmpl w:val="51FA73B0"/>
    <w:lvl w:ilvl="0" w:tplc="9C32ABD2">
      <w:start w:val="8"/>
      <w:numFmt w:val="bullet"/>
      <w:lvlText w:val="-"/>
      <w:lvlJc w:val="left"/>
      <w:pPr>
        <w:ind w:left="1440" w:hanging="360"/>
      </w:pPr>
      <w:rPr>
        <w:rFonts w:ascii="Times New Roman" w:eastAsia="Time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55419D"/>
    <w:multiLevelType w:val="multilevel"/>
    <w:tmpl w:val="C8481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C16E02"/>
    <w:multiLevelType w:val="hybridMultilevel"/>
    <w:tmpl w:val="45BA6226"/>
    <w:lvl w:ilvl="0" w:tplc="E750AA7E">
      <w:start w:val="1"/>
      <w:numFmt w:val="bullet"/>
      <w:lvlText w:val="-"/>
      <w:lvlJc w:val="left"/>
      <w:pPr>
        <w:ind w:left="720" w:hanging="360"/>
      </w:pPr>
      <w:rPr>
        <w:rFonts w:ascii="Times New Roman" w:hAnsi="Times New Roman" w:hint="default"/>
      </w:rPr>
    </w:lvl>
    <w:lvl w:ilvl="1" w:tplc="33023280">
      <w:start w:val="1"/>
      <w:numFmt w:val="bullet"/>
      <w:lvlText w:val="o"/>
      <w:lvlJc w:val="left"/>
      <w:pPr>
        <w:ind w:left="1440" w:hanging="360"/>
      </w:pPr>
      <w:rPr>
        <w:rFonts w:ascii="Courier New" w:hAnsi="Courier New" w:hint="default"/>
      </w:rPr>
    </w:lvl>
    <w:lvl w:ilvl="2" w:tplc="BA1EB854">
      <w:start w:val="1"/>
      <w:numFmt w:val="bullet"/>
      <w:lvlText w:val=""/>
      <w:lvlJc w:val="left"/>
      <w:pPr>
        <w:ind w:left="2160" w:hanging="360"/>
      </w:pPr>
      <w:rPr>
        <w:rFonts w:ascii="Wingdings" w:hAnsi="Wingdings" w:hint="default"/>
      </w:rPr>
    </w:lvl>
    <w:lvl w:ilvl="3" w:tplc="DFA66F76">
      <w:start w:val="1"/>
      <w:numFmt w:val="bullet"/>
      <w:lvlText w:val=""/>
      <w:lvlJc w:val="left"/>
      <w:pPr>
        <w:ind w:left="2880" w:hanging="360"/>
      </w:pPr>
      <w:rPr>
        <w:rFonts w:ascii="Symbol" w:hAnsi="Symbol" w:hint="default"/>
      </w:rPr>
    </w:lvl>
    <w:lvl w:ilvl="4" w:tplc="9C2E31D6">
      <w:start w:val="1"/>
      <w:numFmt w:val="bullet"/>
      <w:lvlText w:val="o"/>
      <w:lvlJc w:val="left"/>
      <w:pPr>
        <w:ind w:left="3600" w:hanging="360"/>
      </w:pPr>
      <w:rPr>
        <w:rFonts w:ascii="Courier New" w:hAnsi="Courier New" w:hint="default"/>
      </w:rPr>
    </w:lvl>
    <w:lvl w:ilvl="5" w:tplc="5712EA4A">
      <w:start w:val="1"/>
      <w:numFmt w:val="bullet"/>
      <w:lvlText w:val=""/>
      <w:lvlJc w:val="left"/>
      <w:pPr>
        <w:ind w:left="4320" w:hanging="360"/>
      </w:pPr>
      <w:rPr>
        <w:rFonts w:ascii="Wingdings" w:hAnsi="Wingdings" w:hint="default"/>
      </w:rPr>
    </w:lvl>
    <w:lvl w:ilvl="6" w:tplc="D86893F8">
      <w:start w:val="1"/>
      <w:numFmt w:val="bullet"/>
      <w:lvlText w:val=""/>
      <w:lvlJc w:val="left"/>
      <w:pPr>
        <w:ind w:left="5040" w:hanging="360"/>
      </w:pPr>
      <w:rPr>
        <w:rFonts w:ascii="Symbol" w:hAnsi="Symbol" w:hint="default"/>
      </w:rPr>
    </w:lvl>
    <w:lvl w:ilvl="7" w:tplc="180CE9BC">
      <w:start w:val="1"/>
      <w:numFmt w:val="bullet"/>
      <w:lvlText w:val="o"/>
      <w:lvlJc w:val="left"/>
      <w:pPr>
        <w:ind w:left="5760" w:hanging="360"/>
      </w:pPr>
      <w:rPr>
        <w:rFonts w:ascii="Courier New" w:hAnsi="Courier New" w:hint="default"/>
      </w:rPr>
    </w:lvl>
    <w:lvl w:ilvl="8" w:tplc="8BA48364">
      <w:start w:val="1"/>
      <w:numFmt w:val="bullet"/>
      <w:lvlText w:val=""/>
      <w:lvlJc w:val="left"/>
      <w:pPr>
        <w:ind w:left="6480" w:hanging="360"/>
      </w:pPr>
      <w:rPr>
        <w:rFonts w:ascii="Wingdings" w:hAnsi="Wingdings" w:hint="default"/>
      </w:rPr>
    </w:lvl>
  </w:abstractNum>
  <w:abstractNum w:abstractNumId="26" w15:restartNumberingAfterBreak="0">
    <w:nsid w:val="625E6D92"/>
    <w:multiLevelType w:val="multilevel"/>
    <w:tmpl w:val="B1CA47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12E60"/>
    <w:multiLevelType w:val="hybridMultilevel"/>
    <w:tmpl w:val="9392D81E"/>
    <w:lvl w:ilvl="0" w:tplc="99DAC318">
      <w:start w:val="1"/>
      <w:numFmt w:val="decimal"/>
      <w:lvlText w:val="%1."/>
      <w:lvlJc w:val="left"/>
      <w:pPr>
        <w:ind w:left="720" w:hanging="360"/>
      </w:pPr>
    </w:lvl>
    <w:lvl w:ilvl="1" w:tplc="E6782924">
      <w:start w:val="1"/>
      <w:numFmt w:val="lowerLetter"/>
      <w:lvlText w:val="%2."/>
      <w:lvlJc w:val="left"/>
      <w:pPr>
        <w:ind w:left="1440" w:hanging="360"/>
      </w:pPr>
    </w:lvl>
    <w:lvl w:ilvl="2" w:tplc="CD3C2940">
      <w:start w:val="1"/>
      <w:numFmt w:val="lowerRoman"/>
      <w:lvlText w:val="%3."/>
      <w:lvlJc w:val="right"/>
      <w:pPr>
        <w:ind w:left="2160" w:hanging="180"/>
      </w:pPr>
    </w:lvl>
    <w:lvl w:ilvl="3" w:tplc="CB2E2770">
      <w:start w:val="1"/>
      <w:numFmt w:val="decimal"/>
      <w:lvlText w:val="%4."/>
      <w:lvlJc w:val="left"/>
      <w:pPr>
        <w:ind w:left="2880" w:hanging="360"/>
      </w:pPr>
    </w:lvl>
    <w:lvl w:ilvl="4" w:tplc="48BE14A8">
      <w:start w:val="1"/>
      <w:numFmt w:val="lowerLetter"/>
      <w:lvlText w:val="%5."/>
      <w:lvlJc w:val="left"/>
      <w:pPr>
        <w:ind w:left="3600" w:hanging="360"/>
      </w:pPr>
    </w:lvl>
    <w:lvl w:ilvl="5" w:tplc="C0D8B22E">
      <w:start w:val="1"/>
      <w:numFmt w:val="lowerRoman"/>
      <w:lvlText w:val="%6."/>
      <w:lvlJc w:val="right"/>
      <w:pPr>
        <w:ind w:left="4320" w:hanging="180"/>
      </w:pPr>
    </w:lvl>
    <w:lvl w:ilvl="6" w:tplc="38603EA2">
      <w:start w:val="1"/>
      <w:numFmt w:val="decimal"/>
      <w:lvlText w:val="%7."/>
      <w:lvlJc w:val="left"/>
      <w:pPr>
        <w:ind w:left="5040" w:hanging="360"/>
      </w:pPr>
    </w:lvl>
    <w:lvl w:ilvl="7" w:tplc="4B4E82C8">
      <w:start w:val="1"/>
      <w:numFmt w:val="lowerLetter"/>
      <w:lvlText w:val="%8."/>
      <w:lvlJc w:val="left"/>
      <w:pPr>
        <w:ind w:left="5760" w:hanging="360"/>
      </w:pPr>
    </w:lvl>
    <w:lvl w:ilvl="8" w:tplc="A7B0AAEA">
      <w:start w:val="1"/>
      <w:numFmt w:val="lowerRoman"/>
      <w:lvlText w:val="%9."/>
      <w:lvlJc w:val="right"/>
      <w:pPr>
        <w:ind w:left="6480" w:hanging="180"/>
      </w:pPr>
    </w:lvl>
  </w:abstractNum>
  <w:abstractNum w:abstractNumId="30" w15:restartNumberingAfterBreak="0">
    <w:nsid w:val="720B63D7"/>
    <w:multiLevelType w:val="hybridMultilevel"/>
    <w:tmpl w:val="A11C41C0"/>
    <w:lvl w:ilvl="0" w:tplc="9C32ABD2">
      <w:start w:val="8"/>
      <w:numFmt w:val="bullet"/>
      <w:lvlText w:val="-"/>
      <w:lvlJc w:val="left"/>
      <w:pPr>
        <w:ind w:left="1069" w:hanging="360"/>
      </w:pPr>
      <w:rPr>
        <w:rFonts w:ascii="Times New Roman" w:eastAsia="Times"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B1F20"/>
    <w:multiLevelType w:val="hybridMultilevel"/>
    <w:tmpl w:val="B06C92EC"/>
    <w:lvl w:ilvl="0" w:tplc="16ECE44C">
      <w:start w:val="3"/>
      <w:numFmt w:val="bullet"/>
      <w:lvlText w:val="-"/>
      <w:lvlJc w:val="righ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C7B4CEB"/>
    <w:multiLevelType w:val="hybridMultilevel"/>
    <w:tmpl w:val="53B60734"/>
    <w:lvl w:ilvl="0" w:tplc="A6720170">
      <w:start w:val="1"/>
      <w:numFmt w:val="bullet"/>
      <w:lvlText w:val="-"/>
      <w:lvlJc w:val="left"/>
      <w:pPr>
        <w:ind w:left="720" w:hanging="360"/>
      </w:pPr>
      <w:rPr>
        <w:rFonts w:ascii="Times New Roman" w:hAnsi="Times New Roman" w:hint="default"/>
      </w:rPr>
    </w:lvl>
    <w:lvl w:ilvl="1" w:tplc="9988989C">
      <w:start w:val="1"/>
      <w:numFmt w:val="bullet"/>
      <w:lvlText w:val="o"/>
      <w:lvlJc w:val="left"/>
      <w:pPr>
        <w:ind w:left="1440" w:hanging="360"/>
      </w:pPr>
      <w:rPr>
        <w:rFonts w:ascii="Courier New" w:hAnsi="Courier New" w:hint="default"/>
      </w:rPr>
    </w:lvl>
    <w:lvl w:ilvl="2" w:tplc="263C129E">
      <w:start w:val="1"/>
      <w:numFmt w:val="bullet"/>
      <w:lvlText w:val=""/>
      <w:lvlJc w:val="left"/>
      <w:pPr>
        <w:ind w:left="2160" w:hanging="360"/>
      </w:pPr>
      <w:rPr>
        <w:rFonts w:ascii="Wingdings" w:hAnsi="Wingdings" w:hint="default"/>
      </w:rPr>
    </w:lvl>
    <w:lvl w:ilvl="3" w:tplc="AE428B9C">
      <w:start w:val="1"/>
      <w:numFmt w:val="bullet"/>
      <w:lvlText w:val=""/>
      <w:lvlJc w:val="left"/>
      <w:pPr>
        <w:ind w:left="2880" w:hanging="360"/>
      </w:pPr>
      <w:rPr>
        <w:rFonts w:ascii="Symbol" w:hAnsi="Symbol" w:hint="default"/>
      </w:rPr>
    </w:lvl>
    <w:lvl w:ilvl="4" w:tplc="7F22CA50">
      <w:start w:val="1"/>
      <w:numFmt w:val="bullet"/>
      <w:lvlText w:val="o"/>
      <w:lvlJc w:val="left"/>
      <w:pPr>
        <w:ind w:left="3600" w:hanging="360"/>
      </w:pPr>
      <w:rPr>
        <w:rFonts w:ascii="Courier New" w:hAnsi="Courier New" w:hint="default"/>
      </w:rPr>
    </w:lvl>
    <w:lvl w:ilvl="5" w:tplc="05A269BA">
      <w:start w:val="1"/>
      <w:numFmt w:val="bullet"/>
      <w:lvlText w:val=""/>
      <w:lvlJc w:val="left"/>
      <w:pPr>
        <w:ind w:left="4320" w:hanging="360"/>
      </w:pPr>
      <w:rPr>
        <w:rFonts w:ascii="Wingdings" w:hAnsi="Wingdings" w:hint="default"/>
      </w:rPr>
    </w:lvl>
    <w:lvl w:ilvl="6" w:tplc="825C668A">
      <w:start w:val="1"/>
      <w:numFmt w:val="bullet"/>
      <w:lvlText w:val=""/>
      <w:lvlJc w:val="left"/>
      <w:pPr>
        <w:ind w:left="5040" w:hanging="360"/>
      </w:pPr>
      <w:rPr>
        <w:rFonts w:ascii="Symbol" w:hAnsi="Symbol" w:hint="default"/>
      </w:rPr>
    </w:lvl>
    <w:lvl w:ilvl="7" w:tplc="453EB308">
      <w:start w:val="1"/>
      <w:numFmt w:val="bullet"/>
      <w:lvlText w:val="o"/>
      <w:lvlJc w:val="left"/>
      <w:pPr>
        <w:ind w:left="5760" w:hanging="360"/>
      </w:pPr>
      <w:rPr>
        <w:rFonts w:ascii="Courier New" w:hAnsi="Courier New" w:hint="default"/>
      </w:rPr>
    </w:lvl>
    <w:lvl w:ilvl="8" w:tplc="C9147DBC">
      <w:start w:val="1"/>
      <w:numFmt w:val="bullet"/>
      <w:lvlText w:val=""/>
      <w:lvlJc w:val="left"/>
      <w:pPr>
        <w:ind w:left="6480" w:hanging="360"/>
      </w:pPr>
      <w:rPr>
        <w:rFonts w:ascii="Wingdings" w:hAnsi="Wingdings" w:hint="default"/>
      </w:rPr>
    </w:lvl>
  </w:abstractNum>
  <w:abstractNum w:abstractNumId="34"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750565"/>
    <w:multiLevelType w:val="hybridMultilevel"/>
    <w:tmpl w:val="5DC0E7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0"/>
  </w:num>
  <w:num w:numId="3">
    <w:abstractNumId w:val="16"/>
  </w:num>
  <w:num w:numId="4">
    <w:abstractNumId w:val="29"/>
  </w:num>
  <w:num w:numId="5">
    <w:abstractNumId w:val="14"/>
  </w:num>
  <w:num w:numId="6">
    <w:abstractNumId w:val="2"/>
  </w:num>
  <w:num w:numId="7">
    <w:abstractNumId w:val="25"/>
  </w:num>
  <w:num w:numId="8">
    <w:abstractNumId w:val="33"/>
  </w:num>
  <w:num w:numId="9">
    <w:abstractNumId w:val="1"/>
  </w:num>
  <w:num w:numId="10">
    <w:abstractNumId w:val="7"/>
  </w:num>
  <w:num w:numId="11">
    <w:abstractNumId w:val="13"/>
  </w:num>
  <w:num w:numId="12">
    <w:abstractNumId w:val="8"/>
  </w:num>
  <w:num w:numId="13">
    <w:abstractNumId w:val="11"/>
  </w:num>
  <w:num w:numId="14">
    <w:abstractNumId w:val="24"/>
  </w:num>
  <w:num w:numId="15">
    <w:abstractNumId w:val="26"/>
  </w:num>
  <w:num w:numId="16">
    <w:abstractNumId w:val="20"/>
  </w:num>
  <w:num w:numId="17">
    <w:abstractNumId w:val="32"/>
  </w:num>
  <w:num w:numId="18">
    <w:abstractNumId w:val="6"/>
  </w:num>
  <w:num w:numId="19">
    <w:abstractNumId w:val="30"/>
  </w:num>
  <w:num w:numId="20">
    <w:abstractNumId w:val="3"/>
  </w:num>
  <w:num w:numId="21">
    <w:abstractNumId w:val="35"/>
  </w:num>
  <w:num w:numId="22">
    <w:abstractNumId w:val="23"/>
  </w:num>
  <w:num w:numId="23">
    <w:abstractNumId w:val="9"/>
  </w:num>
  <w:num w:numId="24">
    <w:abstractNumId w:val="27"/>
  </w:num>
  <w:num w:numId="25">
    <w:abstractNumId w:val="5"/>
  </w:num>
  <w:num w:numId="26">
    <w:abstractNumId w:val="4"/>
  </w:num>
  <w:num w:numId="27">
    <w:abstractNumId w:val="17"/>
  </w:num>
  <w:num w:numId="28">
    <w:abstractNumId w:val="31"/>
  </w:num>
  <w:num w:numId="29">
    <w:abstractNumId w:val="22"/>
  </w:num>
  <w:num w:numId="30">
    <w:abstractNumId w:val="19"/>
  </w:num>
  <w:num w:numId="31">
    <w:abstractNumId w:val="34"/>
  </w:num>
  <w:num w:numId="32">
    <w:abstractNumId w:val="12"/>
  </w:num>
  <w:num w:numId="33">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6">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8">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9">
    <w:abstractNumId w:val="0"/>
  </w:num>
  <w:num w:numId="40">
    <w:abstractNumId w:val="21"/>
  </w:num>
  <w:num w:numId="41">
    <w:abstractNumId w:val="28"/>
  </w:num>
  <w:num w:numId="42">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3">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4">
    <w:abstractNumId w:val="18"/>
  </w:num>
  <w:num w:numId="45">
    <w:abstractNumId w:val="0"/>
  </w:num>
  <w:num w:numId="46">
    <w:abstractNumId w:val="0"/>
    <w:lvlOverride w:ilvl="0">
      <w:startOverride w:val="1"/>
    </w:lvlOverride>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ttachedTemplate r:id="rId1"/>
  <w:linkStyle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xNLE0NTQ2NDEyNDVW0lEKTi0uzszPAykwqgUAljpxkiwAAAA="/>
  </w:docVars>
  <w:rsids>
    <w:rsidRoot w:val="7F25C76D"/>
    <w:rsid w:val="00154310"/>
    <w:rsid w:val="001731E8"/>
    <w:rsid w:val="001831C2"/>
    <w:rsid w:val="00184199"/>
    <w:rsid w:val="001C0E37"/>
    <w:rsid w:val="001C5DBA"/>
    <w:rsid w:val="00200510"/>
    <w:rsid w:val="0021041E"/>
    <w:rsid w:val="00262A56"/>
    <w:rsid w:val="00293B7A"/>
    <w:rsid w:val="002E0501"/>
    <w:rsid w:val="002E6358"/>
    <w:rsid w:val="002F7B36"/>
    <w:rsid w:val="0034017B"/>
    <w:rsid w:val="003829CC"/>
    <w:rsid w:val="003C18FD"/>
    <w:rsid w:val="00420CB0"/>
    <w:rsid w:val="00421CCB"/>
    <w:rsid w:val="004C6505"/>
    <w:rsid w:val="004D2CB4"/>
    <w:rsid w:val="004D3C91"/>
    <w:rsid w:val="004E7E03"/>
    <w:rsid w:val="00543150"/>
    <w:rsid w:val="005C04B6"/>
    <w:rsid w:val="005D4051"/>
    <w:rsid w:val="005E13CD"/>
    <w:rsid w:val="00614B8F"/>
    <w:rsid w:val="00624C5C"/>
    <w:rsid w:val="00624EDC"/>
    <w:rsid w:val="006920C1"/>
    <w:rsid w:val="006B47AD"/>
    <w:rsid w:val="006D78B2"/>
    <w:rsid w:val="00700999"/>
    <w:rsid w:val="00733C2F"/>
    <w:rsid w:val="00741C28"/>
    <w:rsid w:val="00771E1B"/>
    <w:rsid w:val="00776548"/>
    <w:rsid w:val="007A5F0E"/>
    <w:rsid w:val="007B6EB0"/>
    <w:rsid w:val="007C28CC"/>
    <w:rsid w:val="007D06B8"/>
    <w:rsid w:val="007D2514"/>
    <w:rsid w:val="007E1123"/>
    <w:rsid w:val="00804832"/>
    <w:rsid w:val="008562D2"/>
    <w:rsid w:val="0087761E"/>
    <w:rsid w:val="008818C2"/>
    <w:rsid w:val="008903D2"/>
    <w:rsid w:val="00895A37"/>
    <w:rsid w:val="008B5539"/>
    <w:rsid w:val="008E4B15"/>
    <w:rsid w:val="009119D6"/>
    <w:rsid w:val="00A1090D"/>
    <w:rsid w:val="00A176AC"/>
    <w:rsid w:val="00A32B06"/>
    <w:rsid w:val="00A34A7B"/>
    <w:rsid w:val="00A73E1B"/>
    <w:rsid w:val="00A8618F"/>
    <w:rsid w:val="00AA5560"/>
    <w:rsid w:val="00AF228E"/>
    <w:rsid w:val="00AF6083"/>
    <w:rsid w:val="00B3362E"/>
    <w:rsid w:val="00B81B39"/>
    <w:rsid w:val="00BA5372"/>
    <w:rsid w:val="00C05272"/>
    <w:rsid w:val="00C36FB7"/>
    <w:rsid w:val="00C46E56"/>
    <w:rsid w:val="00C744BD"/>
    <w:rsid w:val="00C763F5"/>
    <w:rsid w:val="00D15EEE"/>
    <w:rsid w:val="00D3245D"/>
    <w:rsid w:val="00D34A30"/>
    <w:rsid w:val="00DA6993"/>
    <w:rsid w:val="00DC5594"/>
    <w:rsid w:val="00DD0DEA"/>
    <w:rsid w:val="00E27CD9"/>
    <w:rsid w:val="00E44049"/>
    <w:rsid w:val="00E61A6B"/>
    <w:rsid w:val="00E8187A"/>
    <w:rsid w:val="00F2022D"/>
    <w:rsid w:val="00F80C40"/>
    <w:rsid w:val="00FE0319"/>
    <w:rsid w:val="015E65CA"/>
    <w:rsid w:val="01EB50C5"/>
    <w:rsid w:val="02047AFA"/>
    <w:rsid w:val="02BA9C11"/>
    <w:rsid w:val="02BC1AA5"/>
    <w:rsid w:val="02FA362B"/>
    <w:rsid w:val="03C2A6A8"/>
    <w:rsid w:val="050250F6"/>
    <w:rsid w:val="06FA476A"/>
    <w:rsid w:val="070A3641"/>
    <w:rsid w:val="0829E5D1"/>
    <w:rsid w:val="0A31E82C"/>
    <w:rsid w:val="0CAF90C1"/>
    <w:rsid w:val="0D81654B"/>
    <w:rsid w:val="0F12D67B"/>
    <w:rsid w:val="1158AC88"/>
    <w:rsid w:val="14904D4A"/>
    <w:rsid w:val="16833EB3"/>
    <w:rsid w:val="16BC32A7"/>
    <w:rsid w:val="18580308"/>
    <w:rsid w:val="1C295CE6"/>
    <w:rsid w:val="1D22CAEC"/>
    <w:rsid w:val="1D879A3E"/>
    <w:rsid w:val="1D8B3E40"/>
    <w:rsid w:val="1EEE0D18"/>
    <w:rsid w:val="200DF40C"/>
    <w:rsid w:val="250E4DEB"/>
    <w:rsid w:val="25FF9A8E"/>
    <w:rsid w:val="261A4259"/>
    <w:rsid w:val="26D38B99"/>
    <w:rsid w:val="27C34948"/>
    <w:rsid w:val="287D4595"/>
    <w:rsid w:val="2DE33E97"/>
    <w:rsid w:val="2E5540E0"/>
    <w:rsid w:val="2E6F1F18"/>
    <w:rsid w:val="2F27EDF0"/>
    <w:rsid w:val="3018BC86"/>
    <w:rsid w:val="30BAEA6D"/>
    <w:rsid w:val="322F9CD3"/>
    <w:rsid w:val="32B6AFBA"/>
    <w:rsid w:val="3342903B"/>
    <w:rsid w:val="36774140"/>
    <w:rsid w:val="3816015E"/>
    <w:rsid w:val="38F524E3"/>
    <w:rsid w:val="3CDE1731"/>
    <w:rsid w:val="3CE97281"/>
    <w:rsid w:val="3D6D4974"/>
    <w:rsid w:val="3DAA2EDF"/>
    <w:rsid w:val="3E79E792"/>
    <w:rsid w:val="3E8542E2"/>
    <w:rsid w:val="4015B7F3"/>
    <w:rsid w:val="40A4EA36"/>
    <w:rsid w:val="40E1CFA1"/>
    <w:rsid w:val="41C4D12A"/>
    <w:rsid w:val="4363BE8B"/>
    <w:rsid w:val="44FC71EC"/>
    <w:rsid w:val="49CFE30F"/>
    <w:rsid w:val="4A704423"/>
    <w:rsid w:val="4B6BB370"/>
    <w:rsid w:val="4C05D178"/>
    <w:rsid w:val="4C479A06"/>
    <w:rsid w:val="4D77386D"/>
    <w:rsid w:val="4D874454"/>
    <w:rsid w:val="4EA35432"/>
    <w:rsid w:val="50E3E422"/>
    <w:rsid w:val="56A30AC7"/>
    <w:rsid w:val="57323D0A"/>
    <w:rsid w:val="582E1E5E"/>
    <w:rsid w:val="59C9EEBF"/>
    <w:rsid w:val="5A79F48E"/>
    <w:rsid w:val="5BD86379"/>
    <w:rsid w:val="5C9000B2"/>
    <w:rsid w:val="5F327AE4"/>
    <w:rsid w:val="60B247F1"/>
    <w:rsid w:val="645C41CB"/>
    <w:rsid w:val="6507E4C9"/>
    <w:rsid w:val="6764D635"/>
    <w:rsid w:val="67FD93A4"/>
    <w:rsid w:val="693AF4D8"/>
    <w:rsid w:val="6CF55A70"/>
    <w:rsid w:val="734E0448"/>
    <w:rsid w:val="75AE981E"/>
    <w:rsid w:val="78FFE83F"/>
    <w:rsid w:val="7EAB3BAF"/>
    <w:rsid w:val="7ECC1DC6"/>
    <w:rsid w:val="7F25C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5C76D"/>
  <w15:chartTrackingRefBased/>
  <w15:docId w15:val="{549024C9-7542-4C2D-BA99-EE6D4D7E69DB}"/>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MS Mincho" w:hAnsi="Times New Roman"/>
      <w:szCs w:val="24"/>
      <w:lang w:eastAsia="zh-CN"/>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sz w:val="20"/>
      <w:szCs w:val="24"/>
      <w:lang w:val="es-ES" w:eastAsia="zh-CN"/>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IPPBullet2">
    <w:name w:val="IPP Bullet2"/>
    <w:basedOn w:val="IPPNormal"/>
    <w:next w:val="IPPBullet1"/>
    <w:qFormat/>
    <w:pPr>
      <w:numPr>
        <w:numId w:val="28"/>
      </w:numPr>
      <w:tabs>
        <w:tab w:val="left" w:pos="1134"/>
      </w:tabs>
      <w:spacing w:after="60"/>
    </w:p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Normal">
    <w:name w:val="IPP Normal"/>
    <w:basedOn w:val="Normal"/>
    <w:link w:val="IPPNormalChar"/>
    <w:qFormat/>
    <w:pPr>
      <w:spacing w:after="180"/>
    </w:pPr>
    <w:rPr>
      <w:rFonts w:eastAsia="Times"/>
    </w:rPr>
  </w:style>
  <w:style w:type="paragraph" w:customStyle="1" w:styleId="IPPParagraphnumbering">
    <w:name w:val="IPP Paragraph numbering"/>
    <w:basedOn w:val="IPPNormal"/>
    <w:qFormat/>
    <w:pPr>
      <w:numPr>
        <w:numId w:val="33"/>
      </w:numPr>
    </w:pPr>
  </w:style>
  <w:style w:type="character" w:customStyle="1" w:styleId="IPPNormalChar">
    <w:name w:val="IPP Normal Char"/>
    <w:link w:val="IPPNormal"/>
    <w:rPr>
      <w:rFonts w:ascii="Times New Roman" w:eastAsia="Times" w:hAnsi="Times New Roman"/>
      <w:szCs w:val="24"/>
      <w:lang w:val="es-ES" w:eastAsia="zh-CN"/>
    </w:rPr>
  </w:style>
  <w:style w:type="character" w:customStyle="1" w:styleId="normaltextrun">
    <w:name w:val="normaltextrun"/>
    <w:basedOn w:val="DefaultParagraphFont"/>
    <w:uiPriority w:val="1"/>
  </w:style>
  <w:style w:type="character" w:customStyle="1" w:styleId="eop">
    <w:name w:val="eop"/>
    <w:basedOn w:val="DefaultParagraphFont"/>
    <w:uiPriority w:val="1"/>
  </w:style>
  <w:style w:type="paragraph" w:customStyle="1" w:styleId="Default">
    <w:name w:val="Default"/>
    <w:basedOn w:val="Normal"/>
    <w:uiPriority w:val="1"/>
    <w:rPr>
      <w:rFonts w:ascii="Quay Sans" w:eastAsiaTheme="minorEastAsia" w:hAnsi="Quay Sans" w:cs="Quay Sans"/>
      <w:color w:val="000000" w:themeColor="text1"/>
      <w:sz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s-ES" w:eastAsia="zh-CN"/>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rPr>
      <w:rFonts w:ascii="Times New Roman" w:eastAsia="MS Mincho" w:hAnsi="Times New Roman"/>
      <w:b/>
      <w:bCs/>
      <w:szCs w:val="24"/>
      <w:lang w:val="es-ES" w:eastAsia="zh-CN"/>
    </w:rPr>
  </w:style>
  <w:style w:type="character" w:customStyle="1" w:styleId="Heading2Char">
    <w:name w:val="Heading 2 Char"/>
    <w:basedOn w:val="DefaultParagraphFont"/>
    <w:link w:val="Heading2"/>
    <w:rPr>
      <w:rFonts w:ascii="Calibri" w:eastAsia="MS Mincho" w:hAnsi="Calibri"/>
      <w:b/>
      <w:bCs/>
      <w:i/>
      <w:iCs/>
      <w:sz w:val="28"/>
      <w:szCs w:val="28"/>
      <w:lang w:val="es-ES" w:eastAsia="zh-CN"/>
    </w:rPr>
  </w:style>
  <w:style w:type="character" w:customStyle="1" w:styleId="Heading3Char">
    <w:name w:val="Heading 3 Char"/>
    <w:basedOn w:val="DefaultParagraphFont"/>
    <w:link w:val="Heading3"/>
    <w:rPr>
      <w:rFonts w:ascii="Calibri" w:eastAsia="MS Mincho" w:hAnsi="Calibri"/>
      <w:b/>
      <w:bCs/>
      <w:sz w:val="26"/>
      <w:szCs w:val="26"/>
      <w:lang w:val="es-ES" w:eastAsia="zh-CN"/>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szCs w:val="24"/>
      <w:lang w:val="es-ES" w:eastAsia="zh-CN"/>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200" w:line="276"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b/>
      <w:sz w:val="22"/>
      <w:szCs w:val="21"/>
      <w:lang w:val="es-ES" w:eastAsia="zh-CN"/>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s-ES"/>
    </w:rPr>
  </w:style>
  <w:style w:type="paragraph" w:customStyle="1" w:styleId="IPPBullet1">
    <w:name w:val="IPP Bullet1"/>
    <w:basedOn w:val="IPPBullet1Last"/>
    <w:qFormat/>
    <w:pPr>
      <w:numPr>
        <w:numId w:val="41"/>
      </w:numPr>
      <w:spacing w:after="60"/>
    </w:pPr>
  </w:style>
  <w:style w:type="paragraph" w:customStyle="1" w:styleId="IPPBullet1Last">
    <w:name w:val="IPP Bullet1Last"/>
    <w:basedOn w:val="IPPNormal"/>
    <w:next w:val="IPPNormal"/>
    <w:autoRedefine/>
    <w:qFormat/>
    <w:pPr>
      <w:numPr>
        <w:numId w:val="29"/>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27"/>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es-ES" w:eastAsia="zh-CN"/>
    </w:rPr>
  </w:style>
  <w:style w:type="paragraph" w:customStyle="1" w:styleId="IPPLetterList">
    <w:name w:val="IPP LetterList"/>
    <w:basedOn w:val="IPPBullet2"/>
    <w:qFormat/>
    <w:pPr>
      <w:numPr>
        <w:numId w:val="24"/>
      </w:numPr>
      <w:jc w:val="left"/>
    </w:pPr>
  </w:style>
  <w:style w:type="paragraph" w:customStyle="1" w:styleId="IPPLetterListIndent">
    <w:name w:val="IPP LetterList Indent"/>
    <w:basedOn w:val="IPPLetterList"/>
    <w:qFormat/>
    <w:pPr>
      <w:numPr>
        <w:numId w:val="25"/>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30"/>
      </w:numPr>
    </w:pPr>
  </w:style>
  <w:style w:type="paragraph" w:customStyle="1" w:styleId="IPPHdg2Num">
    <w:name w:val="IPP Hdg2Num"/>
    <w:basedOn w:val="IPPHeading2"/>
    <w:next w:val="IPPNormal"/>
    <w:qFormat/>
    <w:pPr>
      <w:numPr>
        <w:ilvl w:val="1" numString="1.1. "/>
        <w:numId w:val="31"/>
      </w:numPr>
    </w:pPr>
  </w:style>
  <w:style w:type="paragraph" w:customStyle="1" w:styleId="IPPNumberedList">
    <w:name w:val="IPP NumberedList"/>
    <w:basedOn w:val="IPPBullet1"/>
    <w:qFormat/>
    <w:pPr>
      <w:numPr>
        <w:numId w:val="45"/>
      </w:numPr>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szCs w:val="24"/>
      <w:lang w:val="es-ES" w:eastAsia="zh-CN"/>
    </w:rPr>
  </w:style>
  <w:style w:type="character" w:styleId="Strong">
    <w:name w:val="Strong"/>
    <w:basedOn w:val="DefaultParagraphFont"/>
    <w:qFormat/>
    <w:rPr>
      <w:b/>
      <w:bCs/>
    </w:rPr>
  </w:style>
  <w:style w:type="paragraph" w:customStyle="1" w:styleId="IPPParagraphnumberingclose">
    <w:name w:val="IPP Paragraph numbering close"/>
    <w:basedOn w:val="IPPParagraphnumbering"/>
    <w:qFormat/>
    <w:pPr>
      <w:keepNext/>
      <w:numPr>
        <w:numId w:val="0"/>
      </w:numPr>
      <w:spacing w:after="60"/>
    </w:pPr>
  </w:style>
  <w:style w:type="paragraph" w:customStyle="1" w:styleId="IPPNumberedListLast">
    <w:name w:val="IPP NumberedListLast"/>
    <w:basedOn w:val="IPPNumberedList"/>
    <w:qFormat/>
    <w:pPr>
      <w:numPr>
        <w:numId w:val="0"/>
      </w:numPr>
      <w:spacing w:after="180"/>
    </w:pPr>
  </w:style>
  <w:style w:type="paragraph" w:customStyle="1" w:styleId="IPPPargraphnumbering">
    <w:name w:val="IPP Pargraph numbering"/>
    <w:basedOn w:val="IPPNormal"/>
    <w:qFormat/>
    <w:pPr>
      <w:tabs>
        <w:tab w:val="num" w:pos="360"/>
      </w:tabs>
    </w:pPr>
    <w:rPr>
      <w:rFonts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b/>
      <w:bCs/>
      <w:sz w:val="20"/>
      <w:szCs w:val="20"/>
      <w:lang w:val="es-E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2142113493">
      <w:bodyDiv w:val="1"/>
      <w:marLeft w:val="0"/>
      <w:marRight w:val="0"/>
      <w:marTop w:val="0"/>
      <w:marBottom w:val="0"/>
      <w:divBdr>
        <w:top w:val="none" w:sz="0" w:space="0" w:color="auto"/>
        <w:left w:val="none" w:sz="0" w:space="0" w:color="auto"/>
        <w:bottom w:val="none" w:sz="0" w:space="0" w:color="auto"/>
        <w:right w:val="none" w:sz="0" w:space="0" w:color="auto"/>
      </w:divBdr>
      <w:divsChild>
        <w:div w:id="1983265218">
          <w:marLeft w:val="0"/>
          <w:marRight w:val="0"/>
          <w:marTop w:val="0"/>
          <w:marBottom w:val="0"/>
          <w:divBdr>
            <w:top w:val="none" w:sz="0" w:space="0" w:color="auto"/>
            <w:left w:val="none" w:sz="0" w:space="0" w:color="auto"/>
            <w:bottom w:val="none" w:sz="0" w:space="0" w:color="auto"/>
            <w:right w:val="none" w:sz="0" w:space="0" w:color="auto"/>
          </w:divBdr>
        </w:div>
        <w:div w:id="324863816">
          <w:marLeft w:val="0"/>
          <w:marRight w:val="0"/>
          <w:marTop w:val="0"/>
          <w:marBottom w:val="0"/>
          <w:divBdr>
            <w:top w:val="none" w:sz="0" w:space="0" w:color="auto"/>
            <w:left w:val="none" w:sz="0" w:space="0" w:color="auto"/>
            <w:bottom w:val="none" w:sz="0" w:space="0" w:color="auto"/>
            <w:right w:val="none" w:sz="0" w:space="0" w:color="auto"/>
          </w:divBdr>
        </w:div>
        <w:div w:id="1382292500">
          <w:marLeft w:val="0"/>
          <w:marRight w:val="0"/>
          <w:marTop w:val="0"/>
          <w:marBottom w:val="0"/>
          <w:divBdr>
            <w:top w:val="none" w:sz="0" w:space="0" w:color="auto"/>
            <w:left w:val="none" w:sz="0" w:space="0" w:color="auto"/>
            <w:bottom w:val="none" w:sz="0" w:space="0" w:color="auto"/>
            <w:right w:val="none" w:sz="0" w:space="0" w:color="auto"/>
          </w:divBdr>
        </w:div>
        <w:div w:id="2130274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ppc.int/es/publications/89734/" TargetMode="External" Id="rId13" /><Relationship Type="http://schemas.openxmlformats.org/officeDocument/2006/relationships/hyperlink" Target="http://www.ippc.int/es/publications/90636/" TargetMode="External" Id="rId18" /><Relationship Type="http://schemas.openxmlformats.org/officeDocument/2006/relationships/customXml" Target="../customXml/item3.xml" Id="rId3" /><Relationship Type="http://schemas.openxmlformats.org/officeDocument/2006/relationships/hyperlink" Target="https://www.ippc.int/es/e-learning/" TargetMode="External" Id="rId21" /><Relationship Type="http://schemas.openxmlformats.org/officeDocument/2006/relationships/settings" Target="settings.xml" Id="rId7" /><Relationship Type="http://schemas.openxmlformats.org/officeDocument/2006/relationships/hyperlink" Target="https://www.ippc.int/es/publications/622/" TargetMode="External" Id="rId12" /><Relationship Type="http://schemas.openxmlformats.org/officeDocument/2006/relationships/hyperlink" Target="https://www.ippc.int/es/work-area-pages/workshops-and-experts-meeting/ippc-webinar-enhancing-the-understanding-of-the-concept-on-authorization-of-entities-to-perform-phytosanitary-actions/" TargetMode="External" Id="rId17" /><Relationship Type="http://schemas.openxmlformats.org/officeDocument/2006/relationships/customXml" Target="../customXml/item2.xml" Id="rId2" /><Relationship Type="http://schemas.openxmlformats.org/officeDocument/2006/relationships/hyperlink" Target="https://www.ippc.int/es/publications/90774/" TargetMode="External" Id="rId16" /><Relationship Type="http://schemas.openxmlformats.org/officeDocument/2006/relationships/hyperlink" Target="https://www.ippc.int/es/publications/131"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spection.canada.ca/plant-health/invasive-species/directives/forest-products/d-13-02/eng/1422060900536/1438793070887" TargetMode="External" Id="rId11" /><Relationship Type="http://schemas.openxmlformats.org/officeDocument/2006/relationships/theme" Target="theme/theme1.xml" Id="rId24" /><Relationship Type="http://schemas.microsoft.com/office/2018/08/relationships/commentsExtensible" Target="commentsExtensible.xml" Id="rId32" /><Relationship Type="http://schemas.openxmlformats.org/officeDocument/2006/relationships/numbering" Target="numbering.xml" Id="rId5" /><Relationship Type="http://schemas.openxmlformats.org/officeDocument/2006/relationships/hyperlink" Target="https://www.ippc.int/es/publications/90286/"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ippc.int/es/publications/90633/" TargetMode="External" Id="rId19" /><Relationship Type="http://schemas.microsoft.com/office/2016/09/relationships/commentsIds" Target="commentsIds.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ao.org/documents/card/es/c/cb3834en/" TargetMode="External" Id="rId14" /><Relationship Type="http://schemas.openxmlformats.org/officeDocument/2006/relationships/hyperlink" Target="https://www.ippc.int/es/e-learning/" TargetMode="External" Id="rId22" /></Relationships>
</file>

<file path=word/_rels/settings.xml.rels>&#65279;<?xml version="1.0" encoding="utf-8"?><Relationships xmlns="http://schemas.openxmlformats.org/package/2006/relationships"><Relationship Type="http://schemas.openxmlformats.org/officeDocument/2006/relationships/attachedTemplate" Target="file:///C:\Users\Czerwien\Downloads\IPPC_2015-06-04.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0C20A64-8CD8-4032-BAD7-EFF6EF124FB4}">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2.xml><?xml version="1.0" encoding="utf-8"?>
<ds:datastoreItem xmlns:ds="http://schemas.openxmlformats.org/officeDocument/2006/customXml" ds:itemID="{301ED3BD-8B1B-4026-ACD7-976E1D2A6407}">
  <ds:schemaRefs>
    <ds:schemaRef ds:uri="http://schemas.microsoft.com/sharepoint/v3/contenttype/forms"/>
  </ds:schemaRefs>
</ds:datastoreItem>
</file>

<file path=customXml/itemProps3.xml><?xml version="1.0" encoding="utf-8"?>
<ds:datastoreItem xmlns:ds="http://schemas.openxmlformats.org/officeDocument/2006/customXml" ds:itemID="{8FD9BFC1-75F9-46AC-96D8-CD46935F6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B2083-8158-45F7-BCA2-EC98B643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13</TotalTime>
  <Pages>5</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Barbara (NSP)</dc:creator>
  <cp:keywords/>
  <dc:description/>
  <cp:lastModifiedBy>Czerwien, Ewa (NSP)</cp:lastModifiedBy>
  <cp:revision>17</cp:revision>
  <dcterms:created xsi:type="dcterms:W3CDTF">2022-06-02T14:07:00Z</dcterms:created>
  <dcterms:modified xsi:type="dcterms:W3CDTF">2022-07-01T13:30:00Z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