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National Reporting Obligations Guide (2021-026), revision . Document title: 2021-026_DS_NROs guide revision_ES.docx]</w:t>
      </w:r>
    </w:p>
    <w:p w14:paraId="2947059D" w14:textId="254D57BD">
      <w:pPr>
        <w:pStyle w:val="IPPHeadSection"/>
        <w:ind w:left="0" w:firstLine="0"/>
        <w:jc w:val="center"/>
      </w:pPr>
      <w:r>
        <w:rPr>
          <w:rStyle w:val="PleaseReviewParagraphId"/>
          <w:b w:val="off"/>
          <w:i w:val="off"/>
        </w:rPr>
        <w:t>[1]</w:t>
      </w:r>
      <w:r>
        <w:t>PROYECTO DE ESPECIFICACIÓN PARA LA REVISIÓN DE LA GUÍA SOBRE OBLIGACIONES NACIONALES DE PRESENTACIÓN DE INFORMES (ONPI)(2021-026)</w:t>
      </w:r>
    </w:p>
    <w:p w14:paraId="6085F733" w14:textId="77777777">
      <w:pPr>
        <w:spacing w:before="60" w:after="60"/>
        <w:rPr>
          <w:rFonts w:eastAsia="Times" w:cs="Times New Roman"/>
          <w:b/>
          <w:bCs/>
        </w:rPr>
      </w:pPr>
      <w:r>
        <w:rPr>
          <w:rStyle w:val="PleaseReviewParagraphId"/>
          <w:b w:val="off"/>
          <w:i w:val="off"/>
        </w:rPr>
        <w:t>[2]</w:t>
      </w:r>
      <w:r>
        <w:rPr>
          <w:rFonts w:eastAsia="Times" w:cs="Times New Roman"/>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75AAFE3D" w14:textId="77777777">
        <w:trPr>
          <w:trHeight w:val="286"/>
          <w:jc w:val="center"/>
        </w:trPr>
        <w:tc>
          <w:tcPr>
            <w:tcW w:w="9020" w:type="dxa"/>
            <w:gridSpan w:val="2"/>
          </w:tcPr>
          <w:p w14:paraId="0E69388C"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1C2D7520" w14:textId="77777777">
        <w:trPr>
          <w:trHeight w:val="286"/>
          <w:jc w:val="center"/>
        </w:trPr>
        <w:tc>
          <w:tcPr>
            <w:tcW w:w="2271" w:type="dxa"/>
          </w:tcPr>
          <w:p w14:paraId="3BE870E2"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14:paraId="5F3F585B"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2021-026</w:t>
            </w:r>
          </w:p>
        </w:tc>
      </w:tr>
      <w:tr w14:paraId="11DB24B4" w14:textId="77777777">
        <w:trPr>
          <w:trHeight w:val="286"/>
          <w:jc w:val="center"/>
        </w:trPr>
        <w:tc>
          <w:tcPr>
            <w:tcW w:w="2271" w:type="dxa"/>
          </w:tcPr>
          <w:p w14:paraId="16F30CD7"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 xml:space="preserve">Title </w:t>
            </w:r>
          </w:p>
        </w:tc>
        <w:tc>
          <w:tcPr>
            <w:tcW w:w="6749" w:type="dxa"/>
          </w:tcPr>
          <w:p w14:paraId="05406123"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 xml:space="preserve">National Reporting Obligations (NROs) Guide, Revision </w:t>
            </w:r>
          </w:p>
        </w:tc>
      </w:tr>
      <w:tr w14:paraId="4FFA932B" w14:textId="77777777">
        <w:trPr>
          <w:trHeight w:val="299"/>
          <w:jc w:val="center"/>
        </w:trPr>
        <w:tc>
          <w:tcPr>
            <w:tcW w:w="2271" w:type="dxa"/>
          </w:tcPr>
          <w:p w14:paraId="1F1BCE95"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Document category</w:t>
            </w:r>
          </w:p>
        </w:tc>
        <w:tc>
          <w:tcPr>
            <w:tcW w:w="6749" w:type="dxa"/>
          </w:tcPr>
          <w:p w14:paraId="08D0DEA8"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41AE5E68" w14:textId="77777777">
        <w:trPr>
          <w:trHeight w:val="299"/>
          <w:jc w:val="center"/>
        </w:trPr>
        <w:tc>
          <w:tcPr>
            <w:tcW w:w="2271" w:type="dxa"/>
          </w:tcPr>
          <w:p w14:paraId="5AECC50A"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48500A77"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2022-01-19</w:t>
            </w:r>
          </w:p>
        </w:tc>
      </w:tr>
      <w:tr w14:paraId="42D0A50B" w14:textId="77777777">
        <w:trPr>
          <w:trHeight w:val="299"/>
          <w:jc w:val="center"/>
        </w:trPr>
        <w:tc>
          <w:tcPr>
            <w:tcW w:w="2271" w:type="dxa"/>
          </w:tcPr>
          <w:p w14:paraId="59689A31"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1CF01E8C"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7A78C716" w14:textId="77777777">
        <w:trPr>
          <w:trHeight w:val="491"/>
          <w:jc w:val="center"/>
        </w:trPr>
        <w:tc>
          <w:tcPr>
            <w:tcW w:w="2271" w:type="dxa"/>
          </w:tcPr>
          <w:p w14:paraId="59587C13"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shd w:val="clear" w:color="auto" w:fill="auto"/>
          </w:tcPr>
          <w:p w14:paraId="329CC004" w14:textId="77777777">
            <w:pPr>
              <w:spacing w:after="60"/>
              <w:rPr>
                <w:rFonts w:ascii="Arial" w:hAnsi="Arial" w:eastAsia="Times"/>
                <w:sz w:val="18"/>
                <w:szCs w:val="18"/>
              </w:rPr>
            </w:pPr>
            <w:r>
              <w:rPr>
                <w:rStyle w:val="PleaseReviewParagraphId"/>
                <w:b w:val="off"/>
                <w:i w:val="off"/>
              </w:rPr>
              <w:t>[15]</w:t>
            </w:r>
            <w:r>
              <w:rPr>
                <w:rFonts w:ascii="Arial" w:hAnsi="Arial" w:eastAsia="Times"/>
                <w:sz w:val="18"/>
                <w:szCs w:val="18"/>
              </w:rPr>
              <w:t>2021-11:  IC Team on NROs requested that the IC recommend this topic to CPM </w:t>
            </w:r>
            <w:r>
              <w:rPr>
                <w:rStyle w:val="eop"/>
                <w:color w:val="000000"/>
                <w:szCs w:val="22"/>
                <w:shd w:val="clear" w:color="auto" w:fill="FFFFFF"/>
              </w:rPr>
              <w:t> </w:t>
            </w:r>
          </w:p>
          <w:p w14:paraId="427F2E7F" w14:textId="77777777">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2021-11: Implementation and Capacity Development Committee (IC) VM17 agreed to recommend that CPM-16 (2022) add this topic to ICD LOT; priority 1 </w:t>
            </w:r>
          </w:p>
          <w:p w14:paraId="24279E32" w14:textId="77777777">
            <w:pPr>
              <w:spacing w:after="60"/>
              <w:rPr>
                <w:rFonts w:ascii="Arial" w:hAnsi="Arial" w:cs="Arial"/>
                <w:color w:val="000000"/>
                <w:sz w:val="18"/>
                <w:szCs w:val="18"/>
                <w:shd w:val="clear" w:color="auto" w:fill="FFFFFF"/>
              </w:rPr>
            </w:pPr>
            <w:r>
              <w:rPr>
                <w:rStyle w:val="PleaseReviewParagraphId"/>
                <w:b w:val="off"/>
                <w:i w:val="off"/>
              </w:rPr>
              <w:t>[17]</w:t>
            </w:r>
            <w:r>
              <w:rPr>
                <w:rFonts w:ascii="Arial" w:hAnsi="Arial" w:eastAsia="Times"/>
                <w:sz w:val="18"/>
                <w:szCs w:val="18"/>
              </w:rPr>
              <w:t xml:space="preserve">2022-03: </w:t>
            </w:r>
            <w:r>
              <w:rPr>
                <w:rFonts w:ascii="Arial" w:hAnsi="Arial" w:cs="Arial"/>
                <w:color w:val="000000"/>
                <w:sz w:val="18"/>
                <w:szCs w:val="18"/>
                <w:shd w:val="clear" w:color="auto" w:fill="FFFFFF"/>
              </w:rPr>
              <w:t xml:space="preserve"> IC approved draft specification for consultation </w:t>
            </w:r>
          </w:p>
          <w:p w14:paraId="1EECB8C3" w14:textId="77777777">
            <w:pPr>
              <w:spacing w:after="60"/>
              <w:rPr>
                <w:rFonts w:ascii="Arial" w:hAnsi="Arial" w:eastAsia="Times"/>
                <w:sz w:val="18"/>
                <w:szCs w:val="18"/>
              </w:rPr>
            </w:pPr>
            <w:r>
              <w:rPr>
                <w:rStyle w:val="PleaseReviewParagraphId"/>
                <w:b w:val="off"/>
                <w:i w:val="off"/>
              </w:rPr>
              <w:t>[18]</w:t>
            </w:r>
            <w:r>
              <w:rPr>
                <w:rFonts w:ascii="Arial" w:hAnsi="Arial" w:eastAsia="Times"/>
                <w:sz w:val="18"/>
                <w:szCs w:val="18"/>
              </w:rPr>
              <w:t>2022-04: CPM 16 noted this topic to ICD LOT; priority 1</w:t>
            </w:r>
          </w:p>
        </w:tc>
      </w:tr>
      <w:tr w14:paraId="28B5D08F" w14:textId="77777777">
        <w:trPr>
          <w:trHeight w:val="491"/>
          <w:jc w:val="center"/>
        </w:trPr>
        <w:tc>
          <w:tcPr>
            <w:tcW w:w="2271" w:type="dxa"/>
          </w:tcPr>
          <w:p w14:paraId="067A8451" w14:textId="77777777">
            <w:pPr>
              <w:spacing w:before="60" w:after="60"/>
              <w:rPr>
                <w:rFonts w:ascii="Arial" w:hAnsi="Arial" w:eastAsia="Times"/>
                <w:b/>
                <w:bCs/>
                <w:sz w:val="18"/>
                <w:szCs w:val="18"/>
              </w:rPr>
            </w:pPr>
            <w:r>
              <w:rPr>
                <w:rStyle w:val="PleaseReviewParagraphId"/>
                <w:b w:val="off"/>
                <w:i w:val="off"/>
              </w:rPr>
              <w:t>[19]</w:t>
            </w:r>
            <w:r>
              <w:rPr>
                <w:rFonts w:ascii="Arial" w:hAnsi="Arial" w:eastAsia="Times"/>
                <w:b/>
                <w:bCs/>
                <w:sz w:val="18"/>
                <w:szCs w:val="18"/>
              </w:rPr>
              <w:t xml:space="preserve">Implementation </w:t>
            </w:r>
            <w:r>
              <w:t xml:space="preserve"> </w:t>
            </w:r>
            <w:r>
              <w:rPr>
                <w:rFonts w:ascii="Arial" w:hAnsi="Arial" w:eastAsia="Times"/>
                <w:b/>
                <w:bCs/>
                <w:sz w:val="18"/>
                <w:szCs w:val="18"/>
              </w:rPr>
              <w:t>and Capacity Development Committee (IC) leads</w:t>
            </w:r>
          </w:p>
        </w:tc>
        <w:tc>
          <w:tcPr>
            <w:tcW w:w="6749" w:type="dxa"/>
          </w:tcPr>
          <w:p w14:paraId="2532CB81" w14:textId="77777777">
            <w:pPr>
              <w:spacing w:before="60" w:after="60"/>
              <w:rPr>
                <w:rFonts w:ascii="Arial" w:hAnsi="Arial" w:eastAsia="Times"/>
                <w:sz w:val="18"/>
                <w:szCs w:val="18"/>
              </w:rPr>
            </w:pPr>
            <w:r>
              <w:rPr>
                <w:rStyle w:val="PleaseReviewParagraphId"/>
                <w:b w:val="off"/>
                <w:i w:val="off"/>
              </w:rPr>
              <w:t>[20]</w:t>
            </w:r>
            <w:r>
              <w:rPr>
                <w:rFonts w:ascii="Arial" w:hAnsi="Arial" w:eastAsia="Times"/>
                <w:sz w:val="18"/>
                <w:szCs w:val="18"/>
              </w:rPr>
              <w:t xml:space="preserve">2022-04: IC VM-19, Magda Gonzalez Arroyo, Costa Rica (IC lead) </w:t>
            </w:r>
          </w:p>
        </w:tc>
      </w:tr>
      <w:tr w14:paraId="1BD5A13E" w14:textId="77777777">
        <w:trPr>
          <w:trHeight w:val="491"/>
          <w:jc w:val="center"/>
        </w:trPr>
        <w:tc>
          <w:tcPr>
            <w:tcW w:w="2271" w:type="dxa"/>
          </w:tcPr>
          <w:p w14:paraId="620EB65E"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IPPC Secretariat lead</w:t>
            </w:r>
          </w:p>
        </w:tc>
        <w:tc>
          <w:tcPr>
            <w:tcW w:w="6749" w:type="dxa"/>
          </w:tcPr>
          <w:p w14:paraId="69772BBB"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2021-11: Qingpo YANG</w:t>
            </w:r>
          </w:p>
        </w:tc>
      </w:tr>
      <w:tr w14:paraId="5EB582D0" w14:textId="77777777">
        <w:trPr>
          <w:trHeight w:val="491"/>
          <w:jc w:val="center"/>
        </w:trPr>
        <w:tc>
          <w:tcPr>
            <w:tcW w:w="2271" w:type="dxa"/>
            <w:tcBorders>
              <w:bottom w:val="single" w:color="7F7F7F" w:themeColor="text1" w:themeTint="80" w:sz="2" w:space="0"/>
            </w:tcBorders>
          </w:tcPr>
          <w:p w14:paraId="6D97881C"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694D8A0A" w14:textId="77777777">
            <w:pPr>
              <w:spacing w:before="60" w:after="60"/>
              <w:rPr>
                <w:rFonts w:ascii="Arial" w:hAnsi="Arial" w:eastAsia="Times"/>
                <w:sz w:val="18"/>
                <w:szCs w:val="18"/>
              </w:rPr>
            </w:pPr>
            <w:r>
              <w:rPr>
                <w:rStyle w:val="PleaseReviewParagraphId"/>
                <w:b w:val="off"/>
                <w:i w:val="off"/>
              </w:rPr>
              <w:t>[24]</w:t>
            </w:r>
          </w:p>
        </w:tc>
      </w:tr>
      <w:tr w14:paraId="2C20E0E9" w14:textId="77777777">
        <w:trPr>
          <w:trHeight w:val="491"/>
          <w:jc w:val="center"/>
        </w:trPr>
        <w:tc>
          <w:tcPr>
            <w:tcW w:w="2271" w:type="dxa"/>
            <w:tcBorders>
              <w:bottom w:val="single" w:color="auto" w:sz="4" w:space="0"/>
            </w:tcBorders>
          </w:tcPr>
          <w:p w14:paraId="746855F4"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Notes</w:t>
            </w:r>
          </w:p>
        </w:tc>
        <w:tc>
          <w:tcPr>
            <w:tcW w:w="6749" w:type="dxa"/>
            <w:tcBorders>
              <w:bottom w:val="single" w:color="auto" w:sz="4" w:space="0"/>
            </w:tcBorders>
          </w:tcPr>
          <w:p w14:paraId="61B65D29" w14:textId="77777777">
            <w:pPr>
              <w:spacing w:after="180"/>
              <w:rPr>
                <w:rFonts w:ascii="Arial" w:hAnsi="Arial" w:eastAsia="Times"/>
                <w:sz w:val="18"/>
                <w:szCs w:val="18"/>
              </w:rPr>
            </w:pPr>
            <w:r>
              <w:rPr>
                <w:rStyle w:val="PleaseReviewParagraphId"/>
                <w:b w:val="off"/>
                <w:i w:val="off"/>
              </w:rPr>
              <w:t>[26]</w:t>
            </w:r>
          </w:p>
        </w:tc>
      </w:tr>
    </w:tbl>
    <w:p w14:paraId="232BC088" w14:textId="1CB626C0">
      <w:r>
        <w:rPr>
          <w:rStyle w:val="PleaseReviewParagraphId"/>
          <w:b w:val="off"/>
          <w:i w:val="off"/>
        </w:rPr>
        <w:t>[27]</w:t>
      </w:r>
      <w:r>
        <w:br w:type="page"/>
      </w:r>
    </w:p>
    <w:p w14:paraId="10A0F2EE" w14:textId="0AD4AE35">
      <w:pPr>
        <w:pStyle w:val="IPPHeading1"/>
      </w:pPr>
      <w:r>
        <w:rPr>
          <w:rStyle w:val="PleaseReviewParagraphId"/>
          <w:b w:val="off"/>
          <w:i w:val="off"/>
        </w:rPr>
        <w:t>[28]</w:t>
      </w:r>
      <w:r>
        <w:lastRenderedPageBreak/>
        <w:t xml:space="preserve">1. </w:t>
        <w:tab/>
        <w:t>Título </w:t>
      </w:r>
    </w:p>
    <w:p w14:paraId="09944C5C" w14:textId="0E9958B1">
      <w:pPr>
        <w:pStyle w:val="IPPNormal"/>
      </w:pPr>
      <w:r>
        <w:rPr>
          <w:rStyle w:val="PleaseReviewParagraphId"/>
          <w:b w:val="off"/>
          <w:i w:val="off"/>
        </w:rPr>
        <w:t>[29]</w:t>
      </w:r>
      <w:r>
        <w:t>Revisión de la guía sobre Obligaciones Nacionales de Presentación de Informes (2021-026).</w:t>
      </w:r>
    </w:p>
    <w:p w14:paraId="19422C3B" w14:textId="1C2BEBAA">
      <w:pPr>
        <w:pStyle w:val="IPPHeading1"/>
      </w:pPr>
      <w:r>
        <w:rPr>
          <w:rStyle w:val="PleaseReviewParagraphId"/>
          <w:b w:val="off"/>
          <w:i w:val="off"/>
        </w:rPr>
        <w:t>[30]</w:t>
      </w:r>
      <w:r>
        <w:t xml:space="preserve">2. </w:t>
        <w:tab/>
        <w:t>Tipo de recurso para la aplicación </w:t>
      </w:r>
    </w:p>
    <w:p w14:paraId="1AA79FDD" w14:textId="34A42503">
      <w:pPr>
        <w:pStyle w:val="IPPNormal"/>
      </w:pPr>
      <w:r>
        <w:rPr>
          <w:rStyle w:val="PleaseReviewParagraphId"/>
          <w:b w:val="off"/>
          <w:i w:val="off"/>
        </w:rPr>
        <w:t>[31]</w:t>
      </w:r>
      <w:r>
        <w:t>Revisión de una guía existente de la Convención Internacional de Protección Fitosanitaria (CIPF) </w:t>
      </w:r>
    </w:p>
    <w:p w14:paraId="2BAC9F41" w14:textId="465F7C5E">
      <w:pPr>
        <w:pStyle w:val="IPPHeading1"/>
      </w:pPr>
      <w:r>
        <w:rPr>
          <w:rStyle w:val="PleaseReviewParagraphId"/>
          <w:b w:val="off"/>
          <w:i w:val="off"/>
        </w:rPr>
        <w:t>[32]</w:t>
      </w:r>
      <w:r>
        <w:t xml:space="preserve">3. </w:t>
        <w:tab/>
        <w:t>Artículos de la Convención, normas internacionales para medidas fitosanitarias (NIMF) y recomendaciones de la Comisión de Medidas Fitosanitarias (CMF) que se abordarán mediante el recurso para la aplicación propuesto </w:t>
      </w:r>
    </w:p>
    <w:p w14:paraId="18663C69" w14:textId="6AF34AAC">
      <w:pPr>
        <w:pStyle w:val="IPPNormal"/>
      </w:pPr>
      <w:r>
        <w:rPr>
          <w:rStyle w:val="PleaseReviewParagraphId"/>
          <w:b w:val="off"/>
          <w:i w:val="off"/>
        </w:rPr>
        <w:t>[33]</w:t>
      </w:r>
      <w:r>
        <w:t>CIPF (artículos IV.2 b], IV.4, VII.2 b], VII.2 c], VII.2 d], VII.2 f], VII.2 i], VII.2 j], VII.6, VIII.1 c] y VIII.2, en particular)</w:t>
      </w:r>
    </w:p>
    <w:p w14:paraId="133957CD" w14:textId="3FF83113">
      <w:pPr>
        <w:pStyle w:val="IPPNormal"/>
      </w:pPr>
      <w:r>
        <w:rPr>
          <w:rStyle w:val="PleaseReviewParagraphId"/>
          <w:b w:val="off"/>
          <w:i w:val="off"/>
        </w:rPr>
        <w:t>[34]</w:t>
      </w:r>
      <w:r>
        <w:t>NIMF 8: </w:t>
      </w:r>
      <w:r>
        <w:rPr>
          <w:i/>
        </w:rPr>
        <w:t xml:space="preserve">Determinación de la condición de una plaga en un área </w:t>
      </w:r>
    </w:p>
    <w:p w14:paraId="19E9FE8F" w14:textId="17CF2808">
      <w:pPr>
        <w:pStyle w:val="IPPNormal"/>
      </w:pPr>
      <w:r>
        <w:rPr>
          <w:rStyle w:val="PleaseReviewParagraphId"/>
          <w:b w:val="off"/>
          <w:i w:val="off"/>
        </w:rPr>
        <w:t>[35]</w:t>
      </w:r>
      <w:r>
        <w:t>NIMF 13: </w:t>
      </w:r>
      <w:r>
        <w:rPr>
          <w:i/>
        </w:rPr>
        <w:t>Directrices para la notificación del incumplimiento y acción de emergencia</w:t>
      </w:r>
      <w:r>
        <w:t xml:space="preserve"> </w:t>
      </w:r>
    </w:p>
    <w:p w14:paraId="40D7786F" w14:textId="4EFC3BE8">
      <w:pPr>
        <w:pStyle w:val="IPPNormal"/>
      </w:pPr>
      <w:r>
        <w:rPr>
          <w:rStyle w:val="PleaseReviewParagraphId"/>
          <w:b w:val="off"/>
          <w:i w:val="off"/>
        </w:rPr>
        <w:t>[36]</w:t>
      </w:r>
      <w:r>
        <w:t>NIMF 17:</w:t>
      </w:r>
      <w:r>
        <w:rPr>
          <w:i/>
        </w:rPr>
        <w:t> Notificación de plagas</w:t>
      </w:r>
    </w:p>
    <w:p w14:paraId="253414EA" w14:textId="0AD59F51">
      <w:pPr>
        <w:pStyle w:val="IPPHeading1"/>
      </w:pPr>
      <w:r>
        <w:rPr>
          <w:rStyle w:val="PleaseReviewParagraphId"/>
          <w:b w:val="off"/>
          <w:i w:val="off"/>
        </w:rPr>
        <w:t>[37]</w:t>
      </w:r>
      <w:r>
        <w:t xml:space="preserve">4. </w:t>
        <w:tab/>
        <w:t xml:space="preserve">Ámbito de aplicación </w:t>
      </w:r>
    </w:p>
    <w:p w14:paraId="5A131FA3" w14:textId="117E56B8">
      <w:pPr>
        <w:pStyle w:val="IPPNormal"/>
      </w:pPr>
      <w:r>
        <w:rPr>
          <w:rStyle w:val="PleaseReviewParagraphId"/>
          <w:b w:val="off"/>
          <w:i w:val="off"/>
        </w:rPr>
        <w:t>[38]</w:t>
      </w:r>
      <w:r>
        <w:t>La guía sobre las ONPI tiene la finalidad de ayudar a las partes contratantes de la CIPF a cumplir las obligaciones de presentación de informes establecidas en la Convención. La guía brinda orientación específica a los puntos de contacto y editores nacionales de la CIPF, junto con instrucciones técnicas para interactuar con el Portal Fitosanitario Internacional (PFI).La revisión permitirá modernizar la guía y la armonizaá con las NIMF revisadas o recientemente  adoptadas, así como con las últimas decisiones de la CMF, el Comité de Aplicación y Desarrollo de la Capacidad (CADC) y el equipo del CADC sobre las ONPI. </w:t>
      </w:r>
    </w:p>
    <w:p w14:paraId="2AB186C2" w14:textId="50BDE0A8">
      <w:pPr>
        <w:pStyle w:val="IPPHeading1"/>
      </w:pPr>
      <w:r>
        <w:rPr>
          <w:rStyle w:val="PleaseReviewParagraphId"/>
          <w:b w:val="off"/>
          <w:i w:val="off"/>
        </w:rPr>
        <w:t>[39]</w:t>
      </w:r>
      <w:r>
        <w:t xml:space="preserve">5. </w:t>
        <w:tab/>
        <w:t>Propósito</w:t>
      </w:r>
    </w:p>
    <w:p w14:paraId="778B9272" w14:textId="36D18D89">
      <w:pPr>
        <w:pStyle w:val="IPPNormal"/>
      </w:pPr>
      <w:r>
        <w:rPr>
          <w:rStyle w:val="PleaseReviewParagraphId"/>
          <w:b w:val="off"/>
          <w:i w:val="off"/>
        </w:rPr>
        <w:t>[40]</w:t>
      </w:r>
      <w:r>
        <w:t>La guía de las ONPI se creó sobre la base de los procedimientos generales y específicos de la CIPF relativos a las ONPI. Los procedimientos generales combinan las decisiones relativas a las ONPI adoptadas por la CMF en años anteriores y nueva orientación basada en el asesoramiento brindado por el Grupo asesor sobre las obligaciones de presentación de informes nacionales. Los procedimientos específicos describen detalladamente las disposiciones relativas a las ONPI establecidas en el texto de la Convención y ofrecen otros procedimientos acordados por la CMF respecto de los casos en que la experiencia ha mostrado la necesidad de aportar mayor claridad y llenar vacíos cuando la Convención no proporciona orientación adecuada.</w:t>
      </w:r>
    </w:p>
    <w:p w14:paraId="407E14AD" w14:textId="7F59CE3A">
      <w:pPr>
        <w:pStyle w:val="IPPNormal"/>
      </w:pPr>
      <w:r>
        <w:rPr>
          <w:rStyle w:val="PleaseReviewParagraphId"/>
          <w:b w:val="off"/>
          <w:i w:val="off"/>
        </w:rPr>
        <w:t>[41]</w:t>
      </w:r>
      <w:r>
        <w:t>La guía de las ONPI se elaboró para describir los procedimientos que deberían seguir las partes contratantes y para proporcionarles orientación sobre la utilización del PFI para cumplir sus obligaciones de presentación de informes. Desde que la guía se revisó por última vez en 2016, se han producido varios cambios importantes en relación con la forma en que las partes contratantes cumplen sus obligaciones de presentación de informes. La guía de las ONPI debería actualizarse para reflejar la revisión de la NIMF 8 (</w:t>
      </w:r>
      <w:r>
        <w:rPr>
          <w:i/>
          <w:iCs/>
        </w:rPr>
        <w:t>Determinación de la condición de una plaga en un área</w:t>
      </w:r>
      <w:r>
        <w:t>) y decisiones y recomendaciones recientes de la CMF, el CADC y el equipo del CADC sobre las ONPI.</w:t>
      </w:r>
    </w:p>
    <w:p w14:paraId="3FEC1507" w14:textId="3FC94A49">
      <w:pPr>
        <w:pStyle w:val="IPPHeading1"/>
        <w:keepLines/>
      </w:pPr>
      <w:r>
        <w:rPr>
          <w:rStyle w:val="PleaseReviewParagraphId"/>
          <w:b w:val="off"/>
          <w:i w:val="off"/>
        </w:rPr>
        <w:t>[42]</w:t>
      </w:r>
      <w:r>
        <w:t xml:space="preserve">6. </w:t>
        <w:tab/>
        <w:t>Contenido del recurso para la aplicación propuesto </w:t>
      </w:r>
    </w:p>
    <w:p w14:paraId="5EEF81C3" w14:textId="4DDED8B7">
      <w:pPr>
        <w:pStyle w:val="IPPNormal"/>
        <w:keepNext/>
        <w:keepLines/>
      </w:pPr>
      <w:r>
        <w:rPr>
          <w:rStyle w:val="PleaseReviewParagraphId"/>
          <w:b w:val="off"/>
          <w:i w:val="off"/>
        </w:rPr>
        <w:t>[43]</w:t>
      </w:r>
      <w:r>
        <w:t>El Grupo de trabajo debería examinar la guía de las ONPI (2016) y hacer las revisiones necesarias a fin de: </w:t>
      </w:r>
    </w:p>
    <w:p w14:paraId="2551F5FA" w14:textId="4C7C241C">
      <w:pPr>
        <w:pStyle w:val="IPPBullet1"/>
        <w:keepNext/>
        <w:keepLines/>
      </w:pPr>
      <w:r>
        <w:rPr>
          <w:rStyle w:val="PleaseReviewParagraphId"/>
          <w:b w:val="off"/>
          <w:i w:val="off"/>
        </w:rPr>
        <w:t>[44]</w:t>
      </w:r>
      <w:r>
        <w:t>actualizar la descripción de los procedimientos para presentar los informes relacionados con las ONPI; </w:t>
      </w:r>
    </w:p>
    <w:p w14:paraId="54562D05" w14:textId="275CD572">
      <w:pPr>
        <w:pStyle w:val="IPPBullet1"/>
      </w:pPr>
      <w:r>
        <w:rPr>
          <w:rStyle w:val="PleaseReviewParagraphId"/>
          <w:b w:val="off"/>
          <w:i w:val="off"/>
        </w:rPr>
        <w:t>[45]</w:t>
      </w:r>
      <w:r>
        <w:t xml:space="preserve">actualizar las instrucciones técnicas para presentar y eliminar los informes relacionados con las ONPI a través del PFI; </w:t>
      </w:r>
    </w:p>
    <w:p w14:paraId="0909F14F" w14:textId="76B1A95B">
      <w:pPr>
        <w:pStyle w:val="IPPBullet1"/>
      </w:pPr>
      <w:r>
        <w:rPr>
          <w:rStyle w:val="PleaseReviewParagraphId"/>
          <w:b w:val="off"/>
          <w:i w:val="off"/>
        </w:rPr>
        <w:t>[46]</w:t>
      </w:r>
      <w:r>
        <w:lastRenderedPageBreak/>
        <w:t>actualizar las instrucciones para utilizar la página web del PFI dedicada a las ONPI;</w:t>
      </w:r>
    </w:p>
    <w:p w14:paraId="5D7B2B08" w14:textId="6AFE6750">
      <w:pPr>
        <w:pStyle w:val="IPPBullet1"/>
      </w:pPr>
      <w:r>
        <w:rPr>
          <w:rStyle w:val="PleaseReviewParagraphId"/>
          <w:b w:val="off"/>
          <w:i w:val="off"/>
        </w:rPr>
        <w:t>[47]</w:t>
      </w:r>
      <w:r>
        <w:t>brindar orientación sobre el formato que se deberá utilizar para elaborar las listas de plagas reglamentadas;  </w:t>
      </w:r>
    </w:p>
    <w:p w14:paraId="592EA8BF" w14:textId="198BDB7C">
      <w:pPr>
        <w:pStyle w:val="IPPBullet1"/>
      </w:pPr>
      <w:r>
        <w:rPr>
          <w:rStyle w:val="PleaseReviewParagraphId"/>
          <w:b w:val="off"/>
          <w:i w:val="off"/>
        </w:rPr>
        <w:t>[48]</w:t>
      </w:r>
      <w:r>
        <w:t>considerar las revisiones realizadas en la NIMF 8 (</w:t>
      </w:r>
      <w:r>
        <w:rPr>
          <w:i/>
          <w:iCs/>
        </w:rPr>
        <w:t>Determinación de la condición de una plaga en un área</w:t>
      </w:r>
      <w:r>
        <w:t>);</w:t>
      </w:r>
    </w:p>
    <w:p w14:paraId="6E0C953B" w14:textId="4238456A">
      <w:pPr>
        <w:pStyle w:val="IPPBullet1"/>
      </w:pPr>
      <w:r>
        <w:rPr>
          <w:rStyle w:val="PleaseReviewParagraphId"/>
          <w:b w:val="off"/>
          <w:i w:val="off"/>
        </w:rPr>
        <w:t>[49]</w:t>
      </w:r>
      <w:r>
        <w:t xml:space="preserve">considerar los recursos técnicos pertinentes publicados desde 2016, como la </w:t>
      </w:r>
      <w:r>
        <w:rPr>
          <w:i/>
          <w:iCs/>
        </w:rPr>
        <w:t>Guía sobre la situación de una plaga</w:t>
      </w:r>
      <w:r>
        <w:t xml:space="preserve"> (2021) y la guía </w:t>
      </w:r>
      <w:r>
        <w:rPr>
          <w:i/>
          <w:iCs/>
        </w:rPr>
        <w:t>Vigilancia fitosanitaria</w:t>
      </w:r>
      <w:r>
        <w:t xml:space="preserve"> (2021); </w:t>
      </w:r>
    </w:p>
    <w:p w14:paraId="73C5DD36" w14:textId="256FD760">
      <w:pPr>
        <w:pStyle w:val="IPPBullet1"/>
      </w:pPr>
      <w:r>
        <w:rPr>
          <w:rStyle w:val="PleaseReviewParagraphId"/>
          <w:b w:val="off"/>
          <w:i w:val="off"/>
        </w:rPr>
        <w:t>[50]</w:t>
      </w:r>
      <w:r>
        <w:t>considerar las recomendaciones pertinentes formuladas por la CMF en su 16.ª reunión, el CADC (17.ª reunión virtual) y el equipo del CADC sobre las ONPI;</w:t>
      </w:r>
    </w:p>
    <w:p w14:paraId="08C4464C" w14:textId="202F9F8E">
      <w:pPr>
        <w:pStyle w:val="IPPBullet1"/>
      </w:pPr>
      <w:r>
        <w:rPr>
          <w:rStyle w:val="PleaseReviewParagraphId"/>
          <w:b w:val="off"/>
          <w:i w:val="off"/>
        </w:rPr>
        <w:t>[51]</w:t>
      </w:r>
      <w:r>
        <w:t>Revisar la descripción de los detalles de las ONPI; </w:t>
      </w:r>
    </w:p>
    <w:p w14:paraId="6CC997D1" w14:textId="1385FCC8">
      <w:pPr>
        <w:pStyle w:val="IPPBullet1"/>
      </w:pPr>
      <w:r>
        <w:rPr>
          <w:rStyle w:val="PleaseReviewParagraphId"/>
          <w:b w:val="off"/>
          <w:i w:val="off"/>
        </w:rPr>
        <w:t>[52]</w:t>
      </w:r>
      <w:r>
        <w:t xml:space="preserve">describir la importancia y los beneficios de cumplir con las ONPI.7. </w:t>
        <w:tab/>
        <w:t xml:space="preserve">Contribuciones financieras y en especie </w:t>
      </w:r>
    </w:p>
    <w:p w14:paraId="163F3450" w14:textId="7222DBB0">
      <w:pPr>
        <w:pStyle w:val="IPPHeading1"/>
      </w:pPr>
      <w:r>
        <w:rPr>
          <w:rStyle w:val="PleaseReviewParagraphId"/>
          <w:b w:val="off"/>
          <w:i w:val="off"/>
        </w:rPr>
        <w:t>[53]</w:t>
      </w:r>
      <w:r>
        <w:t xml:space="preserve">7. </w:t>
        <w:tab/>
        <w:t>Contribuciones financieras y en especie</w:t>
      </w:r>
    </w:p>
    <w:p w14:paraId="576F6C7B" w14:textId="292238CE">
      <w:pPr>
        <w:spacing w:before="240" w:after="120" w:line="276" w:lineRule="auto"/>
        <w:rPr>
          <w:rStyle w:val="eop"/>
          <w:rFonts w:cs="Times New Roman"/>
          <w:color w:val="000000"/>
          <w:shd w:val="clear" w:color="auto" w:fill="FFFFFF"/>
        </w:rPr>
      </w:pPr>
      <w:r>
        <w:rPr>
          <w:rStyle w:val="PleaseReviewParagraphId"/>
          <w:b w:val="off"/>
          <w:i w:val="off"/>
        </w:rPr>
        <w:t>[54]</w:t>
      </w:r>
      <w:r>
        <w:rPr>
          <w:rStyle w:val="normaltextrun"/>
          <w:color w:val="000000"/>
          <w:shd w:val="clear" w:color="auto" w:fill="FFFFFF"/>
        </w:rPr>
        <w:t>Se alienta a las partes contratantes a señalar las contribuciones financieras o en especie que se proporcionarán para respaldar la elaboración de esta guía o facilitar la traducción del producto final.</w:t>
      </w:r>
    </w:p>
    <w:p w14:paraId="08551120" w14:textId="04D18C0D">
      <w:pPr>
        <w:pStyle w:val="IPPHeading1"/>
      </w:pPr>
      <w:r>
        <w:rPr>
          <w:rStyle w:val="PleaseReviewParagraphId"/>
          <w:b w:val="off"/>
          <w:i w:val="off"/>
        </w:rPr>
        <w:t>[55]</w:t>
      </w:r>
      <w:r>
        <w:t xml:space="preserve">8. </w:t>
        <w:tab/>
        <w:t>Criterios de selección de los expertos del grupo de trabajo</w:t>
      </w:r>
    </w:p>
    <w:p w14:paraId="4FCA43E7" w14:textId="0EDEF9D4">
      <w:pPr>
        <w:pStyle w:val="IPPNormal"/>
      </w:pPr>
      <w:r>
        <w:rPr>
          <w:rStyle w:val="PleaseReviewParagraphId"/>
          <w:b w:val="off"/>
          <w:i w:val="off"/>
        </w:rPr>
        <w:t>[56]</w:t>
      </w:r>
      <w:r>
        <w:t>La Secretaría de la CIPF y el CACD respaldan la equidad, la diversidad y la inclusión y alientan a todos los expertos interesados a presentar sus candidaturas para participar en el grupo de trabajo que se encargará de elaborar esta guía de la CIPF.</w:t>
      </w:r>
    </w:p>
    <w:p w14:paraId="57BE57B8" w14:textId="2853B18C">
      <w:pPr>
        <w:pStyle w:val="IPPNormal"/>
      </w:pPr>
      <w:r>
        <w:rPr>
          <w:rStyle w:val="PleaseReviewParagraphId"/>
          <w:b w:val="off"/>
          <w:i w:val="off"/>
        </w:rPr>
        <w:t>[57]</w:t>
      </w:r>
      <w:r>
        <w:t>Los miembros del grupo de trabajo se seleccionarán en función de sus conocimientos técnicos y prácticos en la materia. En la selección de los expertos se tendrá en cuenta también la representación geográfica de países tanto en desarrollo como desarrollados para velar por que el material elaborado sea aplicable a nivel mundial y refleje las mejores prácticas de todo el mundo.</w:t>
      </w:r>
    </w:p>
    <w:p w14:paraId="3C38220F" w14:textId="77777777">
      <w:pPr>
        <w:pStyle w:val="IPPNormal"/>
      </w:pPr>
      <w:r>
        <w:rPr>
          <w:rStyle w:val="PleaseReviewParagraphId"/>
          <w:b w:val="off"/>
          <w:i w:val="off"/>
        </w:rPr>
        <w:t>[58]</w:t>
      </w:r>
      <w:r>
        <w:t>Para seleccionar a los miembros del grupo de trabajo se deberían utilizar los criterios siguientes: </w:t>
      </w:r>
    </w:p>
    <w:p w14:paraId="507F68B9" w14:textId="39008B82">
      <w:pPr>
        <w:pStyle w:val="IPPNumberedList"/>
      </w:pPr>
      <w:r>
        <w:rPr>
          <w:rStyle w:val="PleaseReviewParagraphId"/>
          <w:b w:val="off"/>
          <w:i w:val="off"/>
        </w:rPr>
        <w:t>[59]</w:t>
      </w:r>
      <w:r>
        <w:t>competencias prácticas y conocimientos sobre uno o varios de los siguientes ámbitos: </w:t>
      </w:r>
    </w:p>
    <w:p w14:paraId="42E161CA" w14:textId="6AFED56A">
      <w:pPr>
        <w:pStyle w:val="IPPBullet1"/>
      </w:pPr>
      <w:r>
        <w:rPr>
          <w:rStyle w:val="PleaseReviewParagraphId"/>
          <w:b w:val="off"/>
          <w:i w:val="off"/>
        </w:rPr>
        <w:t>[60]</w:t>
      </w:r>
      <w:r>
        <w:t>amplios conocimientos prácticos sobre la CIPF, sus objetivos, sus obligaciones de presentación de informes y las NIMF;   </w:t>
      </w:r>
    </w:p>
    <w:p w14:paraId="5B716164" w14:textId="3A29A72A">
      <w:pPr>
        <w:pStyle w:val="IPPBullet1"/>
      </w:pPr>
      <w:r>
        <w:rPr>
          <w:rStyle w:val="PleaseReviewParagraphId"/>
          <w:b w:val="off"/>
          <w:i w:val="off"/>
        </w:rPr>
        <w:t>[61]</w:t>
      </w:r>
      <w:r>
        <w:t>punto de contacto de la CIPF incluido el editor del PFI; </w:t>
      </w:r>
    </w:p>
    <w:p w14:paraId="27B21F75" w14:textId="16C2AE2F">
      <w:pPr>
        <w:pStyle w:val="IPPBullet1"/>
      </w:pPr>
      <w:r>
        <w:rPr>
          <w:rStyle w:val="PleaseReviewParagraphId"/>
          <w:b w:val="off"/>
          <w:i w:val="off"/>
        </w:rPr>
        <w:t>[62]</w:t>
      </w:r>
      <w:r>
        <w:t>trabajo con organizaciones nacionales o regionales de protección fitosanitaria;   </w:t>
      </w:r>
    </w:p>
    <w:p w14:paraId="776D9515" w14:textId="3A67D41F">
      <w:pPr>
        <w:pStyle w:val="IPPBullet1"/>
      </w:pPr>
      <w:r>
        <w:rPr>
          <w:rStyle w:val="PleaseReviewParagraphId"/>
          <w:b w:val="off"/>
          <w:i w:val="off"/>
        </w:rPr>
        <w:t>[63]</w:t>
      </w:r>
      <w:r>
        <w:t>requisitos fitosanitarios, restricciones y prohibiciones;   </w:t>
      </w:r>
    </w:p>
    <w:p w14:paraId="41FD2EB4" w14:textId="004D8EB1">
      <w:pPr>
        <w:pStyle w:val="IPPBullet1"/>
      </w:pPr>
      <w:r>
        <w:rPr>
          <w:rStyle w:val="PleaseReviewParagraphId"/>
          <w:b w:val="off"/>
          <w:i w:val="off"/>
        </w:rPr>
        <w:t>[64]</w:t>
      </w:r>
      <w:r>
        <w:t>notificación de plagas;   </w:t>
      </w:r>
    </w:p>
    <w:p w14:paraId="28F594C5" w14:textId="1A745E40">
      <w:pPr>
        <w:pStyle w:val="IPPBullet1"/>
      </w:pPr>
      <w:r>
        <w:rPr>
          <w:rStyle w:val="PleaseReviewParagraphId"/>
          <w:b w:val="off"/>
          <w:i w:val="off"/>
        </w:rPr>
        <w:t>[65]</w:t>
      </w:r>
      <w:r>
        <w:t>plagas reglamentadas;  </w:t>
      </w:r>
    </w:p>
    <w:p w14:paraId="70591A30" w14:textId="00283604">
      <w:pPr>
        <w:pStyle w:val="IPPBullet1"/>
      </w:pPr>
      <w:r>
        <w:rPr>
          <w:rStyle w:val="PleaseReviewParagraphId"/>
          <w:b w:val="off"/>
          <w:i w:val="off"/>
        </w:rPr>
        <w:t>[66]</w:t>
      </w:r>
      <w:r>
        <w:t>incumplimiento de la certificación fitosanitaria;   </w:t>
      </w:r>
    </w:p>
    <w:p w14:paraId="254E8E5D" w14:textId="6C77FFD1">
      <w:pPr>
        <w:pStyle w:val="IPPBullet1"/>
      </w:pPr>
      <w:r>
        <w:rPr>
          <w:rStyle w:val="PleaseReviewParagraphId"/>
          <w:b w:val="off"/>
          <w:i w:val="off"/>
        </w:rPr>
        <w:t>[67]</w:t>
      </w:r>
      <w:r>
        <w:t>sistemas de ONPI;  </w:t>
      </w:r>
    </w:p>
    <w:p w14:paraId="448414E3" w14:textId="7D507405">
      <w:pPr>
        <w:pStyle w:val="IPPNumberedList"/>
      </w:pPr>
      <w:r>
        <w:rPr>
          <w:rStyle w:val="PleaseReviewParagraphId"/>
          <w:b w:val="off"/>
          <w:i w:val="off"/>
        </w:rPr>
        <w:t>[68]</w:t>
      </w:r>
      <w:r>
        <w:t>excelente conocimiento práctico del inglés y capacidad de formular ideas y escribir con claridad en este idioma. </w:t>
      </w:r>
    </w:p>
    <w:p w14:paraId="51B8410D" w14:textId="127FDB8E">
      <w:pPr>
        <w:pStyle w:val="IPPHeading1"/>
      </w:pPr>
      <w:r>
        <w:rPr>
          <w:rStyle w:val="PleaseReviewParagraphId"/>
          <w:b w:val="off"/>
          <w:i w:val="off"/>
        </w:rPr>
        <w:t>[69]</w:t>
      </w:r>
      <w:r>
        <w:t xml:space="preserve">9. </w:t>
        <w:tab/>
        <w:t xml:space="preserve">Referencias </w:t>
      </w:r>
    </w:p>
    <w:p w14:paraId="24A48390" w14:textId="12D11119">
      <w:pPr>
        <w:pStyle w:val="IPPNormal"/>
        <w:jc w:val="left"/>
      </w:pPr>
      <w:r>
        <w:rPr>
          <w:rStyle w:val="PleaseReviewParagraphId"/>
          <w:b w:val="off"/>
          <w:i w:val="off"/>
        </w:rPr>
        <w:t>[70]</w:t>
      </w:r>
      <w:r>
        <w:rPr>
          <w:b/>
        </w:rPr>
        <w:t>NIMF 5.</w:t>
      </w:r>
      <w:r>
        <w:t> </w:t>
      </w:r>
      <w:r>
        <w:rPr>
          <w:i/>
        </w:rPr>
        <w:t xml:space="preserve">Glosario de términos fitosanitarios. </w:t>
      </w:r>
      <w:r>
        <w:t xml:space="preserve">Roma, Secretaría de la CIPF, FAO. </w:t>
      </w:r>
      <w:hyperlink w:tgtFrame="_blank" w:history="1" r:id="rId11">
        <w:r>
          <w:rPr>
            <w:rStyle w:val="Hyperlink"/>
          </w:rPr>
          <w:t>https://www.ippc.int/es/publications/622/</w:t>
        </w:r>
      </w:hyperlink>
      <w:r>
        <w:t>.    </w:t>
      </w:r>
    </w:p>
    <w:p w14:paraId="0E2D89CB" w14:textId="7AF86E6C">
      <w:pPr>
        <w:pStyle w:val="IPPNormal"/>
        <w:jc w:val="left"/>
      </w:pPr>
      <w:r>
        <w:rPr>
          <w:rStyle w:val="PleaseReviewParagraphId"/>
          <w:b w:val="off"/>
          <w:i w:val="off"/>
        </w:rPr>
        <w:t>[71]</w:t>
      </w:r>
      <w:r>
        <w:rPr>
          <w:b/>
        </w:rPr>
        <w:t>NIMF 8.</w:t>
      </w:r>
      <w:r>
        <w:t xml:space="preserve"> 2022. </w:t>
      </w:r>
      <w:r>
        <w:rPr>
          <w:i/>
        </w:rPr>
        <w:t>Determinación de la condición de una plaga en un área</w:t>
      </w:r>
      <w:r>
        <w:t>.</w:t>
      </w:r>
      <w:r>
        <w:rPr>
          <w:i/>
        </w:rPr>
        <w:t xml:space="preserve"> </w:t>
      </w:r>
      <w:r>
        <w:t xml:space="preserve">Roma, Secretaría de la CIPF, FAO. </w:t>
      </w:r>
      <w:hyperlink w:tgtFrame="_blank" w:history="1" r:id="rId12">
        <w:r>
          <w:rPr>
            <w:rStyle w:val="Hyperlink"/>
          </w:rPr>
          <w:t>https://www.ippc.int/es/publications/612/</w:t>
        </w:r>
      </w:hyperlink>
      <w:r>
        <w:t>.   </w:t>
      </w:r>
    </w:p>
    <w:p w14:paraId="040BE533" w14:textId="24364417">
      <w:pPr>
        <w:pStyle w:val="IPPNormal"/>
        <w:jc w:val="left"/>
      </w:pPr>
      <w:r>
        <w:rPr>
          <w:rStyle w:val="PleaseReviewParagraphId"/>
          <w:b w:val="off"/>
          <w:i w:val="off"/>
        </w:rPr>
        <w:t>[72]</w:t>
      </w:r>
      <w:r>
        <w:rPr>
          <w:b/>
        </w:rPr>
        <w:lastRenderedPageBreak/>
        <w:t>NIMF 13.</w:t>
      </w:r>
      <w:r>
        <w:t xml:space="preserve"> 2021. </w:t>
      </w:r>
      <w:r>
        <w:rPr>
          <w:i/>
        </w:rPr>
        <w:t>Directrices para la notificación del incumplimiento y acción de emergencia</w:t>
      </w:r>
      <w:r>
        <w:t>. Roma, Secretaría de la CIPF, FAO.  </w:t>
      </w:r>
      <w:hyperlink w:tgtFrame="_blank" w:history="1" r:id="rId13">
        <w:r>
          <w:rPr>
            <w:rStyle w:val="Hyperlink"/>
          </w:rPr>
          <w:t>https://www.ippc.int/es/publications/608/</w:t>
        </w:r>
      </w:hyperlink>
      <w:r>
        <w:t>.   </w:t>
      </w:r>
    </w:p>
    <w:p w14:paraId="6A710DDB" w14:textId="13EC88CC">
      <w:pPr>
        <w:pStyle w:val="IPPNormal"/>
        <w:jc w:val="left"/>
      </w:pPr>
      <w:r>
        <w:rPr>
          <w:rStyle w:val="PleaseReviewParagraphId"/>
          <w:b w:val="off"/>
          <w:i w:val="off"/>
        </w:rPr>
        <w:t>[73]</w:t>
      </w:r>
      <w:r>
        <w:rPr>
          <w:b/>
        </w:rPr>
        <w:t>NIMF 17.</w:t>
      </w:r>
      <w:r>
        <w:t xml:space="preserve"> 2021. </w:t>
      </w:r>
      <w:r>
        <w:rPr>
          <w:i/>
        </w:rPr>
        <w:t>Notificación de plagas</w:t>
      </w:r>
      <w:r>
        <w:t>.</w:t>
      </w:r>
      <w:r>
        <w:rPr>
          <w:i/>
        </w:rPr>
        <w:t xml:space="preserve"> </w:t>
      </w:r>
      <w:r>
        <w:t xml:space="preserve">Roma, Secretaría de la CIPF, FAO. </w:t>
      </w:r>
      <w:hyperlink w:tgtFrame="_blank" w:history="1" r:id="rId14">
        <w:r>
          <w:rPr>
            <w:rStyle w:val="Hyperlink"/>
          </w:rPr>
          <w:t>https://www.ippc.int/es/publications/606/</w:t>
        </w:r>
      </w:hyperlink>
      <w:r>
        <w:t xml:space="preserve">. </w:t>
      </w:r>
    </w:p>
    <w:p w14:paraId="053E9BF5" w14:textId="60712A96">
      <w:pPr>
        <w:pStyle w:val="IPPNormal"/>
        <w:keepNext/>
        <w:keepLines/>
        <w:jc w:val="left"/>
        <w:rPr>
          <w:rStyle w:val="Hyperlink"/>
          <w:rFonts w:eastAsia="Times New Roman" w:cs="Times New Roman"/>
          <w:szCs w:val="22"/>
        </w:rPr>
      </w:pPr>
      <w:r>
        <w:rPr>
          <w:rStyle w:val="PleaseReviewParagraphId"/>
          <w:b w:val="off"/>
          <w:i w:val="off"/>
        </w:rPr>
        <w:t>[74]</w:t>
      </w:r>
      <w:r>
        <w:rPr>
          <w:b/>
        </w:rPr>
        <w:t>Secretaría de la CIPF</w:t>
      </w:r>
      <w:r>
        <w:t xml:space="preserve">. 2022. Equipo del CADC sobre las ONPI. En: </w:t>
      </w:r>
      <w:r>
        <w:rPr>
          <w:i/>
        </w:rPr>
        <w:t>Convención Internacional de Protección Fitosanitaria</w:t>
      </w:r>
      <w:r>
        <w:t xml:space="preserve">. Roma, Secretaría de la CIPF, FAO. Consultado el 17 de marzo de 2022. </w:t>
      </w:r>
      <w:hyperlink w:tgtFrame="_blank" w:history="1" r:id="rId15">
        <w:r>
          <w:rPr>
            <w:rStyle w:val="Hyperlink"/>
          </w:rPr>
          <w:t>https://www.ippc.int/es/core-activities/capacity-development/capacity-development-committee/ic-sub-group/ic-team-for-national-reporting-obligations-nros/</w:t>
        </w:r>
      </w:hyperlink>
      <w:r>
        <w:t>.</w:t>
      </w:r>
    </w:p>
    <w:p w14:paraId="23829A78" w14:textId="65F864C4">
      <w:pPr>
        <w:pStyle w:val="IPPNormal"/>
        <w:jc w:val="left"/>
      </w:pPr>
      <w:r>
        <w:rPr>
          <w:rStyle w:val="PleaseReviewParagraphId"/>
          <w:b w:val="off"/>
          <w:i w:val="off"/>
        </w:rPr>
        <w:t>[75]</w:t>
      </w:r>
      <w:r>
        <w:rPr>
          <w:b/>
        </w:rPr>
        <w:t xml:space="preserve">Secretaría de la CIPF. </w:t>
      </w:r>
      <w:r>
        <w:t>2022. Curso de aprendizaje en línea sobre ONPI. En: Cursos de aprendizaje en línea de la Convención Internacional de Protección Fitosanitaria. Roma, Secretaría de la CIPF, FAO. Consultado el 17 de marzo de 2022.</w:t>
      </w:r>
      <w:r>
        <w:rPr>
          <w:i/>
        </w:rPr>
        <w:t> </w:t>
      </w:r>
      <w:hyperlink w:tgtFrame="_blank" w:history="1" r:id="rId16">
        <w:r>
          <w:rPr>
            <w:rStyle w:val="Hyperlink"/>
          </w:rPr>
          <w:t>https://www.ippc.int/es/e-learning/</w:t>
        </w:r>
      </w:hyperlink>
      <w:r>
        <w:t>.     </w:t>
      </w:r>
    </w:p>
    <w:p w14:paraId="3FDAC129" w14:textId="77777777">
      <w:pPr>
        <w:pStyle w:val="IPPNormal"/>
        <w:jc w:val="left"/>
      </w:pPr>
      <w:r>
        <w:rPr>
          <w:rStyle w:val="PleaseReviewParagraphId"/>
          <w:b w:val="off"/>
          <w:i w:val="off"/>
        </w:rPr>
        <w:t>[76]</w:t>
      </w:r>
      <w:r>
        <w:rPr>
          <w:b/>
        </w:rPr>
        <w:t xml:space="preserve">Secretaría de la CIPF. </w:t>
      </w:r>
      <w:r>
        <w:t>2021. </w:t>
      </w:r>
      <w:r>
        <w:rPr>
          <w:i/>
        </w:rPr>
        <w:t xml:space="preserve">Pest Status Guide: Understanding the principal requirements for pest status determination </w:t>
      </w:r>
      <w:r>
        <w:t xml:space="preserve">(Guía sobre la condición de una plaga: entender los principales requisitos para determinar la condición de una plaga). Roma, Secretaría de la CIPF, FAO. </w:t>
      </w:r>
      <w:hyperlink w:tgtFrame="_blank" w:history="1" r:id="rId17">
        <w:r>
          <w:rPr>
            <w:rStyle w:val="Hyperlink"/>
          </w:rPr>
          <w:t>https://www.fao.org/documents/card/es/c/cb6103en/</w:t>
        </w:r>
      </w:hyperlink>
      <w:r>
        <w:t>.   </w:t>
      </w:r>
    </w:p>
    <w:p w14:paraId="619C20B0" w14:textId="77777777">
      <w:pPr>
        <w:pStyle w:val="IPPNormal"/>
        <w:jc w:val="left"/>
      </w:pPr>
      <w:r>
        <w:rPr>
          <w:rStyle w:val="PleaseReviewParagraphId"/>
          <w:b w:val="off"/>
          <w:i w:val="off"/>
        </w:rPr>
        <w:t>[77]</w:t>
      </w:r>
      <w:r>
        <w:rPr>
          <w:b/>
        </w:rPr>
        <w:t xml:space="preserve">Secretaría de la CIPF. </w:t>
      </w:r>
      <w:r>
        <w:t xml:space="preserve">2021. Informe de la 17.ª reunión virtual del CADC (2021-11 IC VM17). Roma, Secretaría de la CIPF, FAO. </w:t>
      </w:r>
      <w:hyperlink w:history="1" r:id="rId18">
        <w:r>
          <w:rPr>
            <w:rStyle w:val="Hyperlink"/>
          </w:rPr>
          <w:t>https://www.ippc.int/es/publications/90774/</w:t>
        </w:r>
      </w:hyperlink>
      <w:r>
        <w:t xml:space="preserve">. </w:t>
      </w:r>
    </w:p>
    <w:p w14:paraId="0DFF65C8" w14:textId="77777777">
      <w:pPr>
        <w:pStyle w:val="IPPNormal"/>
        <w:jc w:val="left"/>
      </w:pPr>
      <w:r>
        <w:rPr>
          <w:rStyle w:val="PleaseReviewParagraphId"/>
          <w:b w:val="off"/>
          <w:i w:val="off"/>
        </w:rPr>
        <w:t>[78]</w:t>
      </w:r>
      <w:r>
        <w:rPr>
          <w:b/>
        </w:rPr>
        <w:t xml:space="preserve">Secretaría de la CIPF. </w:t>
      </w:r>
      <w:r>
        <w:t>2016.</w:t>
      </w:r>
      <w:r>
        <w:rPr>
          <w:b/>
        </w:rPr>
        <w:t xml:space="preserve"> </w:t>
      </w:r>
      <w:r>
        <w:rPr>
          <w:i/>
        </w:rPr>
        <w:t xml:space="preserve">La guía de las obligaciones de presentación de informes nacionales. </w:t>
      </w:r>
      <w:r>
        <w:rPr>
          <w:i/>
          <w:iCs/>
        </w:rPr>
        <w:t>Para los puntos de contacto oficiales de la CIPF y los editores del PFI</w:t>
      </w:r>
      <w:r>
        <w:t xml:space="preserve"> (versión 1.1). Roma, Secretaría de la CIPF, FAO. </w:t>
      </w:r>
      <w:hyperlink w:tgtFrame="_blank" w:history="1" r:id="rId19">
        <w:r>
          <w:rPr>
            <w:rStyle w:val="Hyperlink"/>
          </w:rPr>
          <w:t>https://www.ippc.int/es/publications/80405/</w:t>
        </w:r>
      </w:hyperlink>
      <w:r>
        <w:t>.   </w:t>
      </w:r>
    </w:p>
    <w:p w14:paraId="5657FE1B" w14:textId="05B66463">
      <w:pPr>
        <w:pStyle w:val="IPPNormal"/>
        <w:jc w:val="left"/>
      </w:pPr>
      <w:r>
        <w:rPr>
          <w:rStyle w:val="PleaseReviewParagraphId"/>
          <w:b w:val="off"/>
          <w:i w:val="off"/>
        </w:rPr>
        <w:t>[79]</w:t>
      </w:r>
      <w:r>
        <w:rPr>
          <w:b/>
        </w:rPr>
        <w:t xml:space="preserve">Secretaría de la CIPF. </w:t>
      </w:r>
      <w:r>
        <w:t>2016.</w:t>
      </w:r>
      <w:r>
        <w:rPr>
          <w:b/>
        </w:rPr>
        <w:t> </w:t>
      </w:r>
      <w:r>
        <w:rPr>
          <w:i/>
          <w:iCs/>
        </w:rPr>
        <w:t>Informe sobre las obligaciones de presentación de informes nacionales - Directrices de control de calidad de las obligaciones de presentación de informes nacionales</w:t>
      </w:r>
      <w:r>
        <w:t xml:space="preserve"> (CPM 2016/26). Roma, Secretaría de la CIPF, FAO. </w:t>
      </w:r>
      <w:hyperlink w:tgtFrame="_blank" w:history="1" r:id="rId20">
        <w:r>
          <w:rPr>
            <w:rStyle w:val="Hyperlink"/>
          </w:rPr>
          <w:t>https://assets.ippc.int/static/media/files/publication/es/2016/02/26_CPM_2016_April_NRO_Qualitycontrol_MP801_Es.pdf</w:t>
        </w:r>
      </w:hyperlink>
      <w:r>
        <w:t>.     </w:t>
      </w:r>
    </w:p>
    <w:p w14:paraId="4296CCE8" w14:textId="1683C53C">
      <w:pPr>
        <w:pStyle w:val="IPPNormal"/>
        <w:jc w:val="left"/>
      </w:pPr>
      <w:r>
        <w:rPr>
          <w:rStyle w:val="PleaseReviewParagraphId"/>
          <w:b w:val="off"/>
          <w:i w:val="off"/>
        </w:rPr>
        <w:t>[80]</w:t>
      </w:r>
      <w:r>
        <w:rPr>
          <w:b/>
        </w:rPr>
        <w:t xml:space="preserve">Secretaría de la CIPF. </w:t>
      </w:r>
      <w:r>
        <w:t>2016. </w:t>
      </w:r>
      <w:r>
        <w:rPr>
          <w:b/>
        </w:rPr>
        <w:t xml:space="preserve"> </w:t>
      </w:r>
      <w:r>
        <w:rPr>
          <w:i/>
          <w:iCs/>
        </w:rPr>
        <w:t>Informe sobre las obligaciones de presentación de informes nacionales: Procedimientos relativos a las obligaciones de presentación de informes nacionales contraídas en virtud de la CIPF</w:t>
      </w:r>
      <w:r>
        <w:t xml:space="preserve"> (CPM 2016/28). Roma, Secretaría de la CIPF, FAO. </w:t>
      </w:r>
      <w:hyperlink w:tgtFrame="_blank" w:history="1" r:id="rId21">
        <w:r>
          <w:rPr>
            <w:rStyle w:val="Hyperlink"/>
          </w:rPr>
          <w:t>https://assets.ippc.int/static/media/files/publication/es/2016/03/28_CPM_2016_April_NRO_Procedures_MP856_Es.pdf</w:t>
        </w:r>
      </w:hyperlink>
      <w:r>
        <w:t>.   </w:t>
      </w:r>
    </w:p>
    <w:p w14:paraId="2C078E63" w14:textId="15B8CA88">
      <w:pPr>
        <w:tabs>
          <w:tab w:val="left" w:pos="720"/>
        </w:tabs>
        <w:spacing w:after="180"/>
        <w:jc w:val="left"/>
        <w:rPr>
          <w:rFonts w:eastAsia="Times" w:cs="Times New Roman"/>
        </w:rPr>
      </w:pPr>
      <w:r>
        <w:rPr>
          <w:rStyle w:val="PleaseReviewParagraphId"/>
          <w:b w:val="off"/>
          <w:i w:val="off"/>
        </w:rPr>
        <w:t>[81]</w:t>
      </w:r>
      <w:r>
        <w:rPr>
          <w:b/>
        </w:rPr>
        <w:t>Secretaría de la CIPF.</w:t>
      </w:r>
      <w:r>
        <w:t xml:space="preserve"> 1997. Convención Internacional de Protección Fitosanitaria. Roma, Secretaría de la CIPF, FAO.</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C9B3" w14:textId="77777777">
      <w:r>
        <w:rPr>
          <w:rStyle w:val="PleaseReviewParagraphId"/>
          <w:b w:val="off"/>
          <w:i w:val="off"/>
        </w:rPr>
        <w:t>[]</w:t>
      </w:r>
      <w:r>
        <w:separator/>
      </w:r>
    </w:p>
  </w:endnote>
  <w:endnote w:type="continuationSeparator" w:id="0">
    <w:p w14:paraId="3FA4BA5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94F3" w14:textId="77777777">
      <w:r>
        <w:rPr>
          <w:rStyle w:val="PleaseReviewParagraphId"/>
          <w:b w:val="off"/>
          <w:i w:val="off"/>
        </w:rPr>
        <w:t>[]</w:t>
      </w:r>
      <w:r>
        <w:separator/>
      </w:r>
    </w:p>
  </w:footnote>
  <w:footnote w:type="continuationSeparator" w:id="0">
    <w:p w14:paraId="63F600A5"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c57Sm2Qkcv8Uar" id="6HcQ0ZUa"/>
  </int:Manifest>
  <int:Observations>
    <int:Content id="6HcQ0ZUa">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73A6054"/>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35A"/>
    <w:multiLevelType w:val="multilevel"/>
    <w:tmpl w:val="472818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865CEA"/>
    <w:multiLevelType w:val="multilevel"/>
    <w:tmpl w:val="72964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86375C4"/>
    <w:multiLevelType w:val="multilevel"/>
    <w:tmpl w:val="74488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797E45"/>
    <w:multiLevelType w:val="multilevel"/>
    <w:tmpl w:val="06E871E4"/>
    <w:numStyleLink w:val="IPPParagraphnumberedlist"/>
  </w:abstractNum>
  <w:abstractNum w:abstractNumId="7"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8"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1" w15:restartNumberingAfterBreak="0">
    <w:nsid w:val="1F732B22"/>
    <w:multiLevelType w:val="multilevel"/>
    <w:tmpl w:val="D2C44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93B61"/>
    <w:multiLevelType w:val="hybridMultilevel"/>
    <w:tmpl w:val="886C336C"/>
    <w:lvl w:ilvl="0" w:tplc="16ECE44C">
      <w:start w:val="3"/>
      <w:numFmt w:val="bullet"/>
      <w:lvlText w:val="-"/>
      <w:lvlJc w:val="righ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CA91B51"/>
    <w:multiLevelType w:val="multilevel"/>
    <w:tmpl w:val="59EE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92461A2"/>
    <w:multiLevelType w:val="multilevel"/>
    <w:tmpl w:val="B880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5F0C86"/>
    <w:multiLevelType w:val="multilevel"/>
    <w:tmpl w:val="406CC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1103DB"/>
    <w:multiLevelType w:val="multilevel"/>
    <w:tmpl w:val="54E42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81F32"/>
    <w:multiLevelType w:val="multilevel"/>
    <w:tmpl w:val="D994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286640"/>
    <w:multiLevelType w:val="multilevel"/>
    <w:tmpl w:val="DC2AC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5E6D92"/>
    <w:multiLevelType w:val="multilevel"/>
    <w:tmpl w:val="B1CA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3640AB"/>
    <w:multiLevelType w:val="multilevel"/>
    <w:tmpl w:val="3BDCCA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EA6C1B"/>
    <w:multiLevelType w:val="multilevel"/>
    <w:tmpl w:val="147666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24"/>
  </w:num>
  <w:num w:numId="5">
    <w:abstractNumId w:val="25"/>
  </w:num>
  <w:num w:numId="6">
    <w:abstractNumId w:val="17"/>
  </w:num>
  <w:num w:numId="7">
    <w:abstractNumId w:val="30"/>
  </w:num>
  <w:num w:numId="8">
    <w:abstractNumId w:val="21"/>
  </w:num>
  <w:num w:numId="9">
    <w:abstractNumId w:val="22"/>
  </w:num>
  <w:num w:numId="10">
    <w:abstractNumId w:val="15"/>
  </w:num>
  <w:num w:numId="11">
    <w:abstractNumId w:val="2"/>
  </w:num>
  <w:num w:numId="12">
    <w:abstractNumId w:val="4"/>
  </w:num>
  <w:num w:numId="13">
    <w:abstractNumId w:val="20"/>
  </w:num>
  <w:num w:numId="14">
    <w:abstractNumId w:val="11"/>
  </w:num>
  <w:num w:numId="15">
    <w:abstractNumId w:val="18"/>
  </w:num>
  <w:num w:numId="16">
    <w:abstractNumId w:val="13"/>
  </w:num>
  <w:num w:numId="17">
    <w:abstractNumId w:val="26"/>
  </w:num>
  <w:num w:numId="18">
    <w:abstractNumId w:val="31"/>
  </w:num>
  <w:num w:numId="19">
    <w:abstractNumId w:val="1"/>
  </w:num>
  <w:num w:numId="20">
    <w:abstractNumId w:val="12"/>
  </w:num>
  <w:num w:numId="21">
    <w:abstractNumId w:val="27"/>
  </w:num>
  <w:num w:numId="22">
    <w:abstractNumId w:val="5"/>
  </w:num>
  <w:num w:numId="23">
    <w:abstractNumId w:val="3"/>
  </w:num>
  <w:num w:numId="24">
    <w:abstractNumId w:val="14"/>
  </w:num>
  <w:num w:numId="25">
    <w:abstractNumId w:val="29"/>
  </w:num>
  <w:num w:numId="26">
    <w:abstractNumId w:val="23"/>
  </w:num>
  <w:num w:numId="27">
    <w:abstractNumId w:val="16"/>
  </w:num>
  <w:num w:numId="28">
    <w:abstractNumId w:val="32"/>
  </w:num>
  <w:num w:numId="29">
    <w:abstractNumId w:val="9"/>
  </w:num>
  <w:num w:numId="3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0"/>
  </w:num>
  <w:num w:numId="37">
    <w:abstractNumId w:val="19"/>
  </w:num>
  <w:num w:numId="38">
    <w:abstractNumId w:val="28"/>
  </w:num>
  <w:num w:numId="3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6"/>
  </w:num>
  <w:num w:numId="42">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DAzNzEwMTE2NDZW0lEKTi0uzszPAykwrgUAkZ9MZSwAAAA="/>
  </w:docVars>
  <w:rsids>
    <w:rsidRoot w:val="7F25C76D"/>
    <w:rsid w:val="00022A3B"/>
    <w:rsid w:val="000336B7"/>
    <w:rsid w:val="00057A5B"/>
    <w:rsid w:val="000F23B8"/>
    <w:rsid w:val="0016712A"/>
    <w:rsid w:val="00182510"/>
    <w:rsid w:val="00186D25"/>
    <w:rsid w:val="001B21AE"/>
    <w:rsid w:val="001C5DBA"/>
    <w:rsid w:val="001C6C4E"/>
    <w:rsid w:val="001F30C7"/>
    <w:rsid w:val="00200510"/>
    <w:rsid w:val="0021041E"/>
    <w:rsid w:val="00254FEA"/>
    <w:rsid w:val="002A6A42"/>
    <w:rsid w:val="002C29AE"/>
    <w:rsid w:val="003456AD"/>
    <w:rsid w:val="00372239"/>
    <w:rsid w:val="003737B2"/>
    <w:rsid w:val="00390552"/>
    <w:rsid w:val="003E0470"/>
    <w:rsid w:val="003F4F93"/>
    <w:rsid w:val="0042177A"/>
    <w:rsid w:val="004509CF"/>
    <w:rsid w:val="0048174B"/>
    <w:rsid w:val="00490CD5"/>
    <w:rsid w:val="004C0753"/>
    <w:rsid w:val="004E0698"/>
    <w:rsid w:val="004F541F"/>
    <w:rsid w:val="00543150"/>
    <w:rsid w:val="00546555"/>
    <w:rsid w:val="00553F9F"/>
    <w:rsid w:val="005D0A02"/>
    <w:rsid w:val="005E13CD"/>
    <w:rsid w:val="006074BF"/>
    <w:rsid w:val="00620895"/>
    <w:rsid w:val="0064372F"/>
    <w:rsid w:val="0066249A"/>
    <w:rsid w:val="006A6D26"/>
    <w:rsid w:val="00704315"/>
    <w:rsid w:val="00741B2C"/>
    <w:rsid w:val="00764529"/>
    <w:rsid w:val="007677F8"/>
    <w:rsid w:val="00771E1B"/>
    <w:rsid w:val="007D06B8"/>
    <w:rsid w:val="007D2514"/>
    <w:rsid w:val="007E09D1"/>
    <w:rsid w:val="007F127B"/>
    <w:rsid w:val="00834775"/>
    <w:rsid w:val="00836556"/>
    <w:rsid w:val="00840C50"/>
    <w:rsid w:val="0086331C"/>
    <w:rsid w:val="008A3505"/>
    <w:rsid w:val="008B26D4"/>
    <w:rsid w:val="008D5B76"/>
    <w:rsid w:val="008D66E7"/>
    <w:rsid w:val="00921099"/>
    <w:rsid w:val="00923D2E"/>
    <w:rsid w:val="0099382A"/>
    <w:rsid w:val="009E658D"/>
    <w:rsid w:val="009F76D9"/>
    <w:rsid w:val="00A078A8"/>
    <w:rsid w:val="00A1090D"/>
    <w:rsid w:val="00A43FAD"/>
    <w:rsid w:val="00A51B8B"/>
    <w:rsid w:val="00AA5560"/>
    <w:rsid w:val="00AD3AA1"/>
    <w:rsid w:val="00AE3913"/>
    <w:rsid w:val="00AF228E"/>
    <w:rsid w:val="00AF2BB5"/>
    <w:rsid w:val="00B86227"/>
    <w:rsid w:val="00B907E9"/>
    <w:rsid w:val="00BA34A9"/>
    <w:rsid w:val="00C3652A"/>
    <w:rsid w:val="00C51D95"/>
    <w:rsid w:val="00CA6CE3"/>
    <w:rsid w:val="00D26681"/>
    <w:rsid w:val="00D55A67"/>
    <w:rsid w:val="00D67950"/>
    <w:rsid w:val="00D716BE"/>
    <w:rsid w:val="00D71D29"/>
    <w:rsid w:val="00E14B72"/>
    <w:rsid w:val="00E4571E"/>
    <w:rsid w:val="00E61A6B"/>
    <w:rsid w:val="00E7575E"/>
    <w:rsid w:val="00E91DDD"/>
    <w:rsid w:val="00E92CC5"/>
    <w:rsid w:val="00EA4D99"/>
    <w:rsid w:val="00EB2A08"/>
    <w:rsid w:val="00EC17A0"/>
    <w:rsid w:val="00F1344C"/>
    <w:rsid w:val="00F51C7E"/>
    <w:rsid w:val="00F6029E"/>
    <w:rsid w:val="030D51DC"/>
    <w:rsid w:val="0E9F357D"/>
    <w:rsid w:val="1AF477AB"/>
    <w:rsid w:val="1C4284BD"/>
    <w:rsid w:val="1DF6058F"/>
    <w:rsid w:val="221799AB"/>
    <w:rsid w:val="230958CD"/>
    <w:rsid w:val="24A5292E"/>
    <w:rsid w:val="2A2C7B29"/>
    <w:rsid w:val="2CF1EDEB"/>
    <w:rsid w:val="2F1BF81D"/>
    <w:rsid w:val="2FCAB864"/>
    <w:rsid w:val="34835863"/>
    <w:rsid w:val="353A4D36"/>
    <w:rsid w:val="361F28C4"/>
    <w:rsid w:val="407778B9"/>
    <w:rsid w:val="447E71BD"/>
    <w:rsid w:val="46F42EE7"/>
    <w:rsid w:val="488FFF48"/>
    <w:rsid w:val="4F5ADB24"/>
    <w:rsid w:val="5B6D7A74"/>
    <w:rsid w:val="68621666"/>
    <w:rsid w:val="69B299AF"/>
    <w:rsid w:val="72C5F274"/>
    <w:rsid w:val="76990A3D"/>
    <w:rsid w:val="7811E2A8"/>
    <w:rsid w:val="78FFE83F"/>
    <w:rsid w:val="7DF704A2"/>
    <w:rsid w:val="7F25C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s-ES"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style>
  <w:style w:type="character" w:customStyle="1" w:styleId="eop">
    <w:name w:val="eop"/>
    <w:basedOn w:val="DefaultParagraphFon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eastAsia="zh-CN"/>
    </w:rPr>
  </w:style>
  <w:style w:type="character" w:customStyle="1" w:styleId="Heading1Char">
    <w:name w:val="Heading 1 Char"/>
    <w:basedOn w:val="DefaultParagraphFont"/>
    <w:link w:val="Heading1"/>
    <w:rPr>
      <w:rFonts w:ascii="Times New Roman" w:eastAsia="MS Mincho" w:hAnsi="Times New Roman"/>
      <w:b/>
      <w:bCs/>
      <w:szCs w:val="24"/>
      <w:lang w:val="es-ES" w:eastAsia="zh-CN"/>
    </w:rPr>
  </w:style>
  <w:style w:type="character" w:customStyle="1" w:styleId="Heading2Char">
    <w:name w:val="Heading 2 Char"/>
    <w:basedOn w:val="DefaultParagraphFont"/>
    <w:link w:val="Heading2"/>
    <w:rPr>
      <w:rFonts w:ascii="Calibri" w:eastAsia="MS Mincho" w:hAnsi="Calibri"/>
      <w:b/>
      <w:bCs/>
      <w:i/>
      <w:iCs/>
      <w:sz w:val="28"/>
      <w:szCs w:val="28"/>
      <w:lang w:val="es-ES" w:eastAsia="zh-CN"/>
    </w:rPr>
  </w:style>
  <w:style w:type="character" w:customStyle="1" w:styleId="Heading3Char">
    <w:name w:val="Heading 3 Char"/>
    <w:basedOn w:val="DefaultParagraphFont"/>
    <w:link w:val="Heading3"/>
    <w:rPr>
      <w:rFonts w:ascii="Calibri" w:eastAsia="MS Mincho" w:hAnsi="Calibri"/>
      <w:b/>
      <w:bCs/>
      <w:sz w:val="26"/>
      <w:szCs w:val="26"/>
      <w:lang w:val="es-ES"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s-ES"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rFonts w:eastAsiaTheme="minorHAns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25"/>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38"/>
      </w:numPr>
      <w:spacing w:after="60"/>
    </w:p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zh-CN"/>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numString="1.1. "/>
        <w:numId w:val="28"/>
      </w:numPr>
    </w:pPr>
  </w:style>
  <w:style w:type="paragraph" w:customStyle="1" w:styleId="IPPNumberedList">
    <w:name w:val="IPP NumberedList"/>
    <w:basedOn w:val="IPPBullet1"/>
    <w:qFormat/>
    <w:pPr>
      <w:numPr>
        <w:numId w:val="42"/>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s-ES" w:eastAsia="zh-CN"/>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0"/>
      </w:numPr>
    </w:p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character" w:customStyle="1" w:styleId="IPPNormalChar">
    <w:name w:val="IPP Normal Char"/>
    <w:link w:val="IPPNormal"/>
    <w:rPr>
      <w:rFonts w:ascii="Times New Roman" w:eastAsia="Times" w:hAnsi="Times New Roman"/>
      <w:szCs w:val="24"/>
      <w:lang w:val="es-ES" w:eastAsia="zh-CN"/>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s-ES" w:eastAsia="zh-CN"/>
    </w:rPr>
  </w:style>
  <w:style w:type="paragraph" w:styleId="Revision">
    <w:name w:val="Revision"/>
    <w:hidden/>
    <w:uiPriority w:val="99"/>
    <w:semiHidden/>
    <w:pPr>
      <w:spacing w:after="0" w:line="240" w:lineRule="auto"/>
    </w:pPr>
    <w:rPr>
      <w:rFonts w:ascii="Times New Roman" w:eastAsia="MS Mincho" w:hAnsi="Times New Roman"/>
      <w:szCs w:val="24"/>
      <w:lang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13574">
      <w:bodyDiv w:val="1"/>
      <w:marLeft w:val="0"/>
      <w:marRight w:val="0"/>
      <w:marTop w:val="0"/>
      <w:marBottom w:val="0"/>
      <w:divBdr>
        <w:top w:val="none" w:sz="0" w:space="0" w:color="auto"/>
        <w:left w:val="none" w:sz="0" w:space="0" w:color="auto"/>
        <w:bottom w:val="none" w:sz="0" w:space="0" w:color="auto"/>
        <w:right w:val="none" w:sz="0" w:space="0" w:color="auto"/>
      </w:divBdr>
      <w:divsChild>
        <w:div w:id="151795397">
          <w:marLeft w:val="0"/>
          <w:marRight w:val="0"/>
          <w:marTop w:val="0"/>
          <w:marBottom w:val="0"/>
          <w:divBdr>
            <w:top w:val="none" w:sz="0" w:space="0" w:color="auto"/>
            <w:left w:val="none" w:sz="0" w:space="0" w:color="auto"/>
            <w:bottom w:val="none" w:sz="0" w:space="0" w:color="auto"/>
            <w:right w:val="none" w:sz="0" w:space="0" w:color="auto"/>
          </w:divBdr>
        </w:div>
        <w:div w:id="1116364511">
          <w:marLeft w:val="0"/>
          <w:marRight w:val="0"/>
          <w:marTop w:val="0"/>
          <w:marBottom w:val="0"/>
          <w:divBdr>
            <w:top w:val="none" w:sz="0" w:space="0" w:color="auto"/>
            <w:left w:val="none" w:sz="0" w:space="0" w:color="auto"/>
            <w:bottom w:val="none" w:sz="0" w:space="0" w:color="auto"/>
            <w:right w:val="none" w:sz="0" w:space="0" w:color="auto"/>
          </w:divBdr>
        </w:div>
        <w:div w:id="879437047">
          <w:marLeft w:val="0"/>
          <w:marRight w:val="0"/>
          <w:marTop w:val="0"/>
          <w:marBottom w:val="0"/>
          <w:divBdr>
            <w:top w:val="none" w:sz="0" w:space="0" w:color="auto"/>
            <w:left w:val="none" w:sz="0" w:space="0" w:color="auto"/>
            <w:bottom w:val="none" w:sz="0" w:space="0" w:color="auto"/>
            <w:right w:val="none" w:sz="0" w:space="0" w:color="auto"/>
          </w:divBdr>
        </w:div>
        <w:div w:id="789014015">
          <w:marLeft w:val="0"/>
          <w:marRight w:val="0"/>
          <w:marTop w:val="0"/>
          <w:marBottom w:val="0"/>
          <w:divBdr>
            <w:top w:val="none" w:sz="0" w:space="0" w:color="auto"/>
            <w:left w:val="none" w:sz="0" w:space="0" w:color="auto"/>
            <w:bottom w:val="none" w:sz="0" w:space="0" w:color="auto"/>
            <w:right w:val="none" w:sz="0" w:space="0" w:color="auto"/>
          </w:divBdr>
        </w:div>
        <w:div w:id="425811219">
          <w:marLeft w:val="0"/>
          <w:marRight w:val="0"/>
          <w:marTop w:val="0"/>
          <w:marBottom w:val="0"/>
          <w:divBdr>
            <w:top w:val="none" w:sz="0" w:space="0" w:color="auto"/>
            <w:left w:val="none" w:sz="0" w:space="0" w:color="auto"/>
            <w:bottom w:val="none" w:sz="0" w:space="0" w:color="auto"/>
            <w:right w:val="none" w:sz="0" w:space="0" w:color="auto"/>
          </w:divBdr>
        </w:div>
        <w:div w:id="1470514213">
          <w:marLeft w:val="0"/>
          <w:marRight w:val="0"/>
          <w:marTop w:val="0"/>
          <w:marBottom w:val="0"/>
          <w:divBdr>
            <w:top w:val="none" w:sz="0" w:space="0" w:color="auto"/>
            <w:left w:val="none" w:sz="0" w:space="0" w:color="auto"/>
            <w:bottom w:val="none" w:sz="0" w:space="0" w:color="auto"/>
            <w:right w:val="none" w:sz="0" w:space="0" w:color="auto"/>
          </w:divBdr>
        </w:div>
        <w:div w:id="1422141834">
          <w:marLeft w:val="0"/>
          <w:marRight w:val="0"/>
          <w:marTop w:val="0"/>
          <w:marBottom w:val="0"/>
          <w:divBdr>
            <w:top w:val="none" w:sz="0" w:space="0" w:color="auto"/>
            <w:left w:val="none" w:sz="0" w:space="0" w:color="auto"/>
            <w:bottom w:val="none" w:sz="0" w:space="0" w:color="auto"/>
            <w:right w:val="none" w:sz="0" w:space="0" w:color="auto"/>
          </w:divBdr>
        </w:div>
        <w:div w:id="436681665">
          <w:marLeft w:val="0"/>
          <w:marRight w:val="0"/>
          <w:marTop w:val="0"/>
          <w:marBottom w:val="0"/>
          <w:divBdr>
            <w:top w:val="none" w:sz="0" w:space="0" w:color="auto"/>
            <w:left w:val="none" w:sz="0" w:space="0" w:color="auto"/>
            <w:bottom w:val="none" w:sz="0" w:space="0" w:color="auto"/>
            <w:right w:val="none" w:sz="0" w:space="0" w:color="auto"/>
          </w:divBdr>
        </w:div>
        <w:div w:id="132143229">
          <w:marLeft w:val="0"/>
          <w:marRight w:val="0"/>
          <w:marTop w:val="0"/>
          <w:marBottom w:val="0"/>
          <w:divBdr>
            <w:top w:val="none" w:sz="0" w:space="0" w:color="auto"/>
            <w:left w:val="none" w:sz="0" w:space="0" w:color="auto"/>
            <w:bottom w:val="none" w:sz="0" w:space="0" w:color="auto"/>
            <w:right w:val="none" w:sz="0" w:space="0" w:color="auto"/>
          </w:divBdr>
        </w:div>
        <w:div w:id="1613979019">
          <w:marLeft w:val="0"/>
          <w:marRight w:val="0"/>
          <w:marTop w:val="0"/>
          <w:marBottom w:val="0"/>
          <w:divBdr>
            <w:top w:val="none" w:sz="0" w:space="0" w:color="auto"/>
            <w:left w:val="none" w:sz="0" w:space="0" w:color="auto"/>
            <w:bottom w:val="none" w:sz="0" w:space="0" w:color="auto"/>
            <w:right w:val="none" w:sz="0" w:space="0" w:color="auto"/>
          </w:divBdr>
        </w:div>
        <w:div w:id="839466410">
          <w:marLeft w:val="0"/>
          <w:marRight w:val="0"/>
          <w:marTop w:val="0"/>
          <w:marBottom w:val="0"/>
          <w:divBdr>
            <w:top w:val="none" w:sz="0" w:space="0" w:color="auto"/>
            <w:left w:val="none" w:sz="0" w:space="0" w:color="auto"/>
            <w:bottom w:val="none" w:sz="0" w:space="0" w:color="auto"/>
            <w:right w:val="none" w:sz="0" w:space="0" w:color="auto"/>
          </w:divBdr>
        </w:div>
        <w:div w:id="996307373">
          <w:marLeft w:val="0"/>
          <w:marRight w:val="0"/>
          <w:marTop w:val="0"/>
          <w:marBottom w:val="0"/>
          <w:divBdr>
            <w:top w:val="none" w:sz="0" w:space="0" w:color="auto"/>
            <w:left w:val="none" w:sz="0" w:space="0" w:color="auto"/>
            <w:bottom w:val="none" w:sz="0" w:space="0" w:color="auto"/>
            <w:right w:val="none" w:sz="0" w:space="0" w:color="auto"/>
          </w:divBdr>
        </w:div>
        <w:div w:id="469907445">
          <w:marLeft w:val="0"/>
          <w:marRight w:val="0"/>
          <w:marTop w:val="0"/>
          <w:marBottom w:val="0"/>
          <w:divBdr>
            <w:top w:val="none" w:sz="0" w:space="0" w:color="auto"/>
            <w:left w:val="none" w:sz="0" w:space="0" w:color="auto"/>
            <w:bottom w:val="none" w:sz="0" w:space="0" w:color="auto"/>
            <w:right w:val="none" w:sz="0" w:space="0" w:color="auto"/>
          </w:divBdr>
        </w:div>
        <w:div w:id="1082943835">
          <w:marLeft w:val="0"/>
          <w:marRight w:val="0"/>
          <w:marTop w:val="0"/>
          <w:marBottom w:val="0"/>
          <w:divBdr>
            <w:top w:val="none" w:sz="0" w:space="0" w:color="auto"/>
            <w:left w:val="none" w:sz="0" w:space="0" w:color="auto"/>
            <w:bottom w:val="none" w:sz="0" w:space="0" w:color="auto"/>
            <w:right w:val="none" w:sz="0" w:space="0" w:color="auto"/>
          </w:divBdr>
        </w:div>
        <w:div w:id="1984499649">
          <w:marLeft w:val="0"/>
          <w:marRight w:val="0"/>
          <w:marTop w:val="0"/>
          <w:marBottom w:val="0"/>
          <w:divBdr>
            <w:top w:val="none" w:sz="0" w:space="0" w:color="auto"/>
            <w:left w:val="none" w:sz="0" w:space="0" w:color="auto"/>
            <w:bottom w:val="none" w:sz="0" w:space="0" w:color="auto"/>
            <w:right w:val="none" w:sz="0" w:space="0" w:color="auto"/>
          </w:divBdr>
        </w:div>
        <w:div w:id="1958753496">
          <w:marLeft w:val="0"/>
          <w:marRight w:val="0"/>
          <w:marTop w:val="0"/>
          <w:marBottom w:val="0"/>
          <w:divBdr>
            <w:top w:val="none" w:sz="0" w:space="0" w:color="auto"/>
            <w:left w:val="none" w:sz="0" w:space="0" w:color="auto"/>
            <w:bottom w:val="none" w:sz="0" w:space="0" w:color="auto"/>
            <w:right w:val="none" w:sz="0" w:space="0" w:color="auto"/>
          </w:divBdr>
        </w:div>
        <w:div w:id="1685325640">
          <w:marLeft w:val="0"/>
          <w:marRight w:val="0"/>
          <w:marTop w:val="0"/>
          <w:marBottom w:val="0"/>
          <w:divBdr>
            <w:top w:val="none" w:sz="0" w:space="0" w:color="auto"/>
            <w:left w:val="none" w:sz="0" w:space="0" w:color="auto"/>
            <w:bottom w:val="none" w:sz="0" w:space="0" w:color="auto"/>
            <w:right w:val="none" w:sz="0" w:space="0" w:color="auto"/>
          </w:divBdr>
        </w:div>
        <w:div w:id="1776754084">
          <w:marLeft w:val="0"/>
          <w:marRight w:val="0"/>
          <w:marTop w:val="0"/>
          <w:marBottom w:val="0"/>
          <w:divBdr>
            <w:top w:val="none" w:sz="0" w:space="0" w:color="auto"/>
            <w:left w:val="none" w:sz="0" w:space="0" w:color="auto"/>
            <w:bottom w:val="none" w:sz="0" w:space="0" w:color="auto"/>
            <w:right w:val="none" w:sz="0" w:space="0" w:color="auto"/>
          </w:divBdr>
          <w:divsChild>
            <w:div w:id="2128810796">
              <w:marLeft w:val="0"/>
              <w:marRight w:val="0"/>
              <w:marTop w:val="0"/>
              <w:marBottom w:val="0"/>
              <w:divBdr>
                <w:top w:val="none" w:sz="0" w:space="0" w:color="auto"/>
                <w:left w:val="none" w:sz="0" w:space="0" w:color="auto"/>
                <w:bottom w:val="none" w:sz="0" w:space="0" w:color="auto"/>
                <w:right w:val="none" w:sz="0" w:space="0" w:color="auto"/>
              </w:divBdr>
            </w:div>
            <w:div w:id="923950338">
              <w:marLeft w:val="0"/>
              <w:marRight w:val="0"/>
              <w:marTop w:val="0"/>
              <w:marBottom w:val="0"/>
              <w:divBdr>
                <w:top w:val="none" w:sz="0" w:space="0" w:color="auto"/>
                <w:left w:val="none" w:sz="0" w:space="0" w:color="auto"/>
                <w:bottom w:val="none" w:sz="0" w:space="0" w:color="auto"/>
                <w:right w:val="none" w:sz="0" w:space="0" w:color="auto"/>
              </w:divBdr>
            </w:div>
            <w:div w:id="1302921902">
              <w:marLeft w:val="0"/>
              <w:marRight w:val="0"/>
              <w:marTop w:val="0"/>
              <w:marBottom w:val="0"/>
              <w:divBdr>
                <w:top w:val="none" w:sz="0" w:space="0" w:color="auto"/>
                <w:left w:val="none" w:sz="0" w:space="0" w:color="auto"/>
                <w:bottom w:val="none" w:sz="0" w:space="0" w:color="auto"/>
                <w:right w:val="none" w:sz="0" w:space="0" w:color="auto"/>
              </w:divBdr>
            </w:div>
            <w:div w:id="450366246">
              <w:marLeft w:val="0"/>
              <w:marRight w:val="0"/>
              <w:marTop w:val="0"/>
              <w:marBottom w:val="0"/>
              <w:divBdr>
                <w:top w:val="none" w:sz="0" w:space="0" w:color="auto"/>
                <w:left w:val="none" w:sz="0" w:space="0" w:color="auto"/>
                <w:bottom w:val="none" w:sz="0" w:space="0" w:color="auto"/>
                <w:right w:val="none" w:sz="0" w:space="0" w:color="auto"/>
              </w:divBdr>
            </w:div>
            <w:div w:id="176777199">
              <w:marLeft w:val="0"/>
              <w:marRight w:val="0"/>
              <w:marTop w:val="0"/>
              <w:marBottom w:val="0"/>
              <w:divBdr>
                <w:top w:val="none" w:sz="0" w:space="0" w:color="auto"/>
                <w:left w:val="none" w:sz="0" w:space="0" w:color="auto"/>
                <w:bottom w:val="none" w:sz="0" w:space="0" w:color="auto"/>
                <w:right w:val="none" w:sz="0" w:space="0" w:color="auto"/>
              </w:divBdr>
            </w:div>
          </w:divsChild>
        </w:div>
        <w:div w:id="762071179">
          <w:marLeft w:val="0"/>
          <w:marRight w:val="0"/>
          <w:marTop w:val="0"/>
          <w:marBottom w:val="0"/>
          <w:divBdr>
            <w:top w:val="none" w:sz="0" w:space="0" w:color="auto"/>
            <w:left w:val="none" w:sz="0" w:space="0" w:color="auto"/>
            <w:bottom w:val="none" w:sz="0" w:space="0" w:color="auto"/>
            <w:right w:val="none" w:sz="0" w:space="0" w:color="auto"/>
          </w:divBdr>
          <w:divsChild>
            <w:div w:id="313995285">
              <w:marLeft w:val="0"/>
              <w:marRight w:val="0"/>
              <w:marTop w:val="0"/>
              <w:marBottom w:val="0"/>
              <w:divBdr>
                <w:top w:val="none" w:sz="0" w:space="0" w:color="auto"/>
                <w:left w:val="none" w:sz="0" w:space="0" w:color="auto"/>
                <w:bottom w:val="none" w:sz="0" w:space="0" w:color="auto"/>
                <w:right w:val="none" w:sz="0" w:space="0" w:color="auto"/>
              </w:divBdr>
            </w:div>
            <w:div w:id="1663074084">
              <w:marLeft w:val="0"/>
              <w:marRight w:val="0"/>
              <w:marTop w:val="0"/>
              <w:marBottom w:val="0"/>
              <w:divBdr>
                <w:top w:val="none" w:sz="0" w:space="0" w:color="auto"/>
                <w:left w:val="none" w:sz="0" w:space="0" w:color="auto"/>
                <w:bottom w:val="none" w:sz="0" w:space="0" w:color="auto"/>
                <w:right w:val="none" w:sz="0" w:space="0" w:color="auto"/>
              </w:divBdr>
            </w:div>
            <w:div w:id="608777238">
              <w:marLeft w:val="0"/>
              <w:marRight w:val="0"/>
              <w:marTop w:val="0"/>
              <w:marBottom w:val="0"/>
              <w:divBdr>
                <w:top w:val="none" w:sz="0" w:space="0" w:color="auto"/>
                <w:left w:val="none" w:sz="0" w:space="0" w:color="auto"/>
                <w:bottom w:val="none" w:sz="0" w:space="0" w:color="auto"/>
                <w:right w:val="none" w:sz="0" w:space="0" w:color="auto"/>
              </w:divBdr>
            </w:div>
            <w:div w:id="1026827354">
              <w:marLeft w:val="0"/>
              <w:marRight w:val="0"/>
              <w:marTop w:val="0"/>
              <w:marBottom w:val="0"/>
              <w:divBdr>
                <w:top w:val="none" w:sz="0" w:space="0" w:color="auto"/>
                <w:left w:val="none" w:sz="0" w:space="0" w:color="auto"/>
                <w:bottom w:val="none" w:sz="0" w:space="0" w:color="auto"/>
                <w:right w:val="none" w:sz="0" w:space="0" w:color="auto"/>
              </w:divBdr>
            </w:div>
            <w:div w:id="557594772">
              <w:marLeft w:val="0"/>
              <w:marRight w:val="0"/>
              <w:marTop w:val="0"/>
              <w:marBottom w:val="0"/>
              <w:divBdr>
                <w:top w:val="none" w:sz="0" w:space="0" w:color="auto"/>
                <w:left w:val="none" w:sz="0" w:space="0" w:color="auto"/>
                <w:bottom w:val="none" w:sz="0" w:space="0" w:color="auto"/>
                <w:right w:val="none" w:sz="0" w:space="0" w:color="auto"/>
              </w:divBdr>
            </w:div>
          </w:divsChild>
        </w:div>
        <w:div w:id="686490641">
          <w:marLeft w:val="0"/>
          <w:marRight w:val="0"/>
          <w:marTop w:val="0"/>
          <w:marBottom w:val="0"/>
          <w:divBdr>
            <w:top w:val="none" w:sz="0" w:space="0" w:color="auto"/>
            <w:left w:val="none" w:sz="0" w:space="0" w:color="auto"/>
            <w:bottom w:val="none" w:sz="0" w:space="0" w:color="auto"/>
            <w:right w:val="none" w:sz="0" w:space="0" w:color="auto"/>
          </w:divBdr>
          <w:divsChild>
            <w:div w:id="732699139">
              <w:marLeft w:val="0"/>
              <w:marRight w:val="0"/>
              <w:marTop w:val="0"/>
              <w:marBottom w:val="0"/>
              <w:divBdr>
                <w:top w:val="none" w:sz="0" w:space="0" w:color="auto"/>
                <w:left w:val="none" w:sz="0" w:space="0" w:color="auto"/>
                <w:bottom w:val="none" w:sz="0" w:space="0" w:color="auto"/>
                <w:right w:val="none" w:sz="0" w:space="0" w:color="auto"/>
              </w:divBdr>
            </w:div>
            <w:div w:id="1676031828">
              <w:marLeft w:val="0"/>
              <w:marRight w:val="0"/>
              <w:marTop w:val="0"/>
              <w:marBottom w:val="0"/>
              <w:divBdr>
                <w:top w:val="none" w:sz="0" w:space="0" w:color="auto"/>
                <w:left w:val="none" w:sz="0" w:space="0" w:color="auto"/>
                <w:bottom w:val="none" w:sz="0" w:space="0" w:color="auto"/>
                <w:right w:val="none" w:sz="0" w:space="0" w:color="auto"/>
              </w:divBdr>
            </w:div>
            <w:div w:id="990213994">
              <w:marLeft w:val="0"/>
              <w:marRight w:val="0"/>
              <w:marTop w:val="0"/>
              <w:marBottom w:val="0"/>
              <w:divBdr>
                <w:top w:val="none" w:sz="0" w:space="0" w:color="auto"/>
                <w:left w:val="none" w:sz="0" w:space="0" w:color="auto"/>
                <w:bottom w:val="none" w:sz="0" w:space="0" w:color="auto"/>
                <w:right w:val="none" w:sz="0" w:space="0" w:color="auto"/>
              </w:divBdr>
            </w:div>
            <w:div w:id="1593661443">
              <w:marLeft w:val="0"/>
              <w:marRight w:val="0"/>
              <w:marTop w:val="0"/>
              <w:marBottom w:val="0"/>
              <w:divBdr>
                <w:top w:val="none" w:sz="0" w:space="0" w:color="auto"/>
                <w:left w:val="none" w:sz="0" w:space="0" w:color="auto"/>
                <w:bottom w:val="none" w:sz="0" w:space="0" w:color="auto"/>
                <w:right w:val="none" w:sz="0" w:space="0" w:color="auto"/>
              </w:divBdr>
            </w:div>
            <w:div w:id="832376317">
              <w:marLeft w:val="0"/>
              <w:marRight w:val="0"/>
              <w:marTop w:val="0"/>
              <w:marBottom w:val="0"/>
              <w:divBdr>
                <w:top w:val="none" w:sz="0" w:space="0" w:color="auto"/>
                <w:left w:val="none" w:sz="0" w:space="0" w:color="auto"/>
                <w:bottom w:val="none" w:sz="0" w:space="0" w:color="auto"/>
                <w:right w:val="none" w:sz="0" w:space="0" w:color="auto"/>
              </w:divBdr>
            </w:div>
          </w:divsChild>
        </w:div>
        <w:div w:id="301810091">
          <w:marLeft w:val="0"/>
          <w:marRight w:val="0"/>
          <w:marTop w:val="0"/>
          <w:marBottom w:val="0"/>
          <w:divBdr>
            <w:top w:val="none" w:sz="0" w:space="0" w:color="auto"/>
            <w:left w:val="none" w:sz="0" w:space="0" w:color="auto"/>
            <w:bottom w:val="none" w:sz="0" w:space="0" w:color="auto"/>
            <w:right w:val="none" w:sz="0" w:space="0" w:color="auto"/>
          </w:divBdr>
          <w:divsChild>
            <w:div w:id="1597245164">
              <w:marLeft w:val="0"/>
              <w:marRight w:val="0"/>
              <w:marTop w:val="0"/>
              <w:marBottom w:val="0"/>
              <w:divBdr>
                <w:top w:val="none" w:sz="0" w:space="0" w:color="auto"/>
                <w:left w:val="none" w:sz="0" w:space="0" w:color="auto"/>
                <w:bottom w:val="none" w:sz="0" w:space="0" w:color="auto"/>
                <w:right w:val="none" w:sz="0" w:space="0" w:color="auto"/>
              </w:divBdr>
            </w:div>
          </w:divsChild>
        </w:div>
        <w:div w:id="1239437265">
          <w:marLeft w:val="0"/>
          <w:marRight w:val="0"/>
          <w:marTop w:val="0"/>
          <w:marBottom w:val="0"/>
          <w:divBdr>
            <w:top w:val="none" w:sz="0" w:space="0" w:color="auto"/>
            <w:left w:val="none" w:sz="0" w:space="0" w:color="auto"/>
            <w:bottom w:val="none" w:sz="0" w:space="0" w:color="auto"/>
            <w:right w:val="none" w:sz="0" w:space="0" w:color="auto"/>
          </w:divBdr>
          <w:divsChild>
            <w:div w:id="264651725">
              <w:marLeft w:val="0"/>
              <w:marRight w:val="0"/>
              <w:marTop w:val="0"/>
              <w:marBottom w:val="0"/>
              <w:divBdr>
                <w:top w:val="none" w:sz="0" w:space="0" w:color="auto"/>
                <w:left w:val="none" w:sz="0" w:space="0" w:color="auto"/>
                <w:bottom w:val="none" w:sz="0" w:space="0" w:color="auto"/>
                <w:right w:val="none" w:sz="0" w:space="0" w:color="auto"/>
              </w:divBdr>
            </w:div>
            <w:div w:id="490027305">
              <w:marLeft w:val="0"/>
              <w:marRight w:val="0"/>
              <w:marTop w:val="0"/>
              <w:marBottom w:val="0"/>
              <w:divBdr>
                <w:top w:val="none" w:sz="0" w:space="0" w:color="auto"/>
                <w:left w:val="none" w:sz="0" w:space="0" w:color="auto"/>
                <w:bottom w:val="none" w:sz="0" w:space="0" w:color="auto"/>
                <w:right w:val="none" w:sz="0" w:space="0" w:color="auto"/>
              </w:divBdr>
            </w:div>
            <w:div w:id="1909030763">
              <w:marLeft w:val="0"/>
              <w:marRight w:val="0"/>
              <w:marTop w:val="0"/>
              <w:marBottom w:val="0"/>
              <w:divBdr>
                <w:top w:val="none" w:sz="0" w:space="0" w:color="auto"/>
                <w:left w:val="none" w:sz="0" w:space="0" w:color="auto"/>
                <w:bottom w:val="none" w:sz="0" w:space="0" w:color="auto"/>
                <w:right w:val="none" w:sz="0" w:space="0" w:color="auto"/>
              </w:divBdr>
            </w:div>
            <w:div w:id="1291476266">
              <w:marLeft w:val="0"/>
              <w:marRight w:val="0"/>
              <w:marTop w:val="0"/>
              <w:marBottom w:val="0"/>
              <w:divBdr>
                <w:top w:val="none" w:sz="0" w:space="0" w:color="auto"/>
                <w:left w:val="none" w:sz="0" w:space="0" w:color="auto"/>
                <w:bottom w:val="none" w:sz="0" w:space="0" w:color="auto"/>
                <w:right w:val="none" w:sz="0" w:space="0" w:color="auto"/>
              </w:divBdr>
            </w:div>
          </w:divsChild>
        </w:div>
        <w:div w:id="778716564">
          <w:marLeft w:val="0"/>
          <w:marRight w:val="0"/>
          <w:marTop w:val="0"/>
          <w:marBottom w:val="0"/>
          <w:divBdr>
            <w:top w:val="none" w:sz="0" w:space="0" w:color="auto"/>
            <w:left w:val="none" w:sz="0" w:space="0" w:color="auto"/>
            <w:bottom w:val="none" w:sz="0" w:space="0" w:color="auto"/>
            <w:right w:val="none" w:sz="0" w:space="0" w:color="auto"/>
          </w:divBdr>
        </w:div>
        <w:div w:id="1441489973">
          <w:marLeft w:val="0"/>
          <w:marRight w:val="0"/>
          <w:marTop w:val="0"/>
          <w:marBottom w:val="0"/>
          <w:divBdr>
            <w:top w:val="none" w:sz="0" w:space="0" w:color="auto"/>
            <w:left w:val="none" w:sz="0" w:space="0" w:color="auto"/>
            <w:bottom w:val="none" w:sz="0" w:space="0" w:color="auto"/>
            <w:right w:val="none" w:sz="0" w:space="0" w:color="auto"/>
          </w:divBdr>
        </w:div>
        <w:div w:id="1671181870">
          <w:marLeft w:val="0"/>
          <w:marRight w:val="0"/>
          <w:marTop w:val="0"/>
          <w:marBottom w:val="0"/>
          <w:divBdr>
            <w:top w:val="none" w:sz="0" w:space="0" w:color="auto"/>
            <w:left w:val="none" w:sz="0" w:space="0" w:color="auto"/>
            <w:bottom w:val="none" w:sz="0" w:space="0" w:color="auto"/>
            <w:right w:val="none" w:sz="0" w:space="0" w:color="auto"/>
          </w:divBdr>
        </w:div>
        <w:div w:id="667175342">
          <w:marLeft w:val="0"/>
          <w:marRight w:val="0"/>
          <w:marTop w:val="0"/>
          <w:marBottom w:val="0"/>
          <w:divBdr>
            <w:top w:val="none" w:sz="0" w:space="0" w:color="auto"/>
            <w:left w:val="none" w:sz="0" w:space="0" w:color="auto"/>
            <w:bottom w:val="none" w:sz="0" w:space="0" w:color="auto"/>
            <w:right w:val="none" w:sz="0" w:space="0" w:color="auto"/>
          </w:divBdr>
        </w:div>
        <w:div w:id="1069187066">
          <w:marLeft w:val="0"/>
          <w:marRight w:val="0"/>
          <w:marTop w:val="0"/>
          <w:marBottom w:val="0"/>
          <w:divBdr>
            <w:top w:val="none" w:sz="0" w:space="0" w:color="auto"/>
            <w:left w:val="none" w:sz="0" w:space="0" w:color="auto"/>
            <w:bottom w:val="none" w:sz="0" w:space="0" w:color="auto"/>
            <w:right w:val="none" w:sz="0" w:space="0" w:color="auto"/>
          </w:divBdr>
        </w:div>
        <w:div w:id="1396053957">
          <w:marLeft w:val="0"/>
          <w:marRight w:val="0"/>
          <w:marTop w:val="0"/>
          <w:marBottom w:val="0"/>
          <w:divBdr>
            <w:top w:val="none" w:sz="0" w:space="0" w:color="auto"/>
            <w:left w:val="none" w:sz="0" w:space="0" w:color="auto"/>
            <w:bottom w:val="none" w:sz="0" w:space="0" w:color="auto"/>
            <w:right w:val="none" w:sz="0" w:space="0" w:color="auto"/>
          </w:divBdr>
        </w:div>
      </w:divsChild>
    </w:div>
    <w:div w:id="881331396">
      <w:bodyDiv w:val="1"/>
      <w:marLeft w:val="0"/>
      <w:marRight w:val="0"/>
      <w:marTop w:val="0"/>
      <w:marBottom w:val="0"/>
      <w:divBdr>
        <w:top w:val="none" w:sz="0" w:space="0" w:color="auto"/>
        <w:left w:val="none" w:sz="0" w:space="0" w:color="auto"/>
        <w:bottom w:val="none" w:sz="0" w:space="0" w:color="auto"/>
        <w:right w:val="none" w:sz="0" w:space="0" w:color="auto"/>
      </w:divBdr>
      <w:divsChild>
        <w:div w:id="513763123">
          <w:marLeft w:val="0"/>
          <w:marRight w:val="0"/>
          <w:marTop w:val="0"/>
          <w:marBottom w:val="0"/>
          <w:divBdr>
            <w:top w:val="none" w:sz="0" w:space="0" w:color="auto"/>
            <w:left w:val="none" w:sz="0" w:space="0" w:color="auto"/>
            <w:bottom w:val="none" w:sz="0" w:space="0" w:color="auto"/>
            <w:right w:val="none" w:sz="0" w:space="0" w:color="auto"/>
          </w:divBdr>
          <w:divsChild>
            <w:div w:id="1520505905">
              <w:marLeft w:val="0"/>
              <w:marRight w:val="0"/>
              <w:marTop w:val="0"/>
              <w:marBottom w:val="0"/>
              <w:divBdr>
                <w:top w:val="none" w:sz="0" w:space="0" w:color="auto"/>
                <w:left w:val="none" w:sz="0" w:space="0" w:color="auto"/>
                <w:bottom w:val="none" w:sz="0" w:space="0" w:color="auto"/>
                <w:right w:val="none" w:sz="0" w:space="0" w:color="auto"/>
              </w:divBdr>
              <w:divsChild>
                <w:div w:id="7878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290">
      <w:bodyDiv w:val="1"/>
      <w:marLeft w:val="0"/>
      <w:marRight w:val="0"/>
      <w:marTop w:val="0"/>
      <w:marBottom w:val="0"/>
      <w:divBdr>
        <w:top w:val="none" w:sz="0" w:space="0" w:color="auto"/>
        <w:left w:val="none" w:sz="0" w:space="0" w:color="auto"/>
        <w:bottom w:val="none" w:sz="0" w:space="0" w:color="auto"/>
        <w:right w:val="none" w:sz="0" w:space="0" w:color="auto"/>
      </w:divBdr>
      <w:divsChild>
        <w:div w:id="1325204291">
          <w:marLeft w:val="0"/>
          <w:marRight w:val="0"/>
          <w:marTop w:val="0"/>
          <w:marBottom w:val="0"/>
          <w:divBdr>
            <w:top w:val="none" w:sz="0" w:space="0" w:color="auto"/>
            <w:left w:val="none" w:sz="0" w:space="0" w:color="auto"/>
            <w:bottom w:val="none" w:sz="0" w:space="0" w:color="auto"/>
            <w:right w:val="none" w:sz="0" w:space="0" w:color="auto"/>
          </w:divBdr>
        </w:div>
        <w:div w:id="812871513">
          <w:marLeft w:val="0"/>
          <w:marRight w:val="0"/>
          <w:marTop w:val="0"/>
          <w:marBottom w:val="0"/>
          <w:divBdr>
            <w:top w:val="none" w:sz="0" w:space="0" w:color="auto"/>
            <w:left w:val="none" w:sz="0" w:space="0" w:color="auto"/>
            <w:bottom w:val="none" w:sz="0" w:space="0" w:color="auto"/>
            <w:right w:val="none" w:sz="0" w:space="0" w:color="auto"/>
          </w:divBdr>
        </w:div>
        <w:div w:id="1650789285">
          <w:marLeft w:val="0"/>
          <w:marRight w:val="0"/>
          <w:marTop w:val="0"/>
          <w:marBottom w:val="0"/>
          <w:divBdr>
            <w:top w:val="none" w:sz="0" w:space="0" w:color="auto"/>
            <w:left w:val="none" w:sz="0" w:space="0" w:color="auto"/>
            <w:bottom w:val="none" w:sz="0" w:space="0" w:color="auto"/>
            <w:right w:val="none" w:sz="0" w:space="0" w:color="auto"/>
          </w:divBdr>
        </w:div>
        <w:div w:id="1059088004">
          <w:marLeft w:val="0"/>
          <w:marRight w:val="0"/>
          <w:marTop w:val="0"/>
          <w:marBottom w:val="0"/>
          <w:divBdr>
            <w:top w:val="none" w:sz="0" w:space="0" w:color="auto"/>
            <w:left w:val="none" w:sz="0" w:space="0" w:color="auto"/>
            <w:bottom w:val="none" w:sz="0" w:space="0" w:color="auto"/>
            <w:right w:val="none" w:sz="0" w:space="0" w:color="auto"/>
          </w:divBdr>
        </w:div>
        <w:div w:id="203564837">
          <w:marLeft w:val="0"/>
          <w:marRight w:val="0"/>
          <w:marTop w:val="0"/>
          <w:marBottom w:val="0"/>
          <w:divBdr>
            <w:top w:val="none" w:sz="0" w:space="0" w:color="auto"/>
            <w:left w:val="none" w:sz="0" w:space="0" w:color="auto"/>
            <w:bottom w:val="none" w:sz="0" w:space="0" w:color="auto"/>
            <w:right w:val="none" w:sz="0" w:space="0" w:color="auto"/>
          </w:divBdr>
        </w:div>
        <w:div w:id="969631029">
          <w:marLeft w:val="0"/>
          <w:marRight w:val="0"/>
          <w:marTop w:val="0"/>
          <w:marBottom w:val="0"/>
          <w:divBdr>
            <w:top w:val="none" w:sz="0" w:space="0" w:color="auto"/>
            <w:left w:val="none" w:sz="0" w:space="0" w:color="auto"/>
            <w:bottom w:val="none" w:sz="0" w:space="0" w:color="auto"/>
            <w:right w:val="none" w:sz="0" w:space="0" w:color="auto"/>
          </w:divBdr>
        </w:div>
        <w:div w:id="1021010703">
          <w:marLeft w:val="0"/>
          <w:marRight w:val="0"/>
          <w:marTop w:val="0"/>
          <w:marBottom w:val="0"/>
          <w:divBdr>
            <w:top w:val="none" w:sz="0" w:space="0" w:color="auto"/>
            <w:left w:val="none" w:sz="0" w:space="0" w:color="auto"/>
            <w:bottom w:val="none" w:sz="0" w:space="0" w:color="auto"/>
            <w:right w:val="none" w:sz="0" w:space="0" w:color="auto"/>
          </w:divBdr>
        </w:div>
        <w:div w:id="1732465468">
          <w:marLeft w:val="0"/>
          <w:marRight w:val="0"/>
          <w:marTop w:val="0"/>
          <w:marBottom w:val="0"/>
          <w:divBdr>
            <w:top w:val="none" w:sz="0" w:space="0" w:color="auto"/>
            <w:left w:val="none" w:sz="0" w:space="0" w:color="auto"/>
            <w:bottom w:val="none" w:sz="0" w:space="0" w:color="auto"/>
            <w:right w:val="none" w:sz="0" w:space="0" w:color="auto"/>
          </w:divBdr>
        </w:div>
        <w:div w:id="1206678633">
          <w:marLeft w:val="0"/>
          <w:marRight w:val="0"/>
          <w:marTop w:val="0"/>
          <w:marBottom w:val="0"/>
          <w:divBdr>
            <w:top w:val="none" w:sz="0" w:space="0" w:color="auto"/>
            <w:left w:val="none" w:sz="0" w:space="0" w:color="auto"/>
            <w:bottom w:val="none" w:sz="0" w:space="0" w:color="auto"/>
            <w:right w:val="none" w:sz="0" w:space="0" w:color="auto"/>
          </w:divBdr>
        </w:div>
        <w:div w:id="349181183">
          <w:marLeft w:val="0"/>
          <w:marRight w:val="0"/>
          <w:marTop w:val="0"/>
          <w:marBottom w:val="0"/>
          <w:divBdr>
            <w:top w:val="none" w:sz="0" w:space="0" w:color="auto"/>
            <w:left w:val="none" w:sz="0" w:space="0" w:color="auto"/>
            <w:bottom w:val="none" w:sz="0" w:space="0" w:color="auto"/>
            <w:right w:val="none" w:sz="0" w:space="0" w:color="auto"/>
          </w:divBdr>
        </w:div>
        <w:div w:id="166948503">
          <w:marLeft w:val="0"/>
          <w:marRight w:val="0"/>
          <w:marTop w:val="0"/>
          <w:marBottom w:val="0"/>
          <w:divBdr>
            <w:top w:val="none" w:sz="0" w:space="0" w:color="auto"/>
            <w:left w:val="none" w:sz="0" w:space="0" w:color="auto"/>
            <w:bottom w:val="none" w:sz="0" w:space="0" w:color="auto"/>
            <w:right w:val="none" w:sz="0" w:space="0" w:color="auto"/>
          </w:divBdr>
        </w:div>
        <w:div w:id="1302078164">
          <w:marLeft w:val="0"/>
          <w:marRight w:val="0"/>
          <w:marTop w:val="0"/>
          <w:marBottom w:val="0"/>
          <w:divBdr>
            <w:top w:val="none" w:sz="0" w:space="0" w:color="auto"/>
            <w:left w:val="none" w:sz="0" w:space="0" w:color="auto"/>
            <w:bottom w:val="none" w:sz="0" w:space="0" w:color="auto"/>
            <w:right w:val="none" w:sz="0" w:space="0" w:color="auto"/>
          </w:divBdr>
        </w:div>
        <w:div w:id="751976620">
          <w:marLeft w:val="0"/>
          <w:marRight w:val="0"/>
          <w:marTop w:val="0"/>
          <w:marBottom w:val="0"/>
          <w:divBdr>
            <w:top w:val="none" w:sz="0" w:space="0" w:color="auto"/>
            <w:left w:val="none" w:sz="0" w:space="0" w:color="auto"/>
            <w:bottom w:val="none" w:sz="0" w:space="0" w:color="auto"/>
            <w:right w:val="none" w:sz="0" w:space="0" w:color="auto"/>
          </w:divBdr>
        </w:div>
        <w:div w:id="477964449">
          <w:marLeft w:val="0"/>
          <w:marRight w:val="0"/>
          <w:marTop w:val="0"/>
          <w:marBottom w:val="0"/>
          <w:divBdr>
            <w:top w:val="none" w:sz="0" w:space="0" w:color="auto"/>
            <w:left w:val="none" w:sz="0" w:space="0" w:color="auto"/>
            <w:bottom w:val="none" w:sz="0" w:space="0" w:color="auto"/>
            <w:right w:val="none" w:sz="0" w:space="0" w:color="auto"/>
          </w:divBdr>
        </w:div>
        <w:div w:id="1298219646">
          <w:marLeft w:val="0"/>
          <w:marRight w:val="0"/>
          <w:marTop w:val="0"/>
          <w:marBottom w:val="0"/>
          <w:divBdr>
            <w:top w:val="none" w:sz="0" w:space="0" w:color="auto"/>
            <w:left w:val="none" w:sz="0" w:space="0" w:color="auto"/>
            <w:bottom w:val="none" w:sz="0" w:space="0" w:color="auto"/>
            <w:right w:val="none" w:sz="0" w:space="0" w:color="auto"/>
          </w:divBdr>
        </w:div>
        <w:div w:id="27419943">
          <w:marLeft w:val="0"/>
          <w:marRight w:val="0"/>
          <w:marTop w:val="0"/>
          <w:marBottom w:val="0"/>
          <w:divBdr>
            <w:top w:val="none" w:sz="0" w:space="0" w:color="auto"/>
            <w:left w:val="none" w:sz="0" w:space="0" w:color="auto"/>
            <w:bottom w:val="none" w:sz="0" w:space="0" w:color="auto"/>
            <w:right w:val="none" w:sz="0" w:space="0" w:color="auto"/>
          </w:divBdr>
        </w:div>
        <w:div w:id="567691131">
          <w:marLeft w:val="0"/>
          <w:marRight w:val="0"/>
          <w:marTop w:val="0"/>
          <w:marBottom w:val="0"/>
          <w:divBdr>
            <w:top w:val="none" w:sz="0" w:space="0" w:color="auto"/>
            <w:left w:val="none" w:sz="0" w:space="0" w:color="auto"/>
            <w:bottom w:val="none" w:sz="0" w:space="0" w:color="auto"/>
            <w:right w:val="none" w:sz="0" w:space="0" w:color="auto"/>
          </w:divBdr>
        </w:div>
        <w:div w:id="1237013178">
          <w:marLeft w:val="0"/>
          <w:marRight w:val="0"/>
          <w:marTop w:val="0"/>
          <w:marBottom w:val="0"/>
          <w:divBdr>
            <w:top w:val="none" w:sz="0" w:space="0" w:color="auto"/>
            <w:left w:val="none" w:sz="0" w:space="0" w:color="auto"/>
            <w:bottom w:val="none" w:sz="0" w:space="0" w:color="auto"/>
            <w:right w:val="none" w:sz="0" w:space="0" w:color="auto"/>
          </w:divBdr>
          <w:divsChild>
            <w:div w:id="2005936847">
              <w:marLeft w:val="0"/>
              <w:marRight w:val="0"/>
              <w:marTop w:val="0"/>
              <w:marBottom w:val="0"/>
              <w:divBdr>
                <w:top w:val="none" w:sz="0" w:space="0" w:color="auto"/>
                <w:left w:val="none" w:sz="0" w:space="0" w:color="auto"/>
                <w:bottom w:val="none" w:sz="0" w:space="0" w:color="auto"/>
                <w:right w:val="none" w:sz="0" w:space="0" w:color="auto"/>
              </w:divBdr>
            </w:div>
            <w:div w:id="652758373">
              <w:marLeft w:val="0"/>
              <w:marRight w:val="0"/>
              <w:marTop w:val="0"/>
              <w:marBottom w:val="0"/>
              <w:divBdr>
                <w:top w:val="none" w:sz="0" w:space="0" w:color="auto"/>
                <w:left w:val="none" w:sz="0" w:space="0" w:color="auto"/>
                <w:bottom w:val="none" w:sz="0" w:space="0" w:color="auto"/>
                <w:right w:val="none" w:sz="0" w:space="0" w:color="auto"/>
              </w:divBdr>
            </w:div>
            <w:div w:id="1463109137">
              <w:marLeft w:val="0"/>
              <w:marRight w:val="0"/>
              <w:marTop w:val="0"/>
              <w:marBottom w:val="0"/>
              <w:divBdr>
                <w:top w:val="none" w:sz="0" w:space="0" w:color="auto"/>
                <w:left w:val="none" w:sz="0" w:space="0" w:color="auto"/>
                <w:bottom w:val="none" w:sz="0" w:space="0" w:color="auto"/>
                <w:right w:val="none" w:sz="0" w:space="0" w:color="auto"/>
              </w:divBdr>
            </w:div>
            <w:div w:id="1189220423">
              <w:marLeft w:val="0"/>
              <w:marRight w:val="0"/>
              <w:marTop w:val="0"/>
              <w:marBottom w:val="0"/>
              <w:divBdr>
                <w:top w:val="none" w:sz="0" w:space="0" w:color="auto"/>
                <w:left w:val="none" w:sz="0" w:space="0" w:color="auto"/>
                <w:bottom w:val="none" w:sz="0" w:space="0" w:color="auto"/>
                <w:right w:val="none" w:sz="0" w:space="0" w:color="auto"/>
              </w:divBdr>
            </w:div>
            <w:div w:id="599798172">
              <w:marLeft w:val="0"/>
              <w:marRight w:val="0"/>
              <w:marTop w:val="0"/>
              <w:marBottom w:val="0"/>
              <w:divBdr>
                <w:top w:val="none" w:sz="0" w:space="0" w:color="auto"/>
                <w:left w:val="none" w:sz="0" w:space="0" w:color="auto"/>
                <w:bottom w:val="none" w:sz="0" w:space="0" w:color="auto"/>
                <w:right w:val="none" w:sz="0" w:space="0" w:color="auto"/>
              </w:divBdr>
            </w:div>
          </w:divsChild>
        </w:div>
        <w:div w:id="1968126785">
          <w:marLeft w:val="0"/>
          <w:marRight w:val="0"/>
          <w:marTop w:val="0"/>
          <w:marBottom w:val="0"/>
          <w:divBdr>
            <w:top w:val="none" w:sz="0" w:space="0" w:color="auto"/>
            <w:left w:val="none" w:sz="0" w:space="0" w:color="auto"/>
            <w:bottom w:val="none" w:sz="0" w:space="0" w:color="auto"/>
            <w:right w:val="none" w:sz="0" w:space="0" w:color="auto"/>
          </w:divBdr>
          <w:divsChild>
            <w:div w:id="1094595655">
              <w:marLeft w:val="0"/>
              <w:marRight w:val="0"/>
              <w:marTop w:val="0"/>
              <w:marBottom w:val="0"/>
              <w:divBdr>
                <w:top w:val="none" w:sz="0" w:space="0" w:color="auto"/>
                <w:left w:val="none" w:sz="0" w:space="0" w:color="auto"/>
                <w:bottom w:val="none" w:sz="0" w:space="0" w:color="auto"/>
                <w:right w:val="none" w:sz="0" w:space="0" w:color="auto"/>
              </w:divBdr>
            </w:div>
            <w:div w:id="300577581">
              <w:marLeft w:val="0"/>
              <w:marRight w:val="0"/>
              <w:marTop w:val="0"/>
              <w:marBottom w:val="0"/>
              <w:divBdr>
                <w:top w:val="none" w:sz="0" w:space="0" w:color="auto"/>
                <w:left w:val="none" w:sz="0" w:space="0" w:color="auto"/>
                <w:bottom w:val="none" w:sz="0" w:space="0" w:color="auto"/>
                <w:right w:val="none" w:sz="0" w:space="0" w:color="auto"/>
              </w:divBdr>
            </w:div>
            <w:div w:id="1587491385">
              <w:marLeft w:val="0"/>
              <w:marRight w:val="0"/>
              <w:marTop w:val="0"/>
              <w:marBottom w:val="0"/>
              <w:divBdr>
                <w:top w:val="none" w:sz="0" w:space="0" w:color="auto"/>
                <w:left w:val="none" w:sz="0" w:space="0" w:color="auto"/>
                <w:bottom w:val="none" w:sz="0" w:space="0" w:color="auto"/>
                <w:right w:val="none" w:sz="0" w:space="0" w:color="auto"/>
              </w:divBdr>
            </w:div>
            <w:div w:id="1511069635">
              <w:marLeft w:val="0"/>
              <w:marRight w:val="0"/>
              <w:marTop w:val="0"/>
              <w:marBottom w:val="0"/>
              <w:divBdr>
                <w:top w:val="none" w:sz="0" w:space="0" w:color="auto"/>
                <w:left w:val="none" w:sz="0" w:space="0" w:color="auto"/>
                <w:bottom w:val="none" w:sz="0" w:space="0" w:color="auto"/>
                <w:right w:val="none" w:sz="0" w:space="0" w:color="auto"/>
              </w:divBdr>
            </w:div>
            <w:div w:id="801273057">
              <w:marLeft w:val="0"/>
              <w:marRight w:val="0"/>
              <w:marTop w:val="0"/>
              <w:marBottom w:val="0"/>
              <w:divBdr>
                <w:top w:val="none" w:sz="0" w:space="0" w:color="auto"/>
                <w:left w:val="none" w:sz="0" w:space="0" w:color="auto"/>
                <w:bottom w:val="none" w:sz="0" w:space="0" w:color="auto"/>
                <w:right w:val="none" w:sz="0" w:space="0" w:color="auto"/>
              </w:divBdr>
            </w:div>
          </w:divsChild>
        </w:div>
        <w:div w:id="249316223">
          <w:marLeft w:val="0"/>
          <w:marRight w:val="0"/>
          <w:marTop w:val="0"/>
          <w:marBottom w:val="0"/>
          <w:divBdr>
            <w:top w:val="none" w:sz="0" w:space="0" w:color="auto"/>
            <w:left w:val="none" w:sz="0" w:space="0" w:color="auto"/>
            <w:bottom w:val="none" w:sz="0" w:space="0" w:color="auto"/>
            <w:right w:val="none" w:sz="0" w:space="0" w:color="auto"/>
          </w:divBdr>
          <w:divsChild>
            <w:div w:id="1285111598">
              <w:marLeft w:val="0"/>
              <w:marRight w:val="0"/>
              <w:marTop w:val="0"/>
              <w:marBottom w:val="0"/>
              <w:divBdr>
                <w:top w:val="none" w:sz="0" w:space="0" w:color="auto"/>
                <w:left w:val="none" w:sz="0" w:space="0" w:color="auto"/>
                <w:bottom w:val="none" w:sz="0" w:space="0" w:color="auto"/>
                <w:right w:val="none" w:sz="0" w:space="0" w:color="auto"/>
              </w:divBdr>
            </w:div>
            <w:div w:id="1969895787">
              <w:marLeft w:val="0"/>
              <w:marRight w:val="0"/>
              <w:marTop w:val="0"/>
              <w:marBottom w:val="0"/>
              <w:divBdr>
                <w:top w:val="none" w:sz="0" w:space="0" w:color="auto"/>
                <w:left w:val="none" w:sz="0" w:space="0" w:color="auto"/>
                <w:bottom w:val="none" w:sz="0" w:space="0" w:color="auto"/>
                <w:right w:val="none" w:sz="0" w:space="0" w:color="auto"/>
              </w:divBdr>
            </w:div>
            <w:div w:id="1547839005">
              <w:marLeft w:val="0"/>
              <w:marRight w:val="0"/>
              <w:marTop w:val="0"/>
              <w:marBottom w:val="0"/>
              <w:divBdr>
                <w:top w:val="none" w:sz="0" w:space="0" w:color="auto"/>
                <w:left w:val="none" w:sz="0" w:space="0" w:color="auto"/>
                <w:bottom w:val="none" w:sz="0" w:space="0" w:color="auto"/>
                <w:right w:val="none" w:sz="0" w:space="0" w:color="auto"/>
              </w:divBdr>
            </w:div>
            <w:div w:id="515195831">
              <w:marLeft w:val="0"/>
              <w:marRight w:val="0"/>
              <w:marTop w:val="0"/>
              <w:marBottom w:val="0"/>
              <w:divBdr>
                <w:top w:val="none" w:sz="0" w:space="0" w:color="auto"/>
                <w:left w:val="none" w:sz="0" w:space="0" w:color="auto"/>
                <w:bottom w:val="none" w:sz="0" w:space="0" w:color="auto"/>
                <w:right w:val="none" w:sz="0" w:space="0" w:color="auto"/>
              </w:divBdr>
            </w:div>
            <w:div w:id="314334078">
              <w:marLeft w:val="0"/>
              <w:marRight w:val="0"/>
              <w:marTop w:val="0"/>
              <w:marBottom w:val="0"/>
              <w:divBdr>
                <w:top w:val="none" w:sz="0" w:space="0" w:color="auto"/>
                <w:left w:val="none" w:sz="0" w:space="0" w:color="auto"/>
                <w:bottom w:val="none" w:sz="0" w:space="0" w:color="auto"/>
                <w:right w:val="none" w:sz="0" w:space="0" w:color="auto"/>
              </w:divBdr>
            </w:div>
          </w:divsChild>
        </w:div>
        <w:div w:id="1771118377">
          <w:marLeft w:val="0"/>
          <w:marRight w:val="0"/>
          <w:marTop w:val="0"/>
          <w:marBottom w:val="0"/>
          <w:divBdr>
            <w:top w:val="none" w:sz="0" w:space="0" w:color="auto"/>
            <w:left w:val="none" w:sz="0" w:space="0" w:color="auto"/>
            <w:bottom w:val="none" w:sz="0" w:space="0" w:color="auto"/>
            <w:right w:val="none" w:sz="0" w:space="0" w:color="auto"/>
          </w:divBdr>
          <w:divsChild>
            <w:div w:id="1315983892">
              <w:marLeft w:val="0"/>
              <w:marRight w:val="0"/>
              <w:marTop w:val="0"/>
              <w:marBottom w:val="0"/>
              <w:divBdr>
                <w:top w:val="none" w:sz="0" w:space="0" w:color="auto"/>
                <w:left w:val="none" w:sz="0" w:space="0" w:color="auto"/>
                <w:bottom w:val="none" w:sz="0" w:space="0" w:color="auto"/>
                <w:right w:val="none" w:sz="0" w:space="0" w:color="auto"/>
              </w:divBdr>
            </w:div>
          </w:divsChild>
        </w:div>
        <w:div w:id="324089387">
          <w:marLeft w:val="0"/>
          <w:marRight w:val="0"/>
          <w:marTop w:val="0"/>
          <w:marBottom w:val="0"/>
          <w:divBdr>
            <w:top w:val="none" w:sz="0" w:space="0" w:color="auto"/>
            <w:left w:val="none" w:sz="0" w:space="0" w:color="auto"/>
            <w:bottom w:val="none" w:sz="0" w:space="0" w:color="auto"/>
            <w:right w:val="none" w:sz="0" w:space="0" w:color="auto"/>
          </w:divBdr>
          <w:divsChild>
            <w:div w:id="862935206">
              <w:marLeft w:val="0"/>
              <w:marRight w:val="0"/>
              <w:marTop w:val="0"/>
              <w:marBottom w:val="0"/>
              <w:divBdr>
                <w:top w:val="none" w:sz="0" w:space="0" w:color="auto"/>
                <w:left w:val="none" w:sz="0" w:space="0" w:color="auto"/>
                <w:bottom w:val="none" w:sz="0" w:space="0" w:color="auto"/>
                <w:right w:val="none" w:sz="0" w:space="0" w:color="auto"/>
              </w:divBdr>
            </w:div>
            <w:div w:id="2062750954">
              <w:marLeft w:val="0"/>
              <w:marRight w:val="0"/>
              <w:marTop w:val="0"/>
              <w:marBottom w:val="0"/>
              <w:divBdr>
                <w:top w:val="none" w:sz="0" w:space="0" w:color="auto"/>
                <w:left w:val="none" w:sz="0" w:space="0" w:color="auto"/>
                <w:bottom w:val="none" w:sz="0" w:space="0" w:color="auto"/>
                <w:right w:val="none" w:sz="0" w:space="0" w:color="auto"/>
              </w:divBdr>
            </w:div>
            <w:div w:id="1482388714">
              <w:marLeft w:val="0"/>
              <w:marRight w:val="0"/>
              <w:marTop w:val="0"/>
              <w:marBottom w:val="0"/>
              <w:divBdr>
                <w:top w:val="none" w:sz="0" w:space="0" w:color="auto"/>
                <w:left w:val="none" w:sz="0" w:space="0" w:color="auto"/>
                <w:bottom w:val="none" w:sz="0" w:space="0" w:color="auto"/>
                <w:right w:val="none" w:sz="0" w:space="0" w:color="auto"/>
              </w:divBdr>
            </w:div>
            <w:div w:id="1746488439">
              <w:marLeft w:val="0"/>
              <w:marRight w:val="0"/>
              <w:marTop w:val="0"/>
              <w:marBottom w:val="0"/>
              <w:divBdr>
                <w:top w:val="none" w:sz="0" w:space="0" w:color="auto"/>
                <w:left w:val="none" w:sz="0" w:space="0" w:color="auto"/>
                <w:bottom w:val="none" w:sz="0" w:space="0" w:color="auto"/>
                <w:right w:val="none" w:sz="0" w:space="0" w:color="auto"/>
              </w:divBdr>
            </w:div>
          </w:divsChild>
        </w:div>
        <w:div w:id="535310954">
          <w:marLeft w:val="0"/>
          <w:marRight w:val="0"/>
          <w:marTop w:val="0"/>
          <w:marBottom w:val="0"/>
          <w:divBdr>
            <w:top w:val="none" w:sz="0" w:space="0" w:color="auto"/>
            <w:left w:val="none" w:sz="0" w:space="0" w:color="auto"/>
            <w:bottom w:val="none" w:sz="0" w:space="0" w:color="auto"/>
            <w:right w:val="none" w:sz="0" w:space="0" w:color="auto"/>
          </w:divBdr>
        </w:div>
        <w:div w:id="571895436">
          <w:marLeft w:val="0"/>
          <w:marRight w:val="0"/>
          <w:marTop w:val="0"/>
          <w:marBottom w:val="0"/>
          <w:divBdr>
            <w:top w:val="none" w:sz="0" w:space="0" w:color="auto"/>
            <w:left w:val="none" w:sz="0" w:space="0" w:color="auto"/>
            <w:bottom w:val="none" w:sz="0" w:space="0" w:color="auto"/>
            <w:right w:val="none" w:sz="0" w:space="0" w:color="auto"/>
          </w:divBdr>
        </w:div>
        <w:div w:id="560212120">
          <w:marLeft w:val="0"/>
          <w:marRight w:val="0"/>
          <w:marTop w:val="0"/>
          <w:marBottom w:val="0"/>
          <w:divBdr>
            <w:top w:val="none" w:sz="0" w:space="0" w:color="auto"/>
            <w:left w:val="none" w:sz="0" w:space="0" w:color="auto"/>
            <w:bottom w:val="none" w:sz="0" w:space="0" w:color="auto"/>
            <w:right w:val="none" w:sz="0" w:space="0" w:color="auto"/>
          </w:divBdr>
        </w:div>
        <w:div w:id="1834829874">
          <w:marLeft w:val="0"/>
          <w:marRight w:val="0"/>
          <w:marTop w:val="0"/>
          <w:marBottom w:val="0"/>
          <w:divBdr>
            <w:top w:val="none" w:sz="0" w:space="0" w:color="auto"/>
            <w:left w:val="none" w:sz="0" w:space="0" w:color="auto"/>
            <w:bottom w:val="none" w:sz="0" w:space="0" w:color="auto"/>
            <w:right w:val="none" w:sz="0" w:space="0" w:color="auto"/>
          </w:divBdr>
        </w:div>
        <w:div w:id="1167285695">
          <w:marLeft w:val="0"/>
          <w:marRight w:val="0"/>
          <w:marTop w:val="0"/>
          <w:marBottom w:val="0"/>
          <w:divBdr>
            <w:top w:val="none" w:sz="0" w:space="0" w:color="auto"/>
            <w:left w:val="none" w:sz="0" w:space="0" w:color="auto"/>
            <w:bottom w:val="none" w:sz="0" w:space="0" w:color="auto"/>
            <w:right w:val="none" w:sz="0" w:space="0" w:color="auto"/>
          </w:divBdr>
        </w:div>
        <w:div w:id="218127351">
          <w:marLeft w:val="0"/>
          <w:marRight w:val="0"/>
          <w:marTop w:val="0"/>
          <w:marBottom w:val="0"/>
          <w:divBdr>
            <w:top w:val="none" w:sz="0" w:space="0" w:color="auto"/>
            <w:left w:val="none" w:sz="0" w:space="0" w:color="auto"/>
            <w:bottom w:val="none" w:sz="0" w:space="0" w:color="auto"/>
            <w:right w:val="none" w:sz="0" w:space="0" w:color="auto"/>
          </w:divBdr>
        </w:div>
      </w:divsChild>
    </w:div>
    <w:div w:id="2087412823">
      <w:bodyDiv w:val="1"/>
      <w:marLeft w:val="0"/>
      <w:marRight w:val="0"/>
      <w:marTop w:val="0"/>
      <w:marBottom w:val="0"/>
      <w:divBdr>
        <w:top w:val="none" w:sz="0" w:space="0" w:color="auto"/>
        <w:left w:val="none" w:sz="0" w:space="0" w:color="auto"/>
        <w:bottom w:val="none" w:sz="0" w:space="0" w:color="auto"/>
        <w:right w:val="none" w:sz="0" w:space="0" w:color="auto"/>
      </w:divBdr>
      <w:divsChild>
        <w:div w:id="646400452">
          <w:marLeft w:val="0"/>
          <w:marRight w:val="0"/>
          <w:marTop w:val="0"/>
          <w:marBottom w:val="0"/>
          <w:divBdr>
            <w:top w:val="none" w:sz="0" w:space="0" w:color="auto"/>
            <w:left w:val="none" w:sz="0" w:space="0" w:color="auto"/>
            <w:bottom w:val="none" w:sz="0" w:space="0" w:color="auto"/>
            <w:right w:val="none" w:sz="0" w:space="0" w:color="auto"/>
          </w:divBdr>
          <w:divsChild>
            <w:div w:id="1885363711">
              <w:marLeft w:val="0"/>
              <w:marRight w:val="0"/>
              <w:marTop w:val="0"/>
              <w:marBottom w:val="0"/>
              <w:divBdr>
                <w:top w:val="none" w:sz="0" w:space="0" w:color="auto"/>
                <w:left w:val="none" w:sz="0" w:space="0" w:color="auto"/>
                <w:bottom w:val="none" w:sz="0" w:space="0" w:color="auto"/>
                <w:right w:val="none" w:sz="0" w:space="0" w:color="auto"/>
              </w:divBdr>
              <w:divsChild>
                <w:div w:id="510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s/publications/608/" TargetMode="External" Id="rId13" /><Relationship Type="http://schemas.openxmlformats.org/officeDocument/2006/relationships/hyperlink" Target="https://www.ippc.int/es/publications/90774/" TargetMode="External" Id="rId18" /><Relationship Type="http://schemas.openxmlformats.org/officeDocument/2006/relationships/customXml" Target="../customXml/item3.xml" Id="rId3" /><Relationship Type="http://schemas.openxmlformats.org/officeDocument/2006/relationships/hyperlink" Target="https://assets.ippc.int/static/media/files/publication/es/2016/03/28_CPM_2016_April_NRO_Procedures_MP856_Es.pdf" TargetMode="External" Id="rId21" /><Relationship Type="http://schemas.openxmlformats.org/officeDocument/2006/relationships/settings" Target="settings.xml" Id="rId7" /><Relationship Type="http://schemas.openxmlformats.org/officeDocument/2006/relationships/hyperlink" Target="https://www.ippc.int/es/publications/612/" TargetMode="External" Id="rId12" /><Relationship Type="http://schemas.openxmlformats.org/officeDocument/2006/relationships/hyperlink" Target="https://www.fao.org/documents/card/es/c/cb6103en/" TargetMode="External" Id="rId17" /><Relationship Type="http://schemas.openxmlformats.org/officeDocument/2006/relationships/customXml" Target="../customXml/item2.xml" Id="rId2" /><Relationship Type="http://schemas.openxmlformats.org/officeDocument/2006/relationships/hyperlink" Target="https://www.ippc.int/es/e-learning/" TargetMode="External" Id="rId16" /><Relationship Type="http://schemas.openxmlformats.org/officeDocument/2006/relationships/hyperlink" Target="https://assets.ippc.int/static/media/files/publication/es/2016/02/26_CPM_2016_April_NRO_Qualitycontrol_MP801_Es.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publications/622/" TargetMode="External" Id="rId11" /><Relationship Type="http://schemas.openxmlformats.org/officeDocument/2006/relationships/numbering" Target="numbering.xml" Id="rId5" /><Relationship Type="http://schemas.openxmlformats.org/officeDocument/2006/relationships/hyperlink" Target="https://www.ippc.int/es/core-activities/capacity-development/capacity-development-committee/ic-sub-group/ic-team-for-national-reporting-obligations-nro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ippc.int/es/publications/80405/" TargetMode="External" Id="rId19" /><Relationship Type="http://schemas.microsoft.com/office/2019/09/relationships/intelligence" Target="intelligence.xml" Id="R8e156829e7f648d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s/publications/606/" TargetMode="External" Id="rId14" /><Relationship Type="http://schemas.openxmlformats.org/officeDocument/2006/relationships/fontTable" Target="fontTable.xml" Id="rId22"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2.xml><?xml version="1.0" encoding="utf-8"?>
<ds:datastoreItem xmlns:ds="http://schemas.openxmlformats.org/officeDocument/2006/customXml" ds:itemID="{5132C967-038D-4F4F-BE3B-0E50DEB2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4.xml><?xml version="1.0" encoding="utf-8"?>
<ds:datastoreItem xmlns:ds="http://schemas.openxmlformats.org/officeDocument/2006/customXml" ds:itemID="{B5D2C080-AB40-4A58-920E-C370B2E1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89</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28</cp:revision>
  <dcterms:created xsi:type="dcterms:W3CDTF">2022-06-02T14:21:00Z</dcterms:created>
  <dcterms:modified xsi:type="dcterms:W3CDTF">2022-07-01T12:12:00Z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