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r>
        <w:rPr>
          <w:sz w:val="20"/>
          <w:rStyle w:val="PleaseReviewParagraphId"/>
          <w:noProof/>
        </w:rPr>
        <w:t>[PleaseReview document review. Review title: 2021 ICD Draft Specification: Contingency planning, Guide (2019-012). Document title: 2021_ICD_DraftSpecification_GuideContingencyPlanning (2019-012)_ES.docx]</w:t>
      </w:r>
    </w:p>
    <w:p w14:paraId="174ECAE5" w14:textId="17037AAB">
      <w:pPr>
        <w:keepNext/>
        <w:spacing w:before="240" w:after="120" w:line="276" w:lineRule="auto"/>
        <w:outlineLvl w:val="1"/>
        <w:rPr>
          <w:rFonts w:ascii="Times New Roman" w:hAnsi="Times New Roman" w:eastAsia="MS Mincho" w:cs="Times New Roman"/>
          <w:b/>
          <w:bCs/>
          <w:iCs/>
          <w:sz w:val="28"/>
          <w:szCs w:val="28"/>
        </w:rPr>
      </w:pPr>
      <w:r>
        <w:rPr>
          <w:rStyle w:val="PleaseReviewParagraphId"/>
          <w:b w:val="off"/>
          <w:i w:val="off"/>
        </w:rPr>
        <w:t>[1]</w:t>
      </w:r>
      <w:r>
        <w:rPr>
          <w:rFonts w:ascii="Times New Roman" w:hAnsi="Times New Roman"/>
          <w:b/>
          <w:bCs/>
          <w:sz w:val="28"/>
          <w:szCs w:val="28"/>
        </w:rPr>
        <w:t>Proyecto de especificación para la Guía sobre planificación para contingencias</w:t>
      </w:r>
    </w:p>
    <w:p w14:paraId="71209780" w14:textId="45AF13A0">
      <w:pPr>
        <w:spacing w:before="60" w:after="60" w:line="276" w:lineRule="auto"/>
        <w:rPr>
          <w:rFonts w:ascii="Times New Roman" w:hAnsi="Times New Roman" w:eastAsia="Times" w:cs="Times New Roman"/>
          <w:b/>
          <w:bCs/>
        </w:rPr>
      </w:pPr>
      <w:r>
        <w:rPr>
          <w:rStyle w:val="PleaseReviewParagraphId"/>
          <w:b w:val="off"/>
          <w:i w:val="off"/>
        </w:rPr>
        <w:t>[2]</w:t>
      </w:r>
      <w:r>
        <w:rPr>
          <w:rFonts w:ascii="Times New Roman" w:hAnsi="Times New Roman"/>
          <w:b/>
          <w:bCs/>
        </w:rPr>
        <w:t>Historia de la publicación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265"/>
        <w:gridCol w:w="6735"/>
      </w:tblGrid>
      <w:tr w14:paraId="5B52CA16" w14:textId="77777777">
        <w:trPr>
          <w:trHeight w:val="300"/>
        </w:trPr>
        <w:tc>
          <w:tcPr>
            <w:tcW w:w="9000" w:type="dxa"/>
            <w:gridSpan w:val="2"/>
            <w:tcBorders>
              <w:top w:val="single" w:color="7F7F7F" w:themeColor="text1" w:themeTint="80" w:sz="6" w:space="0"/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</w:tcPr>
          <w:p w14:paraId="3D7D46B0" w14:textId="60B46B1A">
            <w:pPr>
              <w:spacing w:before="60" w:after="60" w:line="276" w:lineRule="auto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>
              <w:rPr>
                <w:rStyle w:val="PleaseReviewParagraphId"/>
                <w:b w:val="off"/>
                <w:i w:val="off"/>
              </w:rPr>
              <w:t>[3]</w:t>
            </w:r>
            <w:r>
              <w:rPr>
                <w:rFonts w:ascii="Arial" w:hAnsi="Arial" w:eastAsia="Arial" w:cs="Arial"/>
                <w:sz w:val="18"/>
                <w:szCs w:val="18"/>
                <w:lang w:val="en-CA"/>
              </w:rPr>
              <w:t>This status box is not an official part of the Guide and will be modified by the IPPC Secretariat</w:t>
            </w:r>
          </w:p>
        </w:tc>
      </w:tr>
      <w:tr w14:paraId="06A311D6" w14:textId="77777777">
        <w:trPr>
          <w:trHeight w:val="300"/>
        </w:trPr>
        <w:tc>
          <w:tcPr>
            <w:tcW w:w="2265" w:type="dxa"/>
            <w:tcBorders>
              <w:top w:val="single" w:color="7F7F7F" w:themeColor="text1" w:themeTint="80" w:sz="6" w:space="0"/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</w:tcPr>
          <w:p w14:paraId="458B0620" w14:textId="576D0B07">
            <w:pPr>
              <w:spacing w:before="60" w:after="60" w:line="276" w:lineRule="auto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>
              <w:rPr>
                <w:rStyle w:val="PleaseReviewParagraphId"/>
                <w:b w:val="off"/>
                <w:i w:val="off"/>
              </w:rPr>
              <w:t>[4]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  <w:lang w:val="en-CA"/>
              </w:rPr>
              <w:t>Topic number</w:t>
            </w:r>
          </w:p>
        </w:tc>
        <w:tc>
          <w:tcPr>
            <w:tcW w:w="6735" w:type="dxa"/>
            <w:tcBorders>
              <w:top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</w:tcPr>
          <w:p w14:paraId="65601EB6" w14:textId="1C8F5A0C">
            <w:pPr>
              <w:spacing w:before="60" w:after="60" w:line="276" w:lineRule="auto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>
              <w:rPr>
                <w:rStyle w:val="PleaseReviewParagraphId"/>
                <w:b w:val="off"/>
                <w:i w:val="off"/>
              </w:rPr>
              <w:t>[5]</w:t>
            </w:r>
            <w:r>
              <w:rPr>
                <w:rFonts w:ascii="Arial" w:hAnsi="Arial" w:eastAsia="Arial" w:cs="Arial"/>
                <w:sz w:val="18"/>
                <w:szCs w:val="18"/>
                <w:lang w:val="en-CA"/>
              </w:rPr>
              <w:t>2019-012</w:t>
            </w:r>
          </w:p>
        </w:tc>
      </w:tr>
      <w:tr w14:paraId="562F8918" w14:textId="77777777">
        <w:trPr>
          <w:trHeight w:val="300"/>
        </w:trPr>
        <w:tc>
          <w:tcPr>
            <w:tcW w:w="2265" w:type="dxa"/>
            <w:tcBorders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</w:tcPr>
          <w:p w14:paraId="1D96D12F" w14:textId="6757AACD">
            <w:pPr>
              <w:spacing w:before="60" w:after="60" w:line="276" w:lineRule="auto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>
              <w:rPr>
                <w:rStyle w:val="PleaseReviewParagraphId"/>
                <w:b w:val="off"/>
                <w:i w:val="off"/>
              </w:rPr>
              <w:t>[6]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  <w:lang w:val="en-CA"/>
              </w:rPr>
              <w:t>Title</w:t>
            </w:r>
          </w:p>
        </w:tc>
        <w:tc>
          <w:tcPr>
            <w:tcW w:w="6735" w:type="dxa"/>
            <w:tcBorders>
              <w:bottom w:val="single" w:color="7F7F7F" w:themeColor="text1" w:themeTint="80" w:sz="6" w:space="0"/>
              <w:right w:val="single" w:color="7F7F7F" w:themeColor="text1" w:themeTint="80" w:sz="6" w:space="0"/>
            </w:tcBorders>
          </w:tcPr>
          <w:p w14:paraId="26813748" w14:textId="3969040A">
            <w:pPr>
              <w:spacing w:before="60" w:after="60" w:line="276" w:lineRule="auto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>
              <w:rPr>
                <w:rStyle w:val="PleaseReviewParagraphId"/>
                <w:b w:val="off"/>
                <w:i w:val="off"/>
              </w:rPr>
              <w:t>[7]</w:t>
            </w:r>
            <w:r>
              <w:rPr>
                <w:rFonts w:ascii="Arial" w:hAnsi="Arial" w:eastAsia="Arial" w:cs="Arial"/>
                <w:sz w:val="18"/>
                <w:szCs w:val="18"/>
                <w:lang w:val="en-CA"/>
              </w:rPr>
              <w:t>Guide on Contingency Planning</w:t>
            </w:r>
          </w:p>
        </w:tc>
      </w:tr>
      <w:tr w14:paraId="2D4036FC" w14:textId="77777777">
        <w:trPr>
          <w:trHeight w:val="300"/>
        </w:trPr>
        <w:tc>
          <w:tcPr>
            <w:tcW w:w="2265" w:type="dxa"/>
            <w:tcBorders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</w:tcPr>
          <w:p w14:paraId="08366F88" w14:textId="21F86145">
            <w:pPr>
              <w:spacing w:before="60" w:after="60" w:line="276" w:lineRule="auto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>
              <w:rPr>
                <w:rStyle w:val="PleaseReviewParagraphId"/>
                <w:b w:val="off"/>
                <w:i w:val="off"/>
              </w:rPr>
              <w:t>[8]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  <w:lang w:val="en-CA"/>
              </w:rPr>
              <w:t>Type of implementation resource</w:t>
            </w:r>
          </w:p>
        </w:tc>
        <w:tc>
          <w:tcPr>
            <w:tcW w:w="6735" w:type="dxa"/>
            <w:tcBorders>
              <w:bottom w:val="single" w:color="7F7F7F" w:themeColor="text1" w:themeTint="80" w:sz="6" w:space="0"/>
              <w:right w:val="single" w:color="7F7F7F" w:themeColor="text1" w:themeTint="80" w:sz="6" w:space="0"/>
            </w:tcBorders>
          </w:tcPr>
          <w:p w14:paraId="0D4BCD51" w14:textId="1AAE3AB1">
            <w:pPr>
              <w:spacing w:before="60" w:after="60" w:line="276" w:lineRule="auto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>
              <w:rPr>
                <w:rStyle w:val="PleaseReviewParagraphId"/>
                <w:b w:val="off"/>
                <w:i w:val="off"/>
              </w:rPr>
              <w:t>[9]</w:t>
            </w:r>
            <w:r>
              <w:rPr>
                <w:rFonts w:ascii="Arial" w:hAnsi="Arial" w:eastAsia="Arial" w:cs="Arial"/>
                <w:sz w:val="18"/>
                <w:szCs w:val="18"/>
                <w:lang w:val="en-CA"/>
              </w:rPr>
              <w:t>IPPC Guide</w:t>
            </w:r>
          </w:p>
        </w:tc>
      </w:tr>
      <w:tr w14:paraId="08664AE7" w14:textId="77777777">
        <w:trPr>
          <w:trHeight w:val="300"/>
        </w:trPr>
        <w:tc>
          <w:tcPr>
            <w:tcW w:w="2265" w:type="dxa"/>
            <w:tcBorders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</w:tcPr>
          <w:p w14:paraId="3960751B" w14:textId="6A5F14E1">
            <w:pPr>
              <w:spacing w:before="60" w:after="60" w:line="276" w:lineRule="auto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>
              <w:rPr>
                <w:rStyle w:val="PleaseReviewParagraphId"/>
                <w:b w:val="off"/>
                <w:i w:val="off"/>
              </w:rPr>
              <w:t>[10]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  <w:lang w:val="en-CA"/>
              </w:rPr>
              <w:t>Date of this document</w:t>
            </w:r>
          </w:p>
        </w:tc>
        <w:tc>
          <w:tcPr>
            <w:tcW w:w="6735" w:type="dxa"/>
            <w:tcBorders>
              <w:bottom w:val="single" w:color="7F7F7F" w:themeColor="text1" w:themeTint="80" w:sz="6" w:space="0"/>
              <w:right w:val="single" w:color="7F7F7F" w:themeColor="text1" w:themeTint="80" w:sz="6" w:space="0"/>
            </w:tcBorders>
          </w:tcPr>
          <w:p w14:paraId="69D0A0EF" w14:textId="009EC6D2">
            <w:pPr>
              <w:spacing w:before="60" w:after="60" w:line="276" w:lineRule="auto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>
              <w:rPr>
                <w:rStyle w:val="PleaseReviewParagraphId"/>
                <w:b w:val="off"/>
                <w:i w:val="off"/>
              </w:rPr>
              <w:t>[11]</w:t>
            </w:r>
            <w:r>
              <w:rPr>
                <w:rFonts w:ascii="Arial" w:hAnsi="Arial" w:eastAsia="Arial" w:cs="Arial"/>
                <w:sz w:val="18"/>
                <w:szCs w:val="18"/>
                <w:lang w:val="en-CA"/>
              </w:rPr>
              <w:t>2021-04-15</w:t>
            </w:r>
          </w:p>
        </w:tc>
      </w:tr>
      <w:tr w14:paraId="379A8A26" w14:textId="77777777">
        <w:trPr>
          <w:trHeight w:val="300"/>
        </w:trPr>
        <w:tc>
          <w:tcPr>
            <w:tcW w:w="2265" w:type="dxa"/>
            <w:tcBorders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</w:tcPr>
          <w:p w14:paraId="41A8C846" w14:textId="1C4C7802">
            <w:pPr>
              <w:spacing w:before="60" w:after="60" w:line="276" w:lineRule="auto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>
              <w:rPr>
                <w:rStyle w:val="PleaseReviewParagraphId"/>
                <w:b w:val="off"/>
                <w:i w:val="off"/>
              </w:rPr>
              <w:t>[12]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  <w:lang w:val="en-CA"/>
              </w:rPr>
              <w:t>Current document stage</w:t>
            </w:r>
          </w:p>
        </w:tc>
        <w:tc>
          <w:tcPr>
            <w:tcW w:w="6735" w:type="dxa"/>
            <w:tcBorders>
              <w:bottom w:val="single" w:color="7F7F7F" w:themeColor="text1" w:themeTint="80" w:sz="6" w:space="0"/>
              <w:right w:val="single" w:color="7F7F7F" w:themeColor="text1" w:themeTint="80" w:sz="6" w:space="0"/>
            </w:tcBorders>
          </w:tcPr>
          <w:p w14:paraId="18E6DFF4" w14:textId="21587FE4">
            <w:pPr>
              <w:spacing w:before="60" w:after="60" w:line="276" w:lineRule="auto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>
              <w:rPr>
                <w:rStyle w:val="PleaseReviewParagraphId"/>
                <w:b w:val="off"/>
                <w:i w:val="off"/>
              </w:rPr>
              <w:t>[13]</w:t>
            </w:r>
            <w:r>
              <w:rPr>
                <w:rFonts w:ascii="Arial" w:hAnsi="Arial" w:eastAsia="Arial" w:cs="Arial"/>
                <w:sz w:val="18"/>
                <w:szCs w:val="18"/>
                <w:lang w:val="en-CA"/>
              </w:rPr>
              <w:t>Draft Specification</w:t>
            </w:r>
          </w:p>
        </w:tc>
      </w:tr>
      <w:tr w14:paraId="160BCE54" w14:textId="77777777">
        <w:trPr>
          <w:trHeight w:val="480"/>
        </w:trPr>
        <w:tc>
          <w:tcPr>
            <w:tcW w:w="2265" w:type="dxa"/>
            <w:tcBorders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</w:tcPr>
          <w:p w14:paraId="446195FF" w14:textId="232953E6">
            <w:pPr>
              <w:spacing w:before="60" w:after="60" w:line="276" w:lineRule="auto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>
              <w:rPr>
                <w:rStyle w:val="PleaseReviewParagraphId"/>
                <w:b w:val="off"/>
                <w:i w:val="off"/>
              </w:rPr>
              <w:t>[14]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  <w:lang w:val="en-CA"/>
              </w:rPr>
              <w:t>Major stages completed</w:t>
            </w:r>
          </w:p>
        </w:tc>
        <w:tc>
          <w:tcPr>
            <w:tcW w:w="6735" w:type="dxa"/>
            <w:tcBorders>
              <w:bottom w:val="single" w:color="7F7F7F" w:themeColor="text1" w:themeTint="80" w:sz="6" w:space="0"/>
              <w:right w:val="single" w:color="7F7F7F" w:themeColor="text1" w:themeTint="80" w:sz="6" w:space="0"/>
            </w:tcBorders>
          </w:tcPr>
          <w:p w14:paraId="00AE225D" w14:textId="1AC578A7">
            <w:pPr>
              <w:spacing w:after="60" w:line="276" w:lineRule="auto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>
              <w:rPr>
                <w:rStyle w:val="PleaseReviewParagraphId"/>
                <w:b w:val="off"/>
                <w:i w:val="off"/>
              </w:rPr>
              <w:t>[15]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  <w:lang w:val="en-CA"/>
              </w:rPr>
              <w:t>2019-11:</w:t>
            </w:r>
            <w:r>
              <w:rPr>
                <w:rFonts w:ascii="Arial" w:hAnsi="Arial" w:eastAsia="Arial" w:cs="Arial"/>
                <w:sz w:val="18"/>
                <w:szCs w:val="18"/>
                <w:lang w:val="en-CA"/>
              </w:rPr>
              <w:t xml:space="preserve"> Implementation and Capacity Development Committee (IC) recommends adding this topic to the  List of Implementation and Capacity Development (ICD) Topics; priority 1</w:t>
            </w:r>
          </w:p>
          <w:p w14:paraId="166321DA" w14:textId="413B6675">
            <w:pPr>
              <w:spacing w:after="60" w:line="276" w:lineRule="auto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>
              <w:rPr>
                <w:rStyle w:val="PleaseReviewParagraphId"/>
                <w:b w:val="off"/>
                <w:i w:val="off"/>
              </w:rPr>
              <w:t>[16]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  <w:lang w:val="en-CA"/>
              </w:rPr>
              <w:t>2020-11:</w:t>
            </w:r>
            <w:r>
              <w:rPr>
                <w:rFonts w:ascii="Arial" w:hAnsi="Arial" w:eastAsia="Arial" w:cs="Arial"/>
                <w:sz w:val="18"/>
                <w:szCs w:val="18"/>
                <w:lang w:val="en-CA"/>
              </w:rPr>
              <w:t xml:space="preserve"> IC lead identified (Olga LAVRENTJEVA)</w:t>
            </w:r>
          </w:p>
          <w:p w14:paraId="25811A9E" w14:textId="25AFC4EB">
            <w:pPr>
              <w:spacing w:after="60" w:line="276" w:lineRule="auto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>
              <w:rPr>
                <w:rStyle w:val="PleaseReviewParagraphId"/>
                <w:b w:val="off"/>
                <w:i w:val="off"/>
              </w:rPr>
              <w:t>[17]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  <w:lang w:val="en-CA"/>
              </w:rPr>
              <w:t>2021-03:</w:t>
            </w:r>
            <w:r>
              <w:rPr>
                <w:rFonts w:ascii="Arial" w:hAnsi="Arial" w:eastAsia="Arial" w:cs="Arial"/>
                <w:sz w:val="18"/>
                <w:szCs w:val="18"/>
                <w:lang w:val="en-CA"/>
              </w:rPr>
              <w:t xml:space="preserve"> CPM-15 added this topic to List ICD Topics; priority 1</w:t>
            </w:r>
          </w:p>
          <w:p w14:paraId="7BBDE60A" w14:textId="382903B4">
            <w:pPr>
              <w:spacing w:after="60" w:line="276" w:lineRule="auto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>
              <w:rPr>
                <w:rStyle w:val="PleaseReviewParagraphId"/>
                <w:b w:val="off"/>
                <w:i w:val="off"/>
              </w:rPr>
              <w:t>[18]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  <w:lang w:val="en-CA"/>
              </w:rPr>
              <w:t>2021-04:</w:t>
            </w:r>
            <w:r>
              <w:rPr>
                <w:rFonts w:ascii="Arial" w:hAnsi="Arial" w:eastAsia="Arial" w:cs="Arial"/>
                <w:sz w:val="18"/>
                <w:szCs w:val="18"/>
                <w:lang w:val="en-CA"/>
              </w:rPr>
              <w:t xml:space="preserve"> IC review of draft Specification </w:t>
            </w:r>
          </w:p>
        </w:tc>
      </w:tr>
      <w:tr w14:paraId="0BF0D655" w14:textId="77777777">
        <w:trPr>
          <w:trHeight w:val="480"/>
        </w:trPr>
        <w:tc>
          <w:tcPr>
            <w:tcW w:w="2265" w:type="dxa"/>
            <w:tcBorders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</w:tcPr>
          <w:p w14:paraId="5511DE4C" w14:textId="7A547A4A">
            <w:pPr>
              <w:spacing w:before="60" w:after="60" w:line="276" w:lineRule="auto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>
              <w:rPr>
                <w:rStyle w:val="PleaseReviewParagraphId"/>
                <w:b w:val="off"/>
                <w:i w:val="off"/>
              </w:rPr>
              <w:t>[19]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  <w:lang w:val="en-CA"/>
              </w:rPr>
              <w:t>Implementation and Capacity Development Committee (IC) lead</w:t>
            </w:r>
          </w:p>
        </w:tc>
        <w:tc>
          <w:tcPr>
            <w:tcW w:w="6735" w:type="dxa"/>
            <w:tcBorders>
              <w:bottom w:val="single" w:color="7F7F7F" w:themeColor="text1" w:themeTint="80" w:sz="6" w:space="0"/>
              <w:right w:val="single" w:color="7F7F7F" w:themeColor="text1" w:themeTint="80" w:sz="6" w:space="0"/>
            </w:tcBorders>
          </w:tcPr>
          <w:p w14:paraId="17E0F0F1" w14:textId="12C7BB21">
            <w:pPr>
              <w:spacing w:before="60" w:after="60" w:line="276" w:lineRule="auto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>
              <w:rPr>
                <w:rStyle w:val="PleaseReviewParagraphId"/>
                <w:b w:val="off"/>
                <w:i w:val="off"/>
              </w:rPr>
              <w:t>[20]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  <w:lang w:val="en-CA"/>
              </w:rPr>
              <w:t>2020</w:t>
            </w:r>
            <w:r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CA"/>
              </w:rPr>
              <w:t>-11:</w:t>
            </w: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  <w:lang w:val="en-CA"/>
              </w:rPr>
              <w:t xml:space="preserve">  </w:t>
            </w:r>
            <w:r>
              <w:rPr>
                <w:rFonts w:ascii="Arial" w:hAnsi="Arial" w:eastAsia="Arial" w:cs="Arial"/>
                <w:sz w:val="18"/>
                <w:szCs w:val="18"/>
                <w:lang w:val="en-CA"/>
              </w:rPr>
              <w:t xml:space="preserve"> Olga LAVRENTJEVA</w:t>
            </w:r>
          </w:p>
        </w:tc>
      </w:tr>
      <w:tr w14:paraId="49EF41A8" w14:textId="77777777">
        <w:trPr>
          <w:trHeight w:val="480"/>
        </w:trPr>
        <w:tc>
          <w:tcPr>
            <w:tcW w:w="2265" w:type="dxa"/>
            <w:tcBorders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</w:tcPr>
          <w:p w14:paraId="0159FE19" w14:textId="50F31EA6">
            <w:pPr>
              <w:spacing w:before="60" w:after="60" w:line="276" w:lineRule="auto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>
              <w:rPr>
                <w:rStyle w:val="PleaseReviewParagraphId"/>
                <w:b w:val="off"/>
                <w:i w:val="off"/>
              </w:rPr>
              <w:t>[21]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  <w:lang w:val="en-CA"/>
              </w:rPr>
              <w:t>IPPC Secretariat lead</w:t>
            </w:r>
          </w:p>
        </w:tc>
        <w:tc>
          <w:tcPr>
            <w:tcW w:w="6735" w:type="dxa"/>
            <w:tcBorders>
              <w:bottom w:val="single" w:color="7F7F7F" w:themeColor="text1" w:themeTint="80" w:sz="6" w:space="0"/>
              <w:right w:val="single" w:color="7F7F7F" w:themeColor="text1" w:themeTint="80" w:sz="6" w:space="0"/>
            </w:tcBorders>
          </w:tcPr>
          <w:p w14:paraId="76508375" w14:textId="7DB90EF5">
            <w:pPr>
              <w:spacing w:before="60" w:after="60" w:line="276" w:lineRule="auto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>
              <w:rPr>
                <w:rStyle w:val="PleaseReviewParagraphId"/>
                <w:b w:val="off"/>
                <w:i w:val="off"/>
              </w:rPr>
              <w:t>[22]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  <w:lang w:val="en-CA"/>
              </w:rPr>
              <w:t>2021-02</w:t>
            </w:r>
            <w:r>
              <w:rPr>
                <w:rFonts w:ascii="Arial" w:hAnsi="Arial" w:eastAsia="Arial" w:cs="Arial"/>
                <w:sz w:val="18"/>
                <w:szCs w:val="18"/>
                <w:lang w:val="en-CA"/>
              </w:rPr>
              <w:t>: Sarah BRUNEL</w:t>
            </w:r>
          </w:p>
        </w:tc>
      </w:tr>
      <w:tr w14:paraId="5EDE9339" w14:textId="77777777">
        <w:trPr>
          <w:trHeight w:val="480"/>
        </w:trPr>
        <w:tc>
          <w:tcPr>
            <w:tcW w:w="2265" w:type="dxa"/>
            <w:tcBorders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</w:tcPr>
          <w:p w14:paraId="5B2C6D6F" w14:textId="731443B2">
            <w:pPr>
              <w:spacing w:before="60" w:after="60" w:line="276" w:lineRule="auto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>
              <w:rPr>
                <w:rStyle w:val="PleaseReviewParagraphId"/>
                <w:b w:val="off"/>
                <w:i w:val="off"/>
              </w:rPr>
              <w:t>[23]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  <w:lang w:val="en-CA"/>
              </w:rPr>
              <w:t xml:space="preserve">Working Group experts </w:t>
            </w:r>
          </w:p>
        </w:tc>
        <w:tc>
          <w:tcPr>
            <w:tcW w:w="6735" w:type="dxa"/>
            <w:tcBorders>
              <w:bottom w:val="single" w:color="7F7F7F" w:themeColor="text1" w:themeTint="80" w:sz="6" w:space="0"/>
              <w:right w:val="single" w:color="7F7F7F" w:themeColor="text1" w:themeTint="80" w:sz="6" w:space="0"/>
            </w:tcBorders>
          </w:tcPr>
          <w:p w14:paraId="7A3A2558" w14:textId="637023F6">
            <w:pPr>
              <w:spacing w:before="60" w:after="60" w:line="276" w:lineRule="auto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>
              <w:rPr>
                <w:rStyle w:val="PleaseReviewParagraphId"/>
                <w:b w:val="off"/>
                <w:i w:val="off"/>
              </w:rPr>
              <w:t>[24]</w:t>
            </w:r>
          </w:p>
        </w:tc>
      </w:tr>
      <w:tr w14:paraId="31B51E4D" w14:textId="77777777">
        <w:trPr>
          <w:trHeight w:val="480"/>
        </w:trPr>
        <w:tc>
          <w:tcPr>
            <w:tcW w:w="2265" w:type="dxa"/>
            <w:tcBorders>
              <w:left w:val="single" w:color="7F7F7F" w:themeColor="text1" w:themeTint="80" w:sz="6" w:space="0"/>
              <w:bottom w:val="single" w:color="auto" w:sz="6" w:space="0"/>
              <w:right w:val="single" w:color="7F7F7F" w:themeColor="text1" w:themeTint="80" w:sz="6" w:space="0"/>
            </w:tcBorders>
          </w:tcPr>
          <w:p w14:paraId="29B4CE37" w14:textId="44C2BE2C">
            <w:pPr>
              <w:spacing w:before="60" w:after="60" w:line="276" w:lineRule="auto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>
              <w:rPr>
                <w:rStyle w:val="PleaseReviewParagraphId"/>
                <w:b w:val="off"/>
                <w:i w:val="off"/>
              </w:rPr>
              <w:t>[25]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  <w:lang w:val="en-CA"/>
              </w:rPr>
              <w:t>Notes</w:t>
            </w:r>
          </w:p>
        </w:tc>
        <w:tc>
          <w:tcPr>
            <w:tcW w:w="6735" w:type="dxa"/>
            <w:tcBorders>
              <w:bottom w:val="single" w:color="auto" w:sz="6" w:space="0"/>
              <w:right w:val="single" w:color="7F7F7F" w:themeColor="text1" w:themeTint="80" w:sz="6" w:space="0"/>
            </w:tcBorders>
          </w:tcPr>
          <w:p w14:paraId="31BC80CF" w14:textId="7C09CB50">
            <w:pPr>
              <w:spacing w:after="180" w:line="276" w:lineRule="auto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>
              <w:rPr>
                <w:rStyle w:val="PleaseReviewParagraphId"/>
                <w:b w:val="off"/>
                <w:i w:val="off"/>
              </w:rPr>
              <w:t>[26]</w:t>
            </w:r>
          </w:p>
        </w:tc>
      </w:tr>
    </w:tbl>
    <w:p w14:paraId="220CD80A" w14:textId="77777777">
      <w:pPr>
        <w:spacing w:after="0" w:line="240" w:lineRule="auto"/>
        <w:rPr>
          <w:rFonts w:ascii="Times New Roman" w:hAnsi="Times New Roman" w:eastAsia="MS Mincho" w:cs="Times New Roman"/>
          <w:bCs/>
          <w:iCs/>
        </w:rPr>
      </w:pPr>
      <w:r>
        <w:rPr>
          <w:rStyle w:val="PleaseReviewParagraphId"/>
          <w:b w:val="off"/>
          <w:i w:val="off"/>
        </w:rPr>
        <w:t>[27]</w:t>
      </w:r>
      <w:r>
        <w:br w:type="page"/>
      </w:r>
    </w:p>
    <w:p w14:paraId="61C8B765" w14:textId="00B35C07">
      <w:pPr>
        <w:keepNext/>
        <w:tabs>
          <w:tab w:val="left" w:pos="567"/>
        </w:tabs>
        <w:spacing w:before="240" w:after="120" w:line="276" w:lineRule="auto"/>
        <w:ind w:left="567" w:hanging="567"/>
        <w:outlineLvl w:val="1"/>
        <w:rPr>
          <w:rFonts w:ascii="Times New Roman" w:hAnsi="Times New Roman" w:eastAsia="Times" w:cs="Times New Roman"/>
          <w:b/>
          <w:szCs w:val="24"/>
        </w:rPr>
      </w:pPr>
      <w:r>
        <w:rPr>
          <w:rStyle w:val="PleaseReviewParagraphId"/>
          <w:b w:val="off"/>
          <w:i w:val="off"/>
        </w:rPr>
        <w:t>[28]</w:t>
      </w:r>
      <w:r>
        <w:rPr>
          <w:rFonts w:ascii="Times New Roman" w:hAnsi="Times New Roman"/>
          <w:b/>
        </w:rPr>
        <w:lastRenderedPageBreak/>
        <w:t>1. Título</w:t>
      </w:r>
    </w:p>
    <w:p w14:paraId="6C308DA2" w14:textId="02FC181C">
      <w:pPr>
        <w:keepNext/>
        <w:tabs>
          <w:tab w:val="left" w:pos="567"/>
        </w:tabs>
        <w:spacing w:before="240" w:after="120" w:line="276" w:lineRule="auto"/>
        <w:ind w:left="567" w:hanging="567"/>
        <w:outlineLvl w:val="1"/>
        <w:rPr>
          <w:rFonts w:ascii="Times New Roman" w:hAnsi="Times New Roman" w:eastAsia="MS Mincho" w:cs="Times New Roman"/>
        </w:rPr>
      </w:pPr>
      <w:r>
        <w:rPr>
          <w:rStyle w:val="PleaseReviewParagraphId"/>
          <w:b w:val="off"/>
          <w:i w:val="off"/>
        </w:rPr>
        <w:t>[29]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Times New Roman" w:hAnsi="Times New Roman"/>
        </w:rPr>
        <w:t>Guía sobre planificación para contingencias (2019-012)</w:t>
      </w:r>
    </w:p>
    <w:p w14:paraId="1DB667EE" w14:textId="77777777">
      <w:pPr>
        <w:keepNext/>
        <w:tabs>
          <w:tab w:val="left" w:pos="567"/>
        </w:tabs>
        <w:spacing w:before="240" w:after="120" w:line="276" w:lineRule="auto"/>
        <w:ind w:left="567" w:hanging="567"/>
        <w:outlineLvl w:val="1"/>
        <w:rPr>
          <w:rFonts w:ascii="Times New Roman" w:hAnsi="Times New Roman" w:eastAsia="Times" w:cs="Times New Roman"/>
          <w:szCs w:val="24"/>
        </w:rPr>
      </w:pPr>
      <w:r>
        <w:rPr>
          <w:rStyle w:val="PleaseReviewParagraphId"/>
          <w:b w:val="off"/>
          <w:i w:val="off"/>
        </w:rPr>
        <w:t>[30]</w:t>
      </w:r>
      <w:r>
        <w:rPr>
          <w:rFonts w:ascii="Times New Roman" w:hAnsi="Times New Roman"/>
          <w:b/>
        </w:rPr>
        <w:t>2. Tipo de recurso para la aplicación</w:t>
      </w:r>
    </w:p>
    <w:p w14:paraId="79BDD479" w14:textId="46A11B69">
      <w:pPr>
        <w:tabs>
          <w:tab w:val="left" w:pos="720"/>
        </w:tabs>
        <w:spacing w:after="180" w:line="276" w:lineRule="auto"/>
        <w:rPr>
          <w:rFonts w:ascii="Times New Roman" w:hAnsi="Times New Roman" w:eastAsia="MS Mincho" w:cs="Times New Roman"/>
        </w:rPr>
      </w:pPr>
      <w:r>
        <w:rPr>
          <w:rStyle w:val="PleaseReviewParagraphId"/>
          <w:b w:val="off"/>
          <w:i w:val="off"/>
        </w:rPr>
        <w:t>[31]</w:t>
      </w:r>
      <w:r>
        <w:rPr>
          <w:rFonts w:ascii="Times New Roman" w:hAnsi="Times New Roman"/>
        </w:rPr>
        <w:t>Guía de la Convención Internacional de Protección Fitosanitaria (CIPF)</w:t>
      </w:r>
    </w:p>
    <w:p w14:paraId="028D1CF2" w14:textId="77777777">
      <w:pPr>
        <w:keepNext/>
        <w:tabs>
          <w:tab w:val="left" w:pos="567"/>
        </w:tabs>
        <w:spacing w:before="240" w:after="120" w:line="276" w:lineRule="auto"/>
        <w:ind w:left="567" w:hanging="567"/>
        <w:outlineLvl w:val="1"/>
        <w:rPr>
          <w:rFonts w:ascii="Times New Roman" w:hAnsi="Times New Roman" w:eastAsia="Times" w:cs="Times New Roman"/>
          <w:szCs w:val="24"/>
        </w:rPr>
      </w:pPr>
      <w:r>
        <w:rPr>
          <w:rStyle w:val="PleaseReviewParagraphId"/>
          <w:b w:val="off"/>
          <w:i w:val="off"/>
        </w:rPr>
        <w:t>[32]</w:t>
      </w:r>
      <w:r>
        <w:rPr>
          <w:rFonts w:ascii="Times New Roman" w:hAnsi="Times New Roman"/>
          <w:b/>
        </w:rPr>
        <w:t>3. Artículos de la Convención, Normas internacionales para medidas fitosanitarias (NIMF) y recomendaciones de la Comisión de Medidas Fitosanitarias (CMF) que se abordarán con el recurso para la aplicación propuesto</w:t>
      </w:r>
    </w:p>
    <w:p w14:paraId="7A9C3478" w14:textId="1FC51AEC">
      <w:pPr>
        <w:spacing w:after="180" w:line="276" w:lineRule="auto"/>
        <w:rPr>
          <w:rFonts w:ascii="Times New Roman" w:hAnsi="Times New Roman" w:eastAsia="MS Mincho" w:cs="Times New Roman"/>
          <w:bCs/>
          <w:iCs/>
        </w:rPr>
      </w:pPr>
      <w:r>
        <w:rPr>
          <w:rStyle w:val="PleaseReviewParagraphId"/>
          <w:b w:val="off"/>
          <w:i w:val="off"/>
        </w:rPr>
        <w:t>[33]</w:t>
      </w:r>
      <w:r>
        <w:rPr>
          <w:rFonts w:ascii="Times New Roman" w:hAnsi="Times New Roman"/>
        </w:rPr>
        <w:t>Convención Internacional de Protección Fitosanitaria</w:t>
      </w:r>
      <w:r>
        <w:rPr>
          <w:rFonts w:ascii="Times New Roman" w:hAnsi="Times New Roman" w:eastAsia="MS Mincho" w:cs="Times New Roman"/>
          <w:bCs/>
          <w:iCs/>
          <w:color w:val="0000FF"/>
          <w:u w:val="single"/>
          <w:vertAlign w:val="superscript"/>
          <w:lang w:val="en-US"/>
        </w:rPr>
        <w:footnoteReference w:id="1"/>
      </w:r>
      <w:r>
        <w:rPr>
          <w:rFonts w:ascii="Times New Roman" w:hAnsi="Times New Roman"/>
        </w:rPr>
        <w:t xml:space="preserve"> (artículo IV.2 e]).</w:t>
      </w:r>
    </w:p>
    <w:p w14:paraId="5595E784" w14:textId="77777777">
      <w:pPr>
        <w:spacing w:after="120" w:line="276" w:lineRule="auto"/>
        <w:rPr>
          <w:rFonts w:ascii="Times New Roman" w:hAnsi="Times New Roman" w:eastAsia="Times" w:cs="Times New Roman"/>
        </w:rPr>
      </w:pPr>
      <w:r>
        <w:rPr>
          <w:rStyle w:val="PleaseReviewParagraphId"/>
          <w:b w:val="off"/>
          <w:i w:val="off"/>
        </w:rPr>
        <w:t>[35]</w:t>
      </w:r>
      <w:r>
        <w:rPr>
          <w:rFonts w:ascii="Times New Roman" w:hAnsi="Times New Roman"/>
        </w:rPr>
        <w:t>NIMF 4: Requisitos para el establecimiento de áreas libres de plagas</w:t>
      </w:r>
      <w:r>
        <w:rPr>
          <w:rFonts w:ascii="Times New Roman" w:hAnsi="Times New Roman" w:eastAsia="Times" w:cs="Times New Roman"/>
          <w:vertAlign w:val="superscript"/>
          <w:lang w:val="en-US"/>
        </w:rPr>
        <w:footnoteReference w:id="2"/>
      </w:r>
    </w:p>
    <w:p w14:paraId="72DF9089" w14:textId="77777777">
      <w:pPr>
        <w:shd w:val="clear" w:color="auto" w:fill="FFFFFF"/>
        <w:spacing w:after="120" w:line="240" w:lineRule="auto"/>
        <w:rPr>
          <w:rFonts w:ascii="Times New Roman" w:hAnsi="Times New Roman" w:eastAsia="Times New Roman" w:cs="Times New Roman"/>
          <w:color w:val="1B1E24"/>
        </w:rPr>
      </w:pPr>
      <w:r>
        <w:rPr>
          <w:rStyle w:val="PleaseReviewParagraphId"/>
          <w:b w:val="off"/>
          <w:i w:val="off"/>
        </w:rPr>
        <w:t>[37]</w:t>
      </w:r>
      <w:hyperlink w:history="1" r:id="rId7">
        <w:r>
          <w:rPr>
            <w:rFonts w:ascii="Times New Roman" w:hAnsi="Times New Roman"/>
          </w:rPr>
          <w:t>NIMF 6:</w:t>
        </w:r>
      </w:hyperlink>
      <w:r>
        <w:rPr>
          <w:rFonts w:ascii="Times New Roman" w:hAnsi="Times New Roman"/>
        </w:rPr>
        <w:t>Vigilancia</w:t>
      </w:r>
      <w:r>
        <w:rPr>
          <w:rFonts w:ascii="Times New Roman" w:hAnsi="Times New Roman" w:eastAsia="Times" w:cs="Times New Roman"/>
          <w:vertAlign w:val="superscript"/>
          <w:lang w:val="en-US"/>
        </w:rPr>
        <w:footnoteReference w:id="3"/>
      </w:r>
      <w:r>
        <w:rPr>
          <w:rFonts w:ascii="Times New Roman" w:hAnsi="Times New Roman"/>
          <w:color w:val="1B1E24"/>
        </w:rPr>
        <w:t xml:space="preserve"> </w:t>
      </w:r>
    </w:p>
    <w:p w14:paraId="05B8D2F5" w14:textId="77777777">
      <w:pPr>
        <w:spacing w:after="120" w:line="276" w:lineRule="auto"/>
        <w:rPr>
          <w:rFonts w:ascii="Times New Roman" w:hAnsi="Times New Roman" w:eastAsia="Times" w:cs="Times New Roman"/>
        </w:rPr>
      </w:pPr>
      <w:r>
        <w:rPr>
          <w:rStyle w:val="PleaseReviewParagraphId"/>
          <w:b w:val="off"/>
          <w:i w:val="off"/>
        </w:rPr>
        <w:t>[39]</w:t>
      </w:r>
      <w:r>
        <w:rPr>
          <w:rFonts w:ascii="Times New Roman" w:hAnsi="Times New Roman"/>
        </w:rPr>
        <w:t>NIMF 8: Determinación de la condición de una plaga en un área</w:t>
      </w:r>
      <w:r>
        <w:rPr>
          <w:rFonts w:ascii="Times New Roman" w:hAnsi="Times New Roman" w:eastAsia="Times" w:cs="Times New Roman"/>
          <w:vertAlign w:val="superscript"/>
          <w:lang w:val="en-US"/>
        </w:rPr>
        <w:footnoteReference w:id="4"/>
      </w:r>
      <w:r>
        <w:rPr>
          <w:rFonts w:ascii="Times New Roman" w:hAnsi="Times New Roman"/>
        </w:rPr>
        <w:t xml:space="preserve"> </w:t>
      </w:r>
    </w:p>
    <w:p w14:paraId="1E81A5CC" w14:textId="31151E5A">
      <w:pPr>
        <w:spacing w:after="120" w:line="276" w:lineRule="auto"/>
        <w:rPr>
          <w:rFonts w:ascii="Times New Roman" w:hAnsi="Times New Roman" w:eastAsia="Times" w:cs="Times New Roman"/>
        </w:rPr>
      </w:pPr>
      <w:r>
        <w:rPr>
          <w:rStyle w:val="PleaseReviewParagraphId"/>
          <w:b w:val="off"/>
          <w:i w:val="off"/>
        </w:rPr>
        <w:t>[41]</w:t>
      </w:r>
      <w:r>
        <w:rPr>
          <w:rFonts w:ascii="Times New Roman" w:hAnsi="Times New Roman"/>
        </w:rPr>
        <w:t>NIMF 9: Directrices para los programas de erradicación de plagas</w:t>
      </w:r>
      <w:r>
        <w:rPr>
          <w:rFonts w:ascii="Times New Roman" w:hAnsi="Times New Roman" w:eastAsia="Times" w:cs="Times New Roman"/>
          <w:vertAlign w:val="superscript"/>
          <w:lang w:val="en-US"/>
        </w:rPr>
        <w:footnoteReference w:id="5"/>
      </w:r>
      <w:r>
        <w:rPr>
          <w:rFonts w:ascii="Times New Roman" w:hAnsi="Times New Roman"/>
        </w:rPr>
        <w:t xml:space="preserve"> </w:t>
      </w:r>
    </w:p>
    <w:p w14:paraId="6EC23DB3" w14:textId="77777777">
      <w:pPr>
        <w:spacing w:after="120" w:line="276" w:lineRule="auto"/>
        <w:rPr>
          <w:rFonts w:ascii="Times New Roman" w:hAnsi="Times New Roman" w:eastAsia="Times" w:cs="Times New Roman"/>
        </w:rPr>
      </w:pPr>
      <w:r>
        <w:rPr>
          <w:rStyle w:val="PleaseReviewParagraphId"/>
          <w:b w:val="off"/>
          <w:i w:val="off"/>
        </w:rPr>
        <w:t>[43]</w:t>
      </w:r>
      <w:r>
        <w:rPr>
          <w:rFonts w:ascii="Times New Roman" w:hAnsi="Times New Roman"/>
        </w:rPr>
        <w:t>NIMF 10: Requisitos para el establecimiento de lugares de producción libres de plagas y sitios de producción libres de plagas</w:t>
      </w:r>
      <w:r>
        <w:rPr>
          <w:rFonts w:ascii="Times New Roman" w:hAnsi="Times New Roman" w:eastAsia="Times" w:cs="Times New Roman"/>
          <w:vertAlign w:val="superscript"/>
          <w:lang w:val="en-CA"/>
        </w:rPr>
        <w:footnoteReference w:id="6"/>
      </w:r>
      <w:r>
        <w:rPr>
          <w:rFonts w:ascii="Times New Roman" w:hAnsi="Times New Roman"/>
        </w:rPr>
        <w:t xml:space="preserve"> </w:t>
      </w:r>
    </w:p>
    <w:p w14:paraId="2CC5FDE1" w14:textId="5C97C441">
      <w:pPr>
        <w:spacing w:after="120" w:line="276" w:lineRule="auto"/>
        <w:ind w:right="-138"/>
        <w:rPr>
          <w:rFonts w:ascii="Times New Roman" w:hAnsi="Times New Roman" w:eastAsia="Times" w:cs="Times New Roman"/>
        </w:rPr>
      </w:pPr>
      <w:r>
        <w:rPr>
          <w:rStyle w:val="PleaseReviewParagraphId"/>
          <w:b w:val="off"/>
          <w:i w:val="off"/>
        </w:rPr>
        <w:t>[45]</w:t>
      </w:r>
      <w:r>
        <w:rPr>
          <w:rFonts w:ascii="Times New Roman" w:hAnsi="Times New Roman"/>
        </w:rPr>
        <w:t>NIMF 14: Aplicación de medidas integradas en un enfoque de sistemas para el manejo del riesgo de plagas</w:t>
      </w:r>
      <w:r>
        <w:rPr>
          <w:rFonts w:ascii="Times New Roman" w:hAnsi="Times New Roman" w:eastAsia="Times" w:cs="Times New Roman"/>
          <w:vertAlign w:val="superscript"/>
          <w:lang w:val="en-CA"/>
        </w:rPr>
        <w:footnoteReference w:id="7"/>
      </w:r>
      <w:r>
        <w:rPr>
          <w:rFonts w:ascii="Times New Roman" w:hAnsi="Times New Roman"/>
        </w:rPr>
        <w:t xml:space="preserve"> </w:t>
      </w:r>
    </w:p>
    <w:p w14:paraId="42A97256" w14:textId="4550C8C1">
      <w:pPr>
        <w:spacing w:after="120" w:line="276" w:lineRule="auto"/>
        <w:rPr>
          <w:rFonts w:ascii="Times New Roman" w:hAnsi="Times New Roman" w:eastAsia="Times" w:cs="Times New Roman"/>
        </w:rPr>
      </w:pPr>
      <w:r>
        <w:rPr>
          <w:rStyle w:val="PleaseReviewParagraphId"/>
          <w:b w:val="off"/>
          <w:i w:val="off"/>
        </w:rPr>
        <w:t>[47]</w:t>
      </w:r>
      <w:r>
        <w:rPr>
          <w:rFonts w:ascii="Times New Roman" w:hAnsi="Times New Roman"/>
        </w:rPr>
        <w:t>NIMF 17: Notificación de plagas</w:t>
      </w:r>
      <w:r>
        <w:rPr>
          <w:rFonts w:ascii="Times New Roman" w:hAnsi="Times New Roman" w:eastAsia="Times" w:cs="Times New Roman"/>
          <w:vertAlign w:val="superscript"/>
          <w:lang w:val="en-CA"/>
        </w:rPr>
        <w:footnoteReference w:id="8"/>
      </w:r>
    </w:p>
    <w:p w14:paraId="79941FA9" w14:textId="47327778">
      <w:pPr>
        <w:spacing w:after="120" w:line="276" w:lineRule="auto"/>
        <w:rPr>
          <w:rFonts w:ascii="Times New Roman" w:hAnsi="Times New Roman" w:eastAsia="Times" w:cs="Times New Roman"/>
        </w:rPr>
      </w:pPr>
      <w:r>
        <w:rPr>
          <w:rStyle w:val="PleaseReviewParagraphId"/>
          <w:b w:val="off"/>
          <w:i w:val="off"/>
        </w:rPr>
        <w:t>[49]</w:t>
      </w:r>
      <w:r>
        <w:rPr>
          <w:rFonts w:ascii="Times New Roman" w:hAnsi="Times New Roman"/>
        </w:rPr>
        <w:t>NIMF 22: Requisitos para el establecimiento de áreas de baja prevalencia de plagas</w:t>
      </w:r>
      <w:r>
        <w:rPr>
          <w:rFonts w:ascii="Times New Roman" w:hAnsi="Times New Roman" w:eastAsia="Times" w:cs="Times New Roman"/>
          <w:vertAlign w:val="superscript"/>
          <w:lang w:val="en-CA"/>
        </w:rPr>
        <w:footnoteReference w:id="9"/>
      </w:r>
    </w:p>
    <w:p w14:paraId="428F8F1B" w14:textId="761E0AE3">
      <w:pPr>
        <w:spacing w:after="120" w:line="276" w:lineRule="auto"/>
        <w:rPr>
          <w:rFonts w:ascii="Times New Roman" w:hAnsi="Times New Roman" w:eastAsia="Times" w:cs="Times New Roman"/>
        </w:rPr>
      </w:pPr>
      <w:r>
        <w:rPr>
          <w:rStyle w:val="PleaseReviewParagraphId"/>
          <w:b w:val="off"/>
          <w:i w:val="off"/>
        </w:rPr>
        <w:t>[51]</w:t>
      </w:r>
      <w:r>
        <w:rPr>
          <w:rFonts w:ascii="Times New Roman" w:hAnsi="Times New Roman"/>
        </w:rPr>
        <w:t>NIMF 27: Protocolos de diagnóstico para las plagas reglamentadas</w:t>
      </w:r>
      <w:r>
        <w:rPr>
          <w:rFonts w:ascii="Times New Roman" w:hAnsi="Times New Roman" w:eastAsia="Times" w:cs="Times New Roman"/>
          <w:vertAlign w:val="superscript"/>
          <w:lang w:val="en-CA"/>
        </w:rPr>
        <w:footnoteReference w:id="10"/>
      </w:r>
    </w:p>
    <w:p w14:paraId="1871CA44" w14:textId="77777777">
      <w:pPr>
        <w:keepNext/>
        <w:tabs>
          <w:tab w:val="left" w:pos="567"/>
        </w:tabs>
        <w:spacing w:before="240" w:after="120" w:line="276" w:lineRule="auto"/>
        <w:ind w:left="567" w:hanging="567"/>
        <w:outlineLvl w:val="1"/>
        <w:rPr>
          <w:rFonts w:ascii="Times New Roman" w:hAnsi="Times New Roman" w:eastAsia="MS Mincho" w:cs="Times New Roman"/>
          <w:bCs/>
          <w:iCs/>
        </w:rPr>
      </w:pPr>
      <w:r>
        <w:rPr>
          <w:rStyle w:val="PleaseReviewParagraphId"/>
          <w:b w:val="off"/>
          <w:i w:val="off"/>
        </w:rPr>
        <w:t>[53]</w:t>
      </w:r>
      <w:r>
        <w:rPr>
          <w:rFonts w:ascii="Times New Roman" w:hAnsi="Times New Roman"/>
          <w:b/>
        </w:rPr>
        <w:t xml:space="preserve">4. Ámbito de aplicación </w:t>
      </w:r>
    </w:p>
    <w:p w14:paraId="606942CE" w14:textId="45BB5BF2">
      <w:pPr>
        <w:keepNext/>
        <w:spacing w:before="240" w:after="120" w:line="276" w:lineRule="auto"/>
        <w:jc w:val="both"/>
        <w:outlineLvl w:val="1"/>
        <w:rPr>
          <w:rFonts w:ascii="Times New Roman" w:hAnsi="Times New Roman" w:eastAsia="MS Mincho" w:cs="Times New Roman"/>
        </w:rPr>
      </w:pPr>
      <w:r>
        <w:rPr>
          <w:rStyle w:val="PleaseReviewParagraphId"/>
          <w:b w:val="off"/>
          <w:i w:val="off"/>
        </w:rPr>
        <w:t>[54]</w:t>
      </w:r>
      <w:r>
        <w:rPr>
          <w:rFonts w:ascii="Times New Roman" w:hAnsi="Times New Roman"/>
        </w:rPr>
        <w:t xml:space="preserve">Esta guía tiene la finalidad de proporcionar recursos y experiencias de aplicación a las organizaciones nacionales de protección fitosanitaria (ONPF), las organizaciones regionales de protección fitosanitaria (ORPF) y las instituciones pertinentes con objeto de que puedan elaborar y aplicar planes eficaces para contingencias que les permitan abordar incursiones o brotes de plagas cuarentenarias. Asimismo, se prevé </w:t>
        <w:lastRenderedPageBreak/>
        <w:t xml:space="preserve">que buena parte de esta orientación resulte pertinente para la intervención ante otras plagas de importancia económica. </w:t>
      </w:r>
    </w:p>
    <w:p w14:paraId="4134CA34" w14:textId="77777777">
      <w:pPr>
        <w:keepNext/>
        <w:spacing w:before="240" w:after="120" w:line="276" w:lineRule="auto"/>
        <w:outlineLvl w:val="1"/>
        <w:rPr>
          <w:rFonts w:ascii="Times New Roman" w:hAnsi="Times New Roman" w:eastAsia="MS Mincho" w:cs="Times New Roman"/>
          <w:b/>
        </w:rPr>
      </w:pPr>
      <w:r>
        <w:rPr>
          <w:rStyle w:val="PleaseReviewParagraphId"/>
          <w:b w:val="off"/>
          <w:i w:val="off"/>
        </w:rPr>
        <w:t>[55]</w:t>
      </w:r>
      <w:r>
        <w:rPr>
          <w:rFonts w:ascii="Times New Roman" w:hAnsi="Times New Roman"/>
          <w:b/>
        </w:rPr>
        <w:t xml:space="preserve">5. Propósito </w:t>
      </w:r>
    </w:p>
    <w:p w14:paraId="3F464BC9" w14:textId="76652D8D">
      <w:pPr>
        <w:keepNext/>
        <w:spacing w:before="240" w:after="120" w:line="276" w:lineRule="auto"/>
        <w:jc w:val="both"/>
        <w:outlineLvl w:val="1"/>
        <w:rPr>
          <w:rFonts w:ascii="Times New Roman" w:hAnsi="Times New Roman" w:eastAsia="MS Mincho" w:cs="Times New Roman"/>
        </w:rPr>
      </w:pPr>
      <w:r>
        <w:rPr>
          <w:rStyle w:val="PleaseReviewParagraphId"/>
          <w:b w:val="off"/>
          <w:i w:val="off"/>
        </w:rPr>
        <w:t>[56]</w:t>
      </w:r>
      <w:r>
        <w:rPr>
          <w:rFonts w:ascii="Times New Roman" w:hAnsi="Times New Roman"/>
        </w:rPr>
        <w:t xml:space="preserve">Según la Convención Internacional de Protección Fitosanitaria (CIPF), las ONPF son las responsables de la protección de áreas en peligro y la designación, mantenimiento y vigilancia de áreas libres de plagas y áreas de escasa prevalencia de plagas (artículo IV.2 e]). </w:t>
      </w:r>
    </w:p>
    <w:p w14:paraId="628F715F" w14:textId="09F6B10E">
      <w:pPr>
        <w:keepNext/>
        <w:spacing w:before="240" w:after="120" w:line="276" w:lineRule="auto"/>
        <w:jc w:val="both"/>
        <w:outlineLvl w:val="1"/>
        <w:rPr>
          <w:rFonts w:ascii="Times New Roman" w:hAnsi="Times New Roman" w:eastAsia="MS Mincho" w:cs="Times New Roman"/>
        </w:rPr>
      </w:pPr>
      <w:r>
        <w:rPr>
          <w:rStyle w:val="PleaseReviewParagraphId"/>
          <w:b w:val="off"/>
          <w:i w:val="off"/>
        </w:rPr>
        <w:t>[57]</w:t>
      </w:r>
      <w:r>
        <w:rPr>
          <w:rFonts w:ascii="Times New Roman" w:hAnsi="Times New Roman"/>
        </w:rPr>
        <w:t>Si bien muchas ONPF y ORPF elaboran planes para contingencias que les permiten hacer frente a las incursiones y los brotes de plagas, en la actualidad no existen recursos de aplicación de la CIPF para orientar a las partes contratantes y las partes interesadas pertinentes en el establecimiento de planes de intervención en situaciones de emergencia. En el Marco para las normas y la aplicación de 2018 se indica que la planificación para contingencias y la intervención en casos de emergencia se consideran una prioridad y se sugiere que es necesario elaborar directrices sobre la elaboración de planes para contingencia.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Times New Roman" w:hAnsi="Times New Roman"/>
        </w:rPr>
        <w:t>Además, en el Marco estratégico de la CIPF para 2020-2030 se indica que la elaboración de una guía y otros instrumentos relativos a la planificación para contingencias constituye una actividad prioritaria en el ámbito del desarrollo “Fortalecimiento de los sistemas de alerta y respuesta ante brotes de plagas”.</w:t>
      </w:r>
    </w:p>
    <w:p w14:paraId="33FD40A6" w14:textId="2143162D">
      <w:pPr>
        <w:keepNext/>
        <w:tabs>
          <w:tab w:val="left" w:pos="567"/>
        </w:tabs>
        <w:spacing w:before="240" w:after="120" w:line="276" w:lineRule="auto"/>
        <w:jc w:val="both"/>
        <w:outlineLvl w:val="1"/>
        <w:rPr>
          <w:rFonts w:ascii="Times New Roman" w:hAnsi="Times New Roman" w:eastAsia="MS Mincho" w:cs="Times New Roman"/>
        </w:rPr>
      </w:pPr>
      <w:r>
        <w:rPr>
          <w:rStyle w:val="PleaseReviewParagraphId"/>
          <w:b w:val="off"/>
          <w:i w:val="off"/>
        </w:rPr>
        <w:t>[58]</w:t>
      </w:r>
      <w:r>
        <w:rPr>
          <w:rFonts w:ascii="Times New Roman" w:hAnsi="Times New Roman"/>
        </w:rPr>
        <w:t>El propósito de esta guía sobre planificación para contingencias es proporcionar una descripción genérica armonizada de lo que las ONPF y las ORPF han de hacer para identificar o erradicar plagas y contener o gestionar sus incursiones o brotes, en colaboración con las partes interesadas pertinentes.</w:t>
      </w:r>
    </w:p>
    <w:p w14:paraId="15A5F2CE" w14:textId="77777777">
      <w:pPr>
        <w:keepNext/>
        <w:tabs>
          <w:tab w:val="left" w:pos="567"/>
        </w:tabs>
        <w:spacing w:before="240" w:after="120" w:line="276" w:lineRule="auto"/>
        <w:ind w:left="567" w:hanging="567"/>
        <w:outlineLvl w:val="1"/>
        <w:rPr>
          <w:rFonts w:ascii="Times New Roman" w:hAnsi="Times New Roman" w:eastAsia="Times" w:cs="Times New Roman"/>
          <w:b/>
        </w:rPr>
      </w:pPr>
      <w:r>
        <w:rPr>
          <w:rStyle w:val="PleaseReviewParagraphId"/>
          <w:b w:val="off"/>
          <w:i w:val="off"/>
        </w:rPr>
        <w:t>[59]</w:t>
      </w:r>
      <w:r>
        <w:rPr>
          <w:rFonts w:ascii="Times New Roman" w:hAnsi="Times New Roman"/>
          <w:b/>
        </w:rPr>
        <w:t>6. Contenido del recurso para la aplicación propuesto</w:t>
      </w:r>
    </w:p>
    <w:p w14:paraId="1A607BCA" w14:textId="77777777">
      <w:pPr>
        <w:spacing w:after="180" w:line="276" w:lineRule="auto"/>
        <w:rPr>
          <w:rFonts w:ascii="Times New Roman" w:hAnsi="Times New Roman" w:eastAsia="Times" w:cs="Times New Roman"/>
        </w:rPr>
      </w:pPr>
      <w:r>
        <w:rPr>
          <w:rStyle w:val="PleaseReviewParagraphId"/>
          <w:b w:val="off"/>
          <w:i w:val="off"/>
        </w:rPr>
        <w:t>[60]</w:t>
      </w:r>
      <w:r>
        <w:rPr>
          <w:rFonts w:ascii="Times New Roman" w:hAnsi="Times New Roman"/>
        </w:rPr>
        <w:t>Las tareas que se proponen para el grupo de trabajo son las siguientes:</w:t>
      </w:r>
    </w:p>
    <w:p w14:paraId="0279BBA5" w14:textId="57CF896F">
      <w:pPr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eastAsia="Times" w:cs="Times New Roman"/>
        </w:rPr>
      </w:pPr>
      <w:r>
        <w:rPr>
          <w:rStyle w:val="PleaseReviewParagraphId"/>
          <w:b w:val="off"/>
          <w:i w:val="off"/>
        </w:rPr>
        <w:t>[61]</w:t>
      </w:r>
      <w:r>
        <w:rPr>
          <w:rFonts w:ascii="Times New Roman" w:hAnsi="Times New Roman"/>
        </w:rPr>
        <w:t>describir el ámbito de aplicación y los elementos principales de los planes para contingencias, y determinar los términos y definiciones pertinentes;</w:t>
      </w:r>
    </w:p>
    <w:p w14:paraId="7B5D16C0" w14:textId="77777777">
      <w:pPr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eastAsia="Times" w:cs="Times New Roman"/>
        </w:rPr>
      </w:pPr>
      <w:r>
        <w:rPr>
          <w:rStyle w:val="PleaseReviewParagraphId"/>
          <w:b w:val="off"/>
          <w:i w:val="off"/>
        </w:rPr>
        <w:t>[62]</w:t>
      </w:r>
      <w:r>
        <w:rPr>
          <w:rFonts w:ascii="Times New Roman" w:hAnsi="Times New Roman"/>
        </w:rPr>
        <w:t xml:space="preserve">describir las medidas que se recomienda adoptar a las ONPF para prevenir emergencias en el ámbito de la sanidad vegetal y prepararse ante ellas, y para detectarlas e intervenir de forma eficaz cuando se produzcan; </w:t>
      </w:r>
    </w:p>
    <w:p w14:paraId="729DA83F" w14:textId="5CEB0019">
      <w:pPr>
        <w:pStyle w:val="ListParagraph"/>
        <w:numPr>
          <w:ilvl w:val="0"/>
          <w:numId w:val="4"/>
        </w:numPr>
        <w:rPr>
          <w:rFonts w:ascii="Times New Roman" w:hAnsi="Times New Roman" w:eastAsia="Times" w:cs="Times New Roman"/>
        </w:rPr>
      </w:pPr>
      <w:r>
        <w:rPr>
          <w:rStyle w:val="PleaseReviewParagraphId"/>
          <w:b w:val="off"/>
          <w:i w:val="off"/>
        </w:rPr>
        <w:t>[63]</w:t>
      </w:r>
      <w:r>
        <w:rPr>
          <w:rFonts w:ascii="Times New Roman" w:hAnsi="Times New Roman"/>
        </w:rPr>
        <w:t>describir las funciones y las responsabilidades de las partes interesadas pertinentes y destacar la importancia de la colaboración con las partes interesadas a fin de elaborar y poner en práctica planes eficaces para contingencias;</w:t>
      </w:r>
    </w:p>
    <w:p w14:paraId="381AA01A" w14:textId="41E0AE62">
      <w:pPr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eastAsia="Times" w:cs="Times New Roman"/>
        </w:rPr>
      </w:pPr>
      <w:r>
        <w:rPr>
          <w:rStyle w:val="PleaseReviewParagraphId"/>
          <w:b w:val="off"/>
          <w:i w:val="off"/>
        </w:rPr>
        <w:t>[64]</w:t>
      </w:r>
      <w:r>
        <w:rPr>
          <w:rFonts w:ascii="Times New Roman" w:hAnsi="Times New Roman"/>
        </w:rPr>
        <w:t>describir las operaciones y las estructuras de gobernanza necesarias para intervenir de forma eficaz ante incursiones o brotes de plagas;</w:t>
      </w:r>
    </w:p>
    <w:p w14:paraId="7EB82F6D" w14:textId="23CDAAB9">
      <w:pPr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eastAsia="Times" w:cs="Times New Roman"/>
        </w:rPr>
      </w:pPr>
      <w:r>
        <w:rPr>
          <w:rStyle w:val="PleaseReviewParagraphId"/>
          <w:b w:val="off"/>
          <w:i w:val="off"/>
        </w:rPr>
        <w:t>[65]</w:t>
      </w:r>
      <w:r>
        <w:rPr>
          <w:rFonts w:ascii="Times New Roman" w:hAnsi="Times New Roman"/>
        </w:rPr>
        <w:t>considerar los requisitos legislativos nacionales a fin de respaldar la planificación para contingencias y la intervención en casos de emergencia;</w:t>
      </w:r>
    </w:p>
    <w:p w14:paraId="7B006F04" w14:textId="54115190">
      <w:pPr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eastAsia="Times" w:cs="Times New Roman"/>
        </w:rPr>
      </w:pPr>
      <w:r>
        <w:rPr>
          <w:rStyle w:val="PleaseReviewParagraphId"/>
          <w:b w:val="off"/>
          <w:i w:val="off"/>
        </w:rPr>
        <w:t>[66]</w:t>
      </w:r>
      <w:r>
        <w:rPr>
          <w:rFonts w:ascii="Times New Roman" w:hAnsi="Times New Roman"/>
        </w:rPr>
        <w:t>proporcionar orientaciones y mejores prácticas para la comunicación de los riesgos asociados a la planificación para contingencias y la intervención en casos de emergencia;</w:t>
      </w:r>
    </w:p>
    <w:p w14:paraId="5AAFE78F" w14:textId="380AEEB5">
      <w:pPr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eastAsia="Times" w:cs="Times New Roman"/>
        </w:rPr>
      </w:pPr>
      <w:r>
        <w:rPr>
          <w:rStyle w:val="PleaseReviewParagraphId"/>
          <w:b w:val="off"/>
          <w:i w:val="off"/>
        </w:rPr>
        <w:t>[67]</w:t>
      </w:r>
      <w:r>
        <w:rPr>
          <w:rFonts w:ascii="Times New Roman" w:hAnsi="Times New Roman"/>
        </w:rPr>
        <w:t xml:space="preserve">proporcionar ejemplos y estudios de casos de ámbito nacional y regional por tipo de plaga (es decir, insectos, hongos, bacterias y virus) a fin de complementar la información contenida en la guía; </w:t>
      </w:r>
    </w:p>
    <w:p w14:paraId="2C7FF2EC" w14:textId="2651BB8A">
      <w:pPr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eastAsia="Times" w:cs="Times New Roman"/>
        </w:rPr>
      </w:pPr>
      <w:r>
        <w:rPr>
          <w:rStyle w:val="PleaseReviewParagraphId"/>
          <w:b w:val="off"/>
          <w:i w:val="off"/>
        </w:rPr>
        <w:t>[68]</w:t>
      </w:r>
      <w:r>
        <w:rPr>
          <w:rFonts w:ascii="Times New Roman" w:hAnsi="Times New Roman"/>
        </w:rPr>
        <w:lastRenderedPageBreak/>
        <w:t>considerar, para su inclusión en la guía, posibles fuentes de financiación para ayudar a las ONPF y las ORPF a preparar planes para contingencias y fomentar la capacidad de intervención en situaciones de emergencia;</w:t>
      </w:r>
    </w:p>
    <w:p w14:paraId="4D690B96" w14:textId="7B1DAB03">
      <w:pPr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eastAsia="Times" w:cs="Times New Roman"/>
        </w:rPr>
      </w:pPr>
      <w:r>
        <w:rPr>
          <w:rStyle w:val="PleaseReviewParagraphId"/>
          <w:b w:val="off"/>
          <w:i w:val="off"/>
        </w:rPr>
        <w:t>[69]</w:t>
      </w:r>
      <w:r>
        <w:rPr>
          <w:rFonts w:ascii="Times New Roman" w:hAnsi="Times New Roman"/>
        </w:rPr>
        <w:t>describir los principales componentes de un programa de capacitación y proporcionar orientación sobre la realización de ejercicios de simulación como mecanismo de fomento de la capacidad entre el personal de operaciones de las ONPF;</w:t>
      </w:r>
    </w:p>
    <w:p w14:paraId="089FD58F" w14:textId="66DF83EF">
      <w:pPr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eastAsia="Times" w:cs="Times New Roman"/>
        </w:rPr>
      </w:pPr>
      <w:r>
        <w:rPr>
          <w:rStyle w:val="PleaseReviewParagraphId"/>
          <w:b w:val="off"/>
          <w:i w:val="off"/>
        </w:rPr>
        <w:t>[70]</w:t>
      </w:r>
      <w:r>
        <w:rPr>
          <w:rFonts w:ascii="Times New Roman" w:hAnsi="Times New Roman"/>
        </w:rPr>
        <w:t xml:space="preserve">describir la importancia del aprendizaje continuo, el seguimiento y la evaluación en relación con la mejora de la planificación para contingencias y la intervención en casos de emergencia; </w:t>
      </w:r>
    </w:p>
    <w:p w14:paraId="76D07695" w14:textId="77777777">
      <w:pPr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eastAsia="Times" w:cs="Times New Roman"/>
        </w:rPr>
      </w:pPr>
      <w:r>
        <w:rPr>
          <w:rStyle w:val="PleaseReviewParagraphId"/>
          <w:b w:val="off"/>
          <w:i w:val="off"/>
        </w:rPr>
        <w:t>[71]</w:t>
      </w:r>
      <w:r>
        <w:rPr>
          <w:rFonts w:ascii="Times New Roman" w:hAnsi="Times New Roman"/>
        </w:rPr>
        <w:t>determinar los recursos técnicos pertinentes y relacionados que existen y que se podrían publicar en el Portal fitosanitario internacional.</w:t>
      </w:r>
    </w:p>
    <w:p w14:paraId="5BBF370A" w14:textId="77777777">
      <w:pPr>
        <w:keepNext/>
        <w:tabs>
          <w:tab w:val="left" w:pos="567"/>
        </w:tabs>
        <w:spacing w:before="240" w:after="120" w:line="276" w:lineRule="auto"/>
        <w:ind w:left="567" w:hanging="567"/>
        <w:outlineLvl w:val="1"/>
        <w:rPr>
          <w:rFonts w:ascii="Times New Roman" w:hAnsi="Times New Roman" w:eastAsia="MS Mincho" w:cs="Times New Roman"/>
          <w:b/>
          <w:bCs/>
        </w:rPr>
      </w:pPr>
      <w:r>
        <w:rPr>
          <w:rStyle w:val="PleaseReviewParagraphId"/>
          <w:b w:val="off"/>
          <w:i w:val="off"/>
        </w:rPr>
        <w:t>[72]</w:t>
      </w:r>
      <w:r>
        <w:rPr>
          <w:rFonts w:ascii="Times New Roman" w:hAnsi="Times New Roman"/>
          <w:b/>
        </w:rPr>
        <w:t>7. Bibliografía y materiales de referencia</w:t>
      </w:r>
    </w:p>
    <w:p w14:paraId="4FBB46F2" w14:textId="545F222C">
      <w:pPr>
        <w:spacing w:after="0" w:line="240" w:lineRule="auto"/>
        <w:rPr>
          <w:rFonts w:ascii="Times New Roman" w:hAnsi="Times New Roman" w:eastAsia="Times" w:cs="Times New Roman"/>
        </w:rPr>
      </w:pPr>
      <w:r>
        <w:rPr>
          <w:rStyle w:val="PleaseReviewParagraphId"/>
          <w:b w:val="off"/>
          <w:i w:val="off"/>
        </w:rPr>
        <w:t>[73]</w:t>
      </w:r>
      <w:r>
        <w:rPr>
          <w:rFonts w:ascii="Times New Roman" w:hAnsi="Times New Roman"/>
        </w:rPr>
        <w:t xml:space="preserve">CIPF. 2021. </w:t>
      </w:r>
      <w:r>
        <w:rPr>
          <w:rFonts w:ascii="Times New Roman" w:hAnsi="Times New Roman"/>
          <w:i/>
          <w:iCs/>
        </w:rPr>
        <w:t xml:space="preserve">Prevention, preparedness and response guidelines for </w:t>
      </w:r>
      <w:r>
        <w:rPr>
          <w:rFonts w:ascii="Times New Roman" w:hAnsi="Times New Roman"/>
        </w:rPr>
        <w:t xml:space="preserve">Spodoptera frugiperda (Directrices sobre prevención, preparación e intervención ante </w:t>
      </w:r>
      <w:r>
        <w:rPr>
          <w:rFonts w:ascii="Times New Roman" w:hAnsi="Times New Roman"/>
          <w:i/>
          <w:iCs/>
        </w:rPr>
        <w:t>Spodoptera frugiperda</w:t>
      </w:r>
      <w:r>
        <w:rPr>
          <w:rFonts w:ascii="Times New Roman" w:hAnsi="Times New Roman"/>
        </w:rPr>
        <w:t>).</w:t>
      </w:r>
    </w:p>
    <w:p w14:paraId="5E9D90C6" w14:textId="77777777">
      <w:pPr>
        <w:spacing w:before="240" w:after="0" w:line="240" w:lineRule="auto"/>
        <w:rPr>
          <w:rFonts w:ascii="Times New Roman" w:hAnsi="Times New Roman" w:eastAsia="Calibri" w:cs="Times New Roman"/>
          <w:color w:val="3366FF"/>
          <w:u w:val="single"/>
        </w:rPr>
      </w:pPr>
      <w:r>
        <w:rPr>
          <w:rStyle w:val="PleaseReviewParagraphId"/>
          <w:b w:val="off"/>
          <w:i w:val="off"/>
        </w:rPr>
        <w:t>[74]</w:t>
      </w:r>
      <w:r>
        <w:rPr>
          <w:rFonts w:ascii="Times New Roman" w:hAnsi="Times New Roman"/>
        </w:rPr>
        <w:t xml:space="preserve">Planes de contención del Organismo Internacional Regional de Sanidad Agropecuaria, </w:t>
      </w:r>
      <w:hyperlink w:history="1" r:id="rId8">
        <w:r>
          <w:rPr>
            <w:rFonts w:ascii="Times New Roman" w:hAnsi="Times New Roman"/>
            <w:color w:val="3366FF"/>
            <w:u w:val="single"/>
          </w:rPr>
          <w:t>https://www.oirsa.org/informacion.aspx?id=20</w:t>
        </w:r>
      </w:hyperlink>
    </w:p>
    <w:p w14:paraId="46AB8386" w14:textId="28F8827F">
      <w:pPr>
        <w:spacing w:before="240" w:after="0" w:line="240" w:lineRule="auto"/>
        <w:rPr>
          <w:rFonts w:ascii="Times New Roman" w:hAnsi="Times New Roman" w:eastAsia="Times" w:cs="Times New Roman"/>
        </w:rPr>
      </w:pPr>
      <w:r>
        <w:rPr>
          <w:rStyle w:val="PleaseReviewParagraphId"/>
          <w:b w:val="off"/>
          <w:i w:val="off"/>
        </w:rPr>
        <w:t>[75]</w:t>
      </w:r>
      <w:r>
        <w:rPr>
          <w:rFonts w:ascii="Times New Roman" w:hAnsi="Times New Roman"/>
        </w:rPr>
        <w:t xml:space="preserve">FAO. 2021. Metodología y Buena Gestión de Emergencias: elementos fundamentales – Guía de preparación para emergencias zoosanitarias. Editado por François Gary, Mathilde Clauss, Etienne Bonbon y Lee Myers. Manual de producción y sanidad animal de la FAO n.º 25. Roma. </w:t>
      </w:r>
      <w:hyperlink w:history="1" r:id="rId9">
        <w:r>
          <w:rPr>
            <w:rFonts w:ascii="Times New Roman" w:hAnsi="Times New Roman"/>
            <w:color w:val="3366FF"/>
            <w:u w:val="single"/>
          </w:rPr>
          <w:t>http://www.fao.org/documents/card/es/c/cb3833en/</w:t>
        </w:r>
      </w:hyperlink>
      <w:r>
        <w:rPr>
          <w:rFonts w:ascii="Times New Roman" w:hAnsi="Times New Roman"/>
        </w:rPr>
        <w:t xml:space="preserve"> </w:t>
      </w:r>
    </w:p>
    <w:p w14:paraId="6EE66BFC" w14:textId="77777777">
      <w:pPr>
        <w:spacing w:before="240" w:after="0" w:line="240" w:lineRule="auto"/>
        <w:rPr>
          <w:rFonts w:ascii="Times New Roman" w:hAnsi="Times New Roman" w:eastAsia="Calibri" w:cs="Times New Roman"/>
          <w:color w:val="3366FF"/>
          <w:u w:val="single"/>
        </w:rPr>
      </w:pPr>
      <w:r>
        <w:rPr>
          <w:rStyle w:val="PleaseReviewParagraphId"/>
          <w:b w:val="off"/>
          <w:i w:val="off"/>
        </w:rPr>
        <w:t>[76]</w:t>
      </w:r>
      <w:r>
        <w:rPr>
          <w:rFonts w:ascii="Times New Roman" w:hAnsi="Times New Roman"/>
        </w:rPr>
        <w:t>Serie PM9 de normas regionales de la Organización Europea y Mediterránea de Protección de las Plantas sobre sistemas nacionales de control reglamentario</w:t>
      </w:r>
      <w:r>
        <w:t xml:space="preserve"> </w:t>
      </w:r>
      <w:hyperlink w:history="1" r:id="rId10">
        <w:r>
          <w:rPr>
            <w:rFonts w:ascii="Times New Roman" w:hAnsi="Times New Roman"/>
            <w:color w:val="3366FF"/>
            <w:u w:val="single"/>
          </w:rPr>
          <w:t>https://www.eppo.int/RESOURCES/eppo_standards/pm9_control_systems</w:t>
        </w:r>
      </w:hyperlink>
    </w:p>
    <w:p w14:paraId="0875C885" w14:textId="77777777">
      <w:pPr>
        <w:keepNext/>
        <w:tabs>
          <w:tab w:val="left" w:pos="0"/>
        </w:tabs>
        <w:spacing w:before="240" w:after="0" w:line="240" w:lineRule="auto"/>
        <w:rPr>
          <w:rFonts w:ascii="Times New Roman" w:hAnsi="Times New Roman" w:eastAsia="Calibri" w:cs="Times New Roman"/>
          <w:color w:val="3366FF"/>
          <w:u w:val="single"/>
        </w:rPr>
      </w:pPr>
      <w:r>
        <w:rPr>
          <w:rStyle w:val="PleaseReviewParagraphId"/>
          <w:b w:val="off"/>
          <w:i w:val="off"/>
        </w:rPr>
        <w:t>[77]</w:t>
      </w:r>
      <w:r>
        <w:rPr>
          <w:rFonts w:ascii="Times New Roman" w:hAnsi="Times New Roman"/>
        </w:rPr>
        <w:t xml:space="preserve">Planificación para contingencias de Plant Health Australia, </w:t>
      </w:r>
      <w:hyperlink w:history="1" r:id="rId11">
        <w:r>
          <w:rPr>
            <w:rFonts w:ascii="Times New Roman" w:hAnsi="Times New Roman"/>
            <w:color w:val="3366FF"/>
            <w:u w:val="single"/>
          </w:rPr>
          <w:t>https://www.planthealthaustralia.com.au/biosecurity/risk-mitigation/contingency-planning/</w:t>
        </w:r>
      </w:hyperlink>
    </w:p>
    <w:p w14:paraId="20BA0F27" w14:textId="77777777">
      <w:pPr>
        <w:keepNext/>
        <w:tabs>
          <w:tab w:val="left" w:pos="0"/>
        </w:tabs>
        <w:spacing w:before="240" w:line="240" w:lineRule="auto"/>
        <w:rPr>
          <w:rFonts w:ascii="Times New Roman" w:hAnsi="Times New Roman" w:eastAsia="Calibri" w:cs="Times New Roman"/>
          <w:color w:val="3366FF"/>
          <w:u w:val="single"/>
        </w:rPr>
      </w:pPr>
      <w:r>
        <w:rPr>
          <w:rStyle w:val="PleaseReviewParagraphId"/>
          <w:b w:val="off"/>
          <w:i w:val="off"/>
        </w:rPr>
        <w:t>[78]</w:t>
      </w:r>
      <w:r>
        <w:rPr>
          <w:rFonts w:ascii="Times New Roman" w:hAnsi="Times New Roman"/>
        </w:rPr>
        <w:t xml:space="preserve">Departamento de Medio Ambiente, Alimentación y Asuntos Rurales del Reino Unido: </w:t>
      </w:r>
      <w:r>
        <w:rPr>
          <w:rFonts w:ascii="Times New Roman" w:hAnsi="Times New Roman"/>
          <w:i/>
          <w:iCs/>
        </w:rPr>
        <w:t>Contingency planning</w:t>
      </w:r>
      <w:r>
        <w:rPr>
          <w:rFonts w:ascii="Times New Roman" w:hAnsi="Times New Roman"/>
        </w:rPr>
        <w:t xml:space="preserve"> (Planificación para contingencias),</w:t>
      </w:r>
      <w:r>
        <w:t xml:space="preserve"> </w:t>
      </w:r>
      <w:hyperlink w:history="1" r:id="rId12">
        <w:r>
          <w:rPr>
            <w:rFonts w:ascii="Times New Roman" w:hAnsi="Times New Roman"/>
            <w:color w:val="3366FF"/>
            <w:u w:val="single"/>
          </w:rPr>
          <w:t>https://planthealthportal.defra.gov.uk/pests-and-diseases/contingency-planning/</w:t>
        </w:r>
      </w:hyperlink>
    </w:p>
    <w:p w14:paraId="3A7F7A67" w14:textId="180D315A">
      <w:pPr>
        <w:keepNext/>
        <w:spacing w:before="60" w:line="240" w:lineRule="auto"/>
        <w:rPr>
          <w:rFonts w:ascii="Times New Roman" w:hAnsi="Times New Roman" w:eastAsia="Calibri" w:cs="Times New Roman"/>
        </w:rPr>
      </w:pPr>
      <w:r>
        <w:rPr>
          <w:rStyle w:val="PleaseReviewParagraphId"/>
          <w:b w:val="off"/>
          <w:i w:val="off"/>
        </w:rPr>
        <w:t>[79]</w:t>
      </w:r>
      <w:r>
        <w:rPr>
          <w:rFonts w:ascii="Times New Roman" w:hAnsi="Times New Roman"/>
        </w:rPr>
        <w:t xml:space="preserve">Comunidad del Pacífico: </w:t>
      </w:r>
      <w:r>
        <w:rPr>
          <w:rFonts w:ascii="Times New Roman" w:hAnsi="Times New Roman"/>
          <w:i/>
          <w:iCs/>
        </w:rPr>
        <w:t>The Regional Biosecurity Operating Procedures</w:t>
      </w:r>
      <w:r>
        <w:rPr>
          <w:rFonts w:ascii="Times New Roman" w:hAnsi="Times New Roman"/>
        </w:rPr>
        <w:t xml:space="preserve"> (Procedimientos operativos regionales en materia de bioseguridad),</w:t>
      </w:r>
      <w:r>
        <w:t xml:space="preserve"> </w:t>
      </w:r>
      <w:hyperlink r:id="rId13">
        <w:r>
          <w:rPr>
            <w:rFonts w:ascii="Times New Roman" w:hAnsi="Times New Roman"/>
            <w:color w:val="3366FF"/>
            <w:u w:val="single"/>
          </w:rPr>
          <w:t>http://bif.lrd.spc.int/plant-biosecurity/internal-quarantine/procedures/contingency-planning-and-emergency-response/</w:t>
        </w:r>
      </w:hyperlink>
    </w:p>
    <w:p w14:paraId="35B2C34D" w14:textId="4DDF975E">
      <w:pPr>
        <w:keepNext/>
        <w:spacing w:before="60" w:after="60" w:line="276" w:lineRule="auto"/>
        <w:rPr>
          <w:rFonts w:ascii="Times New Roman" w:hAnsi="Times New Roman" w:eastAsia="Calibri" w:cs="Times New Roman"/>
        </w:rPr>
      </w:pPr>
      <w:r>
        <w:rPr>
          <w:rStyle w:val="PleaseReviewParagraphId"/>
          <w:b w:val="off"/>
          <w:i w:val="off"/>
        </w:rPr>
        <w:t>[80]</w:t>
      </w:r>
      <w:r>
        <w:rPr>
          <w:rFonts w:ascii="Times New Roman" w:hAnsi="Times New Roman"/>
        </w:rPr>
        <w:t xml:space="preserve">Defra, (2017). </w:t>
      </w:r>
      <w:r>
        <w:rPr>
          <w:rFonts w:ascii="Times New Roman" w:hAnsi="Times New Roman"/>
          <w:i/>
          <w:iCs/>
        </w:rPr>
        <w:t>Generic contingency plan for plant and bee health in England</w:t>
      </w:r>
      <w:r>
        <w:rPr>
          <w:rFonts w:ascii="Times New Roman" w:hAnsi="Times New Roman"/>
        </w:rPr>
        <w:t xml:space="preserve"> (Plan para contingencias genérico en favor de la salud de las plantas y las abejas en Inglaterra). </w:t>
      </w:r>
      <w:hyperlink w:history="1" r:id="rId14">
        <w:r>
          <w:rPr>
            <w:rStyle w:val="Hyperlink"/>
            <w:rFonts w:ascii="Times New Roman" w:hAnsi="Times New Roman"/>
          </w:rPr>
          <w:t>https://assets.publishing.service.gov.uk/government/uploads/system/uploads/attachment_data/file/593508/generic-contingency-plan-plant-bee-health-england.pdf</w:t>
        </w:r>
      </w:hyperlink>
      <w:r>
        <w:rPr>
          <w:rFonts w:ascii="Times New Roman" w:hAnsi="Times New Roman"/>
        </w:rPr>
        <w:t xml:space="preserve"> </w:t>
      </w:r>
    </w:p>
    <w:p w14:paraId="2EDE93D6" w14:textId="5A32A4EC">
      <w:pPr>
        <w:keepNext/>
        <w:keepLines/>
        <w:tabs>
          <w:tab w:val="left" w:pos="0"/>
        </w:tabs>
        <w:spacing w:before="60" w:after="60" w:line="276" w:lineRule="auto"/>
        <w:rPr>
          <w:rFonts w:ascii="Times New Roman" w:hAnsi="Times New Roman" w:eastAsia="MS Mincho" w:cs="Times New Roman"/>
          <w:bCs/>
          <w:iCs/>
        </w:rPr>
      </w:pPr>
      <w:r>
        <w:rPr>
          <w:rStyle w:val="PleaseReviewParagraphId"/>
          <w:b w:val="off"/>
          <w:i w:val="off"/>
        </w:rPr>
        <w:t>[81]</w:t>
      </w:r>
      <w:r>
        <w:rPr>
          <w:rFonts w:ascii="Times New Roman" w:hAnsi="Times New Roman"/>
        </w:rPr>
        <w:t xml:space="preserve">Merriman, P. y McKirdy, S., (2005). Plant Health Australia – </w:t>
      </w:r>
      <w:r>
        <w:rPr>
          <w:rFonts w:ascii="Times New Roman" w:hAnsi="Times New Roman"/>
          <w:i/>
          <w:iCs/>
        </w:rPr>
        <w:t>Technical Guidelines for the Development of Pest Specific Response Plans</w:t>
      </w:r>
      <w:r>
        <w:rPr>
          <w:rFonts w:ascii="Times New Roman" w:hAnsi="Times New Roman"/>
        </w:rPr>
        <w:t xml:space="preserve"> (Directrices técnicas para la elaboración de planes de intervención ante plagas específicas). </w:t>
      </w:r>
      <w:hyperlink w:history="1" r:id="rId15">
        <w:r>
          <w:rPr>
            <w:rFonts w:ascii="Times New Roman" w:hAnsi="Times New Roman"/>
            <w:color w:val="3366FF"/>
            <w:u w:val="single"/>
          </w:rPr>
          <w:t>https://www.planthealthaustralia.com.au/wp-content/uploads/2012/11/Technical-Guidelines-for-Development-of-Pest-Specific-Response-Plans.pdf</w:t>
        </w:r>
      </w:hyperlink>
      <w:r>
        <w:rPr>
          <w:rFonts w:ascii="Times New Roman" w:hAnsi="Times New Roman"/>
        </w:rPr>
        <w:t xml:space="preserve"> </w:t>
      </w:r>
    </w:p>
    <w:p w14:paraId="30FB34F8" w14:textId="3AFAC732">
      <w:pPr>
        <w:keepNext/>
        <w:spacing w:before="60" w:after="60" w:line="276" w:lineRule="auto"/>
        <w:rPr>
          <w:rFonts w:ascii="Times New Roman" w:hAnsi="Times New Roman" w:eastAsia="Times" w:cs="Times New Roman"/>
        </w:rPr>
      </w:pPr>
      <w:r>
        <w:rPr>
          <w:rStyle w:val="PleaseReviewParagraphId"/>
          <w:b w:val="off"/>
          <w:i w:val="off"/>
        </w:rPr>
        <w:t>[82]</w:t>
      </w:r>
      <w:r>
        <w:rPr>
          <w:rFonts w:ascii="Times New Roman" w:hAnsi="Times New Roman"/>
        </w:rPr>
        <w:t xml:space="preserve">Departamento de Agricultura de los Estados Unidos de América– </w:t>
      </w:r>
      <w:r>
        <w:rPr>
          <w:rFonts w:ascii="Times New Roman" w:hAnsi="Times New Roman"/>
          <w:i/>
          <w:iCs/>
        </w:rPr>
        <w:t>Emergency Response Manual</w:t>
      </w:r>
      <w:r>
        <w:rPr>
          <w:rFonts w:ascii="Times New Roman" w:hAnsi="Times New Roman"/>
        </w:rPr>
        <w:t xml:space="preserve"> (Manual de intervención en casos de emergencia) </w:t>
      </w:r>
    </w:p>
    <w:p w14:paraId="133F7CE8" w14:textId="504D8C80">
      <w:pPr>
        <w:spacing w:before="60" w:after="60" w:line="276" w:lineRule="auto"/>
        <w:rPr>
          <w:rFonts w:ascii="Times New Roman" w:hAnsi="Times New Roman" w:eastAsia="Times" w:cs="Times New Roman"/>
        </w:rPr>
      </w:pPr>
      <w:r>
        <w:rPr>
          <w:rStyle w:val="PleaseReviewParagraphId"/>
          <w:b w:val="off"/>
          <w:i w:val="off"/>
        </w:rPr>
        <w:t>[83]</w:t>
      </w:r>
      <w:hyperlink w:history="1" r:id="rId16">
        <w:r>
          <w:rPr>
            <w:rStyle w:val="Hyperlink"/>
            <w:rFonts w:ascii="Times New Roman" w:hAnsi="Times New Roman"/>
          </w:rPr>
          <w:t>https://www.aphis.usda.gov/import_export/plants/manuals/emergency/downloads/epm.pdf</w:t>
        </w:r>
      </w:hyperlink>
      <w:r>
        <w:rPr>
          <w:rFonts w:ascii="Times New Roman" w:hAnsi="Times New Roman"/>
        </w:rPr>
        <w:t xml:space="preserve"> </w:t>
      </w:r>
    </w:p>
    <w:p w14:paraId="1F620E04" w14:textId="01157E14">
      <w:pPr>
        <w:keepNext/>
        <w:tabs>
          <w:tab w:val="left" w:pos="567"/>
        </w:tabs>
        <w:spacing w:before="240" w:after="120" w:line="276" w:lineRule="auto"/>
        <w:ind w:left="567" w:hanging="567"/>
        <w:outlineLvl w:val="1"/>
        <w:rPr>
          <w:rFonts w:ascii="Times New Roman" w:hAnsi="Times New Roman" w:eastAsia="Times" w:cs="Times New Roman"/>
          <w:b/>
        </w:rPr>
      </w:pPr>
      <w:r>
        <w:rPr>
          <w:rStyle w:val="PleaseReviewParagraphId"/>
          <w:b w:val="off"/>
          <w:i w:val="off"/>
        </w:rPr>
        <w:t>[84]</w:t>
      </w:r>
      <w:r>
        <w:rPr>
          <w:rFonts w:ascii="Times New Roman" w:hAnsi="Times New Roman"/>
          <w:b/>
        </w:rPr>
        <w:t>8. Contribuciones financieras y en especie</w:t>
      </w:r>
    </w:p>
    <w:p w14:paraId="0FC072F7" w14:textId="77777777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</w:rPr>
      </w:pPr>
      <w:r>
        <w:rPr>
          <w:rStyle w:val="PleaseReviewParagraphId"/>
          <w:b w:val="off"/>
          <w:i w:val="off"/>
        </w:rPr>
        <w:t>[85]</w:t>
      </w:r>
      <w:r>
        <w:rPr>
          <w:rFonts w:ascii="Times New Roman" w:hAnsi="Times New Roman"/>
        </w:rPr>
        <w:t>Esta guía se elaborará en el marco del proyecto de la FAO en apoyo del programa de facilitación del comercio del Mercado Común para África Oriental y Meridional (GCP/INT/387/COM). </w:t>
      </w:r>
    </w:p>
    <w:p w14:paraId="615A7457" w14:textId="2B6163C3">
      <w:pPr>
        <w:keepNext/>
        <w:tabs>
          <w:tab w:val="left" w:pos="567"/>
        </w:tabs>
        <w:spacing w:before="240" w:after="120" w:line="276" w:lineRule="auto"/>
        <w:ind w:left="567" w:hanging="567"/>
        <w:outlineLvl w:val="1"/>
        <w:rPr>
          <w:rFonts w:ascii="Times New Roman" w:hAnsi="Times New Roman" w:eastAsia="Times" w:cs="Times New Roman"/>
          <w:b/>
          <w:i/>
          <w:iCs/>
        </w:rPr>
      </w:pPr>
      <w:r>
        <w:rPr>
          <w:rStyle w:val="PleaseReviewParagraphId"/>
          <w:b w:val="off"/>
          <w:i w:val="off"/>
        </w:rPr>
        <w:t>[86]</w:t>
      </w:r>
      <w:r>
        <w:rPr>
          <w:rFonts w:ascii="Times New Roman" w:hAnsi="Times New Roman"/>
          <w:b/>
        </w:rPr>
        <w:t xml:space="preserve">9. Criterios de selección de los expertos del grupo de trabajo </w:t>
      </w:r>
    </w:p>
    <w:p w14:paraId="5DBFDBAC" w14:textId="309281E2">
      <w:pPr>
        <w:spacing w:after="180" w:line="276" w:lineRule="auto"/>
        <w:jc w:val="both"/>
        <w:rPr>
          <w:rFonts w:ascii="Times New Roman" w:hAnsi="Times New Roman" w:eastAsia="Times" w:cs="Times New Roman"/>
        </w:rPr>
      </w:pPr>
      <w:r>
        <w:rPr>
          <w:rStyle w:val="PleaseReviewParagraphId"/>
          <w:b w:val="off"/>
          <w:i w:val="off"/>
        </w:rPr>
        <w:t>[87]</w:t>
      </w:r>
      <w:r>
        <w:rPr>
          <w:rFonts w:ascii="Times New Roman" w:hAnsi="Times New Roman"/>
        </w:rPr>
        <w:t xml:space="preserve">Para ayudar a elaborar esta guía se debería formar un grupo de trabajo integrado por expertos con los conocimientos técnicos y prácticos pertinentes en la materia. A tal efecto se debería tomar en consideración la representación geográfica de países en desarrollo y desarrollados, a fin de garantizar que el material elaborado se pueda aplicar en todo el mundo, así como la representación de género. </w:t>
      </w:r>
    </w:p>
    <w:p w14:paraId="662E25A3" w14:textId="0A00DA35">
      <w:pPr>
        <w:spacing w:after="180" w:line="276" w:lineRule="auto"/>
        <w:jc w:val="both"/>
        <w:rPr>
          <w:rFonts w:ascii="Times New Roman" w:hAnsi="Times New Roman" w:eastAsia="Times" w:cs="Times New Roman"/>
        </w:rPr>
      </w:pPr>
      <w:r>
        <w:rPr>
          <w:rStyle w:val="PleaseReviewParagraphId"/>
          <w:b w:val="off"/>
          <w:i w:val="off"/>
        </w:rPr>
        <w:t>[88]</w:t>
      </w:r>
      <w:r>
        <w:rPr>
          <w:rFonts w:ascii="Times New Roman" w:hAnsi="Times New Roman"/>
        </w:rPr>
        <w:t>Para seleccionar a los miembros del grupo de trabajo se deberían utilizar los criterios siguientes:</w:t>
      </w:r>
    </w:p>
    <w:p w14:paraId="1366DDF8" w14:textId="77777777">
      <w:pPr>
        <w:numPr>
          <w:ilvl w:val="0"/>
          <w:numId w:val="2"/>
        </w:numPr>
        <w:tabs>
          <w:tab w:val="left" w:pos="1134"/>
        </w:tabs>
        <w:spacing w:after="60" w:line="240" w:lineRule="auto"/>
        <w:ind w:left="709"/>
        <w:jc w:val="both"/>
        <w:rPr>
          <w:rFonts w:ascii="Times New Roman" w:hAnsi="Times New Roman" w:eastAsia="Times" w:cs="Times New Roman"/>
          <w:szCs w:val="24"/>
        </w:rPr>
      </w:pPr>
      <w:r>
        <w:rPr>
          <w:rStyle w:val="PleaseReviewParagraphId"/>
          <w:b w:val="off"/>
          <w:i w:val="off"/>
        </w:rPr>
        <w:t>[89]</w:t>
      </w:r>
      <w:r>
        <w:rPr>
          <w:rFonts w:ascii="Times New Roman" w:hAnsi="Times New Roman"/>
        </w:rPr>
        <w:t>competencias y conocimientos prácticos en uno o varios de los siguientes ámbitos:</w:t>
      </w:r>
    </w:p>
    <w:p w14:paraId="70B312BA" w14:textId="48162F0B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eastAsia="MS Mincho" w:cs="Times New Roman"/>
        </w:rPr>
      </w:pPr>
      <w:r>
        <w:rPr>
          <w:rStyle w:val="PleaseReviewParagraphId"/>
          <w:b w:val="off"/>
          <w:i w:val="off"/>
        </w:rPr>
        <w:t>[90]</w:t>
      </w:r>
      <w:r>
        <w:rPr>
          <w:rFonts w:ascii="Times New Roman" w:hAnsi="Times New Roman"/>
        </w:rPr>
        <w:t>elaboración y aplicación de planes para contingencias e intervenciones en casos de emergencia;</w:t>
      </w:r>
    </w:p>
    <w:p w14:paraId="6C5E4151" w14:textId="4B5977AC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eastAsia="MS Mincho" w:cs="Times New Roman"/>
        </w:rPr>
      </w:pPr>
      <w:r>
        <w:rPr>
          <w:rStyle w:val="PleaseReviewParagraphId"/>
          <w:b w:val="off"/>
          <w:i w:val="off"/>
        </w:rPr>
        <w:t>[91]</w:t>
      </w:r>
      <w:r>
        <w:rPr>
          <w:rFonts w:ascii="Times New Roman" w:hAnsi="Times New Roman"/>
        </w:rPr>
        <w:t xml:space="preserve">realización de actividades de vigilancia de plagas; </w:t>
      </w:r>
    </w:p>
    <w:p w14:paraId="3DEAC4C9" w14:textId="4250D960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eastAsia="MS Mincho" w:cs="Times New Roman"/>
        </w:rPr>
      </w:pPr>
      <w:r>
        <w:rPr>
          <w:rStyle w:val="PleaseReviewParagraphId"/>
          <w:b w:val="off"/>
          <w:i w:val="off"/>
        </w:rPr>
        <w:t>[92]</w:t>
      </w:r>
      <w:r>
        <w:rPr>
          <w:rFonts w:ascii="Times New Roman" w:hAnsi="Times New Roman"/>
        </w:rPr>
        <w:t>diagnóstico de plagas;</w:t>
      </w:r>
    </w:p>
    <w:p w14:paraId="728C2A62" w14:textId="32B01430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eastAsia="MS Mincho" w:cs="Times New Roman"/>
        </w:rPr>
      </w:pPr>
      <w:r>
        <w:rPr>
          <w:rStyle w:val="PleaseReviewParagraphId"/>
          <w:b w:val="off"/>
          <w:i w:val="off"/>
        </w:rPr>
        <w:t>[93]</w:t>
      </w:r>
      <w:r>
        <w:rPr>
          <w:rFonts w:ascii="Times New Roman" w:hAnsi="Times New Roman"/>
        </w:rPr>
        <w:t>estrategias de erradicación de plagas;</w:t>
      </w:r>
    </w:p>
    <w:p w14:paraId="62451E52" w14:textId="22331C2C">
      <w:pPr>
        <w:numPr>
          <w:ilvl w:val="0"/>
          <w:numId w:val="3"/>
        </w:numPr>
        <w:spacing w:after="0" w:line="276" w:lineRule="auto"/>
        <w:rPr>
          <w:rFonts w:eastAsiaTheme="minorEastAsia"/>
        </w:rPr>
      </w:pPr>
      <w:r>
        <w:rPr>
          <w:rStyle w:val="PleaseReviewParagraphId"/>
          <w:b w:val="off"/>
          <w:i w:val="off"/>
        </w:rPr>
        <w:t>[94]</w:t>
      </w:r>
      <w:r>
        <w:rPr>
          <w:rFonts w:ascii="Times New Roman" w:hAnsi="Times New Roman"/>
        </w:rPr>
        <w:t>ejercicios de simulación de plagas;</w:t>
      </w:r>
    </w:p>
    <w:p w14:paraId="29E3B889" w14:textId="45F98371">
      <w:pPr>
        <w:numPr>
          <w:ilvl w:val="0"/>
          <w:numId w:val="3"/>
        </w:numPr>
        <w:spacing w:after="0" w:line="276" w:lineRule="auto"/>
        <w:rPr>
          <w:rFonts w:eastAsiaTheme="minorEastAsia"/>
        </w:rPr>
      </w:pPr>
      <w:r>
        <w:rPr>
          <w:rStyle w:val="PleaseReviewParagraphId"/>
          <w:b w:val="off"/>
          <w:i w:val="off"/>
        </w:rPr>
        <w:t>[95]</w:t>
      </w:r>
      <w:r>
        <w:rPr>
          <w:rFonts w:ascii="Times New Roman" w:hAnsi="Times New Roman"/>
        </w:rPr>
        <w:t>comunicación de riesgos;</w:t>
      </w:r>
    </w:p>
    <w:p w14:paraId="50128B4A" w14:textId="280346E3">
      <w:pPr>
        <w:numPr>
          <w:ilvl w:val="0"/>
          <w:numId w:val="2"/>
        </w:numPr>
        <w:tabs>
          <w:tab w:val="left" w:pos="1134"/>
        </w:tabs>
        <w:spacing w:after="60" w:line="240" w:lineRule="auto"/>
        <w:ind w:left="709"/>
        <w:jc w:val="both"/>
        <w:rPr>
          <w:rFonts w:ascii="Times New Roman" w:hAnsi="Times New Roman" w:eastAsia="Times" w:cs="Times New Roman"/>
          <w:szCs w:val="24"/>
        </w:rPr>
      </w:pPr>
      <w:r>
        <w:rPr>
          <w:rStyle w:val="PleaseReviewParagraphId"/>
          <w:b w:val="off"/>
          <w:i w:val="off"/>
        </w:rPr>
        <w:t>[96]</w:t>
      </w:r>
      <w:r>
        <w:rPr>
          <w:rFonts w:ascii="Times New Roman" w:hAnsi="Times New Roman"/>
        </w:rPr>
        <w:t xml:space="preserve">conocimiento de los sistemas fitosanitarios nacionales, regionales y mundiales. </w:t>
      </w:r>
    </w:p>
    <w:sectPr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C60F7" w14:textId="77777777">
      <w:pPr>
        <w:spacing w:after="0" w:line="240" w:lineRule="auto"/>
      </w:pPr>
      <w:r>
        <w:rPr>
          <w:rStyle w:val="PleaseReviewParagraphId"/>
          <w:b w:val="off"/>
          <w:i w:val="off"/>
        </w:rPr>
        <w:t>[]</w:t>
      </w:r>
      <w:r>
        <w:separator/>
      </w:r>
    </w:p>
  </w:endnote>
  <w:endnote w:type="continuationSeparator" w:id="0">
    <w:p w14:paraId="145A3340" w14:textId="77777777">
      <w:pPr>
        <w:spacing w:after="0" w:line="240" w:lineRule="auto"/>
      </w:pPr>
      <w:r>
        <w:rPr>
          <w:rStyle w:val="PleaseReviewParagraphId"/>
          <w:b w:val="off"/>
          <w:i w:val="off"/>
        </w:rPr>
        <w:t>[]</w:t>
      </w:r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087FE" w14:textId="77777777">
      <w:pPr>
        <w:spacing w:after="0" w:line="240" w:lineRule="auto"/>
      </w:pPr>
      <w:r>
        <w:rPr>
          <w:rStyle w:val="PleaseReviewParagraphId"/>
          <w:b w:val="off"/>
          <w:i w:val="off"/>
        </w:rPr>
        <w:t>[]</w:t>
      </w:r>
      <w:r>
        <w:separator/>
      </w:r>
    </w:p>
  </w:footnote>
  <w:footnote w:type="continuationSeparator" w:id="0">
    <w:p w14:paraId="2F7E8767" w14:textId="77777777">
      <w:pPr>
        <w:spacing w:after="0" w:line="240" w:lineRule="auto"/>
      </w:pPr>
      <w:r>
        <w:rPr>
          <w:rStyle w:val="PleaseReviewParagraphId"/>
          <w:b w:val="off"/>
          <w:i w:val="off"/>
        </w:rPr>
        <w:t>[]</w:t>
      </w:r>
      <w:r>
        <w:continuationSeparator/>
      </w:r>
    </w:p>
  </w:footnote>
  <w:footnote w:id="1">
    <w:p w14:paraId="72768513" w14:textId="6F957DFC">
      <w:pPr>
        <w:pStyle w:val="FootnoteText"/>
      </w:pPr>
      <w:r>
        <w:rPr>
          <w:rStyle w:val="PleaseReviewParagraphId"/>
          <w:b w:val="off"/>
          <w:i w:val="off"/>
        </w:rPr>
        <w:t>[34]</w:t>
      </w:r>
      <w:r>
        <w:rPr>
          <w:rStyle w:val="FootnoteReference"/>
        </w:rPr>
        <w:footnoteRef/>
      </w:r>
      <w:r>
        <w:t xml:space="preserve"> </w:t>
      </w:r>
      <w:hyperlink w:history="1" r:id="rId1">
        <w:r>
          <w:rPr>
            <w:rStyle w:val="Hyperlink1"/>
          </w:rPr>
          <w:t>https://www.ippc.int/es/publications/131/</w:t>
        </w:r>
      </w:hyperlink>
      <w:r>
        <w:t>.</w:t>
      </w:r>
    </w:p>
  </w:footnote>
  <w:footnote w:id="2">
    <w:p w14:paraId="47DC1905" w14:textId="550F2FAC">
      <w:pPr>
        <w:pStyle w:val="FootnoteText"/>
        <w:rPr>
          <w:u w:val="single"/>
        </w:rPr>
      </w:pPr>
      <w:r>
        <w:rPr>
          <w:rStyle w:val="PleaseReviewParagraphId"/>
          <w:b w:val="off"/>
          <w:i w:val="off"/>
        </w:rPr>
        <w:t>[36]</w:t>
      </w:r>
      <w:r>
        <w:rPr>
          <w:rStyle w:val="FootnoteReference"/>
        </w:rPr>
        <w:footnoteRef/>
      </w:r>
      <w:r>
        <w:t xml:space="preserve"> </w:t>
      </w:r>
      <w:hyperlink w:history="1" r:id="rId2">
        <w:r>
          <w:rPr>
            <w:rStyle w:val="Hyperlink1"/>
          </w:rPr>
          <w:t>https://www.ippc.int/es/publications/614/</w:t>
        </w:r>
      </w:hyperlink>
      <w:r>
        <w:t>.</w:t>
      </w:r>
    </w:p>
  </w:footnote>
  <w:footnote w:id="3">
    <w:p w14:paraId="61B8BD0A" w14:textId="42A4AE87">
      <w:pPr>
        <w:pStyle w:val="FootnoteText"/>
      </w:pPr>
      <w:r>
        <w:rPr>
          <w:rStyle w:val="PleaseReviewParagraphId"/>
          <w:b w:val="off"/>
          <w:i w:val="off"/>
        </w:rPr>
        <w:t>[38]</w:t>
      </w:r>
      <w:r>
        <w:rPr>
          <w:rStyle w:val="FootnoteReference"/>
          <w:u w:val="single"/>
        </w:rPr>
        <w:footnoteRef/>
      </w:r>
      <w:r>
        <w:rPr>
          <w:u w:val="single"/>
        </w:rPr>
        <w:t xml:space="preserve"> </w:t>
      </w:r>
      <w:hyperlink w:history="1" r:id="rId3">
        <w:r>
          <w:rPr>
            <w:rStyle w:val="Hyperlink1"/>
          </w:rPr>
          <w:t>https://www.ippc.int/es/publications/615/</w:t>
        </w:r>
      </w:hyperlink>
      <w:r>
        <w:t>.</w:t>
      </w:r>
    </w:p>
  </w:footnote>
  <w:footnote w:id="4">
    <w:p w14:paraId="07391BE0" w14:textId="42C8511A">
      <w:pPr>
        <w:pStyle w:val="FootnoteText"/>
      </w:pPr>
      <w:r>
        <w:rPr>
          <w:rStyle w:val="PleaseReviewParagraphId"/>
          <w:b w:val="off"/>
          <w:i w:val="off"/>
        </w:rPr>
        <w:t>[40]</w:t>
      </w:r>
      <w:r>
        <w:rPr>
          <w:rStyle w:val="FootnoteReference"/>
        </w:rPr>
        <w:footnoteRef/>
      </w:r>
      <w:r>
        <w:t xml:space="preserve"> </w:t>
      </w:r>
      <w:hyperlink w:history="1" r:id="rId4">
        <w:r>
          <w:rPr>
            <w:rStyle w:val="Hyperlink1"/>
          </w:rPr>
          <w:t>https://www.ippc.int/es/publications/612/</w:t>
        </w:r>
      </w:hyperlink>
      <w:r>
        <w:t>.</w:t>
      </w:r>
    </w:p>
  </w:footnote>
  <w:footnote w:id="5">
    <w:p w14:paraId="34EF21CA" w14:textId="481F3087">
      <w:pPr>
        <w:pStyle w:val="FootnoteText"/>
      </w:pPr>
      <w:r>
        <w:rPr>
          <w:rStyle w:val="PleaseReviewParagraphId"/>
          <w:b w:val="off"/>
          <w:i w:val="off"/>
        </w:rPr>
        <w:t>[42]</w:t>
      </w:r>
      <w:r>
        <w:rPr>
          <w:rStyle w:val="FootnoteReference"/>
        </w:rPr>
        <w:footnoteRef/>
      </w:r>
      <w:r>
        <w:t xml:space="preserve"> </w:t>
      </w:r>
      <w:hyperlink w:history="1" r:id="rId5">
        <w:r>
          <w:rPr>
            <w:rStyle w:val="Hyperlink1"/>
          </w:rPr>
          <w:t>https://www.ippc.int/es/publications/611/</w:t>
        </w:r>
      </w:hyperlink>
      <w:r>
        <w:t>.</w:t>
      </w:r>
    </w:p>
  </w:footnote>
  <w:footnote w:id="6">
    <w:p w14:paraId="54F00BD0" w14:textId="0DDBE650">
      <w:pPr>
        <w:pStyle w:val="FootnoteText"/>
      </w:pPr>
      <w:r>
        <w:rPr>
          <w:rStyle w:val="PleaseReviewParagraphId"/>
          <w:b w:val="off"/>
          <w:i w:val="off"/>
        </w:rPr>
        <w:t>[44]</w:t>
      </w:r>
      <w:r>
        <w:rPr>
          <w:rStyle w:val="FootnoteReference"/>
        </w:rPr>
        <w:footnoteRef/>
      </w:r>
      <w:r>
        <w:t xml:space="preserve"> </w:t>
      </w:r>
      <w:hyperlink w:history="1" r:id="rId6">
        <w:r>
          <w:rPr>
            <w:rStyle w:val="Hyperlink1"/>
          </w:rPr>
          <w:t>https://www.ippc.int/es/publications/610/</w:t>
        </w:r>
      </w:hyperlink>
      <w:r>
        <w:t>.</w:t>
      </w:r>
    </w:p>
  </w:footnote>
  <w:footnote w:id="7">
    <w:p w14:paraId="180204B4" w14:textId="449B1E08">
      <w:pPr>
        <w:pStyle w:val="FootnoteText"/>
      </w:pPr>
      <w:r>
        <w:rPr>
          <w:rStyle w:val="PleaseReviewParagraphId"/>
          <w:b w:val="off"/>
          <w:i w:val="off"/>
        </w:rPr>
        <w:t>[46]</w:t>
      </w:r>
      <w:r>
        <w:rPr>
          <w:rStyle w:val="FootnoteReference"/>
        </w:rPr>
        <w:footnoteRef/>
      </w:r>
      <w:r>
        <w:t xml:space="preserve"> </w:t>
      </w:r>
      <w:hyperlink w:history="1" r:id="rId7">
        <w:r>
          <w:rPr>
            <w:rStyle w:val="Hyperlink1"/>
          </w:rPr>
          <w:t>https://www.ippc.int/es/publications/607/</w:t>
        </w:r>
      </w:hyperlink>
      <w:r>
        <w:t>.</w:t>
      </w:r>
    </w:p>
  </w:footnote>
  <w:footnote w:id="8">
    <w:p w14:paraId="207B3493" w14:textId="4BB0AA2D">
      <w:pPr>
        <w:pStyle w:val="FootnoteText"/>
      </w:pPr>
      <w:r>
        <w:rPr>
          <w:rStyle w:val="PleaseReviewParagraphId"/>
          <w:b w:val="off"/>
          <w:i w:val="off"/>
        </w:rPr>
        <w:t>[48]</w:t>
      </w:r>
      <w:r>
        <w:rPr>
          <w:rStyle w:val="FootnoteReference"/>
        </w:rPr>
        <w:footnoteRef/>
      </w:r>
      <w:r>
        <w:t xml:space="preserve"> </w:t>
      </w:r>
      <w:hyperlink w:history="1" r:id="rId8">
        <w:r>
          <w:rPr>
            <w:rStyle w:val="Hyperlink1"/>
          </w:rPr>
          <w:t>https://www.ippc.int/es/publications/606/</w:t>
        </w:r>
      </w:hyperlink>
      <w:r>
        <w:t>.</w:t>
      </w:r>
    </w:p>
  </w:footnote>
  <w:footnote w:id="9">
    <w:p w14:paraId="319CB44F" w14:textId="7095F9C0">
      <w:pPr>
        <w:pStyle w:val="FootnoteText"/>
      </w:pPr>
      <w:r>
        <w:rPr>
          <w:rStyle w:val="PleaseReviewParagraphId"/>
          <w:b w:val="off"/>
          <w:i w:val="off"/>
        </w:rPr>
        <w:t>[50]</w:t>
      </w:r>
      <w:r>
        <w:rPr>
          <w:rStyle w:val="FootnoteReference"/>
        </w:rPr>
        <w:footnoteRef/>
      </w:r>
      <w:r>
        <w:t xml:space="preserve"> </w:t>
      </w:r>
      <w:hyperlink w:history="1" r:id="rId9">
        <w:r>
          <w:rPr>
            <w:rStyle w:val="Hyperlink1"/>
          </w:rPr>
          <w:t>https://www.ippc.int/es/publications/599/</w:t>
        </w:r>
      </w:hyperlink>
      <w:r>
        <w:t>.</w:t>
      </w:r>
    </w:p>
  </w:footnote>
  <w:footnote w:id="10">
    <w:p w14:paraId="63BE0A6C" w14:textId="512E4361">
      <w:pPr>
        <w:pStyle w:val="FootnoteText"/>
        <w:rPr>
          <w:u w:val="single"/>
        </w:rPr>
      </w:pPr>
      <w:r>
        <w:rPr>
          <w:rStyle w:val="PleaseReviewParagraphId"/>
          <w:b w:val="off"/>
          <w:i w:val="off"/>
        </w:rPr>
        <w:t>[52]</w:t>
      </w:r>
      <w:r>
        <w:rPr>
          <w:rStyle w:val="FootnoteReference"/>
        </w:rPr>
        <w:footnoteRef/>
      </w:r>
      <w:r>
        <w:t xml:space="preserve"> </w:t>
      </w:r>
      <w:hyperlink w:history="1" r:id="rId10">
        <w:r>
          <w:rPr>
            <w:rStyle w:val="Hyperlink1"/>
          </w:rPr>
          <w:t>https://www.ippc.int/es/publications/593/</w:t>
        </w:r>
      </w:hyperlink>
      <w:r>
        <w:t>.</w:t>
      </w:r>
    </w:p>
  </w:footnote>
</w:footnotes>
</file>

<file path=word/numbering.xml><?xml version="1.0" encoding="utf-8"?>
<w:numbering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786"/>
    <w:multiLevelType w:val="hybridMultilevel"/>
    <w:tmpl w:val="E51AB34E"/>
    <w:lvl w:ilvl="0" w:tplc="0410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color w:val="auto"/>
        <w:sz w:val="22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57901"/>
    <w:multiLevelType w:val="hybridMultilevel"/>
    <w:tmpl w:val="F008F69C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071A8"/>
    <w:multiLevelType w:val="hybridMultilevel"/>
    <w:tmpl w:val="2C5669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B63D7"/>
    <w:multiLevelType w:val="hybridMultilevel"/>
    <w:tmpl w:val="2758ACF6"/>
    <w:lvl w:ilvl="0" w:tplc="FFFFFFFF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9F"/>
    <w:rsid w:val="00005717"/>
    <w:rsid w:val="00017C1D"/>
    <w:rsid w:val="00040516"/>
    <w:rsid w:val="001203C4"/>
    <w:rsid w:val="001255ED"/>
    <w:rsid w:val="00223AE8"/>
    <w:rsid w:val="0026723A"/>
    <w:rsid w:val="00282D0D"/>
    <w:rsid w:val="002C32D0"/>
    <w:rsid w:val="002F1DFB"/>
    <w:rsid w:val="00306CD4"/>
    <w:rsid w:val="003318C8"/>
    <w:rsid w:val="0035385E"/>
    <w:rsid w:val="003F10CB"/>
    <w:rsid w:val="0040076C"/>
    <w:rsid w:val="004118DD"/>
    <w:rsid w:val="00430057"/>
    <w:rsid w:val="00433C5D"/>
    <w:rsid w:val="00492A7D"/>
    <w:rsid w:val="004D2951"/>
    <w:rsid w:val="00541C9D"/>
    <w:rsid w:val="00547350"/>
    <w:rsid w:val="005C5F5A"/>
    <w:rsid w:val="005F4BB7"/>
    <w:rsid w:val="0064084B"/>
    <w:rsid w:val="006562DA"/>
    <w:rsid w:val="0065642C"/>
    <w:rsid w:val="00696894"/>
    <w:rsid w:val="006D06D7"/>
    <w:rsid w:val="007F3E9D"/>
    <w:rsid w:val="0080470D"/>
    <w:rsid w:val="00843C05"/>
    <w:rsid w:val="00872609"/>
    <w:rsid w:val="008E4D64"/>
    <w:rsid w:val="00920E9D"/>
    <w:rsid w:val="00990691"/>
    <w:rsid w:val="009B2F87"/>
    <w:rsid w:val="009B4A9F"/>
    <w:rsid w:val="00A032F6"/>
    <w:rsid w:val="00A15072"/>
    <w:rsid w:val="00A17971"/>
    <w:rsid w:val="00A91FA4"/>
    <w:rsid w:val="00AE7F69"/>
    <w:rsid w:val="00B01B74"/>
    <w:rsid w:val="00B16DEE"/>
    <w:rsid w:val="00C23477"/>
    <w:rsid w:val="00C249F5"/>
    <w:rsid w:val="00C378F8"/>
    <w:rsid w:val="00D25FF5"/>
    <w:rsid w:val="00D643EA"/>
    <w:rsid w:val="00DA1D4B"/>
    <w:rsid w:val="00E8526F"/>
    <w:rsid w:val="00E861BB"/>
    <w:rsid w:val="00E870E6"/>
    <w:rsid w:val="00EF58E2"/>
    <w:rsid w:val="10F7D3D9"/>
    <w:rsid w:val="27C30DA1"/>
    <w:rsid w:val="39C63248"/>
    <w:rsid w:val="5CE0AD6D"/>
    <w:rsid w:val="720F6477"/>
    <w:rsid w:val="7683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6AD0"/>
  <w15:chartTrackingRefBased/>
  <w15:docId w15:val="{9C958DF3-AAD0-419A-B653-EFE3172310E7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uiPriority w:val="99"/>
    <w:unhideWhenUsed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rFonts w:ascii="Calibri" w:eastAsia="MS Mincho" w:hAnsi="Calibri" w:cs="Arial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alibri" w:eastAsia="MS Mincho" w:hAnsi="Calibri" w:cs="Arial"/>
      <w:sz w:val="20"/>
      <w:szCs w:val="20"/>
      <w:lang w:val="es-E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easeReviewParagraphId">
    <w:name w:val="PleaseReviewParagraphId"/>
    <w:basedOn w:val="DefaultParagraphFont"/>
    <w:rPr>
      <w:rFonts w:ascii="Arial" w:hAnsi="Arial"/>
      <w:b w:val="off"/>
      <w:i w:val="off"/>
      <w:u w:val="off"/>
      <w:color w:val="000080"/>
      <w:sz w:val="16"/>
    </w:rPr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oirsa.org/informacion.aspx?id=20" TargetMode="External" Id="rId8" /><Relationship Type="http://schemas.openxmlformats.org/officeDocument/2006/relationships/hyperlink" Target="http://bif.lrd.spc.int/plant-biosecurity/internal-quarantine/procedures/contingency-planning-and-emergency-response/" TargetMode="Externa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hyperlink" Target="https://www.ippc.int/es/publications/588/" TargetMode="External" Id="rId7" /><Relationship Type="http://schemas.openxmlformats.org/officeDocument/2006/relationships/hyperlink" Target="https://planthealthportal.defra.gov.uk/pests-and-diseases/contingency-planning/" TargetMode="Externa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hyperlink" Target="https://www.aphis.usda.gov/import_export/plants/manuals/emergency/downloads/epm.pdf" TargetMode="Externa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planthealthaustralia.com.au/biosecurity/risk-mitigation/contingency-planning/" TargetMode="External" Id="rId11" /><Relationship Type="http://schemas.openxmlformats.org/officeDocument/2006/relationships/footnotes" Target="footnotes.xml" Id="rId5" /><Relationship Type="http://schemas.openxmlformats.org/officeDocument/2006/relationships/hyperlink" Target="https://www.planthealthaustralia.com.au/wp-content/uploads/2012/11/Technical-Guidelines-for-Development-of-Pest-Specific-Response-Plans.pdf" TargetMode="External" Id="rId15" /><Relationship Type="http://schemas.openxmlformats.org/officeDocument/2006/relationships/hyperlink" Target="https://www.eppo.int/RESOURCES/eppo_standards/pm9_control_systems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://www.fao.org/documents/card/es/c/cb3833en/" TargetMode="External" Id="rId9" /><Relationship Type="http://schemas.openxmlformats.org/officeDocument/2006/relationships/hyperlink" Target="https://assets.publishing.service.gov.uk/government/uploads/system/uploads/attachment_data/file/593508/generic-contingency-plan-plant-bee-health-england.pdf" TargetMode="External" Id="rId14" /></Relationships>
</file>

<file path=word/_rels/footnotes.xml.rels>&#65279;<?xml version="1.0" encoding="utf-8"?><Relationships xmlns="http://schemas.openxmlformats.org/package/2006/relationships"><Relationship Type="http://schemas.openxmlformats.org/officeDocument/2006/relationships/hyperlink" Target="https://www.ippc.int/es/publications/606/" TargetMode="External" Id="rId8" /><Relationship Type="http://schemas.openxmlformats.org/officeDocument/2006/relationships/hyperlink" Target="https://www.ippc.int/es/publications/615/" TargetMode="External" Id="rId3" /><Relationship Type="http://schemas.openxmlformats.org/officeDocument/2006/relationships/hyperlink" Target="https://www.ippc.int/es/publications/607/" TargetMode="External" Id="rId7" /><Relationship Type="http://schemas.openxmlformats.org/officeDocument/2006/relationships/hyperlink" Target="https://www.ippc.int/es/publications/614/" TargetMode="External" Id="rId2" /><Relationship Type="http://schemas.openxmlformats.org/officeDocument/2006/relationships/hyperlink" Target="https://www.ippc.int/es/publications/131/" TargetMode="External" Id="rId1" /><Relationship Type="http://schemas.openxmlformats.org/officeDocument/2006/relationships/hyperlink" Target="https://www.ippc.int/es/publications/610/" TargetMode="External" Id="rId6" /><Relationship Type="http://schemas.openxmlformats.org/officeDocument/2006/relationships/hyperlink" Target="https://www.ippc.int/es/publications/611/" TargetMode="External" Id="rId5" /><Relationship Type="http://schemas.openxmlformats.org/officeDocument/2006/relationships/hyperlink" Target="https://www.ippc.int/es/publications/593/" TargetMode="External" Id="rId10" /><Relationship Type="http://schemas.openxmlformats.org/officeDocument/2006/relationships/hyperlink" Target="https://www.ippc.int/es/publications/612/" TargetMode="External" Id="rId4" /><Relationship Type="http://schemas.openxmlformats.org/officeDocument/2006/relationships/hyperlink" Target="https://www.ippc.int/es/publications/599/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1631</Words>
  <Characters>9302</Characters>
  <Application>Microsoft Office Word</Application>
  <DocSecurity>0</DocSecurity>
  <Lines>77</Lines>
  <Paragraphs>21</Paragraphs>
  <ScaleCrop>false</ScaleCrop>
  <Company/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Chiluba Mwape</dc:creator>
  <cp:keywords/>
  <dc:description/>
  <cp:lastModifiedBy>Czerwien, Ewa (NSP)</cp:lastModifiedBy>
  <cp:revision>4</cp:revision>
  <dcterms:created xsi:type="dcterms:W3CDTF">2021-06-25T15:07:00Z</dcterms:created>
  <dcterms:modified xsi:type="dcterms:W3CDTF">2021-06-30T21:16:00Z</dcterms:modified>
</cp:coreProperties>
</file>