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857E" w14:textId="6B1C7303" w:rsidR="00CB0712" w:rsidRPr="00434838" w:rsidRDefault="00B05071" w:rsidP="00434838">
      <w:pPr>
        <w:spacing w:after="240"/>
        <w:rPr>
          <w:b/>
          <w:bCs/>
        </w:rPr>
      </w:pPr>
      <w:bookmarkStart w:id="0" w:name="_Toc121913536"/>
      <w:r>
        <w:rPr>
          <w:b/>
        </w:rPr>
        <w:t>PROYECTO DE NIMF: [Título (N.º de tema)]</w:t>
      </w:r>
    </w:p>
    <w:p w14:paraId="34C12BEF" w14:textId="327E001B" w:rsidR="00CB0712" w:rsidRDefault="00914557" w:rsidP="00CB0712">
      <w:pPr>
        <w:pStyle w:val="IPPNormal"/>
      </w:pPr>
      <w:r>
        <w:t xml:space="preserve">En esta plantilla se muestra lo que debería incluir un proyecto de Norma </w:t>
      </w:r>
      <w:r w:rsidR="00C95D4F">
        <w:t xml:space="preserve">internacional </w:t>
      </w:r>
      <w:r>
        <w:t xml:space="preserve">para </w:t>
      </w:r>
      <w:r w:rsidR="00C95D4F">
        <w:t xml:space="preserve">medidas fitosanitarias </w:t>
      </w:r>
      <w:r>
        <w:t>(NIMF).</w:t>
      </w:r>
    </w:p>
    <w:p w14:paraId="71BF3EB9" w14:textId="77777777" w:rsidR="00914557" w:rsidRDefault="00CB0712" w:rsidP="00CB0712">
      <w:pPr>
        <w:pStyle w:val="IPPNormal"/>
      </w:pPr>
      <w:r>
        <w:t>[El texto que aparece entre corchetes] es texto que debe mantenerse pero que se enmendará según la NIMF que se esté redactando.</w:t>
      </w:r>
    </w:p>
    <w:p w14:paraId="50D6234F" w14:textId="1C0FB02C" w:rsidR="0065401B" w:rsidRPr="004345E8" w:rsidRDefault="0065401B" w:rsidP="00CB0712">
      <w:pPr>
        <w:pStyle w:val="IPPNormal"/>
      </w:pPr>
      <w:r>
        <w:t xml:space="preserve">Es imprescindible establecer una estructura y </w:t>
      </w:r>
      <w:r w:rsidR="00C95D4F">
        <w:t xml:space="preserve">un </w:t>
      </w:r>
      <w:r>
        <w:t xml:space="preserve">contenido claros, numerar los párrafos y utilizar un formato sencillo pero coherente (es decir, dar solo el formato mínimo </w:t>
      </w:r>
      <w:proofErr w:type="gramStart"/>
      <w:r>
        <w:t>necesario</w:t>
      </w:r>
      <w:proofErr w:type="gramEnd"/>
      <w:r>
        <w:t xml:space="preserve"> pero asegurarse de que los niveles de los títulos son correctos de </w:t>
      </w:r>
      <w:r w:rsidR="00C95D4F">
        <w:t xml:space="preserve">forma </w:t>
      </w:r>
      <w:r>
        <w:t>que las partes contratantes entiendan la estructura del documento).</w:t>
      </w:r>
    </w:p>
    <w:p w14:paraId="4E0EBE51" w14:textId="3B40101B" w:rsidR="00C36377" w:rsidRPr="00434838" w:rsidRDefault="00514DCA" w:rsidP="00434838">
      <w:pPr>
        <w:pStyle w:val="IPPNormal"/>
        <w:spacing w:after="240"/>
      </w:pPr>
      <w:r>
        <w:t>U</w:t>
      </w:r>
      <w:r w:rsidR="0065401B">
        <w:t>til</w:t>
      </w:r>
      <w:r>
        <w:t>ícese</w:t>
      </w:r>
      <w:r w:rsidR="0065401B">
        <w:t xml:space="preserve"> la numeración de párrafos manual tras la redacción inicial y antes de que se realicen cambios durante las reuniones.</w:t>
      </w:r>
    </w:p>
    <w:p w14:paraId="26A8049E" w14:textId="77777777" w:rsidR="00C40334" w:rsidRPr="00C40334" w:rsidRDefault="00C40334" w:rsidP="00C40334">
      <w:pPr>
        <w:pStyle w:val="IPPArialTable"/>
        <w:rPr>
          <w:b/>
          <w:bCs/>
        </w:rPr>
      </w:pPr>
      <w:r>
        <w:rPr>
          <w:b/>
        </w:rPr>
        <w:t>Estado de la elaboración</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A029C1" w:rsidRPr="007B7328" w14:paraId="3ED7C34C" w14:textId="77777777" w:rsidTr="005C726E">
        <w:trPr>
          <w:trHeight w:val="286"/>
        </w:trPr>
        <w:tc>
          <w:tcPr>
            <w:tcW w:w="9039" w:type="dxa"/>
            <w:gridSpan w:val="2"/>
            <w:tcBorders>
              <w:top w:val="single" w:sz="4" w:space="0" w:color="auto"/>
              <w:left w:val="single" w:sz="4" w:space="0" w:color="auto"/>
              <w:right w:val="single" w:sz="4" w:space="0" w:color="auto"/>
            </w:tcBorders>
          </w:tcPr>
          <w:p w14:paraId="16C5D70D" w14:textId="20E6395D" w:rsidR="00A029C1" w:rsidRPr="004345E8" w:rsidRDefault="00A029C1" w:rsidP="00C95D4F">
            <w:pPr>
              <w:pStyle w:val="IPPArial"/>
            </w:pPr>
            <w:r>
              <w:t xml:space="preserve">Esta no es una parte oficial de la norma; después de la </w:t>
            </w:r>
            <w:r w:rsidR="00C95D4F">
              <w:t xml:space="preserve">aprobación de la norma, esta parte </w:t>
            </w:r>
            <w:r>
              <w:t>será modificada por la Secretaría de la CIPF.</w:t>
            </w:r>
          </w:p>
        </w:tc>
      </w:tr>
      <w:tr w:rsidR="00A029C1" w:rsidRPr="007B7328" w14:paraId="1CB59F5A" w14:textId="77777777" w:rsidTr="005C726E">
        <w:trPr>
          <w:trHeight w:val="286"/>
        </w:trPr>
        <w:tc>
          <w:tcPr>
            <w:tcW w:w="2273" w:type="dxa"/>
            <w:tcBorders>
              <w:left w:val="single" w:sz="4" w:space="0" w:color="auto"/>
            </w:tcBorders>
          </w:tcPr>
          <w:p w14:paraId="766C0F93" w14:textId="77777777" w:rsidR="00A029C1" w:rsidRPr="004345E8" w:rsidRDefault="00A029C1" w:rsidP="00434838">
            <w:pPr>
              <w:pStyle w:val="IPPArial"/>
              <w:jc w:val="left"/>
              <w:rPr>
                <w:b/>
                <w:bCs/>
              </w:rPr>
            </w:pPr>
            <w:r>
              <w:rPr>
                <w:b/>
              </w:rPr>
              <w:t>Fecha de este documento</w:t>
            </w:r>
          </w:p>
        </w:tc>
        <w:tc>
          <w:tcPr>
            <w:tcW w:w="6766" w:type="dxa"/>
            <w:tcBorders>
              <w:right w:val="single" w:sz="4" w:space="0" w:color="auto"/>
            </w:tcBorders>
          </w:tcPr>
          <w:p w14:paraId="2A9E79DB" w14:textId="38A8678B" w:rsidR="00A029C1" w:rsidRPr="004345E8" w:rsidRDefault="00751EEC" w:rsidP="00301527">
            <w:pPr>
              <w:pStyle w:val="IPPArial"/>
            </w:pPr>
            <w:r>
              <w:t>[20</w:t>
            </w:r>
            <w:r w:rsidR="00301527">
              <w:t>23</w:t>
            </w:r>
            <w:r>
              <w:t>-</w:t>
            </w:r>
            <w:r w:rsidR="00301527">
              <w:t>04</w:t>
            </w:r>
            <w:r>
              <w:t>-</w:t>
            </w:r>
            <w:r w:rsidR="00301527">
              <w:t>21</w:t>
            </w:r>
            <w:r>
              <w:t>]</w:t>
            </w:r>
          </w:p>
        </w:tc>
      </w:tr>
      <w:tr w:rsidR="00A029C1" w:rsidRPr="007B7328" w14:paraId="171C64AE" w14:textId="77777777" w:rsidTr="005C726E">
        <w:trPr>
          <w:trHeight w:val="286"/>
        </w:trPr>
        <w:tc>
          <w:tcPr>
            <w:tcW w:w="2273" w:type="dxa"/>
            <w:tcBorders>
              <w:left w:val="single" w:sz="4" w:space="0" w:color="auto"/>
            </w:tcBorders>
          </w:tcPr>
          <w:p w14:paraId="7EAEFC89" w14:textId="77777777" w:rsidR="00A029C1" w:rsidRPr="004345E8" w:rsidRDefault="00A029C1" w:rsidP="00434838">
            <w:pPr>
              <w:pStyle w:val="IPPArial"/>
              <w:jc w:val="left"/>
              <w:rPr>
                <w:b/>
                <w:bCs/>
              </w:rPr>
            </w:pPr>
            <w:r>
              <w:rPr>
                <w:b/>
              </w:rPr>
              <w:t>Categoría del documento</w:t>
            </w:r>
          </w:p>
        </w:tc>
        <w:tc>
          <w:tcPr>
            <w:tcW w:w="6766" w:type="dxa"/>
            <w:tcBorders>
              <w:right w:val="single" w:sz="4" w:space="0" w:color="auto"/>
            </w:tcBorders>
          </w:tcPr>
          <w:p w14:paraId="1A1B007E" w14:textId="77777777" w:rsidR="00E81634" w:rsidRDefault="003D0A11" w:rsidP="006D3C89">
            <w:pPr>
              <w:pStyle w:val="IPPArial"/>
            </w:pPr>
            <w:r>
              <w:t>Por ejemplo:</w:t>
            </w:r>
          </w:p>
          <w:p w14:paraId="18EEAAD5" w14:textId="3B337329" w:rsidR="00A029C1" w:rsidRPr="004345E8" w:rsidRDefault="003D0A11" w:rsidP="00C95D4F">
            <w:pPr>
              <w:pStyle w:val="IPPArial"/>
            </w:pPr>
            <w:r>
              <w:t xml:space="preserve">Proyecto de </w:t>
            </w:r>
            <w:r w:rsidR="00C95D4F">
              <w:t xml:space="preserve">apéndice </w:t>
            </w:r>
            <w:r>
              <w:t>de la NIMF XX</w:t>
            </w:r>
          </w:p>
        </w:tc>
      </w:tr>
      <w:tr w:rsidR="00A029C1" w:rsidRPr="007B7328" w14:paraId="4C626662" w14:textId="77777777" w:rsidTr="005C726E">
        <w:trPr>
          <w:trHeight w:val="299"/>
        </w:trPr>
        <w:tc>
          <w:tcPr>
            <w:tcW w:w="2273" w:type="dxa"/>
            <w:tcBorders>
              <w:left w:val="single" w:sz="4" w:space="0" w:color="auto"/>
            </w:tcBorders>
          </w:tcPr>
          <w:p w14:paraId="374F1CA3" w14:textId="77777777" w:rsidR="00A029C1" w:rsidRPr="004345E8" w:rsidRDefault="00A029C1" w:rsidP="006D3C89">
            <w:pPr>
              <w:pStyle w:val="IPPArial"/>
              <w:jc w:val="left"/>
              <w:rPr>
                <w:b/>
                <w:bCs/>
              </w:rPr>
            </w:pPr>
            <w:r>
              <w:rPr>
                <w:b/>
              </w:rPr>
              <w:t>Etapa actual del documento</w:t>
            </w:r>
          </w:p>
        </w:tc>
        <w:tc>
          <w:tcPr>
            <w:tcW w:w="6766" w:type="dxa"/>
            <w:tcBorders>
              <w:right w:val="single" w:sz="4" w:space="0" w:color="auto"/>
            </w:tcBorders>
          </w:tcPr>
          <w:p w14:paraId="710A603F" w14:textId="77777777" w:rsidR="00E81634" w:rsidRDefault="003D0A11" w:rsidP="00C40334">
            <w:pPr>
              <w:pStyle w:val="IPPArial"/>
            </w:pPr>
            <w:r>
              <w:t>Etapa en la que se encuentra el documento en el proceso de establecimiento de normas. Por ejemplo:</w:t>
            </w:r>
          </w:p>
          <w:p w14:paraId="361B3238" w14:textId="527C63BA" w:rsidR="00A029C1" w:rsidRPr="004345E8" w:rsidRDefault="005C726E" w:rsidP="00E81634">
            <w:pPr>
              <w:pStyle w:val="IPPArial"/>
            </w:pPr>
            <w:r>
              <w:rPr>
                <w:i/>
                <w:iCs/>
              </w:rPr>
              <w:t>Para</w:t>
            </w:r>
            <w:r>
              <w:t xml:space="preserve"> primera consulta</w:t>
            </w:r>
          </w:p>
        </w:tc>
      </w:tr>
      <w:tr w:rsidR="00A029C1" w:rsidRPr="007B7328" w14:paraId="33636379" w14:textId="77777777" w:rsidTr="005C726E">
        <w:trPr>
          <w:trHeight w:val="491"/>
        </w:trPr>
        <w:tc>
          <w:tcPr>
            <w:tcW w:w="2273" w:type="dxa"/>
            <w:tcBorders>
              <w:left w:val="single" w:sz="4" w:space="0" w:color="auto"/>
              <w:bottom w:val="single" w:sz="2" w:space="0" w:color="7F7F7F"/>
            </w:tcBorders>
          </w:tcPr>
          <w:p w14:paraId="75FEA7D9" w14:textId="77777777" w:rsidR="00A029C1" w:rsidRPr="004345E8" w:rsidRDefault="00A029C1" w:rsidP="00C40334">
            <w:pPr>
              <w:pStyle w:val="IPPArial"/>
              <w:rPr>
                <w:b/>
                <w:bCs/>
              </w:rPr>
            </w:pPr>
            <w:r>
              <w:rPr>
                <w:b/>
              </w:rPr>
              <w:t>Etapas principales</w:t>
            </w:r>
          </w:p>
        </w:tc>
        <w:tc>
          <w:tcPr>
            <w:tcW w:w="6766" w:type="dxa"/>
            <w:tcBorders>
              <w:bottom w:val="single" w:sz="2" w:space="0" w:color="7F7F7F"/>
              <w:right w:val="single" w:sz="4" w:space="0" w:color="auto"/>
            </w:tcBorders>
          </w:tcPr>
          <w:p w14:paraId="457A1F66" w14:textId="7CF5BD18" w:rsidR="003D0A11" w:rsidRPr="004345E8" w:rsidRDefault="003D0A11" w:rsidP="00C40334">
            <w:pPr>
              <w:pStyle w:val="IPPArial"/>
            </w:pPr>
            <w:r>
              <w:t>Todas las etapas más importantes del proceso de establecimiento de normas por las que ha pasado el proyecto, incluida la siguiente información:</w:t>
            </w:r>
          </w:p>
          <w:p w14:paraId="791377B9" w14:textId="77777777" w:rsidR="005C726E" w:rsidRPr="004345E8" w:rsidRDefault="00A47B1F" w:rsidP="00C40334">
            <w:pPr>
              <w:pStyle w:val="IPPArial"/>
            </w:pPr>
            <w:r>
              <w:t>La historia de la publicación pertinente de la especificación para el proyecto de NIMF.</w:t>
            </w:r>
          </w:p>
          <w:p w14:paraId="7AE4F515" w14:textId="40894844" w:rsidR="003D0A11" w:rsidRPr="004345E8" w:rsidRDefault="005C726E" w:rsidP="00C40334">
            <w:pPr>
              <w:pStyle w:val="IPPArial"/>
            </w:pPr>
            <w:r>
              <w:t>La reunión del G</w:t>
            </w:r>
            <w:r w:rsidR="004E1C6C">
              <w:t>rupo de trabajo de expertos (GTE)</w:t>
            </w:r>
            <w:r>
              <w:t>.</w:t>
            </w:r>
          </w:p>
          <w:p w14:paraId="3C9B10A7" w14:textId="6DA621C1" w:rsidR="003D0A11" w:rsidRPr="004345E8" w:rsidRDefault="003D0A11" w:rsidP="00C40334">
            <w:pPr>
              <w:pStyle w:val="IPPArial"/>
            </w:pPr>
            <w:r>
              <w:t>Las reuniones del C</w:t>
            </w:r>
            <w:r w:rsidR="004E1C6C">
              <w:t xml:space="preserve">omité de </w:t>
            </w:r>
            <w:r>
              <w:t>N</w:t>
            </w:r>
            <w:r w:rsidR="004E1C6C">
              <w:t>ormas (CN)</w:t>
            </w:r>
            <w:r>
              <w:t>.</w:t>
            </w:r>
          </w:p>
          <w:p w14:paraId="23DAB168" w14:textId="1969ED24" w:rsidR="003D0A11" w:rsidRPr="004345E8" w:rsidRDefault="003D0A11" w:rsidP="00C40334">
            <w:pPr>
              <w:pStyle w:val="IPPArial"/>
            </w:pPr>
            <w:r>
              <w:t>Los debates de los grupos de trabajo reducidos del CN.</w:t>
            </w:r>
          </w:p>
          <w:p w14:paraId="17D4BB59" w14:textId="5539853D" w:rsidR="003D0A11" w:rsidRPr="004345E8" w:rsidRDefault="003D0A11" w:rsidP="00C40334">
            <w:pPr>
              <w:pStyle w:val="IPPArial"/>
            </w:pPr>
            <w:r>
              <w:t xml:space="preserve">Las reuniones (virtuales y presenciales) de los </w:t>
            </w:r>
            <w:r w:rsidR="004E1C6C">
              <w:t>grupos técnicos (</w:t>
            </w:r>
            <w:r>
              <w:t>GT</w:t>
            </w:r>
            <w:r w:rsidR="004E1C6C">
              <w:t>)</w:t>
            </w:r>
            <w:r>
              <w:t>.</w:t>
            </w:r>
          </w:p>
          <w:p w14:paraId="572413A2" w14:textId="77777777" w:rsidR="00796C14" w:rsidRDefault="00C21320" w:rsidP="00796C14">
            <w:pPr>
              <w:pStyle w:val="IPPArial"/>
            </w:pPr>
            <w:r>
              <w:t>Las decisiones del CN por medios electrónicos.</w:t>
            </w:r>
          </w:p>
          <w:p w14:paraId="1E120093" w14:textId="0709CF3B" w:rsidR="00796C14" w:rsidRPr="004345E8" w:rsidRDefault="00796C14" w:rsidP="00796C14">
            <w:pPr>
              <w:pStyle w:val="IPPArial"/>
            </w:pPr>
            <w:r>
              <w:t xml:space="preserve">El momento en que se </w:t>
            </w:r>
            <w:r w:rsidR="00C95D4F">
              <w:t xml:space="preserve">sometió </w:t>
            </w:r>
            <w:r>
              <w:t xml:space="preserve">el proyecto </w:t>
            </w:r>
            <w:r w:rsidR="00C95D4F">
              <w:t xml:space="preserve">a </w:t>
            </w:r>
            <w:r>
              <w:t>la aprobación de la CMF.</w:t>
            </w:r>
          </w:p>
          <w:p w14:paraId="0797F83D" w14:textId="7269CBB1" w:rsidR="003D0A11" w:rsidRPr="004345E8" w:rsidRDefault="003D0A11" w:rsidP="00434838">
            <w:pPr>
              <w:pStyle w:val="IPPArial"/>
              <w:spacing w:after="60"/>
            </w:pPr>
            <w:r>
              <w:t>Objeciones oficiales, en su caso.</w:t>
            </w:r>
          </w:p>
          <w:p w14:paraId="6C1AE6CB" w14:textId="78BE13BF" w:rsidR="00E81634" w:rsidRDefault="005C726E" w:rsidP="00C40334">
            <w:pPr>
              <w:pStyle w:val="IPPArial"/>
            </w:pPr>
            <w:r>
              <w:t>En las principales etapas, los proyectos pueden ser: aplazados (no se realizaron cambios durante la reunión); comentados (no se llevó a cabo una revisión</w:t>
            </w:r>
            <w:r w:rsidR="00C95D4F">
              <w:t>,</w:t>
            </w:r>
            <w:r>
              <w:t xml:space="preserve"> pero se añadieron comentarios); revisados (se modificó el texto); o examinados (no se modificó el </w:t>
            </w:r>
            <w:proofErr w:type="gramStart"/>
            <w:r>
              <w:t>texto</w:t>
            </w:r>
            <w:proofErr w:type="gramEnd"/>
            <w:r>
              <w:t xml:space="preserve"> pero se formularon recomendaciones). Por ejemplo:</w:t>
            </w:r>
          </w:p>
          <w:p w14:paraId="2F088877" w14:textId="77777777" w:rsidR="00301527" w:rsidRDefault="00301527" w:rsidP="00C40334">
            <w:pPr>
              <w:pStyle w:val="IPPArial"/>
            </w:pPr>
          </w:p>
          <w:p w14:paraId="0F254A48" w14:textId="73DCE813" w:rsidR="00301527" w:rsidRPr="006D3C89" w:rsidRDefault="00301527" w:rsidP="00301527">
            <w:pPr>
              <w:pStyle w:val="IPPArial"/>
              <w:rPr>
                <w:rFonts w:cs="Arial"/>
                <w:szCs w:val="18"/>
              </w:rPr>
            </w:pPr>
            <w:r>
              <w:t>2010-03: La CMF, en su XX reunión, añadió el tema</w:t>
            </w:r>
            <w:r w:rsidRPr="004E1C6C">
              <w:rPr>
                <w:i/>
                <w:iCs/>
              </w:rPr>
              <w:t xml:space="preserve"> Título</w:t>
            </w:r>
            <w:r>
              <w:t xml:space="preserve"> (n.º de tema).</w:t>
            </w:r>
          </w:p>
          <w:p w14:paraId="6DDF48FB" w14:textId="2F98FEF6" w:rsidR="009A1F9D" w:rsidRDefault="009A1F9D" w:rsidP="009A1F9D">
            <w:pPr>
              <w:pStyle w:val="IPPArial"/>
            </w:pPr>
            <w:r>
              <w:t>2011-11: El Grupo técnico sobre el glosario (GTG) examinó el texto.</w:t>
            </w:r>
          </w:p>
          <w:p w14:paraId="29FFC610" w14:textId="77777777" w:rsidR="009A1F9D" w:rsidRDefault="009A1F9D" w:rsidP="009A1F9D">
            <w:pPr>
              <w:pStyle w:val="IPPArial"/>
            </w:pPr>
            <w:r>
              <w:t>2012-05: El CN aplazó el texto.</w:t>
            </w:r>
          </w:p>
          <w:p w14:paraId="545E1779" w14:textId="311655E3" w:rsidR="009A1F9D" w:rsidRPr="004345E8" w:rsidRDefault="009A1F9D" w:rsidP="009A1F9D">
            <w:pPr>
              <w:pStyle w:val="IPPArial"/>
            </w:pPr>
            <w:r>
              <w:t>2013-05: El CN revisó el texto.</w:t>
            </w:r>
          </w:p>
          <w:p w14:paraId="3416DBD8" w14:textId="4C6D21D5" w:rsidR="009A1F9D" w:rsidRPr="006D3C89" w:rsidRDefault="009A1F9D" w:rsidP="00387E07">
            <w:pPr>
              <w:pStyle w:val="IPPArial"/>
              <w:rPr>
                <w:rFonts w:cs="Arial"/>
                <w:szCs w:val="18"/>
              </w:rPr>
            </w:pPr>
            <w:r>
              <w:t>2013-07: Consulta.</w:t>
            </w:r>
          </w:p>
          <w:p w14:paraId="6BFCBFD0" w14:textId="77777777" w:rsidR="009A1F9D" w:rsidRPr="006D3C89" w:rsidRDefault="009A1F9D" w:rsidP="009A1F9D">
            <w:pPr>
              <w:pStyle w:val="IPPArial"/>
              <w:rPr>
                <w:rFonts w:cs="Arial"/>
                <w:szCs w:val="18"/>
              </w:rPr>
            </w:pPr>
            <w:r>
              <w:t>2014-11: El CN recomendó el texto para su aprobación.</w:t>
            </w:r>
          </w:p>
          <w:p w14:paraId="5A57804D" w14:textId="77777777" w:rsidR="009A1F9D" w:rsidRPr="00434838" w:rsidRDefault="009A1F9D" w:rsidP="009A1F9D">
            <w:pPr>
              <w:pStyle w:val="IPPArial"/>
              <w:spacing w:after="60"/>
              <w:rPr>
                <w:rFonts w:cs="Arial"/>
                <w:szCs w:val="18"/>
              </w:rPr>
            </w:pPr>
            <w:r>
              <w:t>2015-03: La CMF, en su XX reunión, aprobó la norma.</w:t>
            </w:r>
          </w:p>
          <w:p w14:paraId="014446F9" w14:textId="725F0FFB" w:rsidR="006D3C89" w:rsidRPr="004345E8" w:rsidRDefault="006D3C89" w:rsidP="00604B79">
            <w:pPr>
              <w:pStyle w:val="IPPArial"/>
              <w:rPr>
                <w:rFonts w:cs="Arial"/>
                <w:sz w:val="16"/>
                <w:szCs w:val="16"/>
              </w:rPr>
            </w:pPr>
            <w:r>
              <w:t>Téngase presente que, en la sección relativa al estado de la elaboración, las abreviaturas y siglas de las reuniones de la CIPF y las etapas del documento deberían figurar en su forma extensa la primera vez que aparecen (salvo CMF, CIPF y NIMF, que se podrán utilizar sin</w:t>
            </w:r>
            <w:r w:rsidR="00604B79">
              <w:t xml:space="preserve"> desarrollar</w:t>
            </w:r>
            <w:r>
              <w:t>).</w:t>
            </w:r>
          </w:p>
        </w:tc>
      </w:tr>
      <w:tr w:rsidR="00A029C1" w:rsidRPr="007B7328" w14:paraId="51129DF4" w14:textId="77777777" w:rsidTr="005C726E">
        <w:trPr>
          <w:trHeight w:val="491"/>
        </w:trPr>
        <w:tc>
          <w:tcPr>
            <w:tcW w:w="2273" w:type="dxa"/>
            <w:tcBorders>
              <w:left w:val="single" w:sz="4" w:space="0" w:color="auto"/>
              <w:bottom w:val="single" w:sz="4" w:space="0" w:color="auto"/>
            </w:tcBorders>
          </w:tcPr>
          <w:p w14:paraId="06EBE876" w14:textId="77777777" w:rsidR="00A029C1" w:rsidRPr="004345E8" w:rsidRDefault="00A029C1" w:rsidP="00434838">
            <w:pPr>
              <w:pStyle w:val="IPPArial"/>
              <w:jc w:val="left"/>
              <w:rPr>
                <w:b/>
                <w:bCs/>
              </w:rPr>
            </w:pPr>
            <w:r>
              <w:rPr>
                <w:b/>
              </w:rPr>
              <w:t>Cronología de los administradores</w:t>
            </w:r>
          </w:p>
        </w:tc>
        <w:tc>
          <w:tcPr>
            <w:tcW w:w="6766" w:type="dxa"/>
            <w:tcBorders>
              <w:bottom w:val="single" w:sz="4" w:space="0" w:color="auto"/>
              <w:right w:val="single" w:sz="4" w:space="0" w:color="auto"/>
            </w:tcBorders>
          </w:tcPr>
          <w:p w14:paraId="2341AB22" w14:textId="5D955AB1" w:rsidR="007E2702" w:rsidRDefault="003D0A11" w:rsidP="00C40334">
            <w:pPr>
              <w:pStyle w:val="IPPArial"/>
            </w:pPr>
            <w:r>
              <w:t>Nombres y países de los administradores principales y adjuntos asignados al proyecto, con la fecha y la reunión en que fueron designados, el nombre, el código del país (ISO</w:t>
            </w:r>
            <w:r w:rsidR="00604B79">
              <w:t> </w:t>
            </w:r>
            <w:r>
              <w:t>3166-1</w:t>
            </w:r>
            <w:r w:rsidR="00604B79">
              <w:t> </w:t>
            </w:r>
            <w:r>
              <w:t xml:space="preserve">alfa-2) y la función (administrador principal o administrador adjunto). Los nombres se indican en orden cronológico inverso, es decir, empezando </w:t>
            </w:r>
            <w:r w:rsidR="004E1C6C">
              <w:t>por</w:t>
            </w:r>
            <w:r>
              <w:t xml:space="preserve"> los administradores </w:t>
            </w:r>
            <w:r w:rsidR="004E1C6C">
              <w:t>en activo</w:t>
            </w:r>
            <w:r>
              <w:t xml:space="preserve"> (primero el administrador principal y luego el adjunto). Por ejemplo:</w:t>
            </w:r>
          </w:p>
          <w:p w14:paraId="45C50D7F" w14:textId="77777777" w:rsidR="00301527" w:rsidRPr="004345E8" w:rsidRDefault="00301527" w:rsidP="00C40334">
            <w:pPr>
              <w:pStyle w:val="IPPArial"/>
            </w:pPr>
          </w:p>
          <w:p w14:paraId="294EF249" w14:textId="4ED789EF" w:rsidR="007E2702" w:rsidRPr="004345E8" w:rsidRDefault="00A029C1" w:rsidP="00C40334">
            <w:pPr>
              <w:pStyle w:val="IPPArial"/>
            </w:pPr>
            <w:r>
              <w:t>2008-11 CN: Sr. </w:t>
            </w:r>
            <w:proofErr w:type="spellStart"/>
            <w:r>
              <w:t>Dwi</w:t>
            </w:r>
            <w:proofErr w:type="spellEnd"/>
            <w:r>
              <w:t xml:space="preserve"> SETIAWAN (ID, administrador principal)</w:t>
            </w:r>
          </w:p>
          <w:p w14:paraId="3CB39973" w14:textId="7C1C337B" w:rsidR="007E2702" w:rsidRPr="004345E8" w:rsidRDefault="00A029C1" w:rsidP="00C40334">
            <w:pPr>
              <w:pStyle w:val="IPPArial"/>
            </w:pPr>
            <w:r>
              <w:t>2012-04 CN: Sra. </w:t>
            </w:r>
            <w:proofErr w:type="spellStart"/>
            <w:r>
              <w:t>Julie</w:t>
            </w:r>
            <w:proofErr w:type="spellEnd"/>
            <w:r>
              <w:t xml:space="preserve"> ALIAGA (US, administradora adjunta)</w:t>
            </w:r>
          </w:p>
        </w:tc>
      </w:tr>
      <w:tr w:rsidR="00A029C1" w:rsidRPr="007B7328" w14:paraId="52C5C65D" w14:textId="77777777" w:rsidTr="005C726E">
        <w:trPr>
          <w:trHeight w:val="491"/>
        </w:trPr>
        <w:tc>
          <w:tcPr>
            <w:tcW w:w="2273" w:type="dxa"/>
            <w:tcBorders>
              <w:top w:val="single" w:sz="4" w:space="0" w:color="auto"/>
            </w:tcBorders>
          </w:tcPr>
          <w:p w14:paraId="524276ED" w14:textId="77777777" w:rsidR="00A029C1" w:rsidRPr="004345E8" w:rsidRDefault="00A029C1" w:rsidP="00434838">
            <w:pPr>
              <w:pStyle w:val="IPPArial"/>
              <w:jc w:val="left"/>
              <w:rPr>
                <w:b/>
                <w:bCs/>
              </w:rPr>
            </w:pPr>
            <w:r>
              <w:rPr>
                <w:b/>
              </w:rPr>
              <w:lastRenderedPageBreak/>
              <w:t>Notas</w:t>
            </w:r>
          </w:p>
        </w:tc>
        <w:tc>
          <w:tcPr>
            <w:tcW w:w="6766" w:type="dxa"/>
            <w:tcBorders>
              <w:top w:val="single" w:sz="4" w:space="0" w:color="auto"/>
            </w:tcBorders>
          </w:tcPr>
          <w:p w14:paraId="5AD94168" w14:textId="744734BA" w:rsidR="00A029C1" w:rsidRPr="004345E8" w:rsidRDefault="00A029C1" w:rsidP="00C40334">
            <w:pPr>
              <w:pStyle w:val="IPPArial"/>
            </w:pPr>
            <w:r>
              <w:t>En esta sección se incluye toda la información que la Secretaría de la CIPF debe registrar y que no se recoge en las principales etapas (por ejemplo, la corrección, el formateado y los debates mantenidos por correo electrónico).</w:t>
            </w:r>
          </w:p>
          <w:p w14:paraId="5BAF0E6B" w14:textId="3BB4F0D9" w:rsidR="00C36377" w:rsidRDefault="00A029C1" w:rsidP="00C40334">
            <w:pPr>
              <w:pStyle w:val="IPPArial"/>
            </w:pPr>
            <w:r>
              <w:t xml:space="preserve">Esta sección se mantendrá en los proyectos que se remitan para </w:t>
            </w:r>
            <w:proofErr w:type="gramStart"/>
            <w:r>
              <w:t>consulta</w:t>
            </w:r>
            <w:proofErr w:type="gramEnd"/>
            <w:r>
              <w:t xml:space="preserve"> pero se borrará antes de su aprobación.</w:t>
            </w:r>
            <w:r w:rsidR="00301527">
              <w:t xml:space="preserve"> Por ejemplo:</w:t>
            </w:r>
          </w:p>
          <w:p w14:paraId="65C8FE54" w14:textId="41E39C53" w:rsidR="00BE744A" w:rsidRPr="004345E8" w:rsidRDefault="00BE744A" w:rsidP="00301527">
            <w:pPr>
              <w:pStyle w:val="IPPArial"/>
            </w:pPr>
          </w:p>
          <w:p w14:paraId="0CA93793" w14:textId="457B0509" w:rsidR="00BE744A" w:rsidRPr="004345E8" w:rsidDel="00685537" w:rsidRDefault="00BE744A" w:rsidP="00445A5A">
            <w:pPr>
              <w:pStyle w:val="IPPArial"/>
            </w:pPr>
            <w:r>
              <w:t>20</w:t>
            </w:r>
            <w:r w:rsidR="00445A5A">
              <w:t>23</w:t>
            </w:r>
            <w:r>
              <w:t>-</w:t>
            </w:r>
            <w:r w:rsidR="00445A5A">
              <w:t>04</w:t>
            </w:r>
            <w:bookmarkStart w:id="1" w:name="_GoBack"/>
            <w:bookmarkEnd w:id="1"/>
            <w:r>
              <w:t>: Corregido.</w:t>
            </w:r>
          </w:p>
        </w:tc>
      </w:tr>
    </w:tbl>
    <w:p w14:paraId="0857ADF6" w14:textId="77777777" w:rsidR="007D0295" w:rsidRDefault="007D0295" w:rsidP="002F1CFC">
      <w:pPr>
        <w:pStyle w:val="IPPHeading1"/>
      </w:pPr>
      <w:r>
        <w:t>Aprobación</w:t>
      </w:r>
    </w:p>
    <w:p w14:paraId="26B9777B" w14:textId="77777777" w:rsidR="009E6726" w:rsidRDefault="002F1CFC" w:rsidP="000D7354">
      <w:pPr>
        <w:pStyle w:val="IPPParagraphnumbering"/>
      </w:pPr>
      <w:r>
        <w:t>El texto de este párrafo se añadirá tras la aprobación.</w:t>
      </w:r>
    </w:p>
    <w:p w14:paraId="34297D9B" w14:textId="77777777" w:rsidR="007D0295" w:rsidRDefault="007D0295" w:rsidP="002F1CFC">
      <w:pPr>
        <w:pStyle w:val="IPPHeadSection"/>
      </w:pPr>
      <w:r>
        <w:t>Introducción</w:t>
      </w:r>
    </w:p>
    <w:p w14:paraId="36C46792" w14:textId="77777777" w:rsidR="002F1CFC" w:rsidRDefault="007D0295" w:rsidP="00B514AD">
      <w:pPr>
        <w:pStyle w:val="IPPHeading1"/>
      </w:pPr>
      <w:r>
        <w:t>Ámbito</w:t>
      </w:r>
    </w:p>
    <w:p w14:paraId="27C611B9" w14:textId="438DA61D" w:rsidR="002F1CFC" w:rsidRPr="00F728DE" w:rsidRDefault="002F1CFC" w:rsidP="002F1CFC">
      <w:pPr>
        <w:pStyle w:val="IPPParagraphnumbering"/>
      </w:pPr>
      <w:r>
        <w:t>Breve declaración en la que se delimitan las cuestiones que comprende la norma.</w:t>
      </w:r>
    </w:p>
    <w:p w14:paraId="74A2BD32" w14:textId="77777777" w:rsidR="002F1CFC" w:rsidRDefault="007D0295" w:rsidP="002F1CFC">
      <w:pPr>
        <w:pStyle w:val="IPPHeading1"/>
      </w:pPr>
      <w:r>
        <w:t>Referencias</w:t>
      </w:r>
    </w:p>
    <w:p w14:paraId="224122F3" w14:textId="42DA8DB1" w:rsidR="006B3510" w:rsidRPr="00B514AD" w:rsidRDefault="002F1CFC" w:rsidP="000922FC">
      <w:pPr>
        <w:pStyle w:val="IPPParagraphnumbering"/>
      </w:pPr>
      <w:r>
        <w:t xml:space="preserve">En esta sección se </w:t>
      </w:r>
      <w:r w:rsidR="00604B79">
        <w:t xml:space="preserve">incluyen </w:t>
      </w:r>
      <w:r>
        <w:t xml:space="preserve">las referencias que se citan en el texto de la norma, a excepción de las NIMF, en cuyo caso se proporciona una referencia general. El estilo de la bibliografía debe </w:t>
      </w:r>
      <w:r w:rsidR="00604B79">
        <w:t xml:space="preserve">ajustarse a </w:t>
      </w:r>
      <w:r>
        <w:t xml:space="preserve">lo establecido en la </w:t>
      </w:r>
      <w:r>
        <w:rPr>
          <w:i/>
          <w:iCs/>
        </w:rPr>
        <w:t xml:space="preserve">IPPC Style </w:t>
      </w:r>
      <w:proofErr w:type="spellStart"/>
      <w:r>
        <w:rPr>
          <w:i/>
          <w:iCs/>
        </w:rPr>
        <w:t>Guide</w:t>
      </w:r>
      <w:proofErr w:type="spellEnd"/>
      <w:r>
        <w:rPr>
          <w:i/>
          <w:iCs/>
        </w:rPr>
        <w:t xml:space="preserve"> </w:t>
      </w:r>
      <w:proofErr w:type="spellStart"/>
      <w:r>
        <w:rPr>
          <w:i/>
          <w:iCs/>
        </w:rPr>
        <w:t>for</w:t>
      </w:r>
      <w:proofErr w:type="spellEnd"/>
      <w:r>
        <w:rPr>
          <w:i/>
          <w:iCs/>
        </w:rPr>
        <w:t xml:space="preserve"> </w:t>
      </w:r>
      <w:proofErr w:type="spellStart"/>
      <w:r>
        <w:rPr>
          <w:i/>
          <w:iCs/>
        </w:rPr>
        <w:t>Standards</w:t>
      </w:r>
      <w:proofErr w:type="spellEnd"/>
      <w:r>
        <w:rPr>
          <w:i/>
          <w:iCs/>
        </w:rPr>
        <w:t xml:space="preserve"> and Meeting </w:t>
      </w:r>
      <w:proofErr w:type="spellStart"/>
      <w:r>
        <w:rPr>
          <w:i/>
          <w:iCs/>
        </w:rPr>
        <w:t>Documents</w:t>
      </w:r>
      <w:proofErr w:type="spellEnd"/>
      <w:r>
        <w:t xml:space="preserve"> (Guía de estilo de la CIPF para normas y documentos de reunión) y en </w:t>
      </w:r>
      <w:r w:rsidR="00604B79">
        <w:t xml:space="preserve">la </w:t>
      </w:r>
      <w:r w:rsidR="00604B79" w:rsidRPr="00C631F7">
        <w:rPr>
          <w:i/>
        </w:rPr>
        <w:t xml:space="preserve">Guía </w:t>
      </w:r>
      <w:r w:rsidRPr="00C631F7">
        <w:rPr>
          <w:i/>
        </w:rPr>
        <w:t>de estilo</w:t>
      </w:r>
      <w:r w:rsidR="00604B79" w:rsidRPr="00C631F7">
        <w:rPr>
          <w:i/>
        </w:rPr>
        <w:t xml:space="preserve"> editorial</w:t>
      </w:r>
      <w:r>
        <w:t xml:space="preserve"> de la FAO.</w:t>
      </w:r>
    </w:p>
    <w:p w14:paraId="37E67A74" w14:textId="4FDBB257" w:rsidR="000922FC" w:rsidRDefault="002F1CFC" w:rsidP="000922FC">
      <w:pPr>
        <w:pStyle w:val="IPPParagraphnumbering"/>
      </w:pPr>
      <w:r>
        <w:t>Si se incluye la referencia bibliográfica de alguna información útil (es decir, referencias que no se citan en el texto principal), esta debe adjuntarse como apéndice al documento.</w:t>
      </w:r>
    </w:p>
    <w:p w14:paraId="1FF47422" w14:textId="3A558906" w:rsidR="000922FC" w:rsidRPr="000922FC" w:rsidRDefault="000922FC" w:rsidP="000922FC">
      <w:pPr>
        <w:pStyle w:val="IPPParagraphnumbering"/>
      </w:pPr>
      <w:r>
        <w:t xml:space="preserve">Se añadirá el siguiente párrafo modelo para hacer referencia a las NIMF. Se podrá poner en singular solo cuando se haga referencia a la NIMF 5 </w:t>
      </w:r>
      <w:r>
        <w:rPr>
          <w:i/>
        </w:rPr>
        <w:t>(Glosario de términos fitosanitarios)</w:t>
      </w:r>
      <w:r>
        <w:t>:</w:t>
      </w:r>
    </w:p>
    <w:p w14:paraId="0017F47A" w14:textId="20B7B0FA" w:rsidR="000922FC" w:rsidRPr="000922FC" w:rsidRDefault="002B6546" w:rsidP="000922FC">
      <w:pPr>
        <w:pStyle w:val="IPPParagraphnumbering"/>
      </w:pPr>
      <w:r>
        <w:t xml:space="preserve">[En la presente norma se hace referencia a normas internacionales para medidas fitosanitarias (NIMF). Las NIMF están disponibles en el Portal fitosanitario internacional (PFI): </w:t>
      </w:r>
      <w:hyperlink r:id="rId11" w:tgtFrame="_blank" w:history="1">
        <w:r>
          <w:rPr>
            <w:rStyle w:val="Hyperlink"/>
            <w:color w:val="0000FF"/>
          </w:rPr>
          <w:t>www.ippc.int/es/core-activities/standards-setting/ispms</w:t>
        </w:r>
      </w:hyperlink>
      <w:r w:rsidR="00604B79" w:rsidRPr="00C631F7">
        <w:t>.</w:t>
      </w:r>
      <w:r>
        <w:t>]</w:t>
      </w:r>
    </w:p>
    <w:p w14:paraId="320AA1AC" w14:textId="77777777" w:rsidR="007D0295" w:rsidRDefault="007D0295" w:rsidP="002F1CFC">
      <w:pPr>
        <w:pStyle w:val="IPPHeading1"/>
      </w:pPr>
      <w:r>
        <w:t>Definiciones</w:t>
      </w:r>
    </w:p>
    <w:p w14:paraId="5CE9038C" w14:textId="77777777" w:rsidR="00716275" w:rsidRDefault="002F1CFC" w:rsidP="002F1CFC">
      <w:pPr>
        <w:pStyle w:val="IPPParagraphnumbering"/>
      </w:pPr>
      <w:r>
        <w:t>Normalmente solo se requiere el párrafo modelo siguiente:</w:t>
      </w:r>
    </w:p>
    <w:p w14:paraId="723A04F2" w14:textId="393587F4" w:rsidR="002F1CFC" w:rsidRDefault="00716275" w:rsidP="002F1CFC">
      <w:pPr>
        <w:pStyle w:val="IPPParagraphnumbering"/>
      </w:pPr>
      <w:r>
        <w:t>[Las definiciones de los términos fitosanitarios utilizados en esta norma figuran en la NIMF 5 (</w:t>
      </w:r>
      <w:r>
        <w:rPr>
          <w:i/>
        </w:rPr>
        <w:t>Glosario de términos fitosanitarios</w:t>
      </w:r>
      <w:r>
        <w:t>).]</w:t>
      </w:r>
    </w:p>
    <w:p w14:paraId="36DCB81E" w14:textId="5CD2FA6B" w:rsidR="002B6546" w:rsidRDefault="00E63DFC" w:rsidP="002F1CFC">
      <w:pPr>
        <w:pStyle w:val="IPPParagraphnumbering"/>
      </w:pPr>
      <w:r>
        <w:t xml:space="preserve">Si </w:t>
      </w:r>
      <w:r w:rsidR="00604B79">
        <w:t xml:space="preserve">hay </w:t>
      </w:r>
      <w:r>
        <w:t xml:space="preserve">términos o definiciones que no </w:t>
      </w:r>
      <w:r w:rsidR="00604B79">
        <w:t xml:space="preserve">figuran </w:t>
      </w:r>
      <w:r>
        <w:t>en la NIMF 5 y que se definen solo a efectos de la NIMF específica, se debería añadir el texto siguiente:</w:t>
      </w:r>
    </w:p>
    <w:p w14:paraId="4C9028A5" w14:textId="77777777" w:rsidR="002F1CFC" w:rsidRDefault="002B6546" w:rsidP="002F1CFC">
      <w:pPr>
        <w:pStyle w:val="IPPParagraphnumbering"/>
      </w:pPr>
      <w:r>
        <w:t>[Además de las definiciones que figuran en la NIMF 5, en la presente norma se aplica(n) la(s) siguiente(s) definición(definiciones).]</w:t>
      </w:r>
    </w:p>
    <w:p w14:paraId="5174224C" w14:textId="6BD45479" w:rsidR="000D7354" w:rsidRPr="00B514AD" w:rsidRDefault="002F1CFC" w:rsidP="002F1CFC">
      <w:pPr>
        <w:pStyle w:val="IPPParagraphnumbering"/>
      </w:pPr>
      <w:r>
        <w:t xml:space="preserve">En esta sección deberían incluirse los nuevos términos definidos por el grupo de redacción de expertos o los términos </w:t>
      </w:r>
      <w:r w:rsidR="00C74EE7">
        <w:t xml:space="preserve">cuya </w:t>
      </w:r>
      <w:r>
        <w:t xml:space="preserve">versión aprobada </w:t>
      </w:r>
      <w:r w:rsidR="00C74EE7">
        <w:t xml:space="preserve">(incluida en </w:t>
      </w:r>
      <w:r>
        <w:t>la NIMF 5</w:t>
      </w:r>
      <w:r w:rsidR="00C74EE7">
        <w:t>)</w:t>
      </w:r>
      <w:r w:rsidR="00C74EE7" w:rsidRPr="00C74EE7">
        <w:t xml:space="preserve"> </w:t>
      </w:r>
      <w:r w:rsidR="00C74EE7">
        <w:t>se haya revisado</w:t>
      </w:r>
      <w:r>
        <w:t>. En la sección relativa a las definiciones se podrá incluir un nuevo término especializado que se utilice en la norma pero que no se vaya a añadir a la NIMF 5; la definición debe ser precisa y completa: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0D7354" w14:paraId="07ED4827" w14:textId="77777777" w:rsidTr="00C51219">
        <w:tc>
          <w:tcPr>
            <w:tcW w:w="4643" w:type="dxa"/>
          </w:tcPr>
          <w:p w14:paraId="6F54AE13" w14:textId="77777777" w:rsidR="000D7354" w:rsidRPr="004345E8" w:rsidRDefault="0065401B" w:rsidP="00C51219">
            <w:pPr>
              <w:pStyle w:val="IPPArialTable"/>
            </w:pPr>
            <w:r>
              <w:t>Término</w:t>
            </w:r>
          </w:p>
        </w:tc>
        <w:tc>
          <w:tcPr>
            <w:tcW w:w="4643" w:type="dxa"/>
          </w:tcPr>
          <w:p w14:paraId="1EA70165" w14:textId="77777777" w:rsidR="000D7354" w:rsidRPr="004345E8" w:rsidRDefault="000D7354" w:rsidP="00DD2EA9">
            <w:pPr>
              <w:pStyle w:val="IPPArialTable"/>
            </w:pPr>
            <w:r>
              <w:t>Definición (los términos de la definición que estén definidos en la NIMF 5 aparecerán en negrita).</w:t>
            </w:r>
          </w:p>
        </w:tc>
      </w:tr>
    </w:tbl>
    <w:p w14:paraId="34F5A615" w14:textId="77777777" w:rsidR="002F1CFC" w:rsidRPr="00F728DE" w:rsidRDefault="002F1CFC" w:rsidP="00B514AD"/>
    <w:p w14:paraId="4EF14A05" w14:textId="7626ED8F" w:rsidR="007D0295" w:rsidRPr="003D007B" w:rsidRDefault="007D0295" w:rsidP="00434838">
      <w:pPr>
        <w:pStyle w:val="IPPHeading1"/>
        <w:spacing w:before="120"/>
      </w:pPr>
      <w:r>
        <w:t>Perfil de los requisitos</w:t>
      </w:r>
    </w:p>
    <w:p w14:paraId="19B18C38" w14:textId="4E748E58" w:rsidR="002F1CFC" w:rsidRDefault="002F1CFC" w:rsidP="002F1CFC">
      <w:pPr>
        <w:pStyle w:val="IPPParagraphnumbering"/>
      </w:pPr>
      <w:r>
        <w:t>Resumen del contenido de la norma (análogo al resumen de un artículo científico).</w:t>
      </w:r>
    </w:p>
    <w:p w14:paraId="4B5CF11F" w14:textId="77777777" w:rsidR="002F1CFC" w:rsidRDefault="002F1CFC" w:rsidP="002F1CFC">
      <w:pPr>
        <w:pStyle w:val="IPPHeadSection"/>
      </w:pPr>
      <w:r>
        <w:lastRenderedPageBreak/>
        <w:t>Antecedentes</w:t>
      </w:r>
    </w:p>
    <w:p w14:paraId="479B159E" w14:textId="2371041B" w:rsidR="002F1CFC" w:rsidRDefault="002F1CFC" w:rsidP="002F1CFC">
      <w:pPr>
        <w:pStyle w:val="IPPParagraphnumbering"/>
      </w:pPr>
      <w:r>
        <w:t>Se explica por qué se redactó la norma (es decir, sus objetivos) y se incluye otra información que pueda ayudar a las partes contratantes a entender la historia de la elaboración de la norma. Cuando se revisa una norma, la sección relativa a los antecedentes debería incluir información pertinente sobre los motivos de la revisión y el alcance de la misma.</w:t>
      </w:r>
    </w:p>
    <w:p w14:paraId="239922B2" w14:textId="77777777" w:rsidR="002F1CFC" w:rsidRPr="00C525F0" w:rsidRDefault="000D7354" w:rsidP="00B514AD">
      <w:pPr>
        <w:pStyle w:val="IPPHeadSection"/>
      </w:pPr>
      <w:r>
        <w:t>EFECTOS EN LA BIODIVERSIDAD Y EL MEDIO AMBIENTE</w:t>
      </w:r>
    </w:p>
    <w:p w14:paraId="44D4C767" w14:textId="4DCCB154" w:rsidR="00C525F0" w:rsidRDefault="00C525F0" w:rsidP="00C525F0">
      <w:pPr>
        <w:pStyle w:val="IPPParagraphnumbering"/>
      </w:pPr>
      <w:r>
        <w:t xml:space="preserve">Se explica el modo en que la norma puede afectar a la biodiversidad y </w:t>
      </w:r>
      <w:r w:rsidR="00C74EE7">
        <w:t xml:space="preserve">al </w:t>
      </w:r>
      <w:r>
        <w:t xml:space="preserve">medio ambiente al constituir un medio para impedir la entrada en nuevas </w:t>
      </w:r>
      <w:r w:rsidR="00C74EE7">
        <w:t xml:space="preserve">áreas </w:t>
      </w:r>
      <w:r>
        <w:t xml:space="preserve">de organismos que puedan tener </w:t>
      </w:r>
      <w:r w:rsidR="00136ECC">
        <w:t>repercusiones negativas</w:t>
      </w:r>
      <w:r>
        <w:t xml:space="preserve"> en la biodiversidad (especies exóticas invasivas) o en la salud de las personas y los animales, por un lado, y al establecer requisitos que afectan directa o indirectamente a organismos que no son plagas o al ambiente biofísico del que dependen, por otro.</w:t>
      </w:r>
    </w:p>
    <w:p w14:paraId="31F291DC" w14:textId="77777777" w:rsidR="007D0295" w:rsidRDefault="007D0295" w:rsidP="002F1CFC">
      <w:pPr>
        <w:pStyle w:val="IPPHeadSection"/>
      </w:pPr>
      <w:r>
        <w:t>Requisitos</w:t>
      </w:r>
    </w:p>
    <w:p w14:paraId="41D27DC9" w14:textId="6885A87F" w:rsidR="00A00C03" w:rsidRDefault="002F1CFC" w:rsidP="0039408C">
      <w:pPr>
        <w:pStyle w:val="IPPParagraphnumbering"/>
      </w:pPr>
      <w:r>
        <w:t>La sección relativa a los requisitos puede subdividirse en requisitos generales y específicos, o en otros grupos adecuados al tema, según sea necesario.</w:t>
      </w:r>
      <w:bookmarkEnd w:id="0"/>
    </w:p>
    <w:p w14:paraId="43307231" w14:textId="6EECED0D" w:rsidR="000915EC" w:rsidRDefault="0039408C" w:rsidP="00A00C03">
      <w:pPr>
        <w:pStyle w:val="IPPParagraphnumbering"/>
      </w:pPr>
      <w:r>
        <w:t xml:space="preserve">A </w:t>
      </w:r>
      <w:proofErr w:type="gramStart"/>
      <w:r>
        <w:t>continuación</w:t>
      </w:r>
      <w:proofErr w:type="gramEnd"/>
      <w:r>
        <w:t xml:space="preserve"> se presentan </w:t>
      </w:r>
      <w:r>
        <w:rPr>
          <w:b/>
          <w:bCs/>
        </w:rPr>
        <w:t>ejemplos de títulos</w:t>
      </w:r>
      <w:r>
        <w:t xml:space="preserve"> para ilustrar la jerarquía de los niveles de títulos que se debería utilizar para estructurar las NIMF en secciones. De este modo, los expertos pueden copiar los estilos de los títulos que necesit</w:t>
      </w:r>
      <w:r w:rsidR="003738E6">
        <w:t>e</w:t>
      </w:r>
      <w:r>
        <w:t>n.</w:t>
      </w:r>
    </w:p>
    <w:p w14:paraId="3499AA67" w14:textId="77777777" w:rsidR="0039408C" w:rsidRDefault="0039408C" w:rsidP="00B514AD">
      <w:pPr>
        <w:pStyle w:val="IPPHeadSection"/>
      </w:pPr>
      <w:r>
        <w:t>Requisitos generales</w:t>
      </w:r>
    </w:p>
    <w:p w14:paraId="062AFAC7" w14:textId="3418122B" w:rsidR="00B0330E" w:rsidRDefault="00B0330E" w:rsidP="00B514AD">
      <w:pPr>
        <w:pStyle w:val="IPPHeading1"/>
      </w:pPr>
      <w:bookmarkStart w:id="2" w:name="_Toc145412907"/>
      <w:bookmarkStart w:id="3" w:name="_Toc145917357"/>
      <w:bookmarkStart w:id="4" w:name="_Toc145957587"/>
      <w:r>
        <w:t>1.</w:t>
      </w:r>
      <w:r>
        <w:tab/>
        <w:t xml:space="preserve">Planes </w:t>
      </w:r>
      <w:bookmarkEnd w:id="2"/>
      <w:bookmarkEnd w:id="3"/>
      <w:bookmarkEnd w:id="4"/>
      <w:r w:rsidR="00C74EE7">
        <w:t>operacionales</w:t>
      </w:r>
    </w:p>
    <w:p w14:paraId="39E3511A" w14:textId="494FB7F8" w:rsidR="00B0330E" w:rsidRPr="00B0330E" w:rsidRDefault="00B0330E" w:rsidP="00B0330E">
      <w:pPr>
        <w:pStyle w:val="IPPParagraphnumbering"/>
      </w:pPr>
      <w:r>
        <w:t>Ejemplo de un título de primer nivel bajo el epígrafe de la sección “requisitos generales” donde se exponen los requisitos generales de la norma.</w:t>
      </w:r>
    </w:p>
    <w:p w14:paraId="60AB1DBF" w14:textId="6A9E0ADE" w:rsidR="00B0330E" w:rsidRPr="00B66355" w:rsidRDefault="00B0330E" w:rsidP="00B0330E">
      <w:pPr>
        <w:pStyle w:val="IPPHeading2"/>
      </w:pPr>
      <w:bookmarkStart w:id="5" w:name="_Toc145412909"/>
      <w:bookmarkStart w:id="6" w:name="_Toc145917359"/>
      <w:bookmarkStart w:id="7" w:name="_Toc145957589"/>
      <w:r>
        <w:t>2.</w:t>
      </w:r>
      <w:r>
        <w:tab/>
        <w:t>Documentación y mantenimiento de registros</w:t>
      </w:r>
      <w:bookmarkEnd w:id="5"/>
      <w:bookmarkEnd w:id="6"/>
      <w:bookmarkEnd w:id="7"/>
    </w:p>
    <w:p w14:paraId="0206F868" w14:textId="12518B13" w:rsidR="00B0330E" w:rsidRDefault="00167DCB" w:rsidP="00167DCB">
      <w:pPr>
        <w:pStyle w:val="IPPParagraphnumbering"/>
      </w:pPr>
      <w:r>
        <w:t xml:space="preserve">Véase la </w:t>
      </w:r>
      <w:r w:rsidRPr="00C631F7">
        <w:rPr>
          <w:i/>
        </w:rPr>
        <w:t>Guía de estilo de la CIPF</w:t>
      </w:r>
      <w:r>
        <w:t xml:space="preserve"> para obtener orientación sobre los requisitos relativos a la documentación y el mantenimiento de registros.</w:t>
      </w:r>
    </w:p>
    <w:p w14:paraId="607459B0" w14:textId="77777777" w:rsidR="0039408C" w:rsidRDefault="0039408C" w:rsidP="00B514AD">
      <w:pPr>
        <w:pStyle w:val="IPPHeadSection"/>
      </w:pPr>
      <w:r>
        <w:t>Requisitos específicos</w:t>
      </w:r>
    </w:p>
    <w:p w14:paraId="6AA19FB6" w14:textId="6C73FCD6" w:rsidR="00B0330E" w:rsidRPr="00B66355" w:rsidRDefault="00B0330E" w:rsidP="00B514AD">
      <w:pPr>
        <w:pStyle w:val="IPPHeading1"/>
      </w:pPr>
      <w:bookmarkStart w:id="8" w:name="_Toc145412912"/>
      <w:bookmarkStart w:id="9" w:name="_Toc145917362"/>
      <w:bookmarkStart w:id="10" w:name="_Toc145957592"/>
      <w:r>
        <w:t>3.</w:t>
      </w:r>
      <w:r>
        <w:tab/>
        <w:t>Establecimiento del área libre de plagas</w:t>
      </w:r>
      <w:bookmarkEnd w:id="8"/>
      <w:bookmarkEnd w:id="9"/>
      <w:bookmarkEnd w:id="10"/>
    </w:p>
    <w:p w14:paraId="5578F3BD" w14:textId="4C13D4B8" w:rsidR="00B0330E" w:rsidRPr="00A00C03" w:rsidRDefault="0035476F" w:rsidP="00B0330E">
      <w:pPr>
        <w:pStyle w:val="IPPParagraphnumbering"/>
      </w:pPr>
      <w:r>
        <w:t>Ejemplo de título de primer nivel donde se describirán los requisitos específicos.</w:t>
      </w:r>
    </w:p>
    <w:p w14:paraId="1C2B85B6" w14:textId="2808A03C" w:rsidR="00B0330E" w:rsidRPr="00B66355" w:rsidRDefault="00B0330E" w:rsidP="00B514AD">
      <w:pPr>
        <w:pStyle w:val="IPPHeading1"/>
      </w:pPr>
      <w:bookmarkStart w:id="11" w:name="_Toc145412916"/>
      <w:bookmarkStart w:id="12" w:name="_Toc145917366"/>
      <w:bookmarkStart w:id="13" w:name="_Toc145957596"/>
      <w:r>
        <w:t>4.</w:t>
      </w:r>
      <w:r>
        <w:tab/>
        <w:t>Procedimientos fitosanitarios</w:t>
      </w:r>
      <w:bookmarkEnd w:id="11"/>
      <w:bookmarkEnd w:id="12"/>
      <w:bookmarkEnd w:id="13"/>
    </w:p>
    <w:p w14:paraId="4CB547BF" w14:textId="2FD46A2A" w:rsidR="00A00C03" w:rsidRPr="00A00C03" w:rsidRDefault="0035476F" w:rsidP="00B0330E">
      <w:pPr>
        <w:pStyle w:val="IPPParagraphnumbering"/>
      </w:pPr>
      <w:r>
        <w:t>Ejemplo de título de primer nivel donde se describirán los requisitos específicos en términos generales.</w:t>
      </w:r>
    </w:p>
    <w:p w14:paraId="618E3FCE" w14:textId="77777777" w:rsidR="00B0330E" w:rsidRPr="00B66355" w:rsidRDefault="00B0330E" w:rsidP="00B514AD">
      <w:pPr>
        <w:pStyle w:val="IPPHeading2"/>
      </w:pPr>
      <w:bookmarkStart w:id="14" w:name="_Toc145412917"/>
      <w:bookmarkStart w:id="15" w:name="_Toc145917367"/>
      <w:bookmarkStart w:id="16" w:name="_Toc145957597"/>
      <w:r>
        <w:t>4.1</w:t>
      </w:r>
      <w:r>
        <w:tab/>
        <w:t>Actividades de vigilancia</w:t>
      </w:r>
      <w:bookmarkEnd w:id="14"/>
      <w:bookmarkEnd w:id="15"/>
      <w:bookmarkEnd w:id="16"/>
    </w:p>
    <w:p w14:paraId="29329E60" w14:textId="170F7353" w:rsidR="00A00C03" w:rsidRPr="00B0330E" w:rsidRDefault="0035476F" w:rsidP="00B0330E">
      <w:pPr>
        <w:pStyle w:val="IPPParagraphnumbering"/>
      </w:pPr>
      <w:r>
        <w:t>Ejemplo de título de segundo nivel. En esta sección se describirán los requisitos específicos en detalle.</w:t>
      </w:r>
    </w:p>
    <w:p w14:paraId="15F288DE" w14:textId="77777777" w:rsidR="00C07263" w:rsidRPr="00B514AD" w:rsidRDefault="00C07263" w:rsidP="00C07263">
      <w:pPr>
        <w:pStyle w:val="IPPParagraphnumbering"/>
      </w:pPr>
      <w:r>
        <w:br w:type="page"/>
      </w:r>
      <w:r>
        <w:lastRenderedPageBreak/>
        <w:t xml:space="preserve">Los </w:t>
      </w:r>
      <w:r>
        <w:rPr>
          <w:b/>
          <w:bCs/>
        </w:rPr>
        <w:t xml:space="preserve">cuadros </w:t>
      </w:r>
      <w:r>
        <w:t xml:space="preserve">y las </w:t>
      </w:r>
      <w:r>
        <w:rPr>
          <w:b/>
          <w:bCs/>
        </w:rPr>
        <w:t>figuras</w:t>
      </w:r>
      <w:r>
        <w:t xml:space="preserve"> suelen recogerse en un apéndice o un anexo, dependiendo de su finalidad. A </w:t>
      </w:r>
      <w:proofErr w:type="gramStart"/>
      <w:r>
        <w:t>continuación</w:t>
      </w:r>
      <w:proofErr w:type="gramEnd"/>
      <w:r>
        <w:t xml:space="preserve"> se presentan ejemplos sobre el modo de elaborar los cuadros y sobre la información que deben incluir las figuras.</w:t>
      </w:r>
    </w:p>
    <w:p w14:paraId="147964C6" w14:textId="77777777" w:rsidR="00B0330E" w:rsidRPr="00B514AD" w:rsidRDefault="00B0330E" w:rsidP="00B0330E">
      <w:pPr>
        <w:pStyle w:val="IPPParagraphnumbering"/>
      </w:pPr>
      <w:r>
        <w:rPr>
          <w:rFonts w:ascii="Arial" w:hAnsi="Arial"/>
          <w:b/>
          <w:sz w:val="18"/>
        </w:rPr>
        <w:t>Cuadro 1.</w:t>
      </w:r>
      <w:r>
        <w:rPr>
          <w:rFonts w:ascii="Arial" w:hAnsi="Arial"/>
          <w:sz w:val="18"/>
        </w:rPr>
        <w:t xml:space="preserve"> [Título]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9"/>
        <w:gridCol w:w="2241"/>
        <w:gridCol w:w="2290"/>
      </w:tblGrid>
      <w:tr w:rsidR="00C07263" w:rsidRPr="00C51219" w14:paraId="168088CD" w14:textId="77777777" w:rsidTr="00C51219">
        <w:tc>
          <w:tcPr>
            <w:tcW w:w="4642" w:type="dxa"/>
            <w:gridSpan w:val="2"/>
            <w:shd w:val="clear" w:color="auto" w:fill="000000"/>
          </w:tcPr>
          <w:p w14:paraId="101BB548" w14:textId="77777777" w:rsidR="00C07263" w:rsidRPr="004345E8" w:rsidRDefault="00C07263" w:rsidP="00C51219">
            <w:pPr>
              <w:pStyle w:val="IPPArialTable"/>
              <w:jc w:val="center"/>
              <w:rPr>
                <w:b/>
                <w:bCs/>
                <w:color w:val="FFFFFF"/>
              </w:rPr>
            </w:pPr>
            <w:r>
              <w:rPr>
                <w:b/>
                <w:color w:val="FFFFFF"/>
              </w:rPr>
              <w:t>Insectos</w:t>
            </w:r>
          </w:p>
        </w:tc>
        <w:tc>
          <w:tcPr>
            <w:tcW w:w="4644" w:type="dxa"/>
            <w:gridSpan w:val="2"/>
            <w:shd w:val="clear" w:color="auto" w:fill="000000"/>
          </w:tcPr>
          <w:p w14:paraId="12064B39" w14:textId="77777777" w:rsidR="00C07263" w:rsidRPr="004345E8" w:rsidRDefault="00C07263" w:rsidP="00C51219">
            <w:pPr>
              <w:pStyle w:val="IPPArialTable"/>
              <w:jc w:val="center"/>
              <w:rPr>
                <w:b/>
                <w:bCs/>
                <w:color w:val="FFFFFF"/>
              </w:rPr>
            </w:pPr>
            <w:r>
              <w:rPr>
                <w:b/>
                <w:color w:val="FFFFFF"/>
              </w:rPr>
              <w:t>Hongos y nematodos</w:t>
            </w:r>
          </w:p>
        </w:tc>
      </w:tr>
      <w:tr w:rsidR="00C07263" w14:paraId="691DBFE2" w14:textId="77777777" w:rsidTr="00C51219">
        <w:tc>
          <w:tcPr>
            <w:tcW w:w="2321" w:type="dxa"/>
          </w:tcPr>
          <w:p w14:paraId="5C0CD1B3" w14:textId="77777777" w:rsidR="00C07263" w:rsidRPr="004345E8" w:rsidRDefault="00C07263" w:rsidP="00C51219">
            <w:pPr>
              <w:pStyle w:val="IPPArialTable"/>
              <w:rPr>
                <w:b/>
                <w:bCs/>
              </w:rPr>
            </w:pPr>
            <w:r>
              <w:rPr>
                <w:b/>
              </w:rPr>
              <w:t>Grupo de plagas</w:t>
            </w:r>
          </w:p>
        </w:tc>
        <w:tc>
          <w:tcPr>
            <w:tcW w:w="2321" w:type="dxa"/>
          </w:tcPr>
          <w:p w14:paraId="72D5A6D4" w14:textId="77777777" w:rsidR="00C07263" w:rsidRPr="004345E8" w:rsidRDefault="00C07263" w:rsidP="00C51219">
            <w:pPr>
              <w:pStyle w:val="IPPArialTable"/>
              <w:rPr>
                <w:b/>
                <w:bCs/>
              </w:rPr>
            </w:pPr>
            <w:r>
              <w:rPr>
                <w:b/>
              </w:rPr>
              <w:t>Ejemplos dentro del grupo de plagas</w:t>
            </w:r>
          </w:p>
        </w:tc>
        <w:tc>
          <w:tcPr>
            <w:tcW w:w="2322" w:type="dxa"/>
          </w:tcPr>
          <w:p w14:paraId="096DF4F3" w14:textId="77777777" w:rsidR="00C07263" w:rsidRPr="004345E8" w:rsidRDefault="00C07263" w:rsidP="00C51219">
            <w:pPr>
              <w:pStyle w:val="IPPArialTable"/>
              <w:rPr>
                <w:b/>
                <w:bCs/>
              </w:rPr>
            </w:pPr>
            <w:r>
              <w:rPr>
                <w:b/>
              </w:rPr>
              <w:t>Grupo de plagas</w:t>
            </w:r>
          </w:p>
        </w:tc>
        <w:tc>
          <w:tcPr>
            <w:tcW w:w="2322" w:type="dxa"/>
          </w:tcPr>
          <w:p w14:paraId="5A5AD156" w14:textId="77777777" w:rsidR="00C07263" w:rsidRPr="004345E8" w:rsidRDefault="00C07263" w:rsidP="00C51219">
            <w:pPr>
              <w:pStyle w:val="IPPArialTable"/>
              <w:rPr>
                <w:b/>
                <w:bCs/>
              </w:rPr>
            </w:pPr>
            <w:r>
              <w:rPr>
                <w:b/>
              </w:rPr>
              <w:t>Ejemplos dentro del grupo de plagas</w:t>
            </w:r>
          </w:p>
        </w:tc>
      </w:tr>
      <w:tr w:rsidR="00C07263" w14:paraId="3240C42B" w14:textId="77777777" w:rsidTr="00C51219">
        <w:tc>
          <w:tcPr>
            <w:tcW w:w="2321" w:type="dxa"/>
          </w:tcPr>
          <w:p w14:paraId="355733AB" w14:textId="77777777" w:rsidR="00C07263" w:rsidRPr="004345E8" w:rsidRDefault="00C07263" w:rsidP="00C07263">
            <w:pPr>
              <w:pStyle w:val="IPPArialTable"/>
            </w:pPr>
            <w:r>
              <w:t>Escarabajos de la corteza</w:t>
            </w:r>
          </w:p>
        </w:tc>
        <w:tc>
          <w:tcPr>
            <w:tcW w:w="2321" w:type="dxa"/>
          </w:tcPr>
          <w:p w14:paraId="6D65F68B" w14:textId="77777777" w:rsidR="00C07263" w:rsidRPr="004345E8" w:rsidRDefault="00C07263" w:rsidP="00C07263">
            <w:pPr>
              <w:pStyle w:val="IPPArialTable"/>
            </w:pPr>
            <w:proofErr w:type="spellStart"/>
            <w:r>
              <w:t>Scolytinae</w:t>
            </w:r>
            <w:proofErr w:type="spellEnd"/>
            <w:r>
              <w:t xml:space="preserve">, </w:t>
            </w:r>
            <w:proofErr w:type="spellStart"/>
            <w:r>
              <w:t>Molytinae</w:t>
            </w:r>
            <w:proofErr w:type="spellEnd"/>
          </w:p>
        </w:tc>
        <w:tc>
          <w:tcPr>
            <w:tcW w:w="2322" w:type="dxa"/>
          </w:tcPr>
          <w:p w14:paraId="7BB02103" w14:textId="77777777" w:rsidR="00C07263" w:rsidRPr="004345E8" w:rsidRDefault="00C07263" w:rsidP="00C07263">
            <w:pPr>
              <w:pStyle w:val="IPPArialTable"/>
            </w:pPr>
            <w:r>
              <w:t>Hongos de la roya</w:t>
            </w:r>
          </w:p>
        </w:tc>
        <w:tc>
          <w:tcPr>
            <w:tcW w:w="2322" w:type="dxa"/>
          </w:tcPr>
          <w:p w14:paraId="2EEF6D4C" w14:textId="77777777" w:rsidR="00C07263" w:rsidRPr="004345E8" w:rsidRDefault="00C07263" w:rsidP="00C07263">
            <w:pPr>
              <w:pStyle w:val="IPPArialTable"/>
            </w:pPr>
            <w:proofErr w:type="spellStart"/>
            <w:r>
              <w:t>Cronartiaceae</w:t>
            </w:r>
            <w:proofErr w:type="spellEnd"/>
            <w:r>
              <w:t xml:space="preserve">, </w:t>
            </w:r>
            <w:proofErr w:type="spellStart"/>
            <w:r>
              <w:t>Pucciniaceae</w:t>
            </w:r>
            <w:proofErr w:type="spellEnd"/>
          </w:p>
        </w:tc>
      </w:tr>
      <w:tr w:rsidR="00C07263" w14:paraId="62D79630" w14:textId="77777777" w:rsidTr="00C51219">
        <w:tc>
          <w:tcPr>
            <w:tcW w:w="2321" w:type="dxa"/>
          </w:tcPr>
          <w:p w14:paraId="79B26B00" w14:textId="77777777" w:rsidR="00C07263" w:rsidRPr="004345E8" w:rsidRDefault="00C07263" w:rsidP="00C07263">
            <w:pPr>
              <w:pStyle w:val="IPPArialTable"/>
              <w:rPr>
                <w:rFonts w:cs="Arial"/>
                <w:szCs w:val="18"/>
              </w:rPr>
            </w:pPr>
            <w:r>
              <w:t>Moscas de la madera</w:t>
            </w:r>
          </w:p>
        </w:tc>
        <w:tc>
          <w:tcPr>
            <w:tcW w:w="2321" w:type="dxa"/>
          </w:tcPr>
          <w:p w14:paraId="4CBFE6D8" w14:textId="77777777" w:rsidR="00C07263" w:rsidRPr="004345E8" w:rsidRDefault="00C07263" w:rsidP="00C07263">
            <w:pPr>
              <w:pStyle w:val="IPPArialTable"/>
              <w:rPr>
                <w:rFonts w:cs="Arial"/>
                <w:szCs w:val="18"/>
              </w:rPr>
            </w:pPr>
            <w:proofErr w:type="spellStart"/>
            <w:r>
              <w:t>Pantophthalmidae</w:t>
            </w:r>
            <w:proofErr w:type="spellEnd"/>
          </w:p>
        </w:tc>
        <w:tc>
          <w:tcPr>
            <w:tcW w:w="2322" w:type="dxa"/>
          </w:tcPr>
          <w:p w14:paraId="7907D271" w14:textId="77777777" w:rsidR="00C07263" w:rsidRPr="004345E8" w:rsidRDefault="00C07263" w:rsidP="00C07263">
            <w:pPr>
              <w:pStyle w:val="IPPArialTable"/>
              <w:rPr>
                <w:rFonts w:cs="Arial"/>
                <w:szCs w:val="18"/>
              </w:rPr>
            </w:pPr>
            <w:r>
              <w:t>Hongos xilófagos patógenos</w:t>
            </w:r>
          </w:p>
        </w:tc>
        <w:tc>
          <w:tcPr>
            <w:tcW w:w="2322" w:type="dxa"/>
          </w:tcPr>
          <w:p w14:paraId="3C21416C" w14:textId="77777777" w:rsidR="00C07263" w:rsidRPr="004345E8" w:rsidRDefault="00C07263" w:rsidP="00C07263">
            <w:pPr>
              <w:pStyle w:val="IPPArialTable"/>
              <w:rPr>
                <w:rFonts w:cs="Arial"/>
                <w:szCs w:val="18"/>
              </w:rPr>
            </w:pPr>
            <w:proofErr w:type="spellStart"/>
            <w:r>
              <w:rPr>
                <w:i/>
              </w:rPr>
              <w:t>Heterobasidion</w:t>
            </w:r>
            <w:proofErr w:type="spellEnd"/>
            <w:r>
              <w:t> </w:t>
            </w:r>
            <w:proofErr w:type="spellStart"/>
            <w:r>
              <w:t>spp</w:t>
            </w:r>
            <w:proofErr w:type="spellEnd"/>
            <w:r>
              <w:t>.</w:t>
            </w:r>
          </w:p>
        </w:tc>
      </w:tr>
    </w:tbl>
    <w:p w14:paraId="03A993FF" w14:textId="77777777" w:rsidR="00C07263" w:rsidRPr="00B514AD" w:rsidRDefault="00C07263" w:rsidP="00B0330E">
      <w:pPr>
        <w:pStyle w:val="IPPParagraphnumbering"/>
      </w:pPr>
    </w:p>
    <w:p w14:paraId="1B9F47F9" w14:textId="0A053B37" w:rsidR="00B0330E" w:rsidRPr="00B0330E" w:rsidRDefault="007733D1" w:rsidP="00B514AD">
      <w:pPr>
        <w:pStyle w:val="IPPParagraphnumbering"/>
        <w:numPr>
          <w:ilvl w:val="0"/>
          <w:numId w:val="0"/>
        </w:numPr>
      </w:pPr>
      <w:r>
        <w:rPr>
          <w:noProof/>
          <w:lang w:val="en-US" w:eastAsia="zh-CN"/>
        </w:rPr>
        <w:drawing>
          <wp:anchor distT="0" distB="0" distL="114300" distR="114300" simplePos="0" relativeHeight="251661312" behindDoc="0" locked="0" layoutInCell="1" allowOverlap="1" wp14:anchorId="23A74B7E" wp14:editId="1AB37DB5">
            <wp:simplePos x="0" y="0"/>
            <wp:positionH relativeFrom="column">
              <wp:posOffset>4455644</wp:posOffset>
            </wp:positionH>
            <wp:positionV relativeFrom="paragraph">
              <wp:posOffset>2524466</wp:posOffset>
            </wp:positionV>
            <wp:extent cx="866775" cy="3619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pic:spPr>
                </pic:pic>
              </a:graphicData>
            </a:graphic>
          </wp:anchor>
        </w:drawing>
      </w:r>
      <w:r>
        <w:rPr>
          <w:noProof/>
          <w:lang w:val="en-US" w:eastAsia="zh-CN"/>
        </w:rPr>
        <w:drawing>
          <wp:anchor distT="0" distB="0" distL="114300" distR="114300" simplePos="0" relativeHeight="251660288" behindDoc="0" locked="0" layoutInCell="1" allowOverlap="1" wp14:anchorId="773DB5CB" wp14:editId="6F7280D3">
            <wp:simplePos x="0" y="0"/>
            <wp:positionH relativeFrom="column">
              <wp:posOffset>4728835</wp:posOffset>
            </wp:positionH>
            <wp:positionV relativeFrom="paragraph">
              <wp:posOffset>1944502</wp:posOffset>
            </wp:positionV>
            <wp:extent cx="714375" cy="4191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pic:spPr>
                </pic:pic>
              </a:graphicData>
            </a:graphic>
          </wp:anchor>
        </w:drawing>
      </w:r>
      <w:r>
        <w:rPr>
          <w:noProof/>
          <w:lang w:val="en-US" w:eastAsia="zh-CN"/>
        </w:rPr>
        <w:drawing>
          <wp:anchor distT="0" distB="0" distL="114300" distR="114300" simplePos="0" relativeHeight="251659264" behindDoc="0" locked="0" layoutInCell="1" allowOverlap="1" wp14:anchorId="36C9358F" wp14:editId="56CDB3C2">
            <wp:simplePos x="0" y="0"/>
            <wp:positionH relativeFrom="column">
              <wp:posOffset>4729641</wp:posOffset>
            </wp:positionH>
            <wp:positionV relativeFrom="paragraph">
              <wp:posOffset>1351090</wp:posOffset>
            </wp:positionV>
            <wp:extent cx="685800" cy="4286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pic:spPr>
                </pic:pic>
              </a:graphicData>
            </a:graphic>
          </wp:anchor>
        </w:drawing>
      </w:r>
      <w:r w:rsidR="003738E6">
        <w:rPr>
          <w:noProof/>
          <w:lang w:val="en-US" w:eastAsia="zh-CN"/>
        </w:rPr>
        <w:drawing>
          <wp:anchor distT="0" distB="0" distL="114300" distR="114300" simplePos="0" relativeHeight="251658240" behindDoc="0" locked="0" layoutInCell="1" allowOverlap="1" wp14:anchorId="30A13A97" wp14:editId="0178916B">
            <wp:simplePos x="0" y="0"/>
            <wp:positionH relativeFrom="margin">
              <wp:posOffset>2354561</wp:posOffset>
            </wp:positionH>
            <wp:positionV relativeFrom="paragraph">
              <wp:posOffset>614727</wp:posOffset>
            </wp:positionV>
            <wp:extent cx="1173708" cy="4667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884" cy="467193"/>
                    </a:xfrm>
                    <a:prstGeom prst="rect">
                      <a:avLst/>
                    </a:prstGeom>
                    <a:noFill/>
                  </pic:spPr>
                </pic:pic>
              </a:graphicData>
            </a:graphic>
            <wp14:sizeRelH relativeFrom="margin">
              <wp14:pctWidth>0</wp14:pctWidth>
            </wp14:sizeRelH>
          </wp:anchor>
        </w:drawing>
      </w:r>
      <w:r w:rsidR="00857E90">
        <w:rPr>
          <w:noProof/>
          <w:sz w:val="18"/>
          <w:lang w:val="en-US" w:eastAsia="zh-CN"/>
        </w:rPr>
        <w:drawing>
          <wp:inline distT="0" distB="0" distL="0" distR="0" wp14:anchorId="3F8019AD" wp14:editId="3065C68F">
            <wp:extent cx="5736764" cy="3106455"/>
            <wp:effectExtent l="0" t="0" r="0" b="0"/>
            <wp:docPr id="2" name="Picture 2" descr="C:\Users\howard\Desktop\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ward\Desktop\Figur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562" cy="3115551"/>
                    </a:xfrm>
                    <a:prstGeom prst="rect">
                      <a:avLst/>
                    </a:prstGeom>
                    <a:noFill/>
                    <a:ln>
                      <a:noFill/>
                    </a:ln>
                  </pic:spPr>
                </pic:pic>
              </a:graphicData>
            </a:graphic>
          </wp:inline>
        </w:drawing>
      </w:r>
    </w:p>
    <w:p w14:paraId="2CE22EFC" w14:textId="02F9A680" w:rsidR="00B0330E" w:rsidRPr="00857E90" w:rsidRDefault="00B0330E" w:rsidP="00B0330E">
      <w:pPr>
        <w:pStyle w:val="IPPParagraphnumbering"/>
        <w:rPr>
          <w:rFonts w:ascii="Arial" w:hAnsi="Arial" w:cs="Arial"/>
          <w:sz w:val="18"/>
          <w:szCs w:val="18"/>
        </w:rPr>
      </w:pPr>
      <w:r>
        <w:rPr>
          <w:rFonts w:ascii="Arial" w:hAnsi="Arial"/>
          <w:b/>
          <w:sz w:val="18"/>
        </w:rPr>
        <w:t>Figura 1.</w:t>
      </w:r>
      <w:r>
        <w:rPr>
          <w:rFonts w:ascii="Arial" w:hAnsi="Arial"/>
          <w:sz w:val="18"/>
        </w:rPr>
        <w:t xml:space="preserve"> [Descripción]</w:t>
      </w:r>
    </w:p>
    <w:p w14:paraId="7C31406D" w14:textId="22FA8E51" w:rsidR="00B0330E" w:rsidRPr="0006310D" w:rsidRDefault="00A27A99" w:rsidP="00B0330E">
      <w:pPr>
        <w:pStyle w:val="IPPParagraphnumbering"/>
        <w:rPr>
          <w:rFonts w:ascii="Arial" w:hAnsi="Arial" w:cs="Arial"/>
          <w:i/>
          <w:sz w:val="18"/>
          <w:szCs w:val="18"/>
        </w:rPr>
      </w:pPr>
      <w:r>
        <w:rPr>
          <w:rFonts w:ascii="Arial" w:hAnsi="Arial"/>
          <w:i/>
          <w:iCs/>
          <w:sz w:val="18"/>
        </w:rPr>
        <w:t>Fuente</w:t>
      </w:r>
      <w:r>
        <w:rPr>
          <w:rFonts w:ascii="Arial" w:hAnsi="Arial"/>
          <w:sz w:val="18"/>
        </w:rPr>
        <w:t>:</w:t>
      </w:r>
      <w:r>
        <w:rPr>
          <w:rFonts w:ascii="Arial" w:hAnsi="Arial"/>
          <w:i/>
          <w:sz w:val="18"/>
        </w:rPr>
        <w:t xml:space="preserve"> </w:t>
      </w:r>
      <w:r>
        <w:rPr>
          <w:rFonts w:ascii="Arial" w:hAnsi="Arial"/>
          <w:sz w:val="18"/>
        </w:rPr>
        <w:t>[nombre, institución, país]</w:t>
      </w:r>
      <w:r>
        <w:rPr>
          <w:rFonts w:ascii="Arial" w:hAnsi="Arial"/>
          <w:i/>
          <w:sz w:val="18"/>
        </w:rPr>
        <w:t>.</w:t>
      </w:r>
    </w:p>
    <w:p w14:paraId="08818F5C" w14:textId="77777777" w:rsidR="00300575" w:rsidRPr="00DD2EA9" w:rsidRDefault="00300575" w:rsidP="000915EC">
      <w:pPr>
        <w:pStyle w:val="IPPParagraphnumbering"/>
        <w:sectPr w:rsidR="00300575" w:rsidRPr="00DD2EA9" w:rsidSect="00B514AD">
          <w:headerReference w:type="even" r:id="rId17"/>
          <w:headerReference w:type="default" r:id="rId18"/>
          <w:footerReference w:type="even" r:id="rId19"/>
          <w:footerReference w:type="default" r:id="rId20"/>
          <w:footerReference w:type="first" r:id="rId21"/>
          <w:pgSz w:w="11906" w:h="16838" w:code="9"/>
          <w:pgMar w:top="1559" w:right="1418" w:bottom="1418" w:left="1418" w:header="709" w:footer="709" w:gutter="0"/>
          <w:cols w:space="708"/>
          <w:titlePg/>
          <w:docGrid w:linePitch="360"/>
        </w:sectPr>
      </w:pPr>
    </w:p>
    <w:p w14:paraId="6D657657" w14:textId="77777777" w:rsidR="000937F9" w:rsidRPr="000937F9" w:rsidRDefault="000937F9" w:rsidP="000937F9">
      <w:pPr>
        <w:pStyle w:val="IPPParagraphnumbering"/>
        <w:numPr>
          <w:ilvl w:val="0"/>
          <w:numId w:val="0"/>
        </w:numPr>
        <w:jc w:val="center"/>
        <w:rPr>
          <w:sz w:val="18"/>
          <w:szCs w:val="18"/>
        </w:rPr>
      </w:pPr>
      <w:r>
        <w:rPr>
          <w:sz w:val="18"/>
        </w:rPr>
        <w:lastRenderedPageBreak/>
        <w:t>Este suplemento es una parte prescriptiva de la norma.</w:t>
      </w:r>
    </w:p>
    <w:p w14:paraId="6879D11A" w14:textId="77777777" w:rsidR="000937F9" w:rsidRDefault="000937F9" w:rsidP="000937F9">
      <w:pPr>
        <w:pStyle w:val="IPPAnnexHead"/>
      </w:pPr>
      <w:r>
        <w:t>SUPLEMENTO 1: [Título del suplemento]</w:t>
      </w:r>
    </w:p>
    <w:p w14:paraId="2457C90F" w14:textId="01328D93" w:rsidR="0010591A" w:rsidRPr="0010591A" w:rsidRDefault="0010591A" w:rsidP="00B514AD">
      <w:pPr>
        <w:pStyle w:val="IPPSubheadSpace"/>
      </w:pPr>
      <w:r>
        <w:t>1.</w:t>
      </w:r>
      <w:r>
        <w:tab/>
        <w:t>Ejemplo de título</w:t>
      </w:r>
    </w:p>
    <w:p w14:paraId="56C90C87" w14:textId="77777777" w:rsidR="00216C20" w:rsidRDefault="000937F9" w:rsidP="000937F9">
      <w:pPr>
        <w:pStyle w:val="IPPParagraphnumbering"/>
      </w:pPr>
      <w:r>
        <w:t>Los suplementos añaden información conceptual que complementa una norma y proporciona texto adicional sin alterar el contenido existente.</w:t>
      </w:r>
    </w:p>
    <w:p w14:paraId="79F28D34" w14:textId="275481B2" w:rsidR="000937F9" w:rsidRDefault="00AC1EB4" w:rsidP="000937F9">
      <w:pPr>
        <w:pStyle w:val="IPPParagraphnumbering"/>
      </w:pPr>
      <w:r>
        <w:t>En la NIMF 5, los suplementos del glosario se utilizan para aclarar y explicar definiciones y términos fitosanitarios complejos que no pueden entenderse mediante las habituales definiciones concisas</w:t>
      </w:r>
      <w:r w:rsidR="000579AE">
        <w:t xml:space="preserve">. </w:t>
      </w:r>
    </w:p>
    <w:p w14:paraId="691FEEE3" w14:textId="130A273E" w:rsidR="00686242" w:rsidRDefault="00686242" w:rsidP="000937F9">
      <w:pPr>
        <w:pStyle w:val="IPPParagraphnumbering"/>
      </w:pPr>
      <w:r>
        <w:t xml:space="preserve">Si se revisa un suplemento o se añade uno nuevo a una NIMF existente, se debería indicar la fecha de aprobación </w:t>
      </w:r>
      <w:r w:rsidR="00581AFB">
        <w:t>por</w:t>
      </w:r>
      <w:r>
        <w:t xml:space="preserve"> la CMF junto con la declaración del carácter prescriptivo que se expone antes del título.</w:t>
      </w:r>
    </w:p>
    <w:p w14:paraId="091C62FE" w14:textId="77777777" w:rsidR="0010591A" w:rsidRDefault="0010591A" w:rsidP="00B514AD">
      <w:pPr>
        <w:pStyle w:val="IPPSubheadSpace"/>
      </w:pPr>
      <w:r>
        <w:t>1.1</w:t>
      </w:r>
      <w:r>
        <w:tab/>
        <w:t>Ejemplo de título</w:t>
      </w:r>
    </w:p>
    <w:p w14:paraId="210E6CAA" w14:textId="77777777" w:rsidR="0010591A" w:rsidRPr="0010591A" w:rsidRDefault="0010591A" w:rsidP="0010591A">
      <w:pPr>
        <w:pStyle w:val="IPPParagraphnumbering"/>
      </w:pPr>
    </w:p>
    <w:p w14:paraId="416B66B0" w14:textId="77777777" w:rsidR="000937F9" w:rsidRDefault="000937F9" w:rsidP="008E63FD">
      <w:pPr>
        <w:pStyle w:val="IPPParagraphnumbering"/>
        <w:numPr>
          <w:ilvl w:val="0"/>
          <w:numId w:val="0"/>
        </w:numPr>
        <w:jc w:val="center"/>
        <w:rPr>
          <w:sz w:val="18"/>
          <w:szCs w:val="18"/>
        </w:rPr>
      </w:pPr>
    </w:p>
    <w:p w14:paraId="504F38DD" w14:textId="77777777" w:rsidR="0010591A" w:rsidRDefault="0010591A" w:rsidP="008E63FD">
      <w:pPr>
        <w:pStyle w:val="IPPParagraphnumbering"/>
        <w:numPr>
          <w:ilvl w:val="0"/>
          <w:numId w:val="0"/>
        </w:numPr>
        <w:jc w:val="center"/>
        <w:rPr>
          <w:sz w:val="18"/>
          <w:szCs w:val="18"/>
        </w:rPr>
        <w:sectPr w:rsidR="0010591A" w:rsidSect="00B514AD">
          <w:headerReference w:type="even" r:id="rId22"/>
          <w:headerReference w:type="first" r:id="rId23"/>
          <w:pgSz w:w="11906" w:h="16838" w:code="9"/>
          <w:pgMar w:top="1559" w:right="1418" w:bottom="1418" w:left="1418" w:header="709" w:footer="709" w:gutter="0"/>
          <w:cols w:space="708"/>
          <w:docGrid w:linePitch="360"/>
        </w:sectPr>
      </w:pPr>
    </w:p>
    <w:p w14:paraId="0A4568B4" w14:textId="77777777" w:rsidR="008E63FD" w:rsidRPr="008E63FD" w:rsidRDefault="008E63FD" w:rsidP="008E63FD">
      <w:pPr>
        <w:pStyle w:val="IPPParagraphnumbering"/>
        <w:numPr>
          <w:ilvl w:val="0"/>
          <w:numId w:val="0"/>
        </w:numPr>
        <w:jc w:val="center"/>
        <w:rPr>
          <w:sz w:val="18"/>
          <w:szCs w:val="18"/>
        </w:rPr>
      </w:pPr>
      <w:r>
        <w:rPr>
          <w:sz w:val="18"/>
        </w:rPr>
        <w:lastRenderedPageBreak/>
        <w:t>Este anexo es una parte prescriptiva de la norma.</w:t>
      </w:r>
    </w:p>
    <w:p w14:paraId="23CE82E1" w14:textId="41B74BCB" w:rsidR="007F4820" w:rsidRPr="0010591A" w:rsidRDefault="000A3CBB" w:rsidP="0010591A">
      <w:pPr>
        <w:pStyle w:val="IPPAnnexHead"/>
      </w:pPr>
      <w:r>
        <w:t>ANEXO 1: [Título de</w:t>
      </w:r>
      <w:r w:rsidR="00136ECC">
        <w:t>l</w:t>
      </w:r>
      <w:r>
        <w:t xml:space="preserve"> anexo]</w:t>
      </w:r>
    </w:p>
    <w:p w14:paraId="447FC223" w14:textId="15D12DBA" w:rsidR="0010591A" w:rsidRPr="0010591A" w:rsidRDefault="0010591A" w:rsidP="00B514AD">
      <w:pPr>
        <w:pStyle w:val="IPPSubheadSpace"/>
      </w:pPr>
      <w:r>
        <w:t>1.</w:t>
      </w:r>
      <w:r>
        <w:tab/>
        <w:t>Ejemplo de título</w:t>
      </w:r>
    </w:p>
    <w:p w14:paraId="74478EBB" w14:textId="793D23E4" w:rsidR="007F4820" w:rsidRDefault="007F4820" w:rsidP="000937F9">
      <w:pPr>
        <w:pStyle w:val="IPPParagraphnumberingclose"/>
      </w:pPr>
      <w:r>
        <w:t xml:space="preserve">Un anexo añade información técnica a una norma. Se hace referencia </w:t>
      </w:r>
      <w:r w:rsidR="000579AE">
        <w:t xml:space="preserve">a él </w:t>
      </w:r>
      <w:r>
        <w:t>en el texto principal de la norma. No suele recoger información conceptual pertinente para la norma. Un anexo debería contener únicamente información muy concreta que tal vez sea necesario modificar en el curso del tiempo y que no afecte a los principios incorporados en el texto principal de la norma. Por ejemplo, los anexos pueden:</w:t>
      </w:r>
    </w:p>
    <w:p w14:paraId="783B89DA" w14:textId="77777777" w:rsidR="007F4820" w:rsidRPr="007F4820" w:rsidRDefault="007F4820" w:rsidP="007F4820">
      <w:pPr>
        <w:pStyle w:val="IPPBullet1"/>
      </w:pPr>
      <w:r>
        <w:t>presentar orientaciones técnicas sobre tratamientos o procedimientos fitosanitarios, como tratamientos, protocolos de tratamiento y protocolos de diagnóstico;</w:t>
      </w:r>
    </w:p>
    <w:p w14:paraId="1F245C05" w14:textId="3996E7BA" w:rsidR="007F4820" w:rsidRDefault="007F4820" w:rsidP="007F4820">
      <w:pPr>
        <w:pStyle w:val="IPPBullet1"/>
      </w:pPr>
      <w:r>
        <w:t xml:space="preserve">incluir cuadros y figuras; </w:t>
      </w:r>
    </w:p>
    <w:p w14:paraId="50EAEDFA" w14:textId="77777777" w:rsidR="0010591A" w:rsidRDefault="007F4820" w:rsidP="0010591A">
      <w:pPr>
        <w:pStyle w:val="IPPBullet1Last"/>
      </w:pPr>
      <w:r>
        <w:t>contener información que tal vez deba enmendarse o revisarse para asegurar que la información específica proporcionada concuerde y guarde relación con los conocimientos científicos más avanzados y otra información de interés.</w:t>
      </w:r>
    </w:p>
    <w:p w14:paraId="5FB87892" w14:textId="77777777" w:rsidR="008E63FD" w:rsidRDefault="008E63FD" w:rsidP="000937F9">
      <w:pPr>
        <w:pStyle w:val="IPPParagraphnumberingclose"/>
      </w:pPr>
      <w:r>
        <w:t>La enmienda o revisión de los anexos se puede llevar a cabo sin modificar el texto principal de la norma y puede ser necesaria, por ejemplo, en las siguientes circunstancias:</w:t>
      </w:r>
    </w:p>
    <w:p w14:paraId="42F65055" w14:textId="77777777" w:rsidR="008E63FD" w:rsidRPr="008E63FD" w:rsidRDefault="008E63FD" w:rsidP="008E63FD">
      <w:pPr>
        <w:pStyle w:val="IPPBullet1"/>
      </w:pPr>
      <w:r>
        <w:t>la aprobación de nuevas directrices, tratamientos o procedimientos;</w:t>
      </w:r>
    </w:p>
    <w:p w14:paraId="7E7497CE" w14:textId="5A3C003B" w:rsidR="008E63FD" w:rsidRDefault="008E63FD" w:rsidP="008E63FD">
      <w:pPr>
        <w:pStyle w:val="IPPBullet1"/>
      </w:pPr>
      <w:r>
        <w:t>cambios en los métodos existentes;</w:t>
      </w:r>
    </w:p>
    <w:p w14:paraId="59F0AC40" w14:textId="77777777" w:rsidR="008E63FD" w:rsidRPr="00F728DE" w:rsidRDefault="008E63FD" w:rsidP="008E63FD">
      <w:pPr>
        <w:pStyle w:val="IPPBullet1Last"/>
      </w:pPr>
      <w:r>
        <w:t>como resultado de los hechos observados en la aplicación de una norma determinada.</w:t>
      </w:r>
    </w:p>
    <w:p w14:paraId="010CFB2E" w14:textId="5BD7FAB3" w:rsidR="00121DAE" w:rsidRDefault="00121DAE" w:rsidP="0006310D">
      <w:pPr>
        <w:pStyle w:val="IPPParagraphnumbering"/>
      </w:pPr>
      <w:r>
        <w:t xml:space="preserve">Si se revisa un anexo o se añade uno nuevo a una NIMF existente, se debería indicar la fecha de aprobación </w:t>
      </w:r>
      <w:r w:rsidR="00D66DBA">
        <w:t>por</w:t>
      </w:r>
      <w:r>
        <w:t xml:space="preserve"> la CMF junto con la declaración del carácter prescriptivo que se expone antes del título.</w:t>
      </w:r>
    </w:p>
    <w:p w14:paraId="6A0CC4B6" w14:textId="77777777" w:rsidR="00216C20" w:rsidRPr="0010591A" w:rsidRDefault="00216C20" w:rsidP="00216C20">
      <w:pPr>
        <w:pStyle w:val="IPPSubheadSpace"/>
      </w:pPr>
      <w:r>
        <w:t>1.1</w:t>
      </w:r>
      <w:r>
        <w:tab/>
        <w:t>Ejemplo de título</w:t>
      </w:r>
    </w:p>
    <w:p w14:paraId="06E37262" w14:textId="77777777" w:rsidR="00216C20" w:rsidRDefault="00216C20" w:rsidP="00300575">
      <w:pPr>
        <w:pStyle w:val="IPPNormal"/>
      </w:pPr>
    </w:p>
    <w:p w14:paraId="5EA7C6A2" w14:textId="77777777" w:rsidR="00261F61" w:rsidRDefault="00261F61" w:rsidP="008E63FD">
      <w:pPr>
        <w:pStyle w:val="IPPNormal"/>
        <w:jc w:val="center"/>
        <w:rPr>
          <w:sz w:val="18"/>
          <w:szCs w:val="18"/>
        </w:rPr>
        <w:sectPr w:rsidR="00261F61" w:rsidSect="00B514AD">
          <w:footerReference w:type="first" r:id="rId24"/>
          <w:pgSz w:w="11906" w:h="16838" w:code="9"/>
          <w:pgMar w:top="1559" w:right="1418" w:bottom="1418" w:left="1418" w:header="709" w:footer="709" w:gutter="0"/>
          <w:cols w:space="708"/>
          <w:titlePg/>
          <w:docGrid w:linePitch="360"/>
        </w:sectPr>
      </w:pPr>
    </w:p>
    <w:p w14:paraId="657C150F" w14:textId="77777777" w:rsidR="008E63FD" w:rsidRPr="00300575" w:rsidRDefault="008E63FD" w:rsidP="008E63FD">
      <w:pPr>
        <w:pStyle w:val="IPPNormal"/>
        <w:jc w:val="center"/>
        <w:rPr>
          <w:sz w:val="18"/>
          <w:szCs w:val="18"/>
        </w:rPr>
      </w:pPr>
      <w:r>
        <w:rPr>
          <w:sz w:val="18"/>
        </w:rPr>
        <w:lastRenderedPageBreak/>
        <w:t>Este apéndice se presenta únicamente como referencia y no constituye una parte prescriptiva de la norma.</w:t>
      </w:r>
    </w:p>
    <w:p w14:paraId="6440C2FA" w14:textId="77777777" w:rsidR="008E63FD" w:rsidRDefault="008E63FD" w:rsidP="008E63FD">
      <w:pPr>
        <w:pStyle w:val="IPPAnnexHead"/>
      </w:pPr>
      <w:r>
        <w:t>APÉNDICE 1: [Título del apéndice]</w:t>
      </w:r>
    </w:p>
    <w:p w14:paraId="2384EB8E" w14:textId="229A4872" w:rsidR="0010591A" w:rsidRPr="0010591A" w:rsidRDefault="0010591A" w:rsidP="0010591A">
      <w:pPr>
        <w:pStyle w:val="IPPSubheadSpace"/>
      </w:pPr>
      <w:r>
        <w:t>1.</w:t>
      </w:r>
      <w:r>
        <w:tab/>
        <w:t>Ejemplo de título</w:t>
      </w:r>
    </w:p>
    <w:p w14:paraId="3D4D6E4B" w14:textId="172ACD82" w:rsidR="008E63FD" w:rsidRDefault="008E63FD" w:rsidP="00B514AD">
      <w:pPr>
        <w:pStyle w:val="IPPParagraphnumbering"/>
      </w:pPr>
      <w:r>
        <w:t xml:space="preserve">En los apéndices se proporcionan referencias o información adicional pertinentes para la norma. Si se revisa un apéndice o se añade uno nuevo a una NIMF existente, se debería indicar la fecha de aprobación </w:t>
      </w:r>
      <w:r w:rsidR="00B63B43">
        <w:t>por</w:t>
      </w:r>
      <w:r>
        <w:t xml:space="preserve"> la CMF junto con la declaración del carácter no prescriptivo que se expone antes del título.</w:t>
      </w:r>
    </w:p>
    <w:p w14:paraId="5E8D0691" w14:textId="77777777" w:rsidR="0010591A" w:rsidRPr="0010591A" w:rsidRDefault="0010591A" w:rsidP="0010591A">
      <w:pPr>
        <w:pStyle w:val="IPPSubheadSpace"/>
      </w:pPr>
      <w:r>
        <w:t>1.1</w:t>
      </w:r>
      <w:r>
        <w:tab/>
        <w:t>Ejemplo de título</w:t>
      </w:r>
    </w:p>
    <w:p w14:paraId="6341C1EA" w14:textId="77777777" w:rsidR="0010591A" w:rsidRDefault="0010591A" w:rsidP="0065401B">
      <w:pPr>
        <w:pStyle w:val="IPPParagraphnumbering"/>
      </w:pPr>
    </w:p>
    <w:sectPr w:rsidR="0010591A" w:rsidSect="00B514AD">
      <w:headerReference w:type="first" r:id="rId25"/>
      <w:footerReference w:type="first" r:id="rId26"/>
      <w:pgSz w:w="11906" w:h="16838" w:code="9"/>
      <w:pgMar w:top="155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5B0F" w14:textId="77777777" w:rsidR="00396010" w:rsidRPr="009E6726" w:rsidRDefault="00396010" w:rsidP="009E6726">
      <w:r>
        <w:separator/>
      </w:r>
    </w:p>
  </w:endnote>
  <w:endnote w:type="continuationSeparator" w:id="0">
    <w:p w14:paraId="39216E6E" w14:textId="77777777" w:rsidR="00396010" w:rsidRPr="009E6726" w:rsidRDefault="00396010" w:rsidP="009E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F54F" w14:textId="721EDE4C" w:rsidR="00A56FDA" w:rsidRDefault="00A56FDA" w:rsidP="000B0CD7">
    <w:pPr>
      <w:pStyle w:val="IPPFooter"/>
    </w:pPr>
    <w:r>
      <w:t xml:space="preserve">Página </w:t>
    </w:r>
    <w:r w:rsidRPr="00377B19">
      <w:rPr>
        <w:rFonts w:cs="Arial"/>
      </w:rPr>
      <w:fldChar w:fldCharType="begin"/>
    </w:r>
    <w:r w:rsidRPr="00377B19">
      <w:rPr>
        <w:rFonts w:cs="Arial"/>
      </w:rPr>
      <w:instrText xml:space="preserve"> PAGE </w:instrText>
    </w:r>
    <w:r w:rsidRPr="00377B19">
      <w:rPr>
        <w:rFonts w:cs="Arial"/>
      </w:rPr>
      <w:fldChar w:fldCharType="separate"/>
    </w:r>
    <w:r w:rsidR="00445A5A">
      <w:rPr>
        <w:rFonts w:cs="Arial"/>
        <w:noProof/>
      </w:rPr>
      <w:t>2</w:t>
    </w:r>
    <w:r w:rsidRPr="00377B19">
      <w:rPr>
        <w:rFonts w:cs="Arial"/>
      </w:rPr>
      <w:fldChar w:fldCharType="end"/>
    </w:r>
    <w:r>
      <w:t xml:space="preserve"> de </w:t>
    </w:r>
    <w:r w:rsidRPr="00377B19">
      <w:rPr>
        <w:rFonts w:cs="Arial"/>
      </w:rPr>
      <w:fldChar w:fldCharType="begin"/>
    </w:r>
    <w:r w:rsidRPr="00377B19">
      <w:rPr>
        <w:rFonts w:cs="Arial"/>
      </w:rPr>
      <w:instrText xml:space="preserve"> NUMPAGES  </w:instrText>
    </w:r>
    <w:r w:rsidRPr="00377B19">
      <w:rPr>
        <w:rFonts w:cs="Arial"/>
      </w:rPr>
      <w:fldChar w:fldCharType="separate"/>
    </w:r>
    <w:r w:rsidR="00445A5A">
      <w:rPr>
        <w:rFonts w:cs="Arial"/>
        <w:noProof/>
      </w:rPr>
      <w:t>7</w:t>
    </w:r>
    <w:r w:rsidRPr="00377B19">
      <w:rPr>
        <w:rFonts w:cs="Arial"/>
      </w:rPr>
      <w:fldChar w:fldCharType="end"/>
    </w:r>
    <w:r>
      <w:tab/>
      <w:t>Convención Internacional de Protección Fitosanitaria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C099" w14:textId="324E4A16" w:rsidR="00A56FDA" w:rsidRPr="00AA7F53" w:rsidRDefault="00A56FDA" w:rsidP="00C36377">
    <w:pPr>
      <w:pStyle w:val="IPPFooter"/>
    </w:pPr>
    <w:r>
      <w:t>Convención Internacional de Protección Fitosanitaria</w:t>
    </w:r>
    <w:r>
      <w:tab/>
      <w:t xml:space="preserve">Página </w:t>
    </w:r>
    <w:r w:rsidR="00B43A71" w:rsidRPr="00377B19">
      <w:rPr>
        <w:rFonts w:cs="Arial"/>
      </w:rPr>
      <w:fldChar w:fldCharType="begin"/>
    </w:r>
    <w:r w:rsidR="00B43A71" w:rsidRPr="00377B19">
      <w:rPr>
        <w:rFonts w:cs="Arial"/>
      </w:rPr>
      <w:instrText xml:space="preserve"> PAGE </w:instrText>
    </w:r>
    <w:r w:rsidR="00B43A71" w:rsidRPr="00377B19">
      <w:rPr>
        <w:rFonts w:cs="Arial"/>
      </w:rPr>
      <w:fldChar w:fldCharType="separate"/>
    </w:r>
    <w:r w:rsidR="00445A5A">
      <w:rPr>
        <w:rFonts w:cs="Arial"/>
        <w:noProof/>
      </w:rPr>
      <w:t>5</w:t>
    </w:r>
    <w:r w:rsidR="00B43A71" w:rsidRPr="00377B19">
      <w:rPr>
        <w:rFonts w:cs="Arial"/>
      </w:rPr>
      <w:fldChar w:fldCharType="end"/>
    </w:r>
    <w:r>
      <w:t xml:space="preserve"> de </w:t>
    </w:r>
    <w:r w:rsidR="00B43A71" w:rsidRPr="00377B19">
      <w:rPr>
        <w:rFonts w:cs="Arial"/>
      </w:rPr>
      <w:fldChar w:fldCharType="begin"/>
    </w:r>
    <w:r w:rsidR="00B43A71" w:rsidRPr="00377B19">
      <w:rPr>
        <w:rFonts w:cs="Arial"/>
      </w:rPr>
      <w:instrText xml:space="preserve"> NUMPAGES  </w:instrText>
    </w:r>
    <w:r w:rsidR="00B43A71" w:rsidRPr="00377B19">
      <w:rPr>
        <w:rFonts w:cs="Arial"/>
      </w:rPr>
      <w:fldChar w:fldCharType="separate"/>
    </w:r>
    <w:r w:rsidR="00445A5A">
      <w:rPr>
        <w:rFonts w:cs="Arial"/>
        <w:noProof/>
      </w:rPr>
      <w:t>7</w:t>
    </w:r>
    <w:r w:rsidR="00B43A71" w:rsidRPr="00377B1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C7F" w14:textId="28FF1380" w:rsidR="00A56FDA" w:rsidRDefault="00A56FDA" w:rsidP="00C36377">
    <w:pPr>
      <w:pStyle w:val="IPPFooter"/>
    </w:pPr>
    <w:r>
      <w:t>Convención Internacional de Protección Fitosanitaria</w:t>
    </w:r>
    <w:r>
      <w:tab/>
      <w:t xml:space="preserve">Página </w:t>
    </w:r>
    <w:r w:rsidRPr="00377B19">
      <w:rPr>
        <w:rFonts w:cs="Arial"/>
      </w:rPr>
      <w:fldChar w:fldCharType="begin"/>
    </w:r>
    <w:r w:rsidRPr="00377B19">
      <w:rPr>
        <w:rFonts w:cs="Arial"/>
      </w:rPr>
      <w:instrText xml:space="preserve"> PAGE </w:instrText>
    </w:r>
    <w:r w:rsidRPr="00377B19">
      <w:rPr>
        <w:rFonts w:cs="Arial"/>
      </w:rPr>
      <w:fldChar w:fldCharType="separate"/>
    </w:r>
    <w:r w:rsidR="00445A5A">
      <w:rPr>
        <w:rFonts w:cs="Arial"/>
        <w:noProof/>
      </w:rPr>
      <w:t>1</w:t>
    </w:r>
    <w:r w:rsidRPr="00377B19">
      <w:rPr>
        <w:rFonts w:cs="Arial"/>
      </w:rPr>
      <w:fldChar w:fldCharType="end"/>
    </w:r>
    <w:r>
      <w:t xml:space="preserve"> de </w:t>
    </w:r>
    <w:r w:rsidRPr="00377B19">
      <w:rPr>
        <w:rFonts w:cs="Arial"/>
      </w:rPr>
      <w:fldChar w:fldCharType="begin"/>
    </w:r>
    <w:r w:rsidRPr="00377B19">
      <w:rPr>
        <w:rFonts w:cs="Arial"/>
      </w:rPr>
      <w:instrText xml:space="preserve"> NUMPAGES  </w:instrText>
    </w:r>
    <w:r w:rsidRPr="00377B19">
      <w:rPr>
        <w:rFonts w:cs="Arial"/>
      </w:rPr>
      <w:fldChar w:fldCharType="separate"/>
    </w:r>
    <w:r w:rsidR="00445A5A">
      <w:rPr>
        <w:rFonts w:cs="Arial"/>
        <w:noProof/>
      </w:rPr>
      <w:t>7</w:t>
    </w:r>
    <w:r w:rsidRPr="00377B19">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AE12" w14:textId="2A39A68C" w:rsidR="00B43A71" w:rsidRDefault="00B43A71" w:rsidP="00C36377">
    <w:pPr>
      <w:pStyle w:val="IPPFooter"/>
    </w:pPr>
    <w:r>
      <w:t xml:space="preserve">Página </w:t>
    </w:r>
    <w:r w:rsidRPr="00377B19">
      <w:rPr>
        <w:rFonts w:cs="Arial"/>
      </w:rPr>
      <w:fldChar w:fldCharType="begin"/>
    </w:r>
    <w:r w:rsidRPr="00377B19">
      <w:rPr>
        <w:rFonts w:cs="Arial"/>
      </w:rPr>
      <w:instrText xml:space="preserve"> PAGE </w:instrText>
    </w:r>
    <w:r w:rsidRPr="00377B19">
      <w:rPr>
        <w:rFonts w:cs="Arial"/>
      </w:rPr>
      <w:fldChar w:fldCharType="separate"/>
    </w:r>
    <w:r w:rsidR="00445A5A">
      <w:rPr>
        <w:rFonts w:cs="Arial"/>
        <w:noProof/>
      </w:rPr>
      <w:t>6</w:t>
    </w:r>
    <w:r w:rsidRPr="00377B19">
      <w:rPr>
        <w:rFonts w:cs="Arial"/>
      </w:rPr>
      <w:fldChar w:fldCharType="end"/>
    </w:r>
    <w:r>
      <w:t xml:space="preserve"> de </w:t>
    </w:r>
    <w:r w:rsidRPr="00377B19">
      <w:rPr>
        <w:rFonts w:cs="Arial"/>
      </w:rPr>
      <w:fldChar w:fldCharType="begin"/>
    </w:r>
    <w:r w:rsidRPr="00377B19">
      <w:rPr>
        <w:rFonts w:cs="Arial"/>
      </w:rPr>
      <w:instrText xml:space="preserve"> NUMPAGES  </w:instrText>
    </w:r>
    <w:r w:rsidRPr="00377B19">
      <w:rPr>
        <w:rFonts w:cs="Arial"/>
      </w:rPr>
      <w:fldChar w:fldCharType="separate"/>
    </w:r>
    <w:r w:rsidR="00445A5A">
      <w:rPr>
        <w:rFonts w:cs="Arial"/>
        <w:noProof/>
      </w:rPr>
      <w:t>7</w:t>
    </w:r>
    <w:r w:rsidRPr="00377B19">
      <w:rPr>
        <w:rFonts w:cs="Arial"/>
      </w:rPr>
      <w:fldChar w:fldCharType="end"/>
    </w:r>
    <w:r>
      <w:tab/>
      <w:t>Convención Internacional de Protección Fitosanitaria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1304" w14:textId="220220CD" w:rsidR="00B43A71" w:rsidRDefault="00B43A71" w:rsidP="00C36377">
    <w:pPr>
      <w:pStyle w:val="IPPFooter"/>
    </w:pPr>
    <w:r>
      <w:t>Convención Internacional de Protección Fitosanitaria</w:t>
    </w:r>
    <w:r>
      <w:tab/>
      <w:t xml:space="preserve">Página </w:t>
    </w:r>
    <w:r w:rsidRPr="00377B19">
      <w:rPr>
        <w:rFonts w:cs="Arial"/>
      </w:rPr>
      <w:fldChar w:fldCharType="begin"/>
    </w:r>
    <w:r w:rsidRPr="00377B19">
      <w:rPr>
        <w:rFonts w:cs="Arial"/>
      </w:rPr>
      <w:instrText xml:space="preserve"> PAGE </w:instrText>
    </w:r>
    <w:r w:rsidRPr="00377B19">
      <w:rPr>
        <w:rFonts w:cs="Arial"/>
      </w:rPr>
      <w:fldChar w:fldCharType="separate"/>
    </w:r>
    <w:r w:rsidR="00445A5A">
      <w:rPr>
        <w:rFonts w:cs="Arial"/>
        <w:noProof/>
      </w:rPr>
      <w:t>7</w:t>
    </w:r>
    <w:r w:rsidRPr="00377B19">
      <w:rPr>
        <w:rFonts w:cs="Arial"/>
      </w:rPr>
      <w:fldChar w:fldCharType="end"/>
    </w:r>
    <w:r>
      <w:t xml:space="preserve"> de </w:t>
    </w:r>
    <w:r w:rsidRPr="00377B19">
      <w:rPr>
        <w:rFonts w:cs="Arial"/>
      </w:rPr>
      <w:fldChar w:fldCharType="begin"/>
    </w:r>
    <w:r w:rsidRPr="00377B19">
      <w:rPr>
        <w:rFonts w:cs="Arial"/>
      </w:rPr>
      <w:instrText xml:space="preserve"> NUMPAGES  </w:instrText>
    </w:r>
    <w:r w:rsidRPr="00377B19">
      <w:rPr>
        <w:rFonts w:cs="Arial"/>
      </w:rPr>
      <w:fldChar w:fldCharType="separate"/>
    </w:r>
    <w:r w:rsidR="00445A5A">
      <w:rPr>
        <w:rFonts w:cs="Arial"/>
        <w:noProof/>
      </w:rPr>
      <w:t>7</w:t>
    </w:r>
    <w:r w:rsidRPr="00377B19">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28887" w14:textId="77777777" w:rsidR="00396010" w:rsidRPr="009E6726" w:rsidRDefault="00396010" w:rsidP="009E6726">
      <w:r>
        <w:separator/>
      </w:r>
    </w:p>
  </w:footnote>
  <w:footnote w:type="continuationSeparator" w:id="0">
    <w:p w14:paraId="5AA8C91C" w14:textId="77777777" w:rsidR="00396010" w:rsidRPr="009E6726" w:rsidRDefault="00396010" w:rsidP="009E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F2A1" w14:textId="77777777" w:rsidR="00A56FDA" w:rsidRPr="0071382D" w:rsidRDefault="00A56FDA" w:rsidP="000B0CD7">
    <w:pPr>
      <w:pStyle w:val="IPPHeader"/>
    </w:pPr>
    <w:r>
      <w:t>[Número de tema]</w:t>
    </w:r>
    <w:r>
      <w:tab/>
      <w:t xml:space="preserve">Proyecto de NIMF sobre </w:t>
    </w:r>
    <w:r>
      <w:rPr>
        <w:i/>
      </w:rPr>
      <w:t>[Título]</w:t>
    </w:r>
  </w:p>
  <w:p w14:paraId="0DAAFD3F" w14:textId="77777777" w:rsidR="00A56FDA" w:rsidRPr="00514DCA" w:rsidRDefault="00A5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EF89" w14:textId="0A5011D4" w:rsidR="00A56FDA" w:rsidRPr="0071382D" w:rsidRDefault="00A56FDA" w:rsidP="0071382D">
    <w:pPr>
      <w:pStyle w:val="IPPHeader"/>
    </w:pPr>
    <w:r>
      <w:t xml:space="preserve">Proyecto de NIMF sobre </w:t>
    </w:r>
    <w:r>
      <w:rPr>
        <w:i/>
      </w:rPr>
      <w:t>[Título]</w:t>
    </w:r>
    <w:r>
      <w:tab/>
      <w:t>[Número de tema]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4D9D" w14:textId="77777777" w:rsidR="00A56FDA" w:rsidRPr="0071382D" w:rsidRDefault="00A56FDA" w:rsidP="000B0CD7">
    <w:pPr>
      <w:pStyle w:val="IPPHeader"/>
    </w:pPr>
    <w:r>
      <w:t>[Número de tema]</w:t>
    </w:r>
    <w:r>
      <w:tab/>
      <w:t xml:space="preserve">Proyecto de NIMF sobre </w:t>
    </w:r>
    <w:r>
      <w:rPr>
        <w:i/>
      </w:rPr>
      <w:t>[Título]</w:t>
    </w:r>
  </w:p>
  <w:p w14:paraId="794A50E1" w14:textId="77777777" w:rsidR="00A56FDA" w:rsidRPr="00514DCA" w:rsidRDefault="00A56F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DB05" w14:textId="77777777" w:rsidR="00A56FDA" w:rsidRPr="000B0CD7" w:rsidRDefault="00A56FDA" w:rsidP="000B0CD7">
    <w:pPr>
      <w:pStyle w:val="IPPHeader"/>
    </w:pPr>
    <w:r>
      <w:t>[Número de tema]</w:t>
    </w:r>
    <w:r>
      <w:tab/>
      <w:t xml:space="preserve">Proyecto de NIMF sobre </w:t>
    </w:r>
    <w:r>
      <w:rPr>
        <w:i/>
      </w:rPr>
      <w:t>[Título]</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6B52" w14:textId="31087134" w:rsidR="00B43A71" w:rsidRPr="000B0CD7" w:rsidRDefault="00B43A71" w:rsidP="000B0CD7">
    <w:pPr>
      <w:pStyle w:val="IPPHeader"/>
    </w:pPr>
    <w:r>
      <w:t xml:space="preserve">Proyecto de NIMF sobre </w:t>
    </w:r>
    <w:r>
      <w:rPr>
        <w:i/>
      </w:rPr>
      <w:t>[Título]</w:t>
    </w:r>
    <w:r>
      <w:tab/>
      <w:t>[Número de tema]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24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B47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CEA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63D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0CB5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C04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28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D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C429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F07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3B171EC"/>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29677F67"/>
    <w:multiLevelType w:val="hybridMultilevel"/>
    <w:tmpl w:val="0A607222"/>
    <w:lvl w:ilvl="0" w:tplc="1A8CC00C">
      <w:start w:val="1"/>
      <w:numFmt w:val="decimal"/>
      <w:lvlText w:val="[%1]"/>
      <w:lvlJc w:val="left"/>
      <w:pPr>
        <w:ind w:left="502" w:hanging="360"/>
      </w:pPr>
      <w:rPr>
        <w:rFonts w:ascii="Arial" w:hAnsi="Arial" w:hint="default"/>
        <w:b w:val="0"/>
        <w:i/>
        <w:color w:val="0000FF"/>
        <w:sz w:val="16"/>
      </w:rPr>
    </w:lvl>
    <w:lvl w:ilvl="1" w:tplc="04090003">
      <w:start w:val="1"/>
      <w:numFmt w:val="bullet"/>
      <w:lvlText w:val="o"/>
      <w:lvlJc w:val="left"/>
      <w:pPr>
        <w:ind w:left="1222" w:hanging="360"/>
      </w:pPr>
      <w:rPr>
        <w:rFonts w:ascii="Courier New" w:hAnsi="Courier New" w:cs="Courier New" w:hint="default"/>
      </w:rPr>
    </w:lvl>
    <w:lvl w:ilvl="2" w:tplc="C46CE692">
      <w:start w:val="6"/>
      <w:numFmt w:val="decimal"/>
      <w:lvlText w:val="%3."/>
      <w:lvlJc w:val="left"/>
      <w:pPr>
        <w:ind w:left="1942" w:hanging="360"/>
      </w:pPr>
      <w:rPr>
        <w:rFonts w:hint="default"/>
        <w:b/>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2924395"/>
    <w:multiLevelType w:val="multilevel"/>
    <w:tmpl w:val="2F60D9D6"/>
    <w:lvl w:ilvl="0">
      <w:start w:val="1"/>
      <w:numFmt w:val="decimal"/>
      <w:lvlText w:val="[%1]"/>
      <w:lvlJc w:val="left"/>
      <w:pPr>
        <w:tabs>
          <w:tab w:val="num" w:pos="964"/>
        </w:tabs>
        <w:ind w:left="964" w:hanging="482"/>
      </w:pPr>
      <w:rPr>
        <w:rFonts w:ascii="Arial" w:hAnsi="Arial" w:hint="default"/>
        <w:b w:val="0"/>
        <w:i/>
        <w:color w:val="0000FF"/>
        <w:sz w:val="16"/>
      </w:rPr>
    </w:lvl>
    <w:lvl w:ilvl="1">
      <w:start w:val="1"/>
      <w:numFmt w:val="none"/>
      <w:lvlRestart w:val="0"/>
      <w:lvlText w:val=""/>
      <w:lvlJc w:val="left"/>
      <w:pPr>
        <w:tabs>
          <w:tab w:val="num" w:pos="964"/>
        </w:tabs>
        <w:ind w:left="964" w:hanging="482"/>
      </w:pPr>
      <w:rPr>
        <w:rFonts w:hint="default"/>
      </w:rPr>
    </w:lvl>
    <w:lvl w:ilvl="2">
      <w:start w:val="1"/>
      <w:numFmt w:val="none"/>
      <w:lvlRestart w:val="0"/>
      <w:lvlText w:val=""/>
      <w:lvlJc w:val="left"/>
      <w:pPr>
        <w:tabs>
          <w:tab w:val="num" w:pos="964"/>
        </w:tabs>
        <w:ind w:left="964" w:hanging="482"/>
      </w:pPr>
      <w:rPr>
        <w:rFonts w:hint="default"/>
      </w:rPr>
    </w:lvl>
    <w:lvl w:ilvl="3">
      <w:start w:val="1"/>
      <w:numFmt w:val="none"/>
      <w:lvlRestart w:val="0"/>
      <w:lvlText w:val=""/>
      <w:lvlJc w:val="left"/>
      <w:pPr>
        <w:tabs>
          <w:tab w:val="num" w:pos="964"/>
        </w:tabs>
        <w:ind w:left="964" w:hanging="482"/>
      </w:pPr>
      <w:rPr>
        <w:rFonts w:hint="default"/>
      </w:rPr>
    </w:lvl>
    <w:lvl w:ilvl="4">
      <w:start w:val="1"/>
      <w:numFmt w:val="none"/>
      <w:lvlRestart w:val="0"/>
      <w:lvlText w:val=""/>
      <w:lvlJc w:val="left"/>
      <w:pPr>
        <w:tabs>
          <w:tab w:val="num" w:pos="964"/>
        </w:tabs>
        <w:ind w:left="964" w:hanging="482"/>
      </w:pPr>
      <w:rPr>
        <w:rFonts w:hint="default"/>
      </w:rPr>
    </w:lvl>
    <w:lvl w:ilvl="5">
      <w:start w:val="1"/>
      <w:numFmt w:val="none"/>
      <w:lvlRestart w:val="0"/>
      <w:lvlText w:val=""/>
      <w:lvlJc w:val="left"/>
      <w:pPr>
        <w:tabs>
          <w:tab w:val="num" w:pos="964"/>
        </w:tabs>
        <w:ind w:left="964" w:hanging="482"/>
      </w:pPr>
      <w:rPr>
        <w:rFonts w:hint="default"/>
      </w:rPr>
    </w:lvl>
    <w:lvl w:ilvl="6">
      <w:start w:val="1"/>
      <w:numFmt w:val="none"/>
      <w:lvlRestart w:val="0"/>
      <w:lvlText w:val=""/>
      <w:lvlJc w:val="left"/>
      <w:pPr>
        <w:tabs>
          <w:tab w:val="num" w:pos="964"/>
        </w:tabs>
        <w:ind w:left="964" w:hanging="482"/>
      </w:pPr>
      <w:rPr>
        <w:rFonts w:hint="default"/>
      </w:rPr>
    </w:lvl>
    <w:lvl w:ilvl="7">
      <w:start w:val="1"/>
      <w:numFmt w:val="none"/>
      <w:lvlRestart w:val="0"/>
      <w:lvlText w:val=""/>
      <w:lvlJc w:val="left"/>
      <w:pPr>
        <w:tabs>
          <w:tab w:val="num" w:pos="964"/>
        </w:tabs>
        <w:ind w:left="964" w:hanging="482"/>
      </w:pPr>
      <w:rPr>
        <w:rFonts w:hint="default"/>
      </w:rPr>
    </w:lvl>
    <w:lvl w:ilvl="8">
      <w:start w:val="1"/>
      <w:numFmt w:val="none"/>
      <w:lvlRestart w:val="0"/>
      <w:lvlText w:val=""/>
      <w:lvlJc w:val="left"/>
      <w:pPr>
        <w:tabs>
          <w:tab w:val="num" w:pos="964"/>
        </w:tabs>
        <w:ind w:left="964" w:hanging="482"/>
      </w:pPr>
      <w:rPr>
        <w:rFonts w:hint="default"/>
      </w:rPr>
    </w:lvl>
  </w:abstractNum>
  <w:abstractNum w:abstractNumId="1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F9533F3"/>
    <w:multiLevelType w:val="multilevel"/>
    <w:tmpl w:val="571AEA12"/>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1572D"/>
    <w:multiLevelType w:val="hybridMultilevel"/>
    <w:tmpl w:val="A9BE5FB0"/>
    <w:lvl w:ilvl="0" w:tplc="BEA45198">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B2A67"/>
    <w:multiLevelType w:val="hybridMultilevel"/>
    <w:tmpl w:val="BABEADA6"/>
    <w:lvl w:ilvl="0" w:tplc="7942738C">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3594C"/>
    <w:multiLevelType w:val="hybridMultilevel"/>
    <w:tmpl w:val="8BC82404"/>
    <w:lvl w:ilvl="0" w:tplc="4ADAF3D6">
      <w:start w:val="1"/>
      <w:numFmt w:val="decimal"/>
      <w:lvlText w:val="(%1)"/>
      <w:lvlJc w:val="left"/>
      <w:pPr>
        <w:tabs>
          <w:tab w:val="num" w:pos="567"/>
        </w:tabs>
        <w:ind w:left="567" w:hanging="567"/>
      </w:pPr>
      <w:rPr>
        <w:rFonts w:ascii="Times New Roman" w:hAnsi="Times New Roman" w:hint="default"/>
        <w:b w:val="0"/>
        <w:i w:val="0"/>
        <w:color w:val="auto"/>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9C42683"/>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3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2"/>
  </w:num>
  <w:num w:numId="3">
    <w:abstractNumId w:val="27"/>
  </w:num>
  <w:num w:numId="4">
    <w:abstractNumId w:val="26"/>
  </w:num>
  <w:num w:numId="5">
    <w:abstractNumId w:val="22"/>
  </w:num>
  <w:num w:numId="6">
    <w:abstractNumId w:val="17"/>
  </w:num>
  <w:num w:numId="7">
    <w:abstractNumId w:val="12"/>
  </w:num>
  <w:num w:numId="8">
    <w:abstractNumId w:val="20"/>
  </w:num>
  <w:num w:numId="9">
    <w:abstractNumId w:val="10"/>
  </w:num>
  <w:num w:numId="10">
    <w:abstractNumId w:val="23"/>
  </w:num>
  <w:num w:numId="11">
    <w:abstractNumId w:val="28"/>
  </w:num>
  <w:num w:numId="12">
    <w:abstractNumId w:val="14"/>
  </w:num>
  <w:num w:numId="13">
    <w:abstractNumId w:val="21"/>
  </w:num>
  <w:num w:numId="14">
    <w:abstractNumId w:val="18"/>
  </w:num>
  <w:num w:numId="15">
    <w:abstractNumId w:val="30"/>
  </w:num>
  <w:num w:numId="16">
    <w:abstractNumId w:val="13"/>
  </w:num>
  <w:num w:numId="17">
    <w:abstractNumId w:val="1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19"/>
  </w:num>
  <w:num w:numId="24">
    <w:abstractNumId w:val="24"/>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9"/>
  </w:num>
  <w:num w:numId="35">
    <w:abstractNumId w:val="15"/>
  </w:num>
  <w:num w:numId="36">
    <w:abstractNumId w:val="11"/>
  </w:num>
  <w:num w:numId="37">
    <w:abstractNumId w:val="16"/>
  </w:num>
  <w:num w:numId="3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25"/>
  </w:num>
  <w:num w:numId="4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2">
    <w:abstractNumId w:val="9"/>
  </w:num>
  <w:num w:numId="53">
    <w:abstractNumId w:val="7"/>
  </w:num>
  <w:num w:numId="54">
    <w:abstractNumId w:val="6"/>
  </w:num>
  <w:num w:numId="55">
    <w:abstractNumId w:val="5"/>
  </w:num>
  <w:num w:numId="56">
    <w:abstractNumId w:val="4"/>
  </w:num>
  <w:num w:numId="57">
    <w:abstractNumId w:val="8"/>
  </w:num>
  <w:num w:numId="58">
    <w:abstractNumId w:val="3"/>
  </w:num>
  <w:num w:numId="59">
    <w:abstractNumId w:val="2"/>
  </w:num>
  <w:num w:numId="60">
    <w:abstractNumId w:val="1"/>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141E4"/>
    <w:rsid w:val="000248EA"/>
    <w:rsid w:val="0004648B"/>
    <w:rsid w:val="00046893"/>
    <w:rsid w:val="000509EE"/>
    <w:rsid w:val="000579AE"/>
    <w:rsid w:val="0006310D"/>
    <w:rsid w:val="000915EC"/>
    <w:rsid w:val="000922FC"/>
    <w:rsid w:val="000937F9"/>
    <w:rsid w:val="000A2570"/>
    <w:rsid w:val="000A3CBB"/>
    <w:rsid w:val="000A4747"/>
    <w:rsid w:val="000B0CD7"/>
    <w:rsid w:val="000C59AE"/>
    <w:rsid w:val="000D7354"/>
    <w:rsid w:val="000F11BA"/>
    <w:rsid w:val="00100EC0"/>
    <w:rsid w:val="0010591A"/>
    <w:rsid w:val="00106372"/>
    <w:rsid w:val="0011347D"/>
    <w:rsid w:val="001149C3"/>
    <w:rsid w:val="00121DAE"/>
    <w:rsid w:val="00131D1A"/>
    <w:rsid w:val="00136ECC"/>
    <w:rsid w:val="00156F91"/>
    <w:rsid w:val="001675EF"/>
    <w:rsid w:val="00167DCB"/>
    <w:rsid w:val="00182CF6"/>
    <w:rsid w:val="001C284F"/>
    <w:rsid w:val="001D35E5"/>
    <w:rsid w:val="001E69EF"/>
    <w:rsid w:val="00213F98"/>
    <w:rsid w:val="00216C20"/>
    <w:rsid w:val="00222207"/>
    <w:rsid w:val="00261F61"/>
    <w:rsid w:val="002710B7"/>
    <w:rsid w:val="002B6546"/>
    <w:rsid w:val="002F1085"/>
    <w:rsid w:val="002F1CFC"/>
    <w:rsid w:val="00300575"/>
    <w:rsid w:val="00301527"/>
    <w:rsid w:val="00345D98"/>
    <w:rsid w:val="0035476F"/>
    <w:rsid w:val="0036473A"/>
    <w:rsid w:val="003669EC"/>
    <w:rsid w:val="003730D8"/>
    <w:rsid w:val="003738E6"/>
    <w:rsid w:val="00387E07"/>
    <w:rsid w:val="0039408C"/>
    <w:rsid w:val="00396010"/>
    <w:rsid w:val="003B2EA8"/>
    <w:rsid w:val="003B6747"/>
    <w:rsid w:val="003D0A11"/>
    <w:rsid w:val="003D74C1"/>
    <w:rsid w:val="003E1E30"/>
    <w:rsid w:val="003E3904"/>
    <w:rsid w:val="004008EC"/>
    <w:rsid w:val="00406144"/>
    <w:rsid w:val="00415976"/>
    <w:rsid w:val="00433EEC"/>
    <w:rsid w:val="004345E8"/>
    <w:rsid w:val="00434838"/>
    <w:rsid w:val="00445A5A"/>
    <w:rsid w:val="00446DC9"/>
    <w:rsid w:val="00457AB3"/>
    <w:rsid w:val="00465988"/>
    <w:rsid w:val="004A53CD"/>
    <w:rsid w:val="004C1EFB"/>
    <w:rsid w:val="004C2045"/>
    <w:rsid w:val="004E1C6C"/>
    <w:rsid w:val="004E37AF"/>
    <w:rsid w:val="004F0C14"/>
    <w:rsid w:val="004F2981"/>
    <w:rsid w:val="00513E11"/>
    <w:rsid w:val="00514DCA"/>
    <w:rsid w:val="005211B5"/>
    <w:rsid w:val="005371A1"/>
    <w:rsid w:val="00550DDA"/>
    <w:rsid w:val="00581AFB"/>
    <w:rsid w:val="00584A8D"/>
    <w:rsid w:val="00585228"/>
    <w:rsid w:val="00590CBA"/>
    <w:rsid w:val="00595B63"/>
    <w:rsid w:val="005A0F6D"/>
    <w:rsid w:val="005C726E"/>
    <w:rsid w:val="005D0460"/>
    <w:rsid w:val="005D7AA6"/>
    <w:rsid w:val="005E783F"/>
    <w:rsid w:val="00601606"/>
    <w:rsid w:val="00604B79"/>
    <w:rsid w:val="006111B7"/>
    <w:rsid w:val="006140B3"/>
    <w:rsid w:val="0062281D"/>
    <w:rsid w:val="00625F42"/>
    <w:rsid w:val="00647B5E"/>
    <w:rsid w:val="0065401B"/>
    <w:rsid w:val="00686242"/>
    <w:rsid w:val="006A2E5A"/>
    <w:rsid w:val="006B3510"/>
    <w:rsid w:val="006D3C89"/>
    <w:rsid w:val="006E7BBC"/>
    <w:rsid w:val="00706CD5"/>
    <w:rsid w:val="0071382D"/>
    <w:rsid w:val="00716275"/>
    <w:rsid w:val="00722380"/>
    <w:rsid w:val="00751EEC"/>
    <w:rsid w:val="007733D1"/>
    <w:rsid w:val="00780F05"/>
    <w:rsid w:val="0078340F"/>
    <w:rsid w:val="00791281"/>
    <w:rsid w:val="00796C14"/>
    <w:rsid w:val="007B00AB"/>
    <w:rsid w:val="007B5869"/>
    <w:rsid w:val="007B7328"/>
    <w:rsid w:val="007C766E"/>
    <w:rsid w:val="007D0295"/>
    <w:rsid w:val="007D300B"/>
    <w:rsid w:val="007E0A7A"/>
    <w:rsid w:val="007E2702"/>
    <w:rsid w:val="007E4914"/>
    <w:rsid w:val="007F23D8"/>
    <w:rsid w:val="007F4820"/>
    <w:rsid w:val="00805EAA"/>
    <w:rsid w:val="00844BFD"/>
    <w:rsid w:val="00857E90"/>
    <w:rsid w:val="00870661"/>
    <w:rsid w:val="008C7DB0"/>
    <w:rsid w:val="008E63FD"/>
    <w:rsid w:val="0090365B"/>
    <w:rsid w:val="00906F8A"/>
    <w:rsid w:val="00914557"/>
    <w:rsid w:val="00947DBE"/>
    <w:rsid w:val="0097354F"/>
    <w:rsid w:val="009738C6"/>
    <w:rsid w:val="0099605F"/>
    <w:rsid w:val="009A1F9D"/>
    <w:rsid w:val="009B70F7"/>
    <w:rsid w:val="009E20FD"/>
    <w:rsid w:val="009E6726"/>
    <w:rsid w:val="009F58BD"/>
    <w:rsid w:val="00A00C03"/>
    <w:rsid w:val="00A029C1"/>
    <w:rsid w:val="00A27A99"/>
    <w:rsid w:val="00A3237E"/>
    <w:rsid w:val="00A3675D"/>
    <w:rsid w:val="00A36B57"/>
    <w:rsid w:val="00A407CD"/>
    <w:rsid w:val="00A47B1F"/>
    <w:rsid w:val="00A569B3"/>
    <w:rsid w:val="00A56FDA"/>
    <w:rsid w:val="00A5745B"/>
    <w:rsid w:val="00A756D1"/>
    <w:rsid w:val="00A82526"/>
    <w:rsid w:val="00AA205E"/>
    <w:rsid w:val="00AA7F53"/>
    <w:rsid w:val="00AB7174"/>
    <w:rsid w:val="00AC1EB4"/>
    <w:rsid w:val="00AC3433"/>
    <w:rsid w:val="00AC552D"/>
    <w:rsid w:val="00B0330E"/>
    <w:rsid w:val="00B05071"/>
    <w:rsid w:val="00B43A71"/>
    <w:rsid w:val="00B514AD"/>
    <w:rsid w:val="00B60801"/>
    <w:rsid w:val="00B63B43"/>
    <w:rsid w:val="00B65890"/>
    <w:rsid w:val="00B7631C"/>
    <w:rsid w:val="00B958CA"/>
    <w:rsid w:val="00BA12BD"/>
    <w:rsid w:val="00BB2518"/>
    <w:rsid w:val="00BB4598"/>
    <w:rsid w:val="00BD67F9"/>
    <w:rsid w:val="00BE6017"/>
    <w:rsid w:val="00BE744A"/>
    <w:rsid w:val="00BE7C7B"/>
    <w:rsid w:val="00BF4E67"/>
    <w:rsid w:val="00C03CED"/>
    <w:rsid w:val="00C07263"/>
    <w:rsid w:val="00C13E92"/>
    <w:rsid w:val="00C168AE"/>
    <w:rsid w:val="00C20099"/>
    <w:rsid w:val="00C21320"/>
    <w:rsid w:val="00C2194C"/>
    <w:rsid w:val="00C248EE"/>
    <w:rsid w:val="00C302A6"/>
    <w:rsid w:val="00C36377"/>
    <w:rsid w:val="00C40334"/>
    <w:rsid w:val="00C51219"/>
    <w:rsid w:val="00C525F0"/>
    <w:rsid w:val="00C55311"/>
    <w:rsid w:val="00C631F7"/>
    <w:rsid w:val="00C66AAD"/>
    <w:rsid w:val="00C74EE7"/>
    <w:rsid w:val="00C95D4F"/>
    <w:rsid w:val="00C97E0C"/>
    <w:rsid w:val="00CB0712"/>
    <w:rsid w:val="00CB2432"/>
    <w:rsid w:val="00CE182A"/>
    <w:rsid w:val="00D05FAA"/>
    <w:rsid w:val="00D27EC6"/>
    <w:rsid w:val="00D56737"/>
    <w:rsid w:val="00D6263A"/>
    <w:rsid w:val="00D66DBA"/>
    <w:rsid w:val="00D83139"/>
    <w:rsid w:val="00DC4DE5"/>
    <w:rsid w:val="00DD2157"/>
    <w:rsid w:val="00DD2EA9"/>
    <w:rsid w:val="00DF5E68"/>
    <w:rsid w:val="00E02AD0"/>
    <w:rsid w:val="00E0695F"/>
    <w:rsid w:val="00E15C28"/>
    <w:rsid w:val="00E3092F"/>
    <w:rsid w:val="00E63DFC"/>
    <w:rsid w:val="00E644B6"/>
    <w:rsid w:val="00E65986"/>
    <w:rsid w:val="00E74AF7"/>
    <w:rsid w:val="00E81634"/>
    <w:rsid w:val="00F00378"/>
    <w:rsid w:val="00F22E4A"/>
    <w:rsid w:val="00F30F45"/>
    <w:rsid w:val="00F35759"/>
    <w:rsid w:val="00F42AA5"/>
    <w:rsid w:val="00F549A9"/>
    <w:rsid w:val="00F83DE4"/>
    <w:rsid w:val="00F84DFE"/>
    <w:rsid w:val="00FC46FB"/>
    <w:rsid w:val="00FD3EB5"/>
    <w:rsid w:val="00FD623E"/>
    <w:rsid w:val="00FE64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ECF5C"/>
  <w15:chartTrackingRefBased/>
  <w15:docId w15:val="{96AC5A4E-B567-49B1-92B8-E1908B44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DA"/>
    <w:pPr>
      <w:jc w:val="both"/>
    </w:pPr>
    <w:rPr>
      <w:rFonts w:eastAsia="MS Mincho"/>
      <w:sz w:val="22"/>
      <w:szCs w:val="24"/>
    </w:rPr>
  </w:style>
  <w:style w:type="paragraph" w:styleId="Heading1">
    <w:name w:val="heading 1"/>
    <w:aliases w:val="IPPC Headsection"/>
    <w:basedOn w:val="Normal"/>
    <w:next w:val="Normal"/>
    <w:link w:val="Heading1Char"/>
    <w:qFormat/>
    <w:rsid w:val="007E0A7A"/>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7E0A7A"/>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7E0A7A"/>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0A7A"/>
    <w:pPr>
      <w:tabs>
        <w:tab w:val="center" w:pos="4680"/>
        <w:tab w:val="right" w:pos="9360"/>
      </w:tabs>
    </w:pPr>
  </w:style>
  <w:style w:type="character" w:customStyle="1" w:styleId="HeaderChar">
    <w:name w:val="Header Char"/>
    <w:link w:val="Header"/>
    <w:rsid w:val="007E0A7A"/>
    <w:rPr>
      <w:rFonts w:eastAsia="MS Mincho"/>
      <w:sz w:val="22"/>
      <w:szCs w:val="24"/>
      <w:lang w:val="es-ES"/>
    </w:rPr>
  </w:style>
  <w:style w:type="paragraph" w:styleId="Footer">
    <w:name w:val="footer"/>
    <w:basedOn w:val="Normal"/>
    <w:link w:val="FooterChar"/>
    <w:rsid w:val="007E0A7A"/>
    <w:pPr>
      <w:tabs>
        <w:tab w:val="center" w:pos="4680"/>
        <w:tab w:val="right" w:pos="9360"/>
      </w:tabs>
    </w:pPr>
  </w:style>
  <w:style w:type="character" w:customStyle="1" w:styleId="FooterChar">
    <w:name w:val="Footer Char"/>
    <w:link w:val="Footer"/>
    <w:rsid w:val="007E0A7A"/>
    <w:rPr>
      <w:rFonts w:eastAsia="MS Mincho"/>
      <w:sz w:val="22"/>
      <w:szCs w:val="24"/>
      <w:lang w:val="es-ES"/>
    </w:rPr>
  </w:style>
  <w:style w:type="character" w:customStyle="1" w:styleId="Heading1Char">
    <w:name w:val="Heading 1 Char"/>
    <w:aliases w:val="IPPC Headsection Char"/>
    <w:link w:val="Heading1"/>
    <w:rsid w:val="007E0A7A"/>
    <w:rPr>
      <w:rFonts w:eastAsia="MS Mincho"/>
      <w:b/>
      <w:bCs/>
      <w:sz w:val="22"/>
      <w:szCs w:val="24"/>
      <w:lang w:val="es-ES"/>
    </w:rPr>
  </w:style>
  <w:style w:type="paragraph" w:customStyle="1" w:styleId="IPPArialFootnote">
    <w:name w:val="IPP Arial Footnote"/>
    <w:basedOn w:val="IPPArialTable"/>
    <w:qFormat/>
    <w:rsid w:val="007E0A7A"/>
    <w:pPr>
      <w:tabs>
        <w:tab w:val="left" w:pos="28"/>
      </w:tabs>
      <w:ind w:left="284" w:hanging="284"/>
    </w:pPr>
    <w:rPr>
      <w:sz w:val="16"/>
    </w:rPr>
  </w:style>
  <w:style w:type="paragraph" w:customStyle="1" w:styleId="IPPContentsHead">
    <w:name w:val="IPP ContentsHead"/>
    <w:basedOn w:val="IPPSubhead"/>
    <w:next w:val="IPPNormal"/>
    <w:qFormat/>
    <w:rsid w:val="007E0A7A"/>
    <w:pPr>
      <w:spacing w:after="240"/>
    </w:pPr>
    <w:rPr>
      <w:sz w:val="24"/>
    </w:rPr>
  </w:style>
  <w:style w:type="paragraph" w:customStyle="1" w:styleId="IPPBullet2">
    <w:name w:val="IPP Bullet2"/>
    <w:basedOn w:val="IPPNormal"/>
    <w:next w:val="IPPBullet1"/>
    <w:qFormat/>
    <w:rsid w:val="007E0A7A"/>
    <w:pPr>
      <w:numPr>
        <w:numId w:val="4"/>
      </w:numPr>
      <w:tabs>
        <w:tab w:val="left" w:pos="1134"/>
      </w:tabs>
      <w:spacing w:after="60"/>
      <w:ind w:left="1134" w:hanging="567"/>
    </w:pPr>
  </w:style>
  <w:style w:type="paragraph" w:customStyle="1" w:styleId="IPPQuote">
    <w:name w:val="IPP Quote"/>
    <w:basedOn w:val="IPPNormal"/>
    <w:qFormat/>
    <w:rsid w:val="007E0A7A"/>
    <w:pPr>
      <w:ind w:left="851" w:right="851"/>
    </w:pPr>
    <w:rPr>
      <w:sz w:val="18"/>
    </w:rPr>
  </w:style>
  <w:style w:type="paragraph" w:customStyle="1" w:styleId="IPPNormal">
    <w:name w:val="IPP Normal"/>
    <w:basedOn w:val="Normal"/>
    <w:link w:val="IPPNormalChar"/>
    <w:qFormat/>
    <w:rsid w:val="007E0A7A"/>
    <w:pPr>
      <w:spacing w:after="180"/>
    </w:pPr>
    <w:rPr>
      <w:rFonts w:eastAsia="Times"/>
    </w:rPr>
  </w:style>
  <w:style w:type="paragraph" w:customStyle="1" w:styleId="IPPIndentClose">
    <w:name w:val="IPP Indent Close"/>
    <w:basedOn w:val="IPPNormal"/>
    <w:qFormat/>
    <w:rsid w:val="007E0A7A"/>
    <w:pPr>
      <w:tabs>
        <w:tab w:val="left" w:pos="2835"/>
      </w:tabs>
      <w:spacing w:after="60"/>
      <w:ind w:left="567"/>
    </w:pPr>
  </w:style>
  <w:style w:type="paragraph" w:customStyle="1" w:styleId="IPPIndent">
    <w:name w:val="IPP Indent"/>
    <w:basedOn w:val="IPPIndentClose"/>
    <w:qFormat/>
    <w:rsid w:val="007E0A7A"/>
    <w:pPr>
      <w:spacing w:after="180"/>
    </w:pPr>
  </w:style>
  <w:style w:type="paragraph" w:customStyle="1" w:styleId="IPPFootnote">
    <w:name w:val="IPP Footnote"/>
    <w:basedOn w:val="IPPArialFootnote"/>
    <w:qFormat/>
    <w:rsid w:val="007E0A7A"/>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7E0A7A"/>
    <w:pPr>
      <w:keepNext/>
      <w:tabs>
        <w:tab w:val="left" w:pos="567"/>
      </w:tabs>
      <w:spacing w:before="120" w:after="120"/>
      <w:ind w:left="567" w:hanging="567"/>
    </w:pPr>
    <w:rPr>
      <w:b/>
      <w:i/>
    </w:rPr>
  </w:style>
  <w:style w:type="character" w:customStyle="1" w:styleId="IPPnormalitalics">
    <w:name w:val="IPP normal italics"/>
    <w:rsid w:val="007E0A7A"/>
    <w:rPr>
      <w:rFonts w:ascii="Times New Roman" w:hAnsi="Times New Roman"/>
      <w:i/>
      <w:sz w:val="22"/>
      <w:lang w:val="es-ES"/>
    </w:rPr>
  </w:style>
  <w:style w:type="character" w:customStyle="1" w:styleId="IPPNormalbold">
    <w:name w:val="IPP Normal bold"/>
    <w:rsid w:val="007E0A7A"/>
    <w:rPr>
      <w:rFonts w:ascii="Times New Roman" w:eastAsia="Times" w:hAnsi="Times New Roman"/>
      <w:b/>
      <w:sz w:val="22"/>
      <w:szCs w:val="21"/>
      <w:lang w:val="es-ES" w:eastAsia="en-US"/>
    </w:rPr>
  </w:style>
  <w:style w:type="paragraph" w:customStyle="1" w:styleId="IPPHeadSection">
    <w:name w:val="IPP HeadSection"/>
    <w:basedOn w:val="Normal"/>
    <w:next w:val="Normal"/>
    <w:qFormat/>
    <w:rsid w:val="007E0A7A"/>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7E0A7A"/>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7E0A7A"/>
    <w:pPr>
      <w:keepNext/>
      <w:ind w:left="567" w:hanging="567"/>
      <w:jc w:val="left"/>
    </w:pPr>
    <w:rPr>
      <w:b/>
      <w:bCs/>
      <w:iCs/>
      <w:szCs w:val="22"/>
    </w:rPr>
  </w:style>
  <w:style w:type="character" w:customStyle="1" w:styleId="IPPNormalunderlined">
    <w:name w:val="IPP Normal underlined"/>
    <w:rsid w:val="007E0A7A"/>
    <w:rPr>
      <w:rFonts w:ascii="Times New Roman" w:hAnsi="Times New Roman"/>
      <w:sz w:val="22"/>
      <w:u w:val="single"/>
      <w:lang w:val="es-ES"/>
    </w:rPr>
  </w:style>
  <w:style w:type="paragraph" w:customStyle="1" w:styleId="IPPBullet1">
    <w:name w:val="IPP Bullet1"/>
    <w:basedOn w:val="IPPBullet1Last"/>
    <w:qFormat/>
    <w:rsid w:val="007E0A7A"/>
    <w:pPr>
      <w:numPr>
        <w:numId w:val="24"/>
      </w:numPr>
      <w:spacing w:after="60"/>
      <w:ind w:left="567" w:hanging="567"/>
    </w:pPr>
  </w:style>
  <w:style w:type="paragraph" w:customStyle="1" w:styleId="IPPBullet1Last">
    <w:name w:val="IPP Bullet1Last"/>
    <w:basedOn w:val="IPPNormal"/>
    <w:next w:val="IPPNormal"/>
    <w:autoRedefine/>
    <w:qFormat/>
    <w:rsid w:val="007E0A7A"/>
    <w:pPr>
      <w:numPr>
        <w:numId w:val="13"/>
      </w:numPr>
    </w:pPr>
  </w:style>
  <w:style w:type="character" w:customStyle="1" w:styleId="IPPNormalstrikethrough">
    <w:name w:val="IPP Normal strikethrough"/>
    <w:rsid w:val="007E0A7A"/>
    <w:rPr>
      <w:rFonts w:ascii="Times New Roman" w:hAnsi="Times New Roman"/>
      <w:strike/>
      <w:dstrike w:val="0"/>
      <w:sz w:val="22"/>
    </w:rPr>
  </w:style>
  <w:style w:type="paragraph" w:customStyle="1" w:styleId="IPPTitle16pt">
    <w:name w:val="IPP Title16pt"/>
    <w:basedOn w:val="Normal"/>
    <w:qFormat/>
    <w:rsid w:val="007E0A7A"/>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7E0A7A"/>
    <w:pPr>
      <w:spacing w:after="360"/>
      <w:jc w:val="center"/>
    </w:pPr>
    <w:rPr>
      <w:rFonts w:ascii="Arial" w:hAnsi="Arial" w:cs="Arial"/>
      <w:b/>
      <w:bCs/>
      <w:sz w:val="36"/>
      <w:szCs w:val="36"/>
    </w:rPr>
  </w:style>
  <w:style w:type="paragraph" w:customStyle="1" w:styleId="IPPHeader">
    <w:name w:val="IPP Header"/>
    <w:basedOn w:val="Normal"/>
    <w:qFormat/>
    <w:rsid w:val="007E0A7A"/>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rsid w:val="007E0A7A"/>
    <w:pPr>
      <w:keepNext/>
      <w:tabs>
        <w:tab w:val="left" w:pos="567"/>
      </w:tabs>
      <w:spacing w:before="120"/>
      <w:jc w:val="left"/>
      <w:outlineLvl w:val="1"/>
    </w:pPr>
    <w:rPr>
      <w:b/>
      <w:sz w:val="24"/>
    </w:rPr>
  </w:style>
  <w:style w:type="numbering" w:customStyle="1" w:styleId="IPPParagraphnumberedlist">
    <w:name w:val="IPP Paragraph numbered list"/>
    <w:rsid w:val="007E0A7A"/>
    <w:pPr>
      <w:numPr>
        <w:numId w:val="37"/>
      </w:numPr>
    </w:pPr>
  </w:style>
  <w:style w:type="paragraph" w:customStyle="1" w:styleId="IPPNormalCloseSpace">
    <w:name w:val="IPP NormalCloseSpace"/>
    <w:basedOn w:val="Normal"/>
    <w:qFormat/>
    <w:rsid w:val="007E0A7A"/>
    <w:pPr>
      <w:keepNext/>
      <w:spacing w:after="60"/>
    </w:pPr>
  </w:style>
  <w:style w:type="paragraph" w:customStyle="1" w:styleId="IPPHeading2">
    <w:name w:val="IPP Heading2"/>
    <w:basedOn w:val="IPPNormal"/>
    <w:next w:val="IPPNormal"/>
    <w:qFormat/>
    <w:rsid w:val="007E0A7A"/>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7E0A7A"/>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rsid w:val="007E0A7A"/>
    <w:pPr>
      <w:spacing w:after="60"/>
      <w:ind w:left="567" w:hanging="567"/>
    </w:pPr>
  </w:style>
  <w:style w:type="paragraph" w:customStyle="1" w:styleId="IPPArial">
    <w:name w:val="IPP Arial"/>
    <w:basedOn w:val="IPPNormal"/>
    <w:qFormat/>
    <w:rsid w:val="007E0A7A"/>
    <w:pPr>
      <w:spacing w:after="0"/>
    </w:pPr>
    <w:rPr>
      <w:rFonts w:ascii="Arial" w:hAnsi="Arial"/>
      <w:sz w:val="18"/>
    </w:rPr>
  </w:style>
  <w:style w:type="paragraph" w:customStyle="1" w:styleId="IPPArialTable">
    <w:name w:val="IPP Arial Table"/>
    <w:basedOn w:val="IPPArial"/>
    <w:qFormat/>
    <w:rsid w:val="007E0A7A"/>
    <w:pPr>
      <w:spacing w:before="60" w:after="60"/>
      <w:jc w:val="left"/>
    </w:pPr>
  </w:style>
  <w:style w:type="paragraph" w:customStyle="1" w:styleId="IPPHeaderlandscape">
    <w:name w:val="IPP Header landscape"/>
    <w:basedOn w:val="IPPHeader"/>
    <w:qFormat/>
    <w:rsid w:val="007E0A7A"/>
    <w:pPr>
      <w:pBdr>
        <w:bottom w:val="single" w:sz="4" w:space="1" w:color="auto"/>
      </w:pBdr>
      <w:tabs>
        <w:tab w:val="clear" w:pos="9072"/>
        <w:tab w:val="right" w:pos="14034"/>
      </w:tabs>
      <w:spacing w:after="0"/>
      <w:ind w:right="-32"/>
    </w:pPr>
    <w:rPr>
      <w:noProof/>
    </w:rPr>
  </w:style>
  <w:style w:type="character" w:styleId="PageNumber">
    <w:name w:val="page number"/>
    <w:rsid w:val="007E0A7A"/>
    <w:rPr>
      <w:rFonts w:ascii="Arial" w:hAnsi="Arial"/>
      <w:b/>
      <w:sz w:val="18"/>
    </w:rPr>
  </w:style>
  <w:style w:type="character" w:customStyle="1" w:styleId="Heading2Char">
    <w:name w:val="Heading 2 Char"/>
    <w:link w:val="Heading2"/>
    <w:rsid w:val="007E0A7A"/>
    <w:rPr>
      <w:rFonts w:ascii="Calibri" w:eastAsia="MS Mincho" w:hAnsi="Calibri"/>
      <w:b/>
      <w:bCs/>
      <w:i/>
      <w:iCs/>
      <w:sz w:val="28"/>
      <w:szCs w:val="28"/>
      <w:lang w:val="es-ES"/>
    </w:rPr>
  </w:style>
  <w:style w:type="character" w:customStyle="1" w:styleId="Heading3Char">
    <w:name w:val="Heading 3 Char"/>
    <w:link w:val="Heading3"/>
    <w:rsid w:val="007E0A7A"/>
    <w:rPr>
      <w:rFonts w:ascii="Calibri" w:eastAsia="MS Mincho" w:hAnsi="Calibri"/>
      <w:b/>
      <w:bCs/>
      <w:sz w:val="26"/>
      <w:szCs w:val="26"/>
      <w:lang w:val="es-ES"/>
    </w:rPr>
  </w:style>
  <w:style w:type="paragraph" w:styleId="FootnoteText">
    <w:name w:val="footnote text"/>
    <w:basedOn w:val="Normal"/>
    <w:link w:val="FootnoteTextChar"/>
    <w:semiHidden/>
    <w:rsid w:val="007E0A7A"/>
    <w:pPr>
      <w:spacing w:before="60"/>
    </w:pPr>
    <w:rPr>
      <w:sz w:val="20"/>
    </w:rPr>
  </w:style>
  <w:style w:type="character" w:customStyle="1" w:styleId="FootnoteTextChar">
    <w:name w:val="Footnote Text Char"/>
    <w:link w:val="FootnoteText"/>
    <w:semiHidden/>
    <w:rsid w:val="007E0A7A"/>
    <w:rPr>
      <w:rFonts w:eastAsia="MS Mincho"/>
      <w:szCs w:val="24"/>
      <w:lang w:val="es-ES"/>
    </w:rPr>
  </w:style>
  <w:style w:type="character" w:styleId="FootnoteReference">
    <w:name w:val="footnote reference"/>
    <w:semiHidden/>
    <w:rsid w:val="007E0A7A"/>
    <w:rPr>
      <w:vertAlign w:val="superscript"/>
    </w:rPr>
  </w:style>
  <w:style w:type="paragraph" w:customStyle="1" w:styleId="Style">
    <w:name w:val="Style"/>
    <w:basedOn w:val="Footer"/>
    <w:autoRedefine/>
    <w:qFormat/>
    <w:rsid w:val="007E0A7A"/>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sid w:val="007E0A7A"/>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E0A7A"/>
    <w:rPr>
      <w:rFonts w:ascii="Tahoma" w:hAnsi="Tahoma" w:cs="Tahoma"/>
      <w:sz w:val="16"/>
      <w:szCs w:val="16"/>
    </w:rPr>
  </w:style>
  <w:style w:type="character" w:customStyle="1" w:styleId="BalloonTextChar">
    <w:name w:val="Balloon Text Char"/>
    <w:link w:val="BalloonText"/>
    <w:rsid w:val="007E0A7A"/>
    <w:rPr>
      <w:rFonts w:ascii="Tahoma" w:eastAsia="MS Mincho" w:hAnsi="Tahoma" w:cs="Tahoma"/>
      <w:sz w:val="16"/>
      <w:szCs w:val="16"/>
      <w:lang w:val="es-ES"/>
    </w:rPr>
  </w:style>
  <w:style w:type="paragraph" w:customStyle="1" w:styleId="IPPLetterList">
    <w:name w:val="IPP LetterList"/>
    <w:basedOn w:val="IPPBullet2"/>
    <w:qFormat/>
    <w:rsid w:val="007E0A7A"/>
    <w:pPr>
      <w:numPr>
        <w:numId w:val="1"/>
      </w:numPr>
      <w:jc w:val="left"/>
    </w:pPr>
  </w:style>
  <w:style w:type="paragraph" w:customStyle="1" w:styleId="IPPLetterListIndent">
    <w:name w:val="IPP LetterList Indent"/>
    <w:basedOn w:val="IPPLetterList"/>
    <w:qFormat/>
    <w:rsid w:val="007E0A7A"/>
    <w:pPr>
      <w:numPr>
        <w:numId w:val="2"/>
      </w:numPr>
    </w:pPr>
  </w:style>
  <w:style w:type="paragraph" w:customStyle="1" w:styleId="IPPFooterLandscape">
    <w:name w:val="IPP Footer Landscape"/>
    <w:basedOn w:val="IPPHeaderlandscape"/>
    <w:qFormat/>
    <w:rsid w:val="007E0A7A"/>
    <w:pPr>
      <w:pBdr>
        <w:top w:val="single" w:sz="4" w:space="1" w:color="auto"/>
        <w:bottom w:val="none" w:sz="0" w:space="0" w:color="auto"/>
      </w:pBdr>
      <w:jc w:val="right"/>
    </w:pPr>
    <w:rPr>
      <w:b/>
    </w:rPr>
  </w:style>
  <w:style w:type="paragraph" w:customStyle="1" w:styleId="IPPSubheadSpace">
    <w:name w:val="IPP Subhead Space"/>
    <w:basedOn w:val="IPPSubhead"/>
    <w:qFormat/>
    <w:rsid w:val="007E0A7A"/>
    <w:pPr>
      <w:tabs>
        <w:tab w:val="left" w:pos="567"/>
      </w:tabs>
      <w:spacing w:before="60" w:after="60"/>
    </w:pPr>
  </w:style>
  <w:style w:type="paragraph" w:customStyle="1" w:styleId="IPPSubheadSpaceAfter">
    <w:name w:val="IPP Subhead SpaceAfter"/>
    <w:basedOn w:val="IPPSubhead"/>
    <w:qFormat/>
    <w:rsid w:val="007E0A7A"/>
    <w:pPr>
      <w:spacing w:after="60"/>
    </w:pPr>
  </w:style>
  <w:style w:type="paragraph" w:customStyle="1" w:styleId="IPPHdg1Num">
    <w:name w:val="IPP Hdg1Num"/>
    <w:basedOn w:val="IPPHeading1"/>
    <w:next w:val="IPPNormal"/>
    <w:qFormat/>
    <w:rsid w:val="007E0A7A"/>
    <w:pPr>
      <w:numPr>
        <w:numId w:val="14"/>
      </w:numPr>
    </w:pPr>
  </w:style>
  <w:style w:type="paragraph" w:customStyle="1" w:styleId="IPPHdg2Num">
    <w:name w:val="IPP Hdg2Num"/>
    <w:basedOn w:val="IPPHeading2"/>
    <w:next w:val="IPPNormal"/>
    <w:qFormat/>
    <w:rsid w:val="007E0A7A"/>
    <w:pPr>
      <w:numPr>
        <w:ilvl w:val="1"/>
        <w:numId w:val="15"/>
      </w:numPr>
    </w:pPr>
  </w:style>
  <w:style w:type="paragraph" w:customStyle="1" w:styleId="IPPNumberedList">
    <w:name w:val="IPP NumberedList"/>
    <w:basedOn w:val="IPPBullet1"/>
    <w:qFormat/>
    <w:rsid w:val="007E0A7A"/>
    <w:pPr>
      <w:numPr>
        <w:numId w:val="9"/>
      </w:numPr>
    </w:pPr>
  </w:style>
  <w:style w:type="paragraph" w:customStyle="1" w:styleId="IPPParagraphnumbering">
    <w:name w:val="IPP Paragraph numbering"/>
    <w:basedOn w:val="IPPNormal"/>
    <w:qFormat/>
    <w:rsid w:val="007E0A7A"/>
    <w:pPr>
      <w:numPr>
        <w:numId w:val="38"/>
      </w:numPr>
    </w:pPr>
  </w:style>
  <w:style w:type="paragraph" w:styleId="TOC1">
    <w:name w:val="toc 1"/>
    <w:basedOn w:val="IPPNormalCloseSpace"/>
    <w:next w:val="Normal"/>
    <w:autoRedefine/>
    <w:uiPriority w:val="39"/>
    <w:rsid w:val="007E0A7A"/>
    <w:pPr>
      <w:tabs>
        <w:tab w:val="right" w:leader="dot" w:pos="9072"/>
      </w:tabs>
      <w:spacing w:before="240"/>
      <w:ind w:left="567" w:hanging="567"/>
    </w:pPr>
  </w:style>
  <w:style w:type="paragraph" w:styleId="TOC2">
    <w:name w:val="toc 2"/>
    <w:basedOn w:val="TOC1"/>
    <w:next w:val="Normal"/>
    <w:autoRedefine/>
    <w:uiPriority w:val="39"/>
    <w:rsid w:val="007E0A7A"/>
    <w:pPr>
      <w:keepNext w:val="0"/>
      <w:tabs>
        <w:tab w:val="left" w:pos="425"/>
      </w:tabs>
      <w:spacing w:before="120" w:after="0"/>
      <w:ind w:left="425" w:right="284" w:hanging="425"/>
    </w:pPr>
  </w:style>
  <w:style w:type="paragraph" w:styleId="TOC3">
    <w:name w:val="toc 3"/>
    <w:basedOn w:val="TOC2"/>
    <w:next w:val="Normal"/>
    <w:autoRedefine/>
    <w:uiPriority w:val="39"/>
    <w:rsid w:val="007E0A7A"/>
    <w:pPr>
      <w:tabs>
        <w:tab w:val="left" w:pos="1276"/>
      </w:tabs>
      <w:spacing w:before="60"/>
      <w:ind w:left="1276" w:hanging="851"/>
    </w:pPr>
    <w:rPr>
      <w:rFonts w:eastAsia="Times"/>
    </w:rPr>
  </w:style>
  <w:style w:type="paragraph" w:styleId="TOC4">
    <w:name w:val="toc 4"/>
    <w:basedOn w:val="Normal"/>
    <w:next w:val="Normal"/>
    <w:autoRedefine/>
    <w:uiPriority w:val="39"/>
    <w:rsid w:val="007E0A7A"/>
    <w:pPr>
      <w:spacing w:after="120"/>
      <w:ind w:left="660"/>
    </w:pPr>
    <w:rPr>
      <w:rFonts w:eastAsia="Times"/>
    </w:rPr>
  </w:style>
  <w:style w:type="paragraph" w:styleId="TOC5">
    <w:name w:val="toc 5"/>
    <w:basedOn w:val="Normal"/>
    <w:next w:val="Normal"/>
    <w:autoRedefine/>
    <w:uiPriority w:val="39"/>
    <w:rsid w:val="007E0A7A"/>
    <w:pPr>
      <w:spacing w:after="120"/>
      <w:ind w:left="880"/>
    </w:pPr>
    <w:rPr>
      <w:rFonts w:eastAsia="Times"/>
    </w:rPr>
  </w:style>
  <w:style w:type="paragraph" w:styleId="TOC6">
    <w:name w:val="toc 6"/>
    <w:basedOn w:val="Normal"/>
    <w:next w:val="Normal"/>
    <w:autoRedefine/>
    <w:uiPriority w:val="39"/>
    <w:rsid w:val="007E0A7A"/>
    <w:pPr>
      <w:spacing w:after="120"/>
      <w:ind w:left="1100"/>
    </w:pPr>
    <w:rPr>
      <w:rFonts w:eastAsia="Times"/>
    </w:rPr>
  </w:style>
  <w:style w:type="paragraph" w:styleId="TOC7">
    <w:name w:val="toc 7"/>
    <w:basedOn w:val="Normal"/>
    <w:next w:val="Normal"/>
    <w:autoRedefine/>
    <w:uiPriority w:val="39"/>
    <w:rsid w:val="007E0A7A"/>
    <w:pPr>
      <w:spacing w:after="120"/>
      <w:ind w:left="1320"/>
    </w:pPr>
    <w:rPr>
      <w:rFonts w:eastAsia="Times"/>
    </w:rPr>
  </w:style>
  <w:style w:type="paragraph" w:styleId="TOC8">
    <w:name w:val="toc 8"/>
    <w:basedOn w:val="Normal"/>
    <w:next w:val="Normal"/>
    <w:autoRedefine/>
    <w:uiPriority w:val="39"/>
    <w:rsid w:val="007E0A7A"/>
    <w:pPr>
      <w:spacing w:after="120"/>
      <w:ind w:left="1540"/>
    </w:pPr>
    <w:rPr>
      <w:rFonts w:eastAsia="Times"/>
    </w:rPr>
  </w:style>
  <w:style w:type="paragraph" w:styleId="TOC9">
    <w:name w:val="toc 9"/>
    <w:basedOn w:val="Normal"/>
    <w:next w:val="Normal"/>
    <w:autoRedefine/>
    <w:uiPriority w:val="39"/>
    <w:rsid w:val="007E0A7A"/>
    <w:pPr>
      <w:spacing w:after="120"/>
      <w:ind w:left="1760"/>
    </w:pPr>
    <w:rPr>
      <w:rFonts w:eastAsia="Times"/>
    </w:rPr>
  </w:style>
  <w:style w:type="paragraph" w:customStyle="1" w:styleId="IPPParagraphnumberingclose">
    <w:name w:val="IPP Paragraph numbering close"/>
    <w:basedOn w:val="IPPParagraphnumbering"/>
    <w:qFormat/>
    <w:rsid w:val="007E0A7A"/>
    <w:pPr>
      <w:keepNext/>
      <w:spacing w:after="60"/>
    </w:pPr>
  </w:style>
  <w:style w:type="paragraph" w:styleId="PlainText">
    <w:name w:val="Plain Text"/>
    <w:basedOn w:val="Normal"/>
    <w:link w:val="PlainTextChar"/>
    <w:uiPriority w:val="99"/>
    <w:unhideWhenUsed/>
    <w:rsid w:val="007E0A7A"/>
    <w:pPr>
      <w:jc w:val="left"/>
    </w:pPr>
    <w:rPr>
      <w:rFonts w:ascii="Courier" w:eastAsia="Times" w:hAnsi="Courier"/>
      <w:sz w:val="21"/>
      <w:szCs w:val="21"/>
    </w:rPr>
  </w:style>
  <w:style w:type="character" w:customStyle="1" w:styleId="PlainTextChar">
    <w:name w:val="Plain Text Char"/>
    <w:link w:val="PlainText"/>
    <w:uiPriority w:val="99"/>
    <w:rsid w:val="007E0A7A"/>
    <w:rPr>
      <w:rFonts w:ascii="Courier" w:eastAsia="Times" w:hAnsi="Courier"/>
      <w:sz w:val="21"/>
      <w:szCs w:val="21"/>
      <w:lang w:val="es-ES"/>
    </w:rPr>
  </w:style>
  <w:style w:type="paragraph" w:customStyle="1" w:styleId="IPPNumberedListLast">
    <w:name w:val="IPP NumberedListLast"/>
    <w:basedOn w:val="IPPNumberedList"/>
    <w:qFormat/>
    <w:rsid w:val="007E0A7A"/>
    <w:pPr>
      <w:spacing w:after="180"/>
    </w:pPr>
  </w:style>
  <w:style w:type="character" w:styleId="Strong">
    <w:name w:val="Strong"/>
    <w:qFormat/>
    <w:rsid w:val="007E0A7A"/>
    <w:rPr>
      <w:b/>
      <w:bCs/>
    </w:rPr>
  </w:style>
  <w:style w:type="paragraph" w:styleId="ListParagraph">
    <w:name w:val="List Paragraph"/>
    <w:basedOn w:val="Normal"/>
    <w:uiPriority w:val="34"/>
    <w:qFormat/>
    <w:rsid w:val="007E0A7A"/>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rsid w:val="000922FC"/>
    <w:pPr>
      <w:tabs>
        <w:tab w:val="num" w:pos="0"/>
      </w:tabs>
      <w:ind w:hanging="482"/>
    </w:pPr>
  </w:style>
  <w:style w:type="character" w:styleId="CommentReference">
    <w:name w:val="annotation reference"/>
    <w:unhideWhenUsed/>
    <w:rsid w:val="000F11BA"/>
    <w:rPr>
      <w:sz w:val="16"/>
      <w:szCs w:val="16"/>
    </w:rPr>
  </w:style>
  <w:style w:type="paragraph" w:styleId="CommentText">
    <w:name w:val="annotation text"/>
    <w:basedOn w:val="Normal"/>
    <w:link w:val="CommentTextChar"/>
    <w:unhideWhenUsed/>
    <w:rsid w:val="000F11BA"/>
    <w:rPr>
      <w:sz w:val="20"/>
      <w:szCs w:val="20"/>
    </w:rPr>
  </w:style>
  <w:style w:type="character" w:customStyle="1" w:styleId="CommentTextChar">
    <w:name w:val="Comment Text Char"/>
    <w:link w:val="CommentText"/>
    <w:rsid w:val="000F11BA"/>
    <w:rPr>
      <w:rFonts w:eastAsia="MS Mincho"/>
      <w:lang w:eastAsia="en-US"/>
    </w:rPr>
  </w:style>
  <w:style w:type="paragraph" w:styleId="CommentSubject">
    <w:name w:val="annotation subject"/>
    <w:basedOn w:val="CommentText"/>
    <w:next w:val="CommentText"/>
    <w:link w:val="CommentSubjectChar"/>
    <w:uiPriority w:val="99"/>
    <w:semiHidden/>
    <w:unhideWhenUsed/>
    <w:rsid w:val="000F11BA"/>
    <w:rPr>
      <w:b/>
      <w:bCs/>
    </w:rPr>
  </w:style>
  <w:style w:type="character" w:customStyle="1" w:styleId="CommentSubjectChar">
    <w:name w:val="Comment Subject Char"/>
    <w:link w:val="CommentSubject"/>
    <w:uiPriority w:val="99"/>
    <w:semiHidden/>
    <w:rsid w:val="000F11BA"/>
    <w:rPr>
      <w:rFonts w:eastAsia="MS Mincho"/>
      <w:b/>
      <w:bCs/>
      <w:lang w:eastAsia="en-US"/>
    </w:rPr>
  </w:style>
  <w:style w:type="character" w:customStyle="1" w:styleId="IPPNormalChar">
    <w:name w:val="IPP Normal Char"/>
    <w:link w:val="IPPNormal"/>
    <w:rsid w:val="007F4820"/>
    <w:rPr>
      <w:rFonts w:eastAsia="Times"/>
      <w:sz w:val="22"/>
      <w:szCs w:val="24"/>
      <w:lang w:val="es-ES"/>
    </w:rPr>
  </w:style>
  <w:style w:type="paragraph" w:styleId="NormalWeb">
    <w:name w:val="Normal (Web)"/>
    <w:basedOn w:val="Normal"/>
    <w:uiPriority w:val="99"/>
    <w:unhideWhenUsed/>
    <w:rsid w:val="00B0330E"/>
    <w:pPr>
      <w:spacing w:before="100" w:beforeAutospacing="1" w:after="100" w:afterAutospacing="1"/>
      <w:jc w:val="left"/>
    </w:pPr>
    <w:rPr>
      <w:rFonts w:eastAsia="Times New Roman"/>
      <w:sz w:val="24"/>
    </w:rPr>
  </w:style>
  <w:style w:type="paragraph" w:styleId="Revision">
    <w:name w:val="Revision"/>
    <w:hidden/>
    <w:uiPriority w:val="99"/>
    <w:semiHidden/>
    <w:rsid w:val="002B6546"/>
    <w:rPr>
      <w:rFonts w:eastAsia="MS Mincho"/>
      <w:sz w:val="22"/>
      <w:szCs w:val="24"/>
    </w:rPr>
  </w:style>
  <w:style w:type="character" w:styleId="Hyperlink">
    <w:name w:val="Hyperlink"/>
    <w:uiPriority w:val="99"/>
    <w:unhideWhenUsed/>
    <w:qFormat/>
    <w:rsid w:val="00550DDA"/>
    <w:rPr>
      <w:color w:val="0563C1"/>
      <w:u w:val="none"/>
    </w:rPr>
  </w:style>
  <w:style w:type="character" w:styleId="FollowedHyperlink">
    <w:name w:val="FollowedHyperlink"/>
    <w:basedOn w:val="DefaultParagraphFont"/>
    <w:uiPriority w:val="99"/>
    <w:semiHidden/>
    <w:unhideWhenUsed/>
    <w:rsid w:val="004F0C14"/>
    <w:rPr>
      <w:color w:val="954F72"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s/core-activities/standards-setting/ispms/"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2086-1970-4473-BB56-96944652987E}">
  <ds:schemaRefs>
    <ds:schemaRef ds:uri="http://schemas.microsoft.com/office/2006/metadata/properties"/>
    <ds:schemaRef ds:uri="http://schemas.microsoft.com/office/infopath/2007/PartnerControls"/>
    <ds:schemaRef ds:uri="3c9ac98d-36e3-464e-9a3d-571690e2b8cf"/>
  </ds:schemaRefs>
</ds:datastoreItem>
</file>

<file path=customXml/itemProps2.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3.xml><?xml version="1.0" encoding="utf-8"?>
<ds:datastoreItem xmlns:ds="http://schemas.openxmlformats.org/officeDocument/2006/customXml" ds:itemID="{6F8BEF9F-8A7D-416E-8C01-53B5F01699D5}"/>
</file>

<file path=customXml/itemProps4.xml><?xml version="1.0" encoding="utf-8"?>
<ds:datastoreItem xmlns:ds="http://schemas.openxmlformats.org/officeDocument/2006/customXml" ds:itemID="{C422B584-98AF-4612-BEE9-A652069B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75</TotalTime>
  <Pages>1</Pages>
  <Words>1705</Words>
  <Characters>9719</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11402</CharactersWithSpaces>
  <SharedDoc>false</SharedDoc>
  <HLinks>
    <vt:vector size="6" baseType="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DelGreco, Aixa (NSPD)</cp:lastModifiedBy>
  <cp:revision>25</cp:revision>
  <cp:lastPrinted>2023-04-19T15:04:00Z</cp:lastPrinted>
  <dcterms:created xsi:type="dcterms:W3CDTF">2023-04-19T13:42:00Z</dcterms:created>
  <dcterms:modified xsi:type="dcterms:W3CDTF">2023-04-21T16:45:00Z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ies>
</file>