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tara="kcentrix:tara"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2024 consultation: Draft specification on revision of the draft reorganized pest risk analysis ISPM (2023-037). Document title: 2023-037_Draft_Spec_Rev_Reorg_PRA_es.docx]</w:t>
      </w:r>
    </w:p>
    <w:p w14:paraId="2327F813" w14:textId="7BFAAECF">
      <w:pPr>
        <w:spacing w:before="120"/>
        <w:rPr>
          <w:b/>
          <w:bCs/>
        </w:rPr>
      </w:pPr>
      <w:r>
        <w:rPr>
          <w:rStyle w:val="PleaseReviewParagraphId"/>
          <w:b w:val="off"/>
          <w:i w:val="off"/>
        </w:rPr>
        <w:t>[1]</w:t>
      </w:r>
      <w:bookmarkStart w:name="_Hlk160177409" w:id="0"/>
      <w:r>
        <w:rPr>
          <w:b/>
        </w:rPr>
        <w:t>PROYECTO DE ESPECIFICACIÓN PARA LA NIMF: Revisión del proyecto de reorganización de la NIMF relacionada con el análisis del riesgo de plagas (2023-037)</w:t>
      </w:r>
    </w:p>
    <w:bookmarkEnd w:id="0"/>
    <w:p w14:paraId="4F64AAF9" w14:textId="77777777">
      <w:pPr>
        <w:pStyle w:val="IPPSubheadSpace"/>
      </w:pPr>
      <w:r>
        <w:rPr>
          <w:rStyle w:val="PleaseReviewParagraphId"/>
          <w:b w:val="off"/>
          <w:i w:val="off"/>
        </w:rPr>
        <w:t>[2]</w:t>
      </w:r>
      <w:r>
        <w:t>Estado de elaboración</w:t>
      </w:r>
    </w:p>
    <w:tbl>
      <w:tblPr>
        <w:tblpPr w:leftFromText="180" w:rightFromText="180" w:vertAnchor="text" w:horzAnchor="margin" w:tblpXSpec="center" w:tblpY="128"/>
        <w:tblW w:w="0" w:type="auto"/>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3"/>
        <w:gridCol w:w="6766"/>
      </w:tblGrid>
      <w:tr w14:paraId="6AC8A069" w14:textId="77777777">
        <w:trPr>
          <w:trHeight w:val="286"/>
        </w:trPr>
        <w:tc xmlns:tara="kcentrix:tara" tara:rowspan="1" tara:colspan="2">
          <w:tcPr>
            <w:tcW w:w="9039" w:type="dxa"/>
            <w:gridSpan w:val="2"/>
            <w:vAlign w:val="center"/>
          </w:tcPr>
          <w:p w14:paraId="63FFE387" w14:textId="77777777">
            <w:pPr>
              <w:pStyle w:val="IPPArialTable"/>
              <w:rPr>
                <w:rFonts w:cs="Arial"/>
                <w:szCs w:val="18"/>
              </w:rPr>
            </w:pPr>
            <w:r>
              <w:rPr>
                <w:rStyle w:val="PleaseReviewParagraphId"/>
                <w:b w:val="off"/>
                <w:i w:val="off"/>
              </w:rPr>
              <w:t>[3]</w:t>
            </w:r>
            <w:r>
              <w:rPr>
                <w:rFonts w:cs="Arial"/>
              </w:rPr>
              <w:t>Esta no es una parte oficial de la especificación; después de la aprobación será modificada por la Secretaría de la CIPF.</w:t>
            </w:r>
          </w:p>
        </w:tc>
      </w:tr>
      <w:tr w14:paraId="04545E93" w14:textId="77777777">
        <w:trPr>
          <w:trHeight w:val="286"/>
        </w:trPr>
        <w:tc xmlns:tara="kcentrix:tara" tara:rowspan="1" tara:colspan="1">
          <w:tcPr>
            <w:tcW w:w="2273" w:type="dxa"/>
            <w:vAlign w:val="center"/>
          </w:tcPr>
          <w:p w14:paraId="2DBECB57" w14:textId="77777777">
            <w:pPr>
              <w:pStyle w:val="IPPArialTable"/>
              <w:rPr>
                <w:rFonts w:cs="Arial"/>
                <w:b/>
                <w:bCs/>
                <w:szCs w:val="18"/>
              </w:rPr>
            </w:pPr>
            <w:r>
              <w:rPr>
                <w:rStyle w:val="PleaseReviewParagraphId"/>
                <w:b w:val="off"/>
                <w:i w:val="off"/>
              </w:rPr>
              <w:t>[4]</w:t>
            </w:r>
            <w:r>
              <w:rPr>
                <w:rFonts w:cs="Arial"/>
                <w:b/>
              </w:rPr>
              <w:t>Fecha de este documento</w:t>
            </w:r>
          </w:p>
        </w:tc>
        <w:tc xmlns:tara="kcentrix:tara" tara:rowspan="1" tara:colspan="1">
          <w:tcPr>
            <w:tcW w:w="6766" w:type="dxa"/>
            <w:vAlign w:val="center"/>
          </w:tcPr>
          <w:p w14:paraId="0B8B915D" w14:textId="77777777">
            <w:pPr>
              <w:pStyle w:val="IPPArialTable"/>
              <w:rPr>
                <w:rFonts w:cs="Arial"/>
                <w:szCs w:val="18"/>
              </w:rPr>
            </w:pPr>
            <w:r>
              <w:rPr>
                <w:rStyle w:val="PleaseReviewParagraphId"/>
                <w:b w:val="off"/>
                <w:i w:val="off"/>
              </w:rPr>
              <w:t>[5]</w:t>
            </w:r>
            <w:r>
              <w:rPr>
                <w:rFonts w:cs="Arial"/>
              </w:rPr>
              <w:t>2024-05-20</w:t>
            </w:r>
          </w:p>
        </w:tc>
      </w:tr>
      <w:tr w14:paraId="0BAFFBA4" w14:textId="77777777">
        <w:trPr>
          <w:trHeight w:val="286"/>
        </w:trPr>
        <w:tc xmlns:tara="kcentrix:tara" tara:rowspan="1" tara:colspan="1">
          <w:tcPr>
            <w:tcW w:w="2273" w:type="dxa"/>
            <w:vAlign w:val="center"/>
          </w:tcPr>
          <w:p w14:paraId="33BCF350" w14:textId="77777777">
            <w:pPr>
              <w:pStyle w:val="IPPArialTable"/>
              <w:rPr>
                <w:rFonts w:cs="Arial"/>
                <w:b/>
                <w:bCs/>
                <w:szCs w:val="18"/>
              </w:rPr>
            </w:pPr>
            <w:r>
              <w:rPr>
                <w:rStyle w:val="PleaseReviewParagraphId"/>
                <w:b w:val="off"/>
                <w:i w:val="off"/>
              </w:rPr>
              <w:t>[6]</w:t>
            </w:r>
            <w:r>
              <w:rPr>
                <w:rFonts w:cs="Arial"/>
                <w:b/>
              </w:rPr>
              <w:t>Categoría del documento</w:t>
            </w:r>
          </w:p>
        </w:tc>
        <w:tc xmlns:tara="kcentrix:tara" tara:rowspan="1" tara:colspan="1">
          <w:tcPr>
            <w:tcW w:w="6766" w:type="dxa"/>
            <w:vAlign w:val="center"/>
          </w:tcPr>
          <w:p w14:paraId="72CF0998" w14:textId="77777777">
            <w:pPr>
              <w:pStyle w:val="IPPNormal"/>
              <w:spacing w:before="60" w:after="60"/>
              <w:jc w:val="left"/>
              <w:rPr>
                <w:rFonts w:ascii="Arial" w:hAnsi="Arial" w:cs="Arial"/>
                <w:color w:val="0070C0"/>
                <w:sz w:val="18"/>
                <w:szCs w:val="18"/>
              </w:rPr>
            </w:pPr>
            <w:r>
              <w:rPr>
                <w:rStyle w:val="PleaseReviewParagraphId"/>
                <w:b w:val="off"/>
                <w:i w:val="off"/>
              </w:rPr>
              <w:t>[7]</w:t>
            </w:r>
            <w:r>
              <w:rPr>
                <w:rFonts w:ascii="Arial" w:hAnsi="Arial" w:cs="Arial"/>
                <w:sz w:val="18"/>
              </w:rPr>
              <w:t>Proyecto de especificación para una Norma Internacional para Medidas Fitosanitarias (NIMF)</w:t>
            </w:r>
          </w:p>
        </w:tc>
      </w:tr>
      <w:tr w14:paraId="72D61654" w14:textId="77777777">
        <w:trPr>
          <w:trHeight w:val="299"/>
        </w:trPr>
        <w:tc xmlns:tara="kcentrix:tara" tara:rowspan="1" tara:colspan="1">
          <w:tcPr>
            <w:tcW w:w="2273" w:type="dxa"/>
            <w:vAlign w:val="center"/>
          </w:tcPr>
          <w:p w14:paraId="795579F2" w14:textId="77777777">
            <w:pPr>
              <w:pStyle w:val="IPPArialTable"/>
              <w:rPr>
                <w:rFonts w:cs="Arial"/>
                <w:b/>
                <w:bCs/>
                <w:szCs w:val="18"/>
              </w:rPr>
            </w:pPr>
            <w:r>
              <w:rPr>
                <w:rStyle w:val="PleaseReviewParagraphId"/>
                <w:b w:val="off"/>
                <w:i w:val="off"/>
              </w:rPr>
              <w:t>[8]</w:t>
            </w:r>
            <w:r>
              <w:rPr>
                <w:rFonts w:cs="Arial"/>
                <w:b/>
              </w:rPr>
              <w:t>Etapa actual del documento</w:t>
            </w:r>
          </w:p>
        </w:tc>
        <w:tc xmlns:tara="kcentrix:tara" tara:rowspan="1" tara:colspan="1">
          <w:tcPr>
            <w:tcW w:w="6766" w:type="dxa"/>
            <w:vAlign w:val="center"/>
          </w:tcPr>
          <w:p w14:paraId="5F344208" w14:textId="77777777">
            <w:pPr>
              <w:pStyle w:val="IPPNormal"/>
              <w:spacing w:after="60"/>
              <w:rPr>
                <w:rFonts w:ascii="Arial" w:hAnsi="Arial" w:cs="Arial"/>
                <w:sz w:val="18"/>
                <w:szCs w:val="18"/>
              </w:rPr>
            </w:pPr>
            <w:r>
              <w:rPr>
                <w:rStyle w:val="PleaseReviewParagraphId"/>
                <w:b w:val="off"/>
                <w:i w:val="off"/>
              </w:rPr>
              <w:t>[9]</w:t>
            </w:r>
            <w:r>
              <w:rPr>
                <w:rFonts w:ascii="Arial" w:hAnsi="Arial" w:cs="Arial"/>
                <w:i/>
                <w:iCs/>
                <w:sz w:val="18"/>
              </w:rPr>
              <w:t>Para</w:t>
            </w:r>
            <w:r>
              <w:rPr>
                <w:rFonts w:ascii="Arial" w:hAnsi="Arial" w:cs="Arial"/>
                <w:sz w:val="18"/>
              </w:rPr>
              <w:t xml:space="preserve"> primera consulta</w:t>
            </w:r>
          </w:p>
        </w:tc>
      </w:tr>
      <w:tr w14:paraId="0B908FA3" w14:textId="77777777">
        <w:trPr>
          <w:trHeight w:val="491"/>
        </w:trPr>
        <w:tc xmlns:tara="kcentrix:tara" tara:rowspan="1" tara:colspan="1">
          <w:tcPr>
            <w:tcW w:w="2273" w:type="dxa"/>
            <w:vAlign w:val="center"/>
          </w:tcPr>
          <w:p w14:paraId="1A238429" w14:textId="77777777">
            <w:pPr>
              <w:pStyle w:val="IPPArialTable"/>
              <w:rPr>
                <w:rFonts w:cs="Arial"/>
                <w:b/>
                <w:bCs/>
                <w:szCs w:val="18"/>
              </w:rPr>
            </w:pPr>
            <w:r>
              <w:rPr>
                <w:rStyle w:val="PleaseReviewParagraphId"/>
                <w:b w:val="off"/>
                <w:i w:val="off"/>
              </w:rPr>
              <w:t>[10]</w:t>
            </w:r>
            <w:r>
              <w:rPr>
                <w:rFonts w:cs="Arial"/>
                <w:b/>
              </w:rPr>
              <w:t>Etapas principales</w:t>
            </w:r>
          </w:p>
        </w:tc>
        <w:tc xmlns:tara="kcentrix:tara" tara:rowspan="1" tara:colspan="1">
          <w:tcPr>
            <w:tcW w:w="6766" w:type="dxa"/>
            <w:vAlign w:val="center"/>
          </w:tcPr>
          <w:p w14:paraId="5F91E53F" w14:textId="77777777">
            <w:pPr>
              <w:pStyle w:val="IPPNormal"/>
              <w:spacing w:after="0"/>
              <w:rPr>
                <w:rFonts w:ascii="Arial" w:hAnsi="Arial" w:cs="Arial"/>
                <w:sz w:val="18"/>
              </w:rPr>
            </w:pPr>
            <w:r>
              <w:rPr>
                <w:rStyle w:val="PleaseReviewParagraphId"/>
                <w:b w:val="off"/>
                <w:i w:val="off"/>
              </w:rPr>
              <w:t>[11]</w:t>
            </w:r>
            <w:bookmarkStart w:name="_Hlk160177414" w:id="2"/>
            <w:r>
              <w:rPr>
                <w:rFonts w:ascii="Arial" w:hAnsi="Arial" w:cs="Arial"/>
                <w:sz w:val="18"/>
              </w:rPr>
              <w:t>2023-11: El Comité de Normas (CN) recomendó a la Comisión de Medidas Fitosanitarias (CMF), en su 18.ª reunión, que añadiera el tema “Revisión general del proyecto de especificación sobre la reorganización de las normas relacionadas con el riesgo de plagas”</w:t>
            </w:r>
            <w:r>
              <w:rPr>
                <w:rStyle w:val="ui-provider"/>
                <w:rFonts w:ascii="Arial" w:hAnsi="Arial" w:cs="Arial"/>
                <w:sz w:val="18"/>
              </w:rPr>
              <w:t xml:space="preserve"> </w:t>
            </w:r>
            <w:r>
              <w:rPr>
                <w:rFonts w:ascii="Arial" w:hAnsi="Arial" w:cs="Arial"/>
                <w:sz w:val="18"/>
              </w:rPr>
              <w:t>(</w:t>
            </w:r>
            <w:r>
              <w:rPr>
                <w:rStyle w:val="ui-provider"/>
                <w:rFonts w:ascii="Arial" w:hAnsi="Arial" w:cs="Arial"/>
                <w:sz w:val="18"/>
              </w:rPr>
              <w:t>2023-037</w:t>
            </w:r>
            <w:r>
              <w:rPr>
                <w:rFonts w:ascii="Arial" w:hAnsi="Arial" w:cs="Arial"/>
                <w:sz w:val="18"/>
              </w:rPr>
              <w:t xml:space="preserve">) a la </w:t>
            </w:r>
            <w:r>
              <w:rPr>
                <w:rFonts w:ascii="Arial" w:hAnsi="Arial" w:cs="Arial"/>
                <w:i/>
                <w:iCs/>
                <w:sz w:val="18"/>
              </w:rPr>
              <w:t>Lista de temas de normas de la CIPF</w:t>
            </w:r>
            <w:r>
              <w:rPr>
                <w:rFonts w:ascii="Arial" w:hAnsi="Arial" w:cs="Arial"/>
                <w:sz w:val="18"/>
              </w:rPr>
              <w:t>.</w:t>
            </w:r>
          </w:p>
          <w:bookmarkEnd w:id="2"/>
          <w:p w14:paraId="7B147F3E" w14:textId="77777777">
            <w:pPr>
              <w:pStyle w:val="IPPNormal"/>
              <w:spacing w:after="0"/>
              <w:rPr>
                <w:rFonts w:ascii="Arial" w:hAnsi="Arial" w:cs="Arial"/>
                <w:sz w:val="18"/>
                <w:szCs w:val="18"/>
              </w:rPr>
            </w:pPr>
            <w:r>
              <w:rPr>
                <w:rStyle w:val="PleaseReviewParagraphId"/>
                <w:b w:val="off"/>
                <w:i w:val="off"/>
              </w:rPr>
              <w:t>[12]</w:t>
            </w:r>
            <w:r>
              <w:rPr>
                <w:rFonts w:ascii="Arial" w:hAnsi="Arial" w:cs="Arial"/>
                <w:sz w:val="18"/>
              </w:rPr>
              <w:t>2023-11: El CN formó un pequeño grupo de trabajo para que elaborara el proyecto de especificación.</w:t>
            </w:r>
          </w:p>
          <w:p w14:paraId="5C627A2A" w14:textId="31B92F9A">
            <w:pPr>
              <w:pStyle w:val="IPPNormal"/>
              <w:spacing w:after="0"/>
              <w:rPr>
                <w:rFonts w:ascii="Arial" w:hAnsi="Arial" w:cs="Arial"/>
                <w:sz w:val="18"/>
              </w:rPr>
            </w:pPr>
            <w:r>
              <w:rPr>
                <w:rStyle w:val="PleaseReviewParagraphId"/>
                <w:b w:val="off"/>
                <w:i w:val="off"/>
              </w:rPr>
              <w:t>[13]</w:t>
            </w:r>
            <w:r>
              <w:rPr>
                <w:rFonts w:ascii="Arial" w:hAnsi="Arial" w:cs="Arial"/>
                <w:sz w:val="18"/>
              </w:rPr>
              <w:t xml:space="preserve">2024-04: En su 18.ª reunión, la CMF añadió el tema a la </w:t>
            </w:r>
            <w:r>
              <w:rPr>
                <w:rFonts w:ascii="Arial" w:hAnsi="Arial" w:cs="Arial"/>
                <w:i/>
                <w:sz w:val="18"/>
              </w:rPr>
              <w:t>Lista de temas de las normas de la CIPF</w:t>
            </w:r>
            <w:r>
              <w:rPr>
                <w:rFonts w:ascii="Arial" w:hAnsi="Arial" w:cs="Arial"/>
                <w:sz w:val="18"/>
              </w:rPr>
              <w:t>.</w:t>
            </w:r>
          </w:p>
          <w:p w14:paraId="48F574D9" w14:textId="77777777">
            <w:pPr>
              <w:pStyle w:val="IPPNormal"/>
              <w:spacing w:after="0"/>
              <w:rPr>
                <w:rFonts w:ascii="Arial" w:hAnsi="Arial" w:cs="Arial"/>
                <w:sz w:val="18"/>
                <w:szCs w:val="18"/>
              </w:rPr>
            </w:pPr>
            <w:r>
              <w:rPr>
                <w:rStyle w:val="PleaseReviewParagraphId"/>
                <w:b w:val="off"/>
                <w:i w:val="off"/>
              </w:rPr>
              <w:t>[14]</w:t>
            </w:r>
            <w:r>
              <w:rPr>
                <w:rFonts w:ascii="Arial" w:hAnsi="Arial" w:cs="Arial"/>
                <w:sz w:val="18"/>
              </w:rPr>
              <w:t>2024-05: El CN revisó el proyecto de especificación y lo aprobó para la primera consulta.</w:t>
            </w:r>
          </w:p>
        </w:tc>
      </w:tr>
      <w:tr w14:paraId="7C13BC07" w14:textId="77777777">
        <w:trPr>
          <w:trHeight w:val="491"/>
        </w:trPr>
        <w:tc xmlns:tara="kcentrix:tara" tara:rowspan="1" tara:colspan="1">
          <w:tcPr>
            <w:tcW w:w="2273" w:type="dxa"/>
            <w:vAlign w:val="center"/>
          </w:tcPr>
          <w:p w14:paraId="43E31BC8" w14:textId="77777777">
            <w:pPr>
              <w:pStyle w:val="IPPArialTable"/>
              <w:rPr>
                <w:rFonts w:cs="Arial"/>
                <w:b/>
                <w:bCs/>
                <w:szCs w:val="18"/>
              </w:rPr>
            </w:pPr>
            <w:r>
              <w:rPr>
                <w:rStyle w:val="PleaseReviewParagraphId"/>
                <w:b w:val="off"/>
                <w:i w:val="off"/>
              </w:rPr>
              <w:t>[15]</w:t>
            </w:r>
            <w:r>
              <w:rPr>
                <w:rFonts w:cs="Arial"/>
                <w:b/>
              </w:rPr>
              <w:t>Cronología de los administradores</w:t>
            </w:r>
          </w:p>
        </w:tc>
        <w:tc xmlns:tara="kcentrix:tara" tara:rowspan="1" tara:colspan="1">
          <w:tcPr>
            <w:tcW w:w="6766" w:type="dxa"/>
            <w:vAlign w:val="center"/>
          </w:tcPr>
          <w:p w14:paraId="7AADB101" w14:textId="77777777">
            <w:pPr>
              <w:pStyle w:val="IPPArialTable"/>
              <w:spacing w:before="0" w:after="0"/>
              <w:rPr>
                <w:rFonts w:cs="Arial"/>
                <w:szCs w:val="18"/>
              </w:rPr>
            </w:pPr>
            <w:r>
              <w:rPr>
                <w:rStyle w:val="PleaseReviewParagraphId"/>
                <w:b w:val="off"/>
                <w:i w:val="off"/>
              </w:rPr>
              <w:t>[16]</w:t>
            </w:r>
            <w:r>
              <w:rPr>
                <w:rFonts w:cs="Arial"/>
              </w:rPr>
              <w:t>2024-05 CN: Sr. Masahiro SAI (JP, administrador principal)</w:t>
            </w:r>
          </w:p>
          <w:p w14:paraId="746C5C09" w14:textId="77777777">
            <w:pPr>
              <w:pStyle w:val="IPPArialTable"/>
              <w:spacing w:before="0"/>
              <w:rPr>
                <w:rFonts w:cs="Arial"/>
                <w:color w:val="0070C0"/>
                <w:szCs w:val="18"/>
              </w:rPr>
            </w:pPr>
            <w:r>
              <w:rPr>
                <w:rStyle w:val="PleaseReviewParagraphId"/>
                <w:b w:val="off"/>
                <w:i w:val="off"/>
              </w:rPr>
              <w:t>[17]</w:t>
            </w:r>
            <w:r>
              <w:rPr>
                <w:rFonts w:cs="Arial"/>
              </w:rPr>
              <w:t>2024-05 CN: Sra. Stavroula IOANNIDOU (GR, administradora adjunta)</w:t>
            </w:r>
          </w:p>
        </w:tc>
      </w:tr>
      <w:tr w14:paraId="1984DB76" w14:textId="77777777">
        <w:trPr>
          <w:trHeight w:val="175"/>
        </w:trPr>
        <w:tc xmlns:tara="kcentrix:tara" tara:rowspan="1" tara:colspan="1">
          <w:tcPr>
            <w:tcW w:w="2273" w:type="dxa"/>
            <w:vAlign w:val="center"/>
          </w:tcPr>
          <w:p w14:paraId="1C215500" w14:textId="77777777">
            <w:pPr>
              <w:pStyle w:val="IPPArialTable"/>
              <w:rPr>
                <w:rFonts w:cs="Arial"/>
                <w:b/>
                <w:bCs/>
                <w:szCs w:val="18"/>
              </w:rPr>
            </w:pPr>
            <w:r>
              <w:rPr>
                <w:rStyle w:val="PleaseReviewParagraphId"/>
                <w:b w:val="off"/>
                <w:i w:val="off"/>
              </w:rPr>
              <w:t>[18]</w:t>
            </w:r>
            <w:r>
              <w:rPr>
                <w:rFonts w:cs="Arial"/>
                <w:b/>
              </w:rPr>
              <w:t>Notas</w:t>
            </w:r>
          </w:p>
        </w:tc>
        <w:tc xmlns:tara="kcentrix:tara" tara:rowspan="1" tara:colspan="1">
          <w:tcPr>
            <w:tcW w:w="6766" w:type="dxa"/>
            <w:vAlign w:val="center"/>
          </w:tcPr>
          <w:p w14:paraId="45C6AF9A" w14:textId="77777777">
            <w:pPr>
              <w:pStyle w:val="IPPArial"/>
              <w:spacing w:after="60"/>
              <w:rPr>
                <w:rFonts w:cs="Arial"/>
              </w:rPr>
            </w:pPr>
            <w:r>
              <w:rPr>
                <w:rStyle w:val="PleaseReviewParagraphId"/>
                <w:b w:val="off"/>
                <w:i w:val="off"/>
              </w:rPr>
              <w:t>[19]</w:t>
            </w:r>
            <w:r>
              <w:rPr>
                <w:rFonts w:cs="Arial"/>
              </w:rPr>
              <w:t>Esta sección se mantendrá en los proyectos que se remitan para consulta, pero se borrará antes de su aprobación.</w:t>
            </w:r>
          </w:p>
          <w:p w14:paraId="724B6F2C" w14:textId="77777777">
            <w:pPr>
              <w:pStyle w:val="IPPArial"/>
              <w:spacing w:after="60"/>
              <w:rPr>
                <w:rFonts w:cs="Arial"/>
                <w:szCs w:val="18"/>
              </w:rPr>
            </w:pPr>
            <w:r>
              <w:rPr>
                <w:rStyle w:val="PleaseReviewParagraphId"/>
                <w:b w:val="off"/>
                <w:i w:val="off"/>
              </w:rPr>
              <w:t>[20]</w:t>
            </w:r>
            <w:r>
              <w:rPr>
                <w:rFonts w:cs="Arial"/>
              </w:rPr>
              <w:t xml:space="preserve">2024-03: Un pequeño grupo de miembros del CN modificó el título a </w:t>
            </w:r>
            <w:r>
              <w:rPr>
                <w:rFonts w:cs="Arial"/>
                <w:i/>
                <w:iCs/>
              </w:rPr>
              <w:t>Revisión del proyecto de reorganización de las NIMF relacionadas con el análisis de riesgo de plagas</w:t>
            </w:r>
          </w:p>
          <w:p w14:paraId="52F4EF15" w14:textId="77777777">
            <w:pPr>
              <w:pStyle w:val="IPPArial"/>
              <w:spacing w:after="60"/>
              <w:rPr>
                <w:rFonts w:cs="Arial"/>
                <w:szCs w:val="18"/>
              </w:rPr>
            </w:pPr>
            <w:r>
              <w:rPr>
                <w:rStyle w:val="PleaseReviewParagraphId"/>
                <w:b w:val="off"/>
                <w:i w:val="off"/>
              </w:rPr>
              <w:t>[21]</w:t>
            </w:r>
            <w:r>
              <w:rPr>
                <w:rFonts w:cs="Arial"/>
              </w:rPr>
              <w:t>2024-05: Editado</w:t>
            </w:r>
          </w:p>
        </w:tc>
      </w:tr>
    </w:tbl>
    <w:p w14:paraId="18E407C0" w14:textId="77777777">
      <w:pPr>
        <w:pStyle w:val="IPPSubheadSpace"/>
      </w:pPr>
      <w:r>
        <w:rPr>
          <w:rStyle w:val="PleaseReviewParagraphId"/>
          <w:b w:val="off"/>
          <w:i w:val="off"/>
        </w:rPr>
        <w:t>[22]</w:t>
      </w:r>
      <w:r>
        <w:t>Título</w:t>
      </w:r>
    </w:p>
    <w:p w14:paraId="7F0A07F8" w14:textId="1E28E015">
      <w:pPr>
        <w:pStyle w:val="IPPParagraphnumbering"/>
        <w:numPr>
          <w:ilvl w:val="0"/>
          <w:numId w:val="0"/>
        </w:numPr>
        <w:rPr>
          <w:szCs w:val="22"/>
        </w:rPr>
      </w:pPr>
      <w:r>
        <w:rPr>
          <w:rStyle w:val="PleaseReviewParagraphId"/>
          <w:b w:val="off"/>
          <w:i w:val="off"/>
        </w:rPr>
        <w:t>[23]</w:t>
      </w:r>
      <w:r>
        <w:rPr>
          <w:szCs w:val="22"/>
        </w:rPr>
        <w:t>Revisión del proyecto de reorganización de la NIMF relacionada con el análisis del riesgo de plagas (2023-037).</w:t>
      </w:r>
    </w:p>
    <w:p w14:paraId="3EE0B047" w14:textId="49EFFF65">
      <w:pPr>
        <w:pStyle w:val="IPPSubheadSpace"/>
      </w:pPr>
      <w:r>
        <w:rPr>
          <w:rStyle w:val="PleaseReviewParagraphId"/>
          <w:b w:val="off"/>
          <w:i w:val="off"/>
        </w:rPr>
        <w:t>[24]</w:t>
      </w:r>
      <w:r>
        <w:t>Justificación de la revisión del proyecto de reorganización de la norma</w:t>
      </w:r>
    </w:p>
    <w:p w14:paraId="4CD75EF2" w14:textId="0CE27C9A">
      <w:pPr>
        <w:pStyle w:val="IPPParagraphnumbering"/>
        <w:numPr>
          <w:ilvl w:val="0"/>
          <w:numId w:val="0"/>
        </w:numPr>
        <w:rPr>
          <w:szCs w:val="22"/>
        </w:rPr>
      </w:pPr>
      <w:r>
        <w:rPr>
          <w:rStyle w:val="PleaseReviewParagraphId"/>
          <w:b w:val="off"/>
          <w:i w:val="off"/>
        </w:rPr>
        <w:t>[25]</w:t>
      </w:r>
      <w:r>
        <w:rPr>
          <w:szCs w:val="22"/>
        </w:rPr>
        <w:t>El análisis del riesgo de plagas (ARP) es un proceso básico del ámbito de la Convención Internacional de Protección Fitosanitaria (CIPF) y un importante instrumento de evaluación con base científica para las organizaciones nacionales de protección fitosanitaria (ONPF). Se utiliza para identificar las plagas y vías preocupantes, determinar si las plagas cumplen los requisitos para ser consideradas plagas reglamentadas y establecer las medidas fitosanitarias apropiadas con el fin de manejar el riesgo de introducción y dispersión de plagas en un área de ARP concreta.</w:t>
      </w:r>
    </w:p>
    <w:p w14:paraId="7D624ADE" w14:textId="77777777">
      <w:pPr>
        <w:pStyle w:val="IPPParagraphnumberingclose"/>
        <w:numPr>
          <w:ilvl w:val="0"/>
          <w:numId w:val="0"/>
        </w:numPr>
      </w:pPr>
      <w:r>
        <w:rPr>
          <w:rStyle w:val="PleaseReviewParagraphId"/>
          <w:b w:val="off"/>
          <w:i w:val="off"/>
        </w:rPr>
        <w:t>[26]</w:t>
      </w:r>
      <w:r>
        <w:rPr>
          <w:szCs w:val="22"/>
        </w:rPr>
        <w:t xml:space="preserve">En 2022, el Grupo de trabajo de expertos sobre la Reorganización y revisión de las normas relacionadas con el ARP (2020-001) se encargó de reorganizar las NIMF relacionadas con este tema, a saber, la NIMF 2, </w:t>
      </w:r>
      <w:r>
        <w:rPr>
          <w:i/>
          <w:iCs/>
          <w:szCs w:val="22"/>
        </w:rPr>
        <w:t>Marco para el análisis de riesgo de plagas,</w:t>
      </w:r>
      <w:r>
        <w:rPr>
          <w:szCs w:val="22"/>
        </w:rPr>
        <w:t xml:space="preserve"> la NIMF 11, </w:t>
      </w:r>
      <w:r>
        <w:rPr>
          <w:i/>
          <w:iCs/>
          <w:szCs w:val="22"/>
        </w:rPr>
        <w:t>Análisis de riesgo de plagas para plagas cuarentenarias</w:t>
      </w:r>
      <w:r>
        <w:rPr>
          <w:szCs w:val="22"/>
        </w:rPr>
        <w:t xml:space="preserve">, y el proyecto de NIMF sobre </w:t>
      </w:r>
      <w:r>
        <w:rPr>
          <w:i/>
          <w:iCs/>
          <w:szCs w:val="22"/>
        </w:rPr>
        <w:t>Manejo del riesgo de plagas para plagas cuarentenarias</w:t>
      </w:r>
      <w:r>
        <w:rPr>
          <w:szCs w:val="22"/>
        </w:rPr>
        <w:t xml:space="preserve"> (2014-001) en un único proyecto de NIMF general con anexos para cada etapa del ARP. La reorganización consistió en eliminar redundancias en el texto sin modificaciones sustanciales. El proyecto de reorganización de NIMF fue examinado por el Comité de Normas (CN) y presentado para someterlo a primera consulta en 2023. No obstante, los comentarios generales presentados durante la</w:t>
      </w:r>
      <w:r>
        <w:t xml:space="preserve"> consulta eran favorables a la revisión completa y exhaustiva de la NIMF reorganizada. Los motivos aducidos para respaldar la revisión exhaustiva fueron los siguientes:</w:t>
      </w:r>
    </w:p>
    <w:p w14:paraId="3EDF2880" w14:textId="77777777">
      <w:pPr>
        <w:pStyle w:val="IPPBullet1"/>
      </w:pPr>
      <w:r>
        <w:rPr>
          <w:rStyle w:val="PleaseReviewParagraphId"/>
          <w:b w:val="off"/>
          <w:i w:val="off"/>
        </w:rPr>
        <w:t>[27]</w:t>
      </w:r>
      <w:r>
        <w:t>El proyecto de reorganización de NIMF se basa en versiones antiguas de NIMF que no han sido examinadas íntegramente en varios años. La NIMF 2 y la NIMF 11 se revisaron por última vez en 2007 y 2013, respectivamente.</w:t>
      </w:r>
    </w:p>
    <w:p w14:paraId="1221881A" w14:textId="77777777">
      <w:pPr>
        <w:pStyle w:val="IPPBullet1"/>
      </w:pPr>
      <w:r>
        <w:rPr>
          <w:rStyle w:val="PleaseReviewParagraphId"/>
          <w:b w:val="off"/>
          <w:i w:val="off"/>
        </w:rPr>
        <w:t>[28]</w:t>
      </w:r>
      <w:r>
        <w:lastRenderedPageBreak/>
        <w:t>El proyecto de reorganización de NIMF comprende una serie de requisitos (esto es, obligaciones) y orientaciones detalladas sobre el proceso de realización de ARP que pueden resultar difíciles de leer, entender y aplicar para los países.</w:t>
      </w:r>
    </w:p>
    <w:p w14:paraId="2B6EF981" w14:textId="77777777">
      <w:pPr>
        <w:pStyle w:val="IPPBullet1Last"/>
      </w:pPr>
      <w:r>
        <w:rPr>
          <w:rStyle w:val="PleaseReviewParagraphId"/>
          <w:b w:val="off"/>
          <w:i w:val="off"/>
        </w:rPr>
        <w:t>[29]</w:t>
      </w:r>
      <w:r>
        <w:t>Es necesario incluir los requisitos determinados durante la primera consulta y abordar nuevos desafíos fitosanitarios (por ejemplo, la inclusión de consideraciones relativas al cambio climático en los ARP o la consideración de los efectos directos e indirectos de las plagas en los ámbitos económico, ambiental y social).</w:t>
      </w:r>
    </w:p>
    <w:p w14:paraId="5B669C35" w14:textId="77777777">
      <w:pPr>
        <w:pStyle w:val="IPPSubheadSpace"/>
      </w:pPr>
      <w:r>
        <w:rPr>
          <w:rStyle w:val="PleaseReviewParagraphId"/>
          <w:b w:val="off"/>
          <w:i w:val="off"/>
        </w:rPr>
        <w:t>[30]</w:t>
      </w:r>
      <w:r>
        <w:t>Ámbito</w:t>
      </w:r>
    </w:p>
    <w:p w14:paraId="0A838F00" w14:textId="77777777">
      <w:pPr>
        <w:pStyle w:val="IPPParagraphnumbering"/>
        <w:numPr>
          <w:ilvl w:val="0"/>
          <w:numId w:val="0"/>
        </w:numPr>
      </w:pPr>
      <w:r>
        <w:rPr>
          <w:rStyle w:val="PleaseReviewParagraphId"/>
          <w:b w:val="off"/>
          <w:i w:val="off"/>
        </w:rPr>
        <w:t>[31]</w:t>
      </w:r>
      <w:r>
        <w:t xml:space="preserve">En la NIMF reorganizada y revisada de forma exhaustiva deberían figurar los principios básicos y los requisitos para el ARP: determinar si un organismo es una plaga y evaluar el riesgo de introducción y sus consecuencias en el ámbito de la CIPF. En la NIMF también se debería describir con claridad la relación entre el riesgo de plagas y las medidas fitosanitarias, y la rigurosidad de estas medidas en el manejo del riesgo, sobre la base de los principios recogidos en la NIMF 1, </w:t>
      </w:r>
      <w:r>
        <w:rPr>
          <w:i/>
        </w:rPr>
        <w:t>Principios fitosanitarios para la protección de las plantas y la aplicación de medidas fitosanitarias en el comercio internacional</w:t>
      </w:r>
      <w:r>
        <w:t xml:space="preserve">, y la NIMF 24, </w:t>
      </w:r>
      <w:r>
        <w:rPr>
          <w:i/>
          <w:iCs/>
        </w:rPr>
        <w:t>Directrices para la determinación y el reconocimiento de la equivalencia de las medidas fitosanitarias</w:t>
      </w:r>
      <w:r>
        <w:t>.</w:t>
      </w:r>
    </w:p>
    <w:p w14:paraId="74119C22" w14:textId="466BEA07">
      <w:pPr>
        <w:pStyle w:val="IPPParagraphnumbering"/>
        <w:numPr>
          <w:ilvl w:val="0"/>
          <w:numId w:val="0"/>
        </w:numPr>
      </w:pPr>
      <w:r>
        <w:rPr>
          <w:rStyle w:val="PleaseReviewParagraphId"/>
          <w:b w:val="off"/>
          <w:i w:val="off"/>
        </w:rPr>
        <w:t>[32]</w:t>
      </w:r>
      <w:r>
        <w:t xml:space="preserve">En cambio, no debería contener orientación relativa a las plagas no cuarentenarias reglamentadas, que se proporciona en la NIMF 21, </w:t>
      </w:r>
      <w:r>
        <w:rPr>
          <w:i/>
          <w:iCs/>
        </w:rPr>
        <w:t>Análisis de riesgo de plagas para plagas no cuarentenarias reglamentadas</w:t>
      </w:r>
      <w:r>
        <w:t>.</w:t>
      </w:r>
    </w:p>
    <w:p w14:paraId="629FB9D6" w14:textId="77777777">
      <w:pPr>
        <w:pStyle w:val="IPPSubheadSpace"/>
      </w:pPr>
      <w:r>
        <w:rPr>
          <w:rStyle w:val="PleaseReviewParagraphId"/>
          <w:b w:val="off"/>
          <w:i w:val="off"/>
        </w:rPr>
        <w:t>[33]</w:t>
      </w:r>
      <w:r>
        <w:t>Finalidad</w:t>
      </w:r>
    </w:p>
    <w:p w14:paraId="24A93FC1" w14:textId="3798E30C">
      <w:pPr>
        <w:pStyle w:val="IPPParagraphnumbering"/>
        <w:numPr>
          <w:ilvl w:val="0"/>
          <w:numId w:val="0"/>
        </w:numPr>
      </w:pPr>
      <w:r>
        <w:rPr>
          <w:rStyle w:val="PleaseReviewParagraphId"/>
          <w:b w:val="off"/>
          <w:i w:val="off"/>
        </w:rPr>
        <w:t>[34]</w:t>
      </w:r>
      <w:r>
        <w:t>La finalidad de la revisión exhaustiva del proyecto de reorganización de la NIMF relacionada con el ARP es simplificar el texto para hacer hincapié en los requisitos y las obligaciones para el ARP en el contexto de la CIPF y aportar mayor claridad para todas las partes contratantes, haciendo la norma más fácil de entender y utilizar.</w:t>
      </w:r>
    </w:p>
    <w:p w14:paraId="0BFF9001" w14:textId="77777777">
      <w:pPr>
        <w:pStyle w:val="IPPSubheadSpace"/>
      </w:pPr>
      <w:r>
        <w:rPr>
          <w:rStyle w:val="PleaseReviewParagraphId"/>
          <w:b w:val="off"/>
          <w:i w:val="off"/>
        </w:rPr>
        <w:t>[35]</w:t>
      </w:r>
      <w:r>
        <w:t>Tareas</w:t>
      </w:r>
    </w:p>
    <w:p w14:paraId="66443560" w14:textId="77777777">
      <w:pPr>
        <w:pStyle w:val="IPPParagraphnumberingclose"/>
        <w:numPr>
          <w:ilvl w:val="0"/>
          <w:numId w:val="0"/>
        </w:numPr>
      </w:pPr>
      <w:r>
        <w:rPr>
          <w:rStyle w:val="PleaseReviewParagraphId"/>
          <w:b w:val="off"/>
          <w:i w:val="off"/>
        </w:rPr>
        <w:t>[36]</w:t>
      </w:r>
      <w:r>
        <w:t>El Grupo de trabajo de expertos debería acometer las siguientes tareas:</w:t>
      </w:r>
    </w:p>
    <w:p w14:paraId="61C09ADC" w14:textId="77777777">
      <w:pPr>
        <w:pStyle w:val="IPPNumberedList"/>
      </w:pPr>
      <w:r>
        <w:rPr>
          <w:rStyle w:val="PleaseReviewParagraphId"/>
          <w:b w:val="off"/>
          <w:i w:val="off"/>
        </w:rPr>
        <w:t>[37]</w:t>
      </w:r>
      <w:r>
        <w:t>Examinar las normas y directrices existentes en materia de análisis de riesgos que hayan elaborado otras organizaciones de establecimiento de normas nombradas en el Acuerdo de la Organización Mundial del Comercio (OMC) sobre la aplicación de medidas sanitarias y fitosanitarias (Organización Mundial de Sanidad Animal, Comisión del Codex Alimentarius) y los principios de la OMC relativos a la elaboración de normas internacionales (OMC, 2000), y examinar la posible pertinencia de las mejores prácticas para el marco de la CIPF sobre ARP.</w:t>
      </w:r>
    </w:p>
    <w:p w14:paraId="3501D4D8" w14:textId="77777777">
      <w:pPr>
        <w:pStyle w:val="IPPNumberedList"/>
      </w:pPr>
      <w:r>
        <w:rPr>
          <w:rStyle w:val="PleaseReviewParagraphId"/>
          <w:b w:val="off"/>
          <w:i w:val="off"/>
        </w:rPr>
        <w:t>[38]</w:t>
      </w:r>
      <w:r>
        <w:t xml:space="preserve">Considerar las recomendaciones formuladas por el GTE que redactó la NIMF reorganizada sobre ARP en 2022, por ejemplo, si los requisitos relativos al impacto ambiental se deberían abordar como parte de los requisitos relativos a las consecuencias económicas que se describen en el Suplemento 2 de la NIMF 5, </w:t>
      </w:r>
      <w:r>
        <w:rPr>
          <w:i/>
          <w:iCs/>
        </w:rPr>
        <w:t>Glosario de términos fitosanitarios</w:t>
      </w:r>
      <w:r>
        <w:t>.</w:t>
      </w:r>
    </w:p>
    <w:p w14:paraId="224F4407" w14:textId="4D0E469B">
      <w:pPr>
        <w:pStyle w:val="IPPNumberedList"/>
      </w:pPr>
      <w:r>
        <w:rPr>
          <w:rStyle w:val="PleaseReviewParagraphId"/>
          <w:b w:val="off"/>
          <w:i w:val="off"/>
        </w:rPr>
        <w:t>[39]</w:t>
      </w:r>
      <w:r>
        <w:t>Examinar el texto del proyecto de reorganización de la NIMF relacionada con el ARP elaborado por el administrador del tema “Reorganización y revisión de las normas en materia de análisis del riesgo de plagas” (2020-001) después de la consulta de 2023 (incluidos los anexos) a fin de establecer los principios básicos, los pasos y los requisitos del ARP y determinar las partes de este proyecto de reorganización de NIMF que pueden transferirse al material de aplicación.</w:t>
      </w:r>
    </w:p>
    <w:p w14:paraId="55F1870D" w14:textId="67D2E51A">
      <w:pPr>
        <w:pStyle w:val="IPPNumberedList"/>
      </w:pPr>
      <w:r>
        <w:rPr>
          <w:rStyle w:val="PleaseReviewParagraphId"/>
          <w:b w:val="off"/>
          <w:i w:val="off"/>
        </w:rPr>
        <w:t>[40]</w:t>
      </w:r>
      <w:r>
        <w:t>Considerar las recomendaciones formuladas por dicho administrador en relación con los comentarios presentados durante la consulta de 2023.</w:t>
      </w:r>
    </w:p>
    <w:p w14:paraId="2DD6D4A4" w14:textId="77777777">
      <w:pPr>
        <w:pStyle w:val="IPPNumberedList"/>
      </w:pPr>
      <w:r>
        <w:rPr>
          <w:rStyle w:val="PleaseReviewParagraphId"/>
          <w:b w:val="off"/>
          <w:i w:val="off"/>
        </w:rPr>
        <w:t>[41]</w:t>
      </w:r>
      <w:r>
        <w:t>Simplificar y aclarar el texto para describir los principios y los requisitos básicos del ARP.</w:t>
      </w:r>
    </w:p>
    <w:p w14:paraId="25A86608" w14:textId="20AC0963">
      <w:pPr>
        <w:pStyle w:val="IPPNumberedList"/>
      </w:pPr>
      <w:r>
        <w:rPr>
          <w:rStyle w:val="PleaseReviewParagraphId"/>
          <w:b w:val="off"/>
          <w:i w:val="off"/>
        </w:rPr>
        <w:t>[42]</w:t>
      </w:r>
      <w:r>
        <w:t>Formular recomendaciones al CN sobre el contenido de una posible guía de la CIPF sobre ARP, con la consideración del material de aplicación de la CIPF existente.</w:t>
      </w:r>
    </w:p>
    <w:p w14:paraId="485EFB33" w14:textId="77777777">
      <w:pPr>
        <w:pStyle w:val="IPPNumberedList"/>
      </w:pPr>
      <w:r>
        <w:rPr>
          <w:rStyle w:val="PleaseReviewParagraphId"/>
          <w:b w:val="off"/>
          <w:i w:val="off"/>
        </w:rPr>
        <w:t>[43]</w:t>
      </w:r>
      <w:r>
        <w:t xml:space="preserve">Considerar si la NIMF reorganizada y revisada de forma exhaustiva podría afectar específicamente (de forma positiva o negativa) a la protección de la biodiversidad y al medio </w:t>
        <w:lastRenderedPageBreak/>
        <w:t>ambiente. En caso afirmativo, estos efectos deberían determinarse, abordarse y aclararse en el proyecto de NIMF.</w:t>
      </w:r>
    </w:p>
    <w:p w14:paraId="7ED7B980" w14:textId="02F0E6DF">
      <w:pPr>
        <w:pStyle w:val="IPPNumberedList"/>
      </w:pPr>
      <w:r>
        <w:rPr>
          <w:rStyle w:val="PleaseReviewParagraphId"/>
          <w:b w:val="off"/>
          <w:i w:val="off"/>
        </w:rPr>
        <w:t>[44]</w:t>
      </w:r>
      <w:r>
        <w:t>Considerar la aplicación de la NIMF reorganizada y revisada de forma exhaustiva por las partes contratantes y determinar los posibles problemas operativos y técnicos de la aplicación. Facilitar información y formular posibles recomendaciones sobre estos problemas al CN.</w:t>
      </w:r>
    </w:p>
    <w:p w14:paraId="34F46BDF" w14:textId="77777777">
      <w:pPr>
        <w:pStyle w:val="IPPNumberedList"/>
      </w:pPr>
      <w:r>
        <w:rPr>
          <w:rStyle w:val="PleaseReviewParagraphId"/>
          <w:b w:val="off"/>
          <w:i w:val="off"/>
        </w:rPr>
        <w:t>[45]</w:t>
      </w:r>
      <w:r>
        <w:t>Examinar todas las referencias al ARP que aparezcan en otras NIMF para garantizar que dichas referencias todavía sean pertinentes y proponer, cuando proceda, los consiguientes cambios. Examinar todas las referencias a otras NIMF que aparezcan en la NIMF reorganizada y revisada exhaustivamente y hacer las modificaciones necesarias.</w:t>
      </w:r>
    </w:p>
    <w:p w14:paraId="1FDB13F8" w14:textId="6ED5AC8F">
      <w:pPr>
        <w:pStyle w:val="IPPSubheadSpace"/>
      </w:pPr>
      <w:r>
        <w:rPr>
          <w:rStyle w:val="PleaseReviewParagraphId"/>
          <w:b w:val="off"/>
          <w:i w:val="off"/>
        </w:rPr>
        <w:t>[46]</w:t>
      </w:r>
      <w:r>
        <w:t>Fuentes de recursos</w:t>
      </w:r>
    </w:p>
    <w:p w14:paraId="3299CF49" w14:textId="77777777">
      <w:pPr>
        <w:pStyle w:val="IPPParagraphnumbering"/>
        <w:numPr>
          <w:ilvl w:val="0"/>
          <w:numId w:val="0"/>
        </w:numPr>
      </w:pPr>
      <w:r>
        <w:rPr>
          <w:rStyle w:val="PleaseReviewParagraphId"/>
          <w:b w:val="off"/>
          <w:i w:val="off"/>
        </w:rPr>
        <w:t>[47]</w:t>
      </w:r>
      <w:r>
        <w:t xml:space="preserve">La financiación para la reunión podrá proceder de fuentes distintas del Programa ordinario de la CIPF (FAO). Según se recomendó en la segunda reunión de la Comisión Interina de Medidas Fitosanitarias (1999), siempre que sea posible, los participantes en actividades de establecimiento de normas financiarán de forma voluntaria los gastos de desplazamiento y dietas que se generen por su asistencia a las reuniones. Los participantes podrán solicitar ayuda financiera, en el entendimiento de que los recursos son limitados y de que se otorgará prioridad a los participantes de países en desarrollo. Consúltese el documento </w:t>
      </w:r>
      <w:r>
        <w:rPr>
          <w:i/>
          <w:iCs/>
        </w:rPr>
        <w:t>Criteria used for prioritizing participants to receive travel assistance to attend meetings organized by the IPPC Secretariat</w:t>
      </w:r>
      <w:r>
        <w:t xml:space="preserve"> (Criterios de prioridad aplicados en la concesión de ayudas de viaje para financiar la asistencia a las reuniones organizadas por la Secretaría de la CIPF), publicado en el Portal fitosanitario internacional (PFI) (véase </w:t>
      </w:r>
      <w:hyperlink w:history="1" r:id="rId11">
        <w:r>
          <w:rPr>
            <w:rStyle w:val="Hyperlink"/>
          </w:rPr>
          <w:t>https://www.ippc.int/es/core-activities/</w:t>
        </w:r>
      </w:hyperlink>
      <w:r>
        <w:t>).</w:t>
      </w:r>
    </w:p>
    <w:p w14:paraId="51B1F437" w14:textId="77777777">
      <w:pPr>
        <w:pStyle w:val="IPPSubheadSpace"/>
      </w:pPr>
      <w:r>
        <w:rPr>
          <w:rStyle w:val="PleaseReviewParagraphId"/>
          <w:b w:val="off"/>
          <w:i w:val="off"/>
        </w:rPr>
        <w:t>[48]</w:t>
      </w:r>
      <w:r>
        <w:t>Colaborador</w:t>
      </w:r>
    </w:p>
    <w:p w14:paraId="32F2D3DF" w14:textId="77777777">
      <w:pPr>
        <w:pStyle w:val="IPPParagraphnumbering"/>
        <w:numPr>
          <w:ilvl w:val="0"/>
          <w:numId w:val="0"/>
        </w:numPr>
      </w:pPr>
      <w:r>
        <w:rPr>
          <w:rStyle w:val="PleaseReviewParagraphId"/>
          <w:b w:val="off"/>
          <w:i w:val="off"/>
        </w:rPr>
        <w:t>[49]</w:t>
      </w:r>
      <w:r>
        <w:t>Por determinar.</w:t>
      </w:r>
    </w:p>
    <w:p w14:paraId="28B6EF73" w14:textId="77777777">
      <w:pPr>
        <w:pStyle w:val="IPPSubheadSpace"/>
      </w:pPr>
      <w:r>
        <w:rPr>
          <w:rStyle w:val="PleaseReviewParagraphId"/>
          <w:b w:val="off"/>
          <w:i w:val="off"/>
        </w:rPr>
        <w:t>[50]</w:t>
      </w:r>
      <w:r>
        <w:t>Administrador</w:t>
      </w:r>
    </w:p>
    <w:p w14:paraId="0D0CD5AA" w14:textId="77777777">
      <w:pPr>
        <w:pStyle w:val="IPPParagraphnumbering"/>
        <w:numPr>
          <w:ilvl w:val="0"/>
          <w:numId w:val="0"/>
        </w:numPr>
      </w:pPr>
      <w:r>
        <w:rPr>
          <w:rStyle w:val="PleaseReviewParagraphId"/>
          <w:b w:val="off"/>
          <w:i w:val="off"/>
        </w:rPr>
        <w:t>[51]</w:t>
      </w:r>
      <w:r>
        <w:t xml:space="preserve">Consúltese la </w:t>
      </w:r>
      <w:r>
        <w:rPr>
          <w:i/>
        </w:rPr>
        <w:t>Lista de temas de las normas de la CIPF</w:t>
      </w:r>
      <w:r>
        <w:t xml:space="preserve"> publicada en el PFI (véase </w:t>
      </w:r>
      <w:hyperlink w:history="1" r:id="rId12">
        <w:r>
          <w:rPr>
            <w:rStyle w:val="Hyperlink"/>
          </w:rPr>
          <w:t>https://www.ippc.int/core-activities/standards-setting/list-topics-ippc-standards</w:t>
        </w:r>
      </w:hyperlink>
      <w:r>
        <w:t>).</w:t>
      </w:r>
    </w:p>
    <w:p w14:paraId="406D87CA" w14:textId="2C815212">
      <w:pPr>
        <w:pStyle w:val="IPPSubheadSpace"/>
      </w:pPr>
      <w:r>
        <w:rPr>
          <w:rStyle w:val="PleaseReviewParagraphId"/>
          <w:b w:val="off"/>
          <w:i w:val="off"/>
        </w:rPr>
        <w:t>[52]</w:t>
      </w:r>
      <w:r>
        <w:t>Expertos</w:t>
      </w:r>
    </w:p>
    <w:p w14:paraId="44FF3097" w14:textId="77777777">
      <w:pPr>
        <w:pStyle w:val="IPPParagraphnumberingclose"/>
        <w:numPr>
          <w:ilvl w:val="0"/>
          <w:numId w:val="0"/>
        </w:numPr>
      </w:pPr>
      <w:r>
        <w:rPr>
          <w:rStyle w:val="PleaseReviewParagraphId"/>
          <w:b w:val="off"/>
          <w:i w:val="off"/>
        </w:rPr>
        <w:t>[53]</w:t>
      </w:r>
      <w:r>
        <w:t>Miembros con amplios conocimientos y experiencia en diversas disciplinas, a saber:</w:t>
      </w:r>
    </w:p>
    <w:p w14:paraId="0CF7F364" w14:textId="78364298">
      <w:pPr>
        <w:pStyle w:val="IPPBullet1"/>
      </w:pPr>
      <w:r>
        <w:rPr>
          <w:rStyle w:val="PleaseReviewParagraphId"/>
          <w:b w:val="off"/>
          <w:i w:val="off"/>
        </w:rPr>
        <w:t>[54]</w:t>
      </w:r>
      <w:r>
        <w:t>evaluación del riesgo de plagas, preferiblemente con experiencia en la realización y aplicación de ARP de conformidad con la NIMF 2 y la NIMF 11;</w:t>
      </w:r>
    </w:p>
    <w:p w14:paraId="1F40F156" w14:textId="77777777">
      <w:pPr>
        <w:pStyle w:val="IPPBullet1"/>
      </w:pPr>
      <w:r>
        <w:rPr>
          <w:rStyle w:val="PleaseReviewParagraphId"/>
          <w:b w:val="off"/>
          <w:i w:val="off"/>
        </w:rPr>
        <w:t>[55]</w:t>
      </w:r>
      <w:r>
        <w:t>elaboración de metodologías de ARP para las ONPF o las organizaciones regionales de protección fitosanitaria (deseable);</w:t>
      </w:r>
    </w:p>
    <w:p w14:paraId="197737F4" w14:textId="77777777">
      <w:pPr>
        <w:pStyle w:val="IPPBullet1"/>
      </w:pPr>
      <w:r>
        <w:rPr>
          <w:rStyle w:val="PleaseReviewParagraphId"/>
          <w:b w:val="off"/>
          <w:i w:val="off"/>
        </w:rPr>
        <w:t>[56]</w:t>
      </w:r>
      <w:r>
        <w:t>manejo del riesgo de plagas, incluida experiencia en evaluación y selección de opciones de manejo según el riesgo de plagas determinado mediante la evaluación de tal riesgo;</w:t>
      </w:r>
    </w:p>
    <w:p w14:paraId="0DAA389A" w14:textId="77777777">
      <w:pPr>
        <w:pStyle w:val="IPPBullet1"/>
      </w:pPr>
      <w:r>
        <w:rPr>
          <w:rStyle w:val="PleaseReviewParagraphId"/>
          <w:b w:val="off"/>
          <w:i w:val="off"/>
        </w:rPr>
        <w:t>[57]</w:t>
      </w:r>
      <w:r>
        <w:t>comunicación de riesgos de plagas;</w:t>
      </w:r>
    </w:p>
    <w:p w14:paraId="564A1ED2" w14:textId="77777777">
      <w:pPr>
        <w:pStyle w:val="IPPBullet1"/>
      </w:pPr>
      <w:r>
        <w:rPr>
          <w:rStyle w:val="PleaseReviewParagraphId"/>
          <w:b w:val="off"/>
          <w:i w:val="off"/>
        </w:rPr>
        <w:t>[58]</w:t>
      </w:r>
      <w:r>
        <w:t>consideración de los efectos del cambio climático en los ARP;</w:t>
      </w:r>
    </w:p>
    <w:p w14:paraId="748D44F0" w14:textId="77777777">
      <w:pPr>
        <w:pStyle w:val="IPPBullet1Last"/>
      </w:pPr>
      <w:r>
        <w:rPr>
          <w:rStyle w:val="PleaseReviewParagraphId"/>
          <w:b w:val="off"/>
          <w:i w:val="off"/>
        </w:rPr>
        <w:t>[59]</w:t>
      </w:r>
      <w:r>
        <w:t>ARP para organismos beneficiosos.</w:t>
      </w:r>
    </w:p>
    <w:p w14:paraId="6A9AA58B" w14:textId="77777777">
      <w:pPr>
        <w:pStyle w:val="IPPParagraphnumbering"/>
        <w:numPr>
          <w:ilvl w:val="0"/>
          <w:numId w:val="0"/>
        </w:numPr>
      </w:pPr>
      <w:r>
        <w:rPr>
          <w:rStyle w:val="PleaseReviewParagraphId"/>
          <w:b w:val="off"/>
          <w:i w:val="off"/>
        </w:rPr>
        <w:t>[60]</w:t>
      </w:r>
      <w:r>
        <w:t xml:space="preserve">Se alienta a los antiguos miembros del GTE sobre </w:t>
      </w:r>
      <w:r>
        <w:rPr>
          <w:i/>
          <w:iCs/>
        </w:rPr>
        <w:t>Reorganización y revisión de las normas relacionadas con el análisis del riesgo de plagas</w:t>
      </w:r>
      <w:r>
        <w:t xml:space="preserve"> (2020-001) a presentar sus solicitudes.</w:t>
      </w:r>
    </w:p>
    <w:p w14:paraId="49CDB729" w14:textId="77777777">
      <w:pPr>
        <w:pStyle w:val="IPPSubheadSpace"/>
      </w:pPr>
      <w:r>
        <w:rPr>
          <w:rStyle w:val="PleaseReviewParagraphId"/>
          <w:b w:val="off"/>
          <w:i w:val="off"/>
        </w:rPr>
        <w:t>[61]</w:t>
      </w:r>
      <w:r>
        <w:t>Participantes</w:t>
      </w:r>
    </w:p>
    <w:p w14:paraId="73F88EC9" w14:textId="77777777">
      <w:pPr>
        <w:pStyle w:val="IPPParagraphnumbering"/>
        <w:numPr>
          <w:ilvl w:val="0"/>
          <w:numId w:val="0"/>
        </w:numPr>
      </w:pPr>
      <w:r>
        <w:rPr>
          <w:rStyle w:val="PleaseReviewParagraphId"/>
          <w:b w:val="off"/>
          <w:i w:val="off"/>
        </w:rPr>
        <w:t>[62]</w:t>
      </w:r>
      <w:r>
        <w:t>Entre cinco y siete expertos.</w:t>
      </w:r>
    </w:p>
    <w:p w14:paraId="218AAEA1" w14:textId="77777777">
      <w:pPr>
        <w:pStyle w:val="IPPParagraphnumbering"/>
        <w:numPr>
          <w:ilvl w:val="0"/>
          <w:numId w:val="0"/>
        </w:numPr>
      </w:pPr>
      <w:r>
        <w:rPr>
          <w:rStyle w:val="PleaseReviewParagraphId"/>
          <w:b w:val="off"/>
          <w:i w:val="off"/>
        </w:rPr>
        <w:t>[63]</w:t>
      </w:r>
      <w:r>
        <w:t xml:space="preserve">Asimismo, se debería invitar a asistir en calidad de expertos al menos a uno de los antiguos miembros del GTE sobre </w:t>
      </w:r>
      <w:r>
        <w:rPr>
          <w:i/>
          <w:iCs/>
        </w:rPr>
        <w:t>Reorganización y revisión de las normas relacionadas con el análisis del riesgo de plagas</w:t>
      </w:r>
      <w:r>
        <w:t xml:space="preserve"> (2020-001), un experto con experiencia práctica en la aplicación de normas en materia de análisis del riesgo de una organización hermana en la CIPF (por ejemplo, la Organización Mundial de Sanidad Animal) y un miembro del Comité de Aplicación y Desarrollo de la Capacidad.</w:t>
      </w:r>
    </w:p>
    <w:p w14:paraId="605A28D5" w14:textId="77777777">
      <w:pPr>
        <w:pStyle w:val="IPPSubheadSpace"/>
      </w:pPr>
      <w:r>
        <w:rPr>
          <w:rStyle w:val="PleaseReviewParagraphId"/>
          <w:b w:val="off"/>
          <w:i w:val="off"/>
        </w:rPr>
        <w:t>[64]</w:t>
      </w:r>
      <w:r>
        <w:lastRenderedPageBreak/>
        <w:t>Bibliografía</w:t>
      </w:r>
    </w:p>
    <w:p w14:paraId="7DDD651E" w14:textId="77777777">
      <w:pPr>
        <w:pStyle w:val="IPPParagraphnumbering"/>
        <w:numPr>
          <w:ilvl w:val="0"/>
          <w:numId w:val="0"/>
        </w:numPr>
        <w:rPr>
          <w:color w:val="0070C0"/>
        </w:rPr>
      </w:pPr>
      <w:r>
        <w:rPr>
          <w:rStyle w:val="PleaseReviewParagraphId"/>
          <w:b w:val="off"/>
          <w:i w:val="off"/>
        </w:rPr>
        <w:t>[65]</w:t>
      </w:r>
      <w:r>
        <w:t>La CIPF, las NIMF pertinentes y otras normas y acuerdos de alcance nacional, regional e internacional que puedan aplicarse a las tareas y los documentos de debate presentados en relación con este trabajo.</w:t>
      </w:r>
    </w:p>
    <w:p w14:paraId="317D25C3" w14:textId="77777777">
      <w:pPr>
        <w:pStyle w:val="IPPHeading3"/>
        <w:rPr>
          <w:color w:val="0070C0"/>
        </w:rPr>
      </w:pPr>
      <w:r>
        <w:rPr>
          <w:rStyle w:val="PleaseReviewParagraphId"/>
          <w:b w:val="off"/>
          <w:i w:val="off"/>
        </w:rPr>
        <w:t>[66]</w:t>
      </w:r>
      <w:r>
        <w:t>Referencias</w:t>
      </w:r>
    </w:p>
    <w:p w14:paraId="291E790A" w14:textId="77777777">
      <w:pPr>
        <w:pStyle w:val="IPPParagraphnumbering"/>
        <w:numPr>
          <w:ilvl w:val="0"/>
          <w:numId w:val="0"/>
        </w:numPr>
        <w:rPr>
          <w:b/>
          <w:bCs/>
        </w:rPr>
      </w:pPr>
      <w:r>
        <w:rPr>
          <w:rStyle w:val="PleaseReviewParagraphId"/>
          <w:b w:val="off"/>
          <w:i w:val="off"/>
        </w:rPr>
        <w:t>[67]</w:t>
      </w:r>
      <w:r>
        <w:rPr>
          <w:b/>
        </w:rPr>
        <w:t>NIMF 1</w:t>
      </w:r>
      <w:r>
        <w:t xml:space="preserve">. 2016. </w:t>
      </w:r>
      <w:r>
        <w:rPr>
          <w:i/>
          <w:iCs/>
        </w:rPr>
        <w:t>Principios fitosanitarios para la protección de las plantas y la aplicación de medidas fitosanitarias en el comercio internacional</w:t>
      </w:r>
      <w:r>
        <w:t xml:space="preserve">. Secretaría de la CIPF. Roma, FAO. Aprobada en 2006. </w:t>
      </w:r>
      <w:hyperlink w:history="1" r:id="rId13">
        <w:r>
          <w:rPr>
            <w:rStyle w:val="Hyperlink"/>
          </w:rPr>
          <w:t>https://www.ippc.int/es/publications/596/</w:t>
        </w:r>
      </w:hyperlink>
    </w:p>
    <w:p w14:paraId="11164E40" w14:textId="77777777">
      <w:pPr>
        <w:pStyle w:val="IPPParagraphnumbering"/>
        <w:numPr>
          <w:ilvl w:val="0"/>
          <w:numId w:val="0"/>
        </w:numPr>
        <w:rPr>
          <w:b/>
          <w:bCs/>
        </w:rPr>
      </w:pPr>
      <w:r>
        <w:rPr>
          <w:rStyle w:val="PleaseReviewParagraphId"/>
          <w:b w:val="off"/>
          <w:i w:val="off"/>
        </w:rPr>
        <w:t>[68]</w:t>
      </w:r>
      <w:r>
        <w:rPr>
          <w:b/>
        </w:rPr>
        <w:t>NIMF 5</w:t>
      </w:r>
      <w:r>
        <w:t xml:space="preserve">. </w:t>
      </w:r>
      <w:r>
        <w:rPr>
          <w:i/>
        </w:rPr>
        <w:t>Glosario de términos</w:t>
      </w:r>
      <w:r>
        <w:t xml:space="preserve"> </w:t>
      </w:r>
      <w:r>
        <w:rPr>
          <w:i/>
          <w:iCs/>
        </w:rPr>
        <w:t>fitosanitarios</w:t>
      </w:r>
      <w:r>
        <w:t xml:space="preserve">. Secretaría de la CIPF. Roma, FAO. </w:t>
      </w:r>
      <w:hyperlink w:history="1" r:id="rId14">
        <w:r>
          <w:rPr>
            <w:rStyle w:val="Hyperlink"/>
          </w:rPr>
          <w:t>https://www.ippc.int/es/publications/622/</w:t>
        </w:r>
      </w:hyperlink>
    </w:p>
    <w:p w14:paraId="1FC4AA05" w14:textId="77777777">
      <w:pPr>
        <w:pStyle w:val="IPPParagraphnumbering"/>
        <w:numPr>
          <w:ilvl w:val="0"/>
          <w:numId w:val="0"/>
        </w:numPr>
        <w:rPr>
          <w:b/>
          <w:bCs/>
        </w:rPr>
      </w:pPr>
      <w:r>
        <w:rPr>
          <w:rStyle w:val="PleaseReviewParagraphId"/>
          <w:b w:val="off"/>
          <w:i w:val="off"/>
        </w:rPr>
        <w:t>[69]</w:t>
      </w:r>
      <w:r>
        <w:rPr>
          <w:b/>
        </w:rPr>
        <w:t>NIMF 2</w:t>
      </w:r>
      <w:r>
        <w:t xml:space="preserve">. 2019. </w:t>
      </w:r>
      <w:r>
        <w:rPr>
          <w:i/>
          <w:iCs/>
        </w:rPr>
        <w:t>Marco para el análisis de riesgo de plagas</w:t>
      </w:r>
      <w:r>
        <w:t xml:space="preserve">. Secretaría de la CIPF. Roma, FAO. Aprobada en 2007. </w:t>
      </w:r>
      <w:hyperlink w:history="1" r:id="rId15">
        <w:r>
          <w:rPr>
            <w:rStyle w:val="Hyperlink"/>
          </w:rPr>
          <w:t>https://www.ippc.int/es/publications/592/</w:t>
        </w:r>
      </w:hyperlink>
    </w:p>
    <w:p w14:paraId="56BB4134" w14:textId="77777777">
      <w:pPr>
        <w:pStyle w:val="IPPParagraphnumbering"/>
        <w:numPr>
          <w:ilvl w:val="0"/>
          <w:numId w:val="0"/>
        </w:numPr>
        <w:rPr>
          <w:b/>
          <w:bCs/>
        </w:rPr>
      </w:pPr>
      <w:r>
        <w:rPr>
          <w:rStyle w:val="PleaseReviewParagraphId"/>
          <w:b w:val="off"/>
          <w:i w:val="off"/>
        </w:rPr>
        <w:t>[70]</w:t>
      </w:r>
      <w:r>
        <w:rPr>
          <w:b/>
        </w:rPr>
        <w:t>NIMF 11</w:t>
      </w:r>
      <w:r>
        <w:t xml:space="preserve">. 2019. </w:t>
      </w:r>
      <w:r>
        <w:rPr>
          <w:i/>
          <w:iCs/>
        </w:rPr>
        <w:t>Análisis de riesgo de plagas para plagas cuarentenarias</w:t>
      </w:r>
      <w:r>
        <w:t xml:space="preserve">. Secretaría de la CIPF. Roma, FAO. Aprobada en 2013. </w:t>
      </w:r>
      <w:hyperlink w:history="1" r:id="rId16">
        <w:r>
          <w:rPr>
            <w:rStyle w:val="Hyperlink"/>
          </w:rPr>
          <w:t>https://www.ippc.int/es/publications/639/</w:t>
        </w:r>
      </w:hyperlink>
    </w:p>
    <w:p w14:paraId="68C15B5A" w14:textId="77777777">
      <w:pPr>
        <w:pStyle w:val="IPPParagraphnumbering"/>
        <w:numPr>
          <w:ilvl w:val="0"/>
          <w:numId w:val="0"/>
        </w:numPr>
        <w:rPr>
          <w:b/>
          <w:bCs/>
        </w:rPr>
      </w:pPr>
      <w:r>
        <w:rPr>
          <w:rStyle w:val="PleaseReviewParagraphId"/>
          <w:b w:val="off"/>
          <w:i w:val="off"/>
        </w:rPr>
        <w:t>[71]</w:t>
      </w:r>
      <w:r>
        <w:rPr>
          <w:b/>
        </w:rPr>
        <w:t>NIMF 21</w:t>
      </w:r>
      <w:r>
        <w:t xml:space="preserve">. 2021. </w:t>
      </w:r>
      <w:r>
        <w:rPr>
          <w:i/>
          <w:iCs/>
        </w:rPr>
        <w:t>Análisis de riesgo de plagas para plagas no cuarentenarias reglamentadas</w:t>
      </w:r>
      <w:r>
        <w:t xml:space="preserve">. Secretaría de la CIPF. Roma, FAO. Aprobada en 2004. </w:t>
      </w:r>
      <w:hyperlink w:history="1" r:id="rId17">
        <w:r>
          <w:rPr>
            <w:rStyle w:val="Hyperlink"/>
          </w:rPr>
          <w:t>https://www.ippc.int/es/publications/601/</w:t>
        </w:r>
      </w:hyperlink>
    </w:p>
    <w:p w14:paraId="5CDA8860" w14:textId="77777777">
      <w:pPr>
        <w:pStyle w:val="IPPParagraphnumbering"/>
        <w:numPr>
          <w:ilvl w:val="0"/>
          <w:numId w:val="0"/>
        </w:numPr>
        <w:rPr>
          <w:b/>
          <w:bCs/>
        </w:rPr>
      </w:pPr>
      <w:r>
        <w:rPr>
          <w:rStyle w:val="PleaseReviewParagraphId"/>
          <w:b w:val="off"/>
          <w:i w:val="off"/>
        </w:rPr>
        <w:t>[72]</w:t>
      </w:r>
      <w:r>
        <w:rPr>
          <w:b/>
        </w:rPr>
        <w:t>NIMF 24</w:t>
      </w:r>
      <w:r>
        <w:t xml:space="preserve">. 2021. </w:t>
      </w:r>
      <w:r>
        <w:rPr>
          <w:i/>
          <w:iCs/>
        </w:rPr>
        <w:t>Directrices para la determinación y el reconocimiento de la equivalencia de las medidas fitosanitarias</w:t>
      </w:r>
      <w:r>
        <w:t xml:space="preserve">. Secretaría de la CIPF. Roma, FAO. Aprobada en 2005. </w:t>
      </w:r>
      <w:hyperlink w:history="1" r:id="rId18">
        <w:r>
          <w:rPr>
            <w:rStyle w:val="Hyperlink"/>
          </w:rPr>
          <w:t>https://www.ippc.int/es/publications/597/</w:t>
        </w:r>
      </w:hyperlink>
    </w:p>
    <w:p w14:paraId="46AEAE4E" w14:textId="54A5BB0D">
      <w:pPr>
        <w:pStyle w:val="IPPParagraphnumbering"/>
        <w:numPr>
          <w:ilvl w:val="0"/>
          <w:numId w:val="0"/>
        </w:numPr>
        <w:rPr>
          <w:b/>
          <w:bCs/>
        </w:rPr>
      </w:pPr>
      <w:r>
        <w:rPr>
          <w:rStyle w:val="PleaseReviewParagraphId"/>
          <w:b w:val="off"/>
          <w:i w:val="off"/>
        </w:rPr>
        <w:t>[73]</w:t>
      </w:r>
      <w:r>
        <w:rPr>
          <w:b/>
          <w:bCs/>
        </w:rPr>
        <w:t>NIMF</w:t>
      </w:r>
      <w:r>
        <w:rPr>
          <w:b/>
        </w:rPr>
        <w:t> [X]</w:t>
      </w:r>
      <w:r>
        <w:t>.</w:t>
      </w:r>
      <w:r>
        <w:rPr>
          <w:b/>
        </w:rPr>
        <w:t xml:space="preserve"> </w:t>
      </w:r>
      <w:r>
        <w:t xml:space="preserve">2023. Proyecto. </w:t>
      </w:r>
      <w:r>
        <w:rPr>
          <w:i/>
          <w:iCs/>
        </w:rPr>
        <w:t>Reorganización y revisión de las normas relacionadas con el análisis del riesgo de plagas</w:t>
      </w:r>
      <w:r>
        <w:t>. Secretaría de la CIPF. Roma, FAO.</w:t>
      </w:r>
    </w:p>
    <w:p w14:paraId="3661C199" w14:textId="77777777">
      <w:pPr>
        <w:pStyle w:val="IPPParagraphnumbering"/>
        <w:numPr>
          <w:ilvl w:val="0"/>
          <w:numId w:val="0"/>
        </w:numPr>
        <w:jc w:val="left"/>
        <w:rPr>
          <w:b/>
          <w:bCs/>
        </w:rPr>
      </w:pPr>
      <w:r>
        <w:rPr>
          <w:rStyle w:val="PleaseReviewParagraphId"/>
          <w:b w:val="off"/>
          <w:i w:val="off"/>
        </w:rPr>
        <w:t>[74]</w:t>
      </w:r>
      <w:r>
        <w:rPr>
          <w:b/>
        </w:rPr>
        <w:t>Organización Mundial del Comercio (OMC)</w:t>
      </w:r>
      <w:r>
        <w:t xml:space="preserve">. 2000. </w:t>
      </w:r>
      <w:r>
        <w:rPr>
          <w:lang w:val="en-GB"/>
        </w:rPr>
        <w:t>Principles for the development of international standards, guides and recommendations.</w:t>
      </w:r>
      <w:r>
        <w:rPr>
          <w:i/>
          <w:lang w:val="en-GB"/>
        </w:rPr>
        <w:t xml:space="preserve"> </w:t>
      </w:r>
      <w:r>
        <w:t xml:space="preserve">En: OMC. </w:t>
      </w:r>
      <w:hyperlink w:history="1" r:id="rId19">
        <w:r>
          <w:rPr>
            <w:rStyle w:val="Hyperlink"/>
          </w:rPr>
          <w:t>www.wto.org/english/tratop_e/tbt_e/principles_standards_tbt_e.htm</w:t>
        </w:r>
      </w:hyperlink>
    </w:p>
    <w:p w14:paraId="5F4CED90" w14:textId="77777777">
      <w:pPr>
        <w:pStyle w:val="IPPHeading3"/>
      </w:pPr>
      <w:r>
        <w:rPr>
          <w:rStyle w:val="PleaseReviewParagraphId"/>
          <w:b w:val="off"/>
          <w:i w:val="off"/>
        </w:rPr>
        <w:t>[75]</w:t>
      </w:r>
      <w:r>
        <w:t>Otras lecturas</w:t>
      </w:r>
    </w:p>
    <w:p w14:paraId="25428521" w14:textId="77777777">
      <w:pPr>
        <w:pStyle w:val="IPPParagraphnumbering"/>
        <w:numPr>
          <w:ilvl w:val="0"/>
          <w:numId w:val="0"/>
        </w:numPr>
      </w:pPr>
      <w:r>
        <w:rPr>
          <w:rStyle w:val="PleaseReviewParagraphId"/>
          <w:b w:val="off"/>
          <w:i w:val="off"/>
        </w:rPr>
        <w:t>[76]</w:t>
      </w:r>
      <w:r>
        <w:t xml:space="preserve">La información para respaldar la elaboración de esta norma se puede consultar en el PFI en </w:t>
      </w:r>
      <w:hyperlink w:history="1" r:id="rId20">
        <w:r>
          <w:rPr>
            <w:rStyle w:val="Hyperlink"/>
          </w:rPr>
          <w:t>https://www.ippc.int/es/about/core-activities/capacity-development/guides-and-training-materials/</w:t>
        </w:r>
      </w:hyperlink>
    </w:p>
    <w:p w14:paraId="03FA1856" w14:textId="7505C90C">
      <w:pPr>
        <w:pStyle w:val="IPPParagraphnumbering"/>
        <w:numPr>
          <w:ilvl w:val="0"/>
          <w:numId w:val="0"/>
        </w:numPr>
        <w:rPr>
          <w:lang w:val="en-GB"/>
        </w:rPr>
      </w:pPr>
      <w:r>
        <w:rPr>
          <w:rStyle w:val="PleaseReviewParagraphId"/>
          <w:b w:val="off"/>
          <w:i w:val="off"/>
        </w:rPr>
        <w:t>[77]</w:t>
      </w:r>
      <w:r>
        <w:rPr>
          <w:b/>
          <w:bCs/>
        </w:rPr>
        <w:t>Organización Europea y Mediterránea de Protección de las Plantas (OEPP)</w:t>
      </w:r>
      <w:r>
        <w:t xml:space="preserve">. </w:t>
      </w:r>
      <w:r>
        <w:rPr>
          <w:lang w:val="en-GB"/>
        </w:rPr>
        <w:t xml:space="preserve">2011. </w:t>
      </w:r>
      <w:r>
        <w:rPr>
          <w:i/>
          <w:lang w:val="en-GB"/>
        </w:rPr>
        <w:t>Guidelines on pest risk analysis</w:t>
      </w:r>
      <w:r>
        <w:rPr>
          <w:lang w:val="en-GB"/>
        </w:rPr>
        <w:t xml:space="preserve">. PM 5/3(5). 44 págs. </w:t>
      </w:r>
      <w:hyperlink w:history="1" r:id="rId21">
        <w:r>
          <w:rPr>
            <w:rStyle w:val="Hyperlink"/>
            <w:lang w:val="en-GB"/>
          </w:rPr>
          <w:t>https://www.eppo.int/media/uploaded_images/RESOURCES/</w:t>
        </w:r>
        <w:r>
          <w:rPr>
            <w:rStyle w:val="Hyperlink"/>
            <w:lang w:val="en-GB"/>
          </w:rPr>
          <w:br/>
          <w:t>eppo_standards/pm5/pm5-03-05-en.pdf</w:t>
        </w:r>
      </w:hyperlink>
    </w:p>
    <w:p w14:paraId="2C844A73" w14:textId="77777777">
      <w:pPr>
        <w:pStyle w:val="IPPParagraphnumbering"/>
        <w:numPr>
          <w:ilvl w:val="0"/>
          <w:numId w:val="0"/>
        </w:numPr>
        <w:jc w:val="left"/>
      </w:pPr>
      <w:r>
        <w:rPr>
          <w:rStyle w:val="PleaseReviewParagraphId"/>
          <w:b w:val="off"/>
          <w:i w:val="off"/>
        </w:rPr>
        <w:t>[78]</w:t>
      </w:r>
      <w:bookmarkStart w:name="_Hlk151988869" w:id="3"/>
      <w:r>
        <w:rPr>
          <w:b/>
        </w:rPr>
        <w:t>FAO y Organización Mundial de la Salud (OMS).</w:t>
      </w:r>
      <w:r>
        <w:t xml:space="preserve"> </w:t>
      </w:r>
      <w:bookmarkEnd w:id="3"/>
      <w:r>
        <w:t xml:space="preserve">2007. </w:t>
      </w:r>
      <w:r>
        <w:rPr>
          <w:i/>
          <w:iCs/>
        </w:rPr>
        <w:t>Principios prácticos sobre el análisis de riesgos para la inocuidad de los alimentos aplicables por los gobiernos</w:t>
      </w:r>
      <w:r>
        <w:t>. CXG 62-2007</w:t>
      </w:r>
      <w:r>
        <w:rPr>
          <w:i/>
        </w:rPr>
        <w:t xml:space="preserve">. </w:t>
      </w:r>
      <w:r>
        <w:t xml:space="preserve">Comisión del Codex Alimentarius. Roma. </w:t>
      </w:r>
      <w:hyperlink w:history="1" r:id="rId22">
        <w:r>
          <w:rPr>
            <w:rStyle w:val="Hyperlink"/>
          </w:rPr>
          <w:t>https://www.fao.org/fao-who-codexalimentarius/codex-texts/guidelines/es/</w:t>
        </w:r>
      </w:hyperlink>
    </w:p>
    <w:p w14:paraId="6A28E1E3" w14:textId="79FEBDB4">
      <w:pPr>
        <w:pStyle w:val="IPPParagraphnumbering"/>
        <w:numPr>
          <w:ilvl w:val="0"/>
          <w:numId w:val="0"/>
        </w:numPr>
        <w:jc w:val="left"/>
        <w:rPr>
          <w:b/>
          <w:bCs/>
          <w:lang w:val="en-US"/>
        </w:rPr>
      </w:pPr>
      <w:r>
        <w:rPr>
          <w:rStyle w:val="PleaseReviewParagraphId"/>
          <w:b w:val="off"/>
          <w:i w:val="off"/>
        </w:rPr>
        <w:t>[79]</w:t>
      </w:r>
      <w:r>
        <w:rPr>
          <w:b/>
          <w:bCs/>
        </w:rPr>
        <w:t>Organización Norteamericana de Protección a las Plantas (NAPPO)</w:t>
      </w:r>
      <w:r>
        <w:t xml:space="preserve">. 2012. </w:t>
      </w:r>
      <w:r>
        <w:rPr>
          <w:i/>
          <w:iCs/>
        </w:rPr>
        <w:t>Directrices generales para el análisis de riesgo de la vía</w:t>
      </w:r>
      <w:r>
        <w:t>.</w:t>
      </w:r>
      <w:r>
        <w:rPr>
          <w:i/>
        </w:rPr>
        <w:t xml:space="preserve"> </w:t>
      </w:r>
      <w:r>
        <w:rPr>
          <w:lang w:val="en-US"/>
        </w:rPr>
        <w:t>NRMF 31. Ottawa. 20 págs.</w:t>
      </w:r>
      <w:r>
        <w:rPr>
          <w:i/>
          <w:lang w:val="en-US"/>
        </w:rPr>
        <w:t xml:space="preserve"> </w:t>
      </w:r>
      <w:hyperlink w:history="1" r:id="rId23">
        <w:r>
          <w:rPr>
            <w:rStyle w:val="Hyperlink"/>
            <w:lang w:val="en-US"/>
          </w:rPr>
          <w:t>https://www.nappo.org/application/files/8615/8352/2976/RSPM_31-01-06-12-e.pdf</w:t>
        </w:r>
      </w:hyperlink>
    </w:p>
    <w:p w14:paraId="3D6E9F93" w14:textId="3CC09568">
      <w:pPr>
        <w:pStyle w:val="IPPParagraphnumbering"/>
        <w:numPr>
          <w:ilvl w:val="0"/>
          <w:numId w:val="0"/>
        </w:numPr>
        <w:rPr>
          <w:lang w:val="en-US"/>
        </w:rPr>
      </w:pPr>
      <w:r>
        <w:rPr>
          <w:rStyle w:val="PleaseReviewParagraphId"/>
          <w:b w:val="off"/>
          <w:i w:val="off"/>
        </w:rPr>
        <w:t>[80]</w:t>
      </w:r>
      <w:r>
        <w:rPr>
          <w:b/>
        </w:rPr>
        <w:t>NAPPO</w:t>
      </w:r>
      <w:r>
        <w:t xml:space="preserve">. 2014. </w:t>
      </w:r>
      <w:r>
        <w:rPr>
          <w:i/>
          <w:iCs/>
        </w:rPr>
        <w:t>Principios sobre el manejo del riesgo de plagas para la importación de productos</w:t>
      </w:r>
      <w:r>
        <w:t xml:space="preserve">. </w:t>
      </w:r>
      <w:r>
        <w:rPr>
          <w:lang w:val="en-US"/>
        </w:rPr>
        <w:t>NRMF 40. Ottawa. 28 págs.</w:t>
      </w:r>
      <w:r>
        <w:rPr>
          <w:i/>
          <w:lang w:val="en-US"/>
        </w:rPr>
        <w:t xml:space="preserve"> </w:t>
      </w:r>
      <w:hyperlink w:history="1" r:id="rId24">
        <w:r>
          <w:rPr>
            <w:rStyle w:val="Hyperlink"/>
            <w:lang w:val="en-US"/>
          </w:rPr>
          <w:t>https://nappo.org/application/files/1315/8352/2979/RSPM_40-07-28-14-e.pdf</w:t>
        </w:r>
      </w:hyperlink>
    </w:p>
    <w:p w14:paraId="57ECA9A3" w14:textId="77777777">
      <w:pPr>
        <w:pStyle w:val="IPPParagraphnumbering"/>
        <w:numPr>
          <w:ilvl w:val="0"/>
          <w:numId w:val="0"/>
        </w:numPr>
        <w:rPr>
          <w:rStyle w:val="Hyperlink"/>
          <w:color w:val="auto"/>
        </w:rPr>
      </w:pPr>
      <w:r>
        <w:rPr>
          <w:rStyle w:val="PleaseReviewParagraphId"/>
          <w:b w:val="off"/>
          <w:i w:val="off"/>
        </w:rPr>
        <w:t>[81]</w:t>
      </w:r>
      <w:r>
        <w:rPr>
          <w:b/>
          <w:bCs/>
        </w:rPr>
        <w:t>Organización Mundial de Sanidad Animal (OMSA)</w:t>
      </w:r>
      <w:r>
        <w:t xml:space="preserve">. </w:t>
      </w:r>
      <w:r>
        <w:rPr>
          <w:lang w:val="en-US"/>
        </w:rPr>
        <w:t xml:space="preserve">2010. </w:t>
      </w:r>
      <w:r>
        <w:rPr>
          <w:i/>
          <w:lang w:val="en-GB"/>
        </w:rPr>
        <w:t>Handbook on import risk analysis for animals and animal products – Volume 1,</w:t>
      </w:r>
      <w:r>
        <w:rPr>
          <w:lang w:val="en-GB"/>
        </w:rPr>
        <w:t xml:space="preserve"> </w:t>
      </w:r>
      <w:r>
        <w:rPr>
          <w:i/>
          <w:lang w:val="en-GB"/>
        </w:rPr>
        <w:t>Introduction and qualitative risk analysis</w:t>
      </w:r>
      <w:r>
        <w:rPr>
          <w:lang w:val="en-GB"/>
        </w:rPr>
        <w:t>, 2ª. ed</w:t>
      </w:r>
      <w:r>
        <w:rPr>
          <w:i/>
          <w:lang w:val="en-GB"/>
        </w:rPr>
        <w:t xml:space="preserve">. </w:t>
      </w:r>
      <w:r>
        <w:t xml:space="preserve">París. xii + </w:t>
        <w:lastRenderedPageBreak/>
        <w:t xml:space="preserve">88 págs. </w:t>
      </w:r>
      <w:hyperlink w:history="1" r:id="rId25">
        <w:r>
          <w:rPr>
            <w:rStyle w:val="Hyperlink"/>
          </w:rPr>
          <w:t>https://rr-africa.woah.org/wp-content/uploads/2018/03/handbook_on_import_risk_analysis_-_oie_-_vol__i.pdf</w:t>
        </w:r>
      </w:hyperlink>
    </w:p>
    <w:p w14:paraId="2D34A6E3" w14:textId="433089BA">
      <w:pPr>
        <w:pStyle w:val="IPPParagraphnumbering"/>
        <w:numPr>
          <w:ilvl w:val="0"/>
          <w:numId w:val="0"/>
        </w:numPr>
      </w:pPr>
      <w:r>
        <w:rPr>
          <w:rStyle w:val="PleaseReviewParagraphId"/>
          <w:b w:val="off"/>
          <w:i w:val="off"/>
        </w:rPr>
        <w:t>[82]</w:t>
      </w:r>
      <w:r>
        <w:rPr>
          <w:b/>
          <w:bCs/>
          <w:lang w:val="en-US"/>
        </w:rPr>
        <w:t>OMSA</w:t>
      </w:r>
      <w:r>
        <w:rPr>
          <w:lang w:val="en-US"/>
        </w:rPr>
        <w:t xml:space="preserve">. 2019. Risk analysis. </w:t>
      </w:r>
      <w:r>
        <w:rPr>
          <w:lang w:val="en-GB"/>
        </w:rPr>
        <w:t xml:space="preserve">En: </w:t>
      </w:r>
      <w:r>
        <w:rPr>
          <w:i/>
          <w:lang w:val="en-GB"/>
        </w:rPr>
        <w:t>Terrestrial animal health code – Volume 1, General provisions</w:t>
      </w:r>
      <w:r>
        <w:rPr>
          <w:lang w:val="en-GB"/>
        </w:rPr>
        <w:t>,</w:t>
      </w:r>
      <w:r>
        <w:rPr>
          <w:i/>
          <w:lang w:val="en-GB"/>
        </w:rPr>
        <w:t xml:space="preserve"> </w:t>
      </w:r>
      <w:r>
        <w:rPr>
          <w:lang w:val="en-GB"/>
        </w:rPr>
        <w:t xml:space="preserve">28.ª ed., págs. </w:t>
      </w:r>
      <w:r>
        <w:t xml:space="preserve">101-106. París. </w:t>
      </w:r>
      <w:hyperlink w:history="1" r:id="rId26">
        <w:r>
          <w:rPr>
            <w:rStyle w:val="Hyperlink"/>
          </w:rPr>
          <w:t>https://rr-europe.woah.org/wp-content/uploads/2020/08/oie-terrestrial-code-1_2019_en.pdf</w:t>
        </w:r>
      </w:hyperlink>
    </w:p>
    <w:p w14:paraId="57F30FAE" w14:textId="77777777">
      <w:pPr>
        <w:pStyle w:val="IPPSubheadSpace"/>
      </w:pPr>
      <w:r>
        <w:rPr>
          <w:rStyle w:val="PleaseReviewParagraphId"/>
          <w:b w:val="off"/>
          <w:i w:val="off"/>
        </w:rPr>
        <w:t>[83]</w:t>
      </w:r>
      <w:r>
        <w:t>Documentos de debate</w:t>
      </w:r>
    </w:p>
    <w:p w14:paraId="22AD6F6A" w14:textId="77777777">
      <w:pPr>
        <w:pStyle w:val="IPPParagraphnumbering"/>
        <w:numPr>
          <w:ilvl w:val="0"/>
          <w:numId w:val="0"/>
        </w:numPr>
      </w:pPr>
      <w:r>
        <w:rPr>
          <w:rStyle w:val="PleaseReviewParagraphId"/>
          <w:b w:val="off"/>
          <w:i w:val="off"/>
        </w:rPr>
        <w:t>[84]</w:t>
      </w:r>
      <w:r>
        <w:t>Se alienta a los participantes y las partes interesadas a remitir documentos de debate a la Secretaría de la CIPF (</w:t>
      </w:r>
      <w:hyperlink w:history="1" r:id="rId27">
        <w:r>
          <w:rPr>
            <w:rStyle w:val="Hyperlink"/>
          </w:rPr>
          <w:t>ippc@fao.org</w:t>
        </w:r>
      </w:hyperlink>
      <w:r>
        <w:t>) para examen del GTE.</w:t>
      </w:r>
    </w:p>
    <w:p w14:paraId="7297E9E1" w14:textId="77777777">
      <w:pPr>
        <w:pStyle w:val="IPPParagraphnumbering"/>
        <w:numPr>
          <w:ilvl w:val="0"/>
          <w:numId w:val="0"/>
        </w:numPr>
      </w:pPr>
      <w:r>
        <w:rPr>
          <w:rStyle w:val="PleaseReviewParagraphId"/>
          <w:b w:val="off"/>
          <w:i w:val="off"/>
        </w:rPr>
        <w:t>[85]</w:t>
      </w:r>
      <w:r>
        <w:t xml:space="preserve">El proyecto de NIMF sobre </w:t>
      </w:r>
      <w:r>
        <w:rPr>
          <w:i/>
          <w:iCs/>
        </w:rPr>
        <w:t>Manejo del riesgo de plagas para plagas cuarentenarias</w:t>
      </w:r>
      <w:r>
        <w:t xml:space="preserve"> (2014-001) (tanto la versión redactada por el GTE como la revisada por el CN).</w:t>
      </w:r>
    </w:p>
    <w:sectPr>
      <w:pgSz w:w="11906" w:h="16838" w:code="9"/>
      <w:pgMar w:top="1559" w:right="1418" w:bottom="1418" w:left="1418" w:header="851" w:footer="851" w:gutter="0"/>
      <w:cols w:space="708"/>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938EC" w14:textId="77777777">
      <w:r>
        <w:rPr>
          <w:rStyle w:val="PleaseReviewParagraphId"/>
          <w:b w:val="off"/>
          <w:i w:val="off"/>
        </w:rPr>
        <w:t>[]</w:t>
      </w:r>
      <w:r>
        <w:separator/>
      </w:r>
    </w:p>
  </w:endnote>
  <w:endnote w:type="continuationSeparator" w:id="0">
    <w:p w14:paraId="7F0DAABD" w14:textId="77777777">
      <w:r>
        <w:rPr>
          <w:rStyle w:val="PleaseReviewParagraphId"/>
          <w:b w:val="off"/>
          <w:i w:val="off"/>
        </w:rPr>
        <w:t>[]</w:t>
      </w:r>
      <w:r>
        <w:continuationSeparator/>
      </w:r>
    </w:p>
  </w:endnote>
  <w:endnote w:type="continuationNotice" w:id="1">
    <w:p w14:paraId="476B8D1F" w14:textId="77777777">
      <w:r>
        <w:rPr>
          <w:rStyle w:val="PleaseReviewParagraphId"/>
          <w:b w:val="off"/>
          <w:i w:val="off"/>
        </w:rPr>
        <w:t>[]</w:t>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918C2" w14:textId="77777777">
      <w:r>
        <w:rPr>
          <w:rStyle w:val="PleaseReviewParagraphId"/>
          <w:b w:val="off"/>
          <w:i w:val="off"/>
        </w:rPr>
        <w:t>[]</w:t>
      </w:r>
      <w:r>
        <w:separator/>
      </w:r>
    </w:p>
  </w:footnote>
  <w:footnote w:type="continuationSeparator" w:id="0">
    <w:p w14:paraId="61B2D2AA" w14:textId="77777777">
      <w:r>
        <w:rPr>
          <w:rStyle w:val="PleaseReviewParagraphId"/>
          <w:b w:val="off"/>
          <w:i w:val="off"/>
        </w:rPr>
        <w:t>[]</w:t>
      </w:r>
      <w:r>
        <w:continuationSeparator/>
      </w:r>
    </w:p>
  </w:footnote>
  <w:footnote w:type="continuationNotice" w:id="1">
    <w:p w14:paraId="16368A2E" w14:textId="77777777">
      <w:r>
        <w:rPr>
          <w:rStyle w:val="PleaseReviewParagraphId"/>
          <w:b w:val="off"/>
          <w:i w:val="off"/>
        </w:rPr>
        <w:t>[]</w:t>
      </w:r>
    </w:p>
  </w:footnote>
</w:footnotes>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778A4A42"/>
    <w:lvl w:ilvl="0" w:tplc="04090011">
      <w:start w:val="1"/>
      <w:numFmt w:val="decimal"/>
      <w:pStyle w:val="IPPNumberedList"/>
      <w:lvlText w:val="%1)"/>
      <w:lvlJc w:val="left"/>
      <w:pPr>
        <w:tabs>
          <w:tab w:val="num" w:pos="567"/>
        </w:tabs>
        <w:ind w:left="567" w:hanging="567"/>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C0A6C"/>
    <w:multiLevelType w:val="multilevel"/>
    <w:tmpl w:val="06E871E4"/>
    <w:numStyleLink w:val="IPPParagraphnumberedlist"/>
  </w:abstractNum>
  <w:abstractNum w:abstractNumId="1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89A7F28"/>
    <w:multiLevelType w:val="hybridMultilevel"/>
    <w:tmpl w:val="D55A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21FF6EA6"/>
    <w:multiLevelType w:val="hybridMultilevel"/>
    <w:tmpl w:val="2514EB7E"/>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D60DE0"/>
    <w:multiLevelType w:val="hybridMultilevel"/>
    <w:tmpl w:val="E9F2934C"/>
    <w:lvl w:ilvl="0" w:tplc="CE52D25A">
      <w:start w:val="1"/>
      <w:numFmt w:val="decimal"/>
      <w:pStyle w:val="IPPSubheadNumber"/>
      <w:lvlText w:val="%1"/>
      <w:lvlJc w:val="left"/>
      <w:pPr>
        <w:tabs>
          <w:tab w:val="num" w:pos="567"/>
        </w:tabs>
        <w:ind w:left="0" w:firstLine="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65E73"/>
    <w:multiLevelType w:val="hybridMultilevel"/>
    <w:tmpl w:val="C5AE239A"/>
    <w:lvl w:ilvl="0" w:tplc="0F929B54">
      <w:start w:val="1"/>
      <w:numFmt w:val="decimal"/>
      <w:pStyle w:val="IPPNumber"/>
      <w:lvlText w:val="%1"/>
      <w:lvlJc w:val="left"/>
      <w:pPr>
        <w:tabs>
          <w:tab w:val="num" w:pos="567"/>
        </w:tabs>
        <w:ind w:left="0" w:firstLine="0"/>
      </w:pPr>
      <w:rPr>
        <w:rFonts w:ascii="Times New Roman" w:hAnsi="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9" w15:restartNumberingAfterBreak="0">
    <w:nsid w:val="35A3795A"/>
    <w:multiLevelType w:val="hybridMultilevel"/>
    <w:tmpl w:val="E79038CE"/>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2712D"/>
    <w:multiLevelType w:val="hybridMultilevel"/>
    <w:tmpl w:val="1AAED634"/>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4705DD"/>
    <w:multiLevelType w:val="hybridMultilevel"/>
    <w:tmpl w:val="F6DE69F2"/>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6940B0"/>
    <w:multiLevelType w:val="multilevel"/>
    <w:tmpl w:val="06E871E4"/>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25" w15:restartNumberingAfterBreak="0">
    <w:nsid w:val="50C43251"/>
    <w:multiLevelType w:val="hybridMultilevel"/>
    <w:tmpl w:val="269C9E88"/>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557115C0"/>
    <w:multiLevelType w:val="hybridMultilevel"/>
    <w:tmpl w:val="0EB22AA6"/>
    <w:lvl w:ilvl="0" w:tplc="E49AA51E">
      <w:start w:val="201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BB2A67"/>
    <w:multiLevelType w:val="hybridMultilevel"/>
    <w:tmpl w:val="BABEADA6"/>
    <w:lvl w:ilvl="0" w:tplc="D53C1F94">
      <w:start w:val="1"/>
      <w:numFmt w:val="bullet"/>
      <w:lvlText w:val="-"/>
      <w:lvlJc w:val="left"/>
      <w:pPr>
        <w:tabs>
          <w:tab w:val="num" w:pos="567"/>
        </w:tabs>
        <w:ind w:left="567"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B604A5"/>
    <w:multiLevelType w:val="hybridMultilevel"/>
    <w:tmpl w:val="D4CC15E0"/>
    <w:lvl w:ilvl="0" w:tplc="6C3249DA">
      <w:start w:val="1"/>
      <w:numFmt w:val="decimal"/>
      <w:lvlText w:val="[%1]"/>
      <w:lvlJc w:val="left"/>
      <w:pPr>
        <w:ind w:left="720" w:hanging="360"/>
      </w:pPr>
      <w:rPr>
        <w:rFonts w:ascii="Arial" w:hAnsi="Arial" w:cs="Arial"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6"/>
  </w:num>
  <w:num w:numId="3">
    <w:abstractNumId w:val="31"/>
  </w:num>
  <w:num w:numId="4">
    <w:abstractNumId w:val="26"/>
  </w:num>
  <w:num w:numId="5">
    <w:abstractNumId w:val="30"/>
  </w:num>
  <w:num w:numId="6">
    <w:abstractNumId w:val="12"/>
  </w:num>
  <w:num w:numId="7">
    <w:abstractNumId w:val="18"/>
  </w:num>
  <w:num w:numId="8">
    <w:abstractNumId w:val="10"/>
  </w:num>
  <w:num w:numId="9">
    <w:abstractNumId w:val="28"/>
  </w:num>
  <w:num w:numId="10">
    <w:abstractNumId w:val="13"/>
  </w:num>
  <w:num w:numId="11">
    <w:abstractNumId w:val="15"/>
  </w:num>
  <w:num w:numId="12">
    <w:abstractNumId w:val="32"/>
  </w:num>
  <w:num w:numId="13">
    <w:abstractNumId w:val="25"/>
  </w:num>
  <w:num w:numId="14">
    <w:abstractNumId w:val="20"/>
  </w:num>
  <w:num w:numId="15">
    <w:abstractNumId w:val="19"/>
  </w:num>
  <w:num w:numId="16">
    <w:abstractNumId w:val="10"/>
  </w:num>
  <w:num w:numId="17">
    <w:abstractNumId w:val="21"/>
  </w:num>
  <w:num w:numId="18">
    <w:abstractNumId w:val="27"/>
  </w:num>
  <w:num w:numId="19">
    <w:abstractNumId w:val="10"/>
  </w:num>
  <w:num w:numId="20">
    <w:abstractNumId w:val="11"/>
  </w:num>
  <w:num w:numId="21">
    <w:abstractNumId w:val="22"/>
  </w:num>
  <w:num w:numId="22">
    <w:abstractNumId w:val="33"/>
  </w:num>
  <w:num w:numId="23">
    <w:abstractNumId w:val="14"/>
  </w:num>
  <w:num w:numId="24">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5">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6">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7">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8">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9">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0">
    <w:abstractNumId w:val="23"/>
  </w:num>
  <w:num w:numId="31">
    <w:abstractNumId w:val="29"/>
  </w:num>
  <w:num w:numId="32">
    <w:abstractNumId w:val="24"/>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4">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5">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70"/>
    <w:rsid w:val="00004294"/>
    <w:rsid w:val="00011FFC"/>
    <w:rsid w:val="00012842"/>
    <w:rsid w:val="00013203"/>
    <w:rsid w:val="00020A00"/>
    <w:rsid w:val="000250E5"/>
    <w:rsid w:val="00036352"/>
    <w:rsid w:val="00041CEC"/>
    <w:rsid w:val="00042041"/>
    <w:rsid w:val="0004626B"/>
    <w:rsid w:val="00046897"/>
    <w:rsid w:val="00050561"/>
    <w:rsid w:val="00055101"/>
    <w:rsid w:val="000560B4"/>
    <w:rsid w:val="00065CE8"/>
    <w:rsid w:val="000709EF"/>
    <w:rsid w:val="00083D11"/>
    <w:rsid w:val="00087C0D"/>
    <w:rsid w:val="00092110"/>
    <w:rsid w:val="0009282B"/>
    <w:rsid w:val="00092B1A"/>
    <w:rsid w:val="00094642"/>
    <w:rsid w:val="000A3E02"/>
    <w:rsid w:val="000B6B41"/>
    <w:rsid w:val="000B7E3B"/>
    <w:rsid w:val="000C23EB"/>
    <w:rsid w:val="000C274B"/>
    <w:rsid w:val="000C70FC"/>
    <w:rsid w:val="000D3BB5"/>
    <w:rsid w:val="000E0C8E"/>
    <w:rsid w:val="000E2A1F"/>
    <w:rsid w:val="001018B7"/>
    <w:rsid w:val="00110616"/>
    <w:rsid w:val="00111856"/>
    <w:rsid w:val="00112E1D"/>
    <w:rsid w:val="001161D1"/>
    <w:rsid w:val="00116207"/>
    <w:rsid w:val="001178E1"/>
    <w:rsid w:val="001421D9"/>
    <w:rsid w:val="0014296A"/>
    <w:rsid w:val="00142E0E"/>
    <w:rsid w:val="001461F6"/>
    <w:rsid w:val="001674FC"/>
    <w:rsid w:val="0017292E"/>
    <w:rsid w:val="00174692"/>
    <w:rsid w:val="00180E17"/>
    <w:rsid w:val="00185B66"/>
    <w:rsid w:val="00186DFB"/>
    <w:rsid w:val="00190582"/>
    <w:rsid w:val="001A0C03"/>
    <w:rsid w:val="001A1A84"/>
    <w:rsid w:val="001A20B3"/>
    <w:rsid w:val="001B10C3"/>
    <w:rsid w:val="001B5171"/>
    <w:rsid w:val="001B7695"/>
    <w:rsid w:val="001C0A0F"/>
    <w:rsid w:val="001C208E"/>
    <w:rsid w:val="001C7612"/>
    <w:rsid w:val="001C7A33"/>
    <w:rsid w:val="001D0CC9"/>
    <w:rsid w:val="001D4696"/>
    <w:rsid w:val="001D7753"/>
    <w:rsid w:val="001E315C"/>
    <w:rsid w:val="001E3927"/>
    <w:rsid w:val="001E440C"/>
    <w:rsid w:val="001E6985"/>
    <w:rsid w:val="001F6E51"/>
    <w:rsid w:val="001F7454"/>
    <w:rsid w:val="00200519"/>
    <w:rsid w:val="0021037A"/>
    <w:rsid w:val="0021718B"/>
    <w:rsid w:val="00221364"/>
    <w:rsid w:val="002226CF"/>
    <w:rsid w:val="00225BBB"/>
    <w:rsid w:val="0022740D"/>
    <w:rsid w:val="00227BF5"/>
    <w:rsid w:val="00233CC8"/>
    <w:rsid w:val="00251C98"/>
    <w:rsid w:val="00254A06"/>
    <w:rsid w:val="00256CCC"/>
    <w:rsid w:val="0026405D"/>
    <w:rsid w:val="00264247"/>
    <w:rsid w:val="0026435B"/>
    <w:rsid w:val="00270E1A"/>
    <w:rsid w:val="002815AC"/>
    <w:rsid w:val="002818C7"/>
    <w:rsid w:val="002818EA"/>
    <w:rsid w:val="00283A0A"/>
    <w:rsid w:val="00284E63"/>
    <w:rsid w:val="00293B33"/>
    <w:rsid w:val="0029569B"/>
    <w:rsid w:val="00295E73"/>
    <w:rsid w:val="002961D7"/>
    <w:rsid w:val="002A42C9"/>
    <w:rsid w:val="002A46AE"/>
    <w:rsid w:val="002B777A"/>
    <w:rsid w:val="002C13B1"/>
    <w:rsid w:val="002C4827"/>
    <w:rsid w:val="002C5C8A"/>
    <w:rsid w:val="002D063C"/>
    <w:rsid w:val="002D61BB"/>
    <w:rsid w:val="002E2CE1"/>
    <w:rsid w:val="002E4524"/>
    <w:rsid w:val="002F35FE"/>
    <w:rsid w:val="002F5210"/>
    <w:rsid w:val="00303260"/>
    <w:rsid w:val="0030399B"/>
    <w:rsid w:val="00307F7A"/>
    <w:rsid w:val="003141E5"/>
    <w:rsid w:val="00314DE2"/>
    <w:rsid w:val="00314EAD"/>
    <w:rsid w:val="00317609"/>
    <w:rsid w:val="00330E59"/>
    <w:rsid w:val="00331932"/>
    <w:rsid w:val="00331ED3"/>
    <w:rsid w:val="00334C65"/>
    <w:rsid w:val="00344EFA"/>
    <w:rsid w:val="003478FB"/>
    <w:rsid w:val="0037148F"/>
    <w:rsid w:val="00372F68"/>
    <w:rsid w:val="0038323B"/>
    <w:rsid w:val="00387466"/>
    <w:rsid w:val="00393A56"/>
    <w:rsid w:val="00397E8F"/>
    <w:rsid w:val="003A1BB7"/>
    <w:rsid w:val="003A2CAD"/>
    <w:rsid w:val="003A32C9"/>
    <w:rsid w:val="003B1B7D"/>
    <w:rsid w:val="003B4681"/>
    <w:rsid w:val="003B7787"/>
    <w:rsid w:val="003C1891"/>
    <w:rsid w:val="003D2B6D"/>
    <w:rsid w:val="003D34DF"/>
    <w:rsid w:val="003D52A0"/>
    <w:rsid w:val="003E3010"/>
    <w:rsid w:val="003E5516"/>
    <w:rsid w:val="003F1199"/>
    <w:rsid w:val="003F46CC"/>
    <w:rsid w:val="003F4EC6"/>
    <w:rsid w:val="00402EE1"/>
    <w:rsid w:val="00403F88"/>
    <w:rsid w:val="004103DB"/>
    <w:rsid w:val="0041531F"/>
    <w:rsid w:val="004200E4"/>
    <w:rsid w:val="00423FFA"/>
    <w:rsid w:val="00424AE6"/>
    <w:rsid w:val="004300B9"/>
    <w:rsid w:val="00432418"/>
    <w:rsid w:val="004337CD"/>
    <w:rsid w:val="00442F7D"/>
    <w:rsid w:val="00453282"/>
    <w:rsid w:val="00455979"/>
    <w:rsid w:val="004627E0"/>
    <w:rsid w:val="004671A6"/>
    <w:rsid w:val="004822F5"/>
    <w:rsid w:val="00485A74"/>
    <w:rsid w:val="0048632C"/>
    <w:rsid w:val="00495BBC"/>
    <w:rsid w:val="00497F3B"/>
    <w:rsid w:val="004B5591"/>
    <w:rsid w:val="004B7C51"/>
    <w:rsid w:val="004C2276"/>
    <w:rsid w:val="004C55B8"/>
    <w:rsid w:val="004D099A"/>
    <w:rsid w:val="004D2256"/>
    <w:rsid w:val="004D2F37"/>
    <w:rsid w:val="004D357A"/>
    <w:rsid w:val="004D6583"/>
    <w:rsid w:val="004D7E1C"/>
    <w:rsid w:val="004E363E"/>
    <w:rsid w:val="004E449C"/>
    <w:rsid w:val="004E5DAA"/>
    <w:rsid w:val="004F32C4"/>
    <w:rsid w:val="004F496A"/>
    <w:rsid w:val="00502985"/>
    <w:rsid w:val="00504C00"/>
    <w:rsid w:val="005065DE"/>
    <w:rsid w:val="005125C2"/>
    <w:rsid w:val="00514B91"/>
    <w:rsid w:val="005156B4"/>
    <w:rsid w:val="005179C2"/>
    <w:rsid w:val="00517C5F"/>
    <w:rsid w:val="005201C9"/>
    <w:rsid w:val="0053224B"/>
    <w:rsid w:val="005426B7"/>
    <w:rsid w:val="00544697"/>
    <w:rsid w:val="00551304"/>
    <w:rsid w:val="005635D1"/>
    <w:rsid w:val="00565894"/>
    <w:rsid w:val="005679A6"/>
    <w:rsid w:val="0057013D"/>
    <w:rsid w:val="005833DB"/>
    <w:rsid w:val="00585CF2"/>
    <w:rsid w:val="00585F7D"/>
    <w:rsid w:val="00586A93"/>
    <w:rsid w:val="005957F0"/>
    <w:rsid w:val="005A7BF3"/>
    <w:rsid w:val="005B1471"/>
    <w:rsid w:val="005C2B5A"/>
    <w:rsid w:val="005C39AC"/>
    <w:rsid w:val="005C3E81"/>
    <w:rsid w:val="005C5B07"/>
    <w:rsid w:val="005D07DC"/>
    <w:rsid w:val="005D0EFD"/>
    <w:rsid w:val="005D3272"/>
    <w:rsid w:val="005E2540"/>
    <w:rsid w:val="005E2DEE"/>
    <w:rsid w:val="005E4A3F"/>
    <w:rsid w:val="005E4E14"/>
    <w:rsid w:val="005F14D6"/>
    <w:rsid w:val="005F4875"/>
    <w:rsid w:val="005F5848"/>
    <w:rsid w:val="00602EA2"/>
    <w:rsid w:val="00607FB9"/>
    <w:rsid w:val="00624B48"/>
    <w:rsid w:val="00633633"/>
    <w:rsid w:val="00633952"/>
    <w:rsid w:val="00634396"/>
    <w:rsid w:val="006419B9"/>
    <w:rsid w:val="00647D9E"/>
    <w:rsid w:val="00660AA6"/>
    <w:rsid w:val="0066153E"/>
    <w:rsid w:val="0066211C"/>
    <w:rsid w:val="0066378E"/>
    <w:rsid w:val="0066567F"/>
    <w:rsid w:val="006714FD"/>
    <w:rsid w:val="0068334A"/>
    <w:rsid w:val="00686D7F"/>
    <w:rsid w:val="006977F6"/>
    <w:rsid w:val="006A4F26"/>
    <w:rsid w:val="006B14CA"/>
    <w:rsid w:val="006B32EA"/>
    <w:rsid w:val="006B541F"/>
    <w:rsid w:val="006B764F"/>
    <w:rsid w:val="006B7A96"/>
    <w:rsid w:val="006B7CAD"/>
    <w:rsid w:val="006C1D07"/>
    <w:rsid w:val="006C1DD9"/>
    <w:rsid w:val="006C2F02"/>
    <w:rsid w:val="006D0762"/>
    <w:rsid w:val="006E01A1"/>
    <w:rsid w:val="006E3FF1"/>
    <w:rsid w:val="006E40B0"/>
    <w:rsid w:val="006E5259"/>
    <w:rsid w:val="006F4341"/>
    <w:rsid w:val="00702CE4"/>
    <w:rsid w:val="0070455B"/>
    <w:rsid w:val="00706EA6"/>
    <w:rsid w:val="00713308"/>
    <w:rsid w:val="00713C9F"/>
    <w:rsid w:val="00726BD8"/>
    <w:rsid w:val="00754099"/>
    <w:rsid w:val="00760D73"/>
    <w:rsid w:val="007635CD"/>
    <w:rsid w:val="00763EBB"/>
    <w:rsid w:val="00763F7F"/>
    <w:rsid w:val="007672C8"/>
    <w:rsid w:val="00771A79"/>
    <w:rsid w:val="007752C3"/>
    <w:rsid w:val="007754F3"/>
    <w:rsid w:val="00775CBE"/>
    <w:rsid w:val="00782DF2"/>
    <w:rsid w:val="0078562B"/>
    <w:rsid w:val="007873B7"/>
    <w:rsid w:val="0079040A"/>
    <w:rsid w:val="00790AD9"/>
    <w:rsid w:val="00791A19"/>
    <w:rsid w:val="00794946"/>
    <w:rsid w:val="00794CF6"/>
    <w:rsid w:val="0079544A"/>
    <w:rsid w:val="00796318"/>
    <w:rsid w:val="007B2B36"/>
    <w:rsid w:val="007B3EA9"/>
    <w:rsid w:val="007C2BA5"/>
    <w:rsid w:val="007C33F1"/>
    <w:rsid w:val="007C7606"/>
    <w:rsid w:val="007C7BFA"/>
    <w:rsid w:val="007D27C0"/>
    <w:rsid w:val="007E0F05"/>
    <w:rsid w:val="007E18DC"/>
    <w:rsid w:val="007E2C1A"/>
    <w:rsid w:val="007E2E44"/>
    <w:rsid w:val="007E677E"/>
    <w:rsid w:val="007E6904"/>
    <w:rsid w:val="007E7872"/>
    <w:rsid w:val="007F27C9"/>
    <w:rsid w:val="007F3090"/>
    <w:rsid w:val="007F32D3"/>
    <w:rsid w:val="00801165"/>
    <w:rsid w:val="00802481"/>
    <w:rsid w:val="008058B9"/>
    <w:rsid w:val="00806C0B"/>
    <w:rsid w:val="0080741F"/>
    <w:rsid w:val="008127A0"/>
    <w:rsid w:val="00813733"/>
    <w:rsid w:val="0081699F"/>
    <w:rsid w:val="00821035"/>
    <w:rsid w:val="00827197"/>
    <w:rsid w:val="008275EE"/>
    <w:rsid w:val="00833516"/>
    <w:rsid w:val="00833A47"/>
    <w:rsid w:val="008340EA"/>
    <w:rsid w:val="008439C5"/>
    <w:rsid w:val="00845390"/>
    <w:rsid w:val="00847848"/>
    <w:rsid w:val="00851D2D"/>
    <w:rsid w:val="00852CCB"/>
    <w:rsid w:val="00853B94"/>
    <w:rsid w:val="00857EDF"/>
    <w:rsid w:val="008656ED"/>
    <w:rsid w:val="008668B9"/>
    <w:rsid w:val="0087027C"/>
    <w:rsid w:val="0087329D"/>
    <w:rsid w:val="0087427C"/>
    <w:rsid w:val="00876210"/>
    <w:rsid w:val="008804BA"/>
    <w:rsid w:val="0088132B"/>
    <w:rsid w:val="0088311C"/>
    <w:rsid w:val="00886F4F"/>
    <w:rsid w:val="00894463"/>
    <w:rsid w:val="008B04D8"/>
    <w:rsid w:val="008B2DEA"/>
    <w:rsid w:val="008B4E42"/>
    <w:rsid w:val="008C0091"/>
    <w:rsid w:val="008C20C6"/>
    <w:rsid w:val="008C2797"/>
    <w:rsid w:val="008C6084"/>
    <w:rsid w:val="008D360F"/>
    <w:rsid w:val="008E5CEB"/>
    <w:rsid w:val="008F1A5E"/>
    <w:rsid w:val="008F6A0B"/>
    <w:rsid w:val="00903AC4"/>
    <w:rsid w:val="00906FE7"/>
    <w:rsid w:val="00912C12"/>
    <w:rsid w:val="00914CEE"/>
    <w:rsid w:val="00915580"/>
    <w:rsid w:val="00925369"/>
    <w:rsid w:val="00930ADA"/>
    <w:rsid w:val="00930ECC"/>
    <w:rsid w:val="0093186F"/>
    <w:rsid w:val="00933B2E"/>
    <w:rsid w:val="00933C00"/>
    <w:rsid w:val="00933D18"/>
    <w:rsid w:val="00943DD6"/>
    <w:rsid w:val="00951D32"/>
    <w:rsid w:val="00951EC8"/>
    <w:rsid w:val="009563FA"/>
    <w:rsid w:val="00962F08"/>
    <w:rsid w:val="009643C5"/>
    <w:rsid w:val="009644D9"/>
    <w:rsid w:val="009647D0"/>
    <w:rsid w:val="00966A09"/>
    <w:rsid w:val="00977415"/>
    <w:rsid w:val="009844BE"/>
    <w:rsid w:val="0099453D"/>
    <w:rsid w:val="009968F2"/>
    <w:rsid w:val="00997689"/>
    <w:rsid w:val="009A4FB5"/>
    <w:rsid w:val="009B4CBC"/>
    <w:rsid w:val="009B4CC2"/>
    <w:rsid w:val="009B7563"/>
    <w:rsid w:val="009C24EC"/>
    <w:rsid w:val="009D12F7"/>
    <w:rsid w:val="009D13F4"/>
    <w:rsid w:val="009F5BB6"/>
    <w:rsid w:val="00A102AE"/>
    <w:rsid w:val="00A12C47"/>
    <w:rsid w:val="00A15204"/>
    <w:rsid w:val="00A24065"/>
    <w:rsid w:val="00A31A6D"/>
    <w:rsid w:val="00A31CBF"/>
    <w:rsid w:val="00A31FA8"/>
    <w:rsid w:val="00A6108C"/>
    <w:rsid w:val="00A66C8B"/>
    <w:rsid w:val="00A702DB"/>
    <w:rsid w:val="00A7052F"/>
    <w:rsid w:val="00A72791"/>
    <w:rsid w:val="00A770FC"/>
    <w:rsid w:val="00A824F8"/>
    <w:rsid w:val="00A838B2"/>
    <w:rsid w:val="00A849D1"/>
    <w:rsid w:val="00A8699A"/>
    <w:rsid w:val="00A94B98"/>
    <w:rsid w:val="00A965AB"/>
    <w:rsid w:val="00A971B7"/>
    <w:rsid w:val="00AA0D3F"/>
    <w:rsid w:val="00AB21CA"/>
    <w:rsid w:val="00AC5DF3"/>
    <w:rsid w:val="00AD0B3E"/>
    <w:rsid w:val="00AD62F0"/>
    <w:rsid w:val="00AD7C74"/>
    <w:rsid w:val="00AE1595"/>
    <w:rsid w:val="00AE19B1"/>
    <w:rsid w:val="00AE48D6"/>
    <w:rsid w:val="00AF2F6E"/>
    <w:rsid w:val="00B037A2"/>
    <w:rsid w:val="00B041EC"/>
    <w:rsid w:val="00B062F6"/>
    <w:rsid w:val="00B14EE0"/>
    <w:rsid w:val="00B1698D"/>
    <w:rsid w:val="00B1769A"/>
    <w:rsid w:val="00B208A1"/>
    <w:rsid w:val="00B24DEB"/>
    <w:rsid w:val="00B24F4C"/>
    <w:rsid w:val="00B32813"/>
    <w:rsid w:val="00B34270"/>
    <w:rsid w:val="00B35675"/>
    <w:rsid w:val="00B40B86"/>
    <w:rsid w:val="00B565A1"/>
    <w:rsid w:val="00B60DDB"/>
    <w:rsid w:val="00B70578"/>
    <w:rsid w:val="00B75FAC"/>
    <w:rsid w:val="00B7644A"/>
    <w:rsid w:val="00B76682"/>
    <w:rsid w:val="00B825AC"/>
    <w:rsid w:val="00B82936"/>
    <w:rsid w:val="00B852C4"/>
    <w:rsid w:val="00B87E90"/>
    <w:rsid w:val="00B9212F"/>
    <w:rsid w:val="00B922AC"/>
    <w:rsid w:val="00B9232A"/>
    <w:rsid w:val="00B96447"/>
    <w:rsid w:val="00BA081F"/>
    <w:rsid w:val="00BA328A"/>
    <w:rsid w:val="00BA4982"/>
    <w:rsid w:val="00BA52C4"/>
    <w:rsid w:val="00BA56F6"/>
    <w:rsid w:val="00BB5388"/>
    <w:rsid w:val="00BC6796"/>
    <w:rsid w:val="00BC6BEA"/>
    <w:rsid w:val="00BD260F"/>
    <w:rsid w:val="00BD4AD4"/>
    <w:rsid w:val="00BF04BD"/>
    <w:rsid w:val="00BF246B"/>
    <w:rsid w:val="00BF792D"/>
    <w:rsid w:val="00C005CE"/>
    <w:rsid w:val="00C04879"/>
    <w:rsid w:val="00C129F1"/>
    <w:rsid w:val="00C16E0E"/>
    <w:rsid w:val="00C179E9"/>
    <w:rsid w:val="00C30345"/>
    <w:rsid w:val="00C332F9"/>
    <w:rsid w:val="00C33330"/>
    <w:rsid w:val="00C3604C"/>
    <w:rsid w:val="00C4601D"/>
    <w:rsid w:val="00C46C60"/>
    <w:rsid w:val="00C50FF1"/>
    <w:rsid w:val="00C53B12"/>
    <w:rsid w:val="00C57A32"/>
    <w:rsid w:val="00C62914"/>
    <w:rsid w:val="00C6377D"/>
    <w:rsid w:val="00C65663"/>
    <w:rsid w:val="00C67659"/>
    <w:rsid w:val="00C74B6B"/>
    <w:rsid w:val="00C776E1"/>
    <w:rsid w:val="00C83FF3"/>
    <w:rsid w:val="00C85AE3"/>
    <w:rsid w:val="00C91FED"/>
    <w:rsid w:val="00C92A7A"/>
    <w:rsid w:val="00CA5AD6"/>
    <w:rsid w:val="00CA730C"/>
    <w:rsid w:val="00CA7994"/>
    <w:rsid w:val="00CB353B"/>
    <w:rsid w:val="00CD266C"/>
    <w:rsid w:val="00CD6E70"/>
    <w:rsid w:val="00CF0545"/>
    <w:rsid w:val="00CF47FE"/>
    <w:rsid w:val="00D00A97"/>
    <w:rsid w:val="00D07BAC"/>
    <w:rsid w:val="00D164DD"/>
    <w:rsid w:val="00D23974"/>
    <w:rsid w:val="00D24945"/>
    <w:rsid w:val="00D275BD"/>
    <w:rsid w:val="00D31ECB"/>
    <w:rsid w:val="00D368F3"/>
    <w:rsid w:val="00D42CA1"/>
    <w:rsid w:val="00D43D7E"/>
    <w:rsid w:val="00D44DC4"/>
    <w:rsid w:val="00D574CC"/>
    <w:rsid w:val="00D62357"/>
    <w:rsid w:val="00D634AA"/>
    <w:rsid w:val="00D730CC"/>
    <w:rsid w:val="00D83F95"/>
    <w:rsid w:val="00D855DE"/>
    <w:rsid w:val="00D85DC2"/>
    <w:rsid w:val="00D9185C"/>
    <w:rsid w:val="00D96F4E"/>
    <w:rsid w:val="00DA0C9D"/>
    <w:rsid w:val="00DA0F57"/>
    <w:rsid w:val="00DA59A1"/>
    <w:rsid w:val="00DA5D98"/>
    <w:rsid w:val="00DA7E0B"/>
    <w:rsid w:val="00DB4B90"/>
    <w:rsid w:val="00DB5AE1"/>
    <w:rsid w:val="00DB5B0A"/>
    <w:rsid w:val="00DC6334"/>
    <w:rsid w:val="00DD146C"/>
    <w:rsid w:val="00DE174B"/>
    <w:rsid w:val="00DE4B4D"/>
    <w:rsid w:val="00DF4459"/>
    <w:rsid w:val="00DF5E58"/>
    <w:rsid w:val="00E01C21"/>
    <w:rsid w:val="00E02206"/>
    <w:rsid w:val="00E13AE1"/>
    <w:rsid w:val="00E16646"/>
    <w:rsid w:val="00E3347F"/>
    <w:rsid w:val="00E4319E"/>
    <w:rsid w:val="00E4738E"/>
    <w:rsid w:val="00E50FDB"/>
    <w:rsid w:val="00E5262D"/>
    <w:rsid w:val="00E52875"/>
    <w:rsid w:val="00E54297"/>
    <w:rsid w:val="00E64FF8"/>
    <w:rsid w:val="00E65DFC"/>
    <w:rsid w:val="00E6789B"/>
    <w:rsid w:val="00E72BF0"/>
    <w:rsid w:val="00E81ED4"/>
    <w:rsid w:val="00E84A82"/>
    <w:rsid w:val="00E9104F"/>
    <w:rsid w:val="00EA307B"/>
    <w:rsid w:val="00EA75D4"/>
    <w:rsid w:val="00EB2717"/>
    <w:rsid w:val="00EB55B7"/>
    <w:rsid w:val="00EB6DE4"/>
    <w:rsid w:val="00EC5FC3"/>
    <w:rsid w:val="00EC618F"/>
    <w:rsid w:val="00ED292E"/>
    <w:rsid w:val="00ED7B57"/>
    <w:rsid w:val="00EE3B7F"/>
    <w:rsid w:val="00EE4029"/>
    <w:rsid w:val="00EE6994"/>
    <w:rsid w:val="00EE7FE6"/>
    <w:rsid w:val="00EF527D"/>
    <w:rsid w:val="00EF7543"/>
    <w:rsid w:val="00F0232E"/>
    <w:rsid w:val="00F031E3"/>
    <w:rsid w:val="00F05223"/>
    <w:rsid w:val="00F06191"/>
    <w:rsid w:val="00F11888"/>
    <w:rsid w:val="00F128C2"/>
    <w:rsid w:val="00F22A77"/>
    <w:rsid w:val="00F245FB"/>
    <w:rsid w:val="00F24BBB"/>
    <w:rsid w:val="00F254FE"/>
    <w:rsid w:val="00F455BF"/>
    <w:rsid w:val="00F471A2"/>
    <w:rsid w:val="00F53CF7"/>
    <w:rsid w:val="00F53F3B"/>
    <w:rsid w:val="00F55A2C"/>
    <w:rsid w:val="00F700D3"/>
    <w:rsid w:val="00F73AA2"/>
    <w:rsid w:val="00F74012"/>
    <w:rsid w:val="00F74F8B"/>
    <w:rsid w:val="00F76962"/>
    <w:rsid w:val="00F8243B"/>
    <w:rsid w:val="00F90A8C"/>
    <w:rsid w:val="00F92B0A"/>
    <w:rsid w:val="00F9548F"/>
    <w:rsid w:val="00FA589A"/>
    <w:rsid w:val="00FA6B6A"/>
    <w:rsid w:val="00FB13B7"/>
    <w:rsid w:val="00FB5336"/>
    <w:rsid w:val="00FB7A7A"/>
    <w:rsid w:val="00FC48F2"/>
    <w:rsid w:val="00FC738B"/>
    <w:rsid w:val="00FD1B8D"/>
    <w:rsid w:val="00FE0B9C"/>
    <w:rsid w:val="00FE6A7F"/>
    <w:rsid w:val="00FE71CD"/>
    <w:rsid w:val="00FE7B82"/>
    <w:rsid w:val="00FF4B84"/>
    <w:rsid w:val="00FF5952"/>
    <w:rsid w:val="00FF7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71F09A"/>
  <w15:chartTrackingRefBased/>
  <w15:docId w15:val="{8E7E8246-748C-4EAB-9F10-C117A150920C}"/>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4"/>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before="60"/>
    </w:pPr>
    <w:rPr>
      <w:sz w:val="20"/>
    </w:rPr>
  </w:style>
  <w:style w:type="character" w:styleId="FootnoteReference">
    <w:name w:val="footnote reference"/>
    <w:basedOn w:val="DefaultParagraphFont"/>
    <w:semiHidden/>
    <w:rPr>
      <w:vertAlign w:val="superscript"/>
    </w:rPr>
  </w:style>
  <w:style w:type="paragraph" w:styleId="Header">
    <w:name w:val="header"/>
    <w:basedOn w:val="Normal"/>
    <w:link w:val="HeaderChar"/>
    <w:pPr>
      <w:tabs>
        <w:tab w:val="center" w:pos="4680"/>
        <w:tab w:val="right" w:pos="9360"/>
      </w:tabs>
    </w:pPr>
  </w:style>
  <w:style w:type="paragraph" w:styleId="Footer">
    <w:name w:val="footer"/>
    <w:basedOn w:val="Normal"/>
    <w:link w:val="FooterChar"/>
    <w:pPr>
      <w:tabs>
        <w:tab w:val="center" w:pos="4680"/>
        <w:tab w:val="right" w:pos="9360"/>
      </w:tabs>
    </w:pPr>
  </w:style>
  <w:style w:type="character" w:styleId="PageNumber">
    <w:name w:val="page number"/>
    <w:rPr>
      <w:rFonts w:ascii="Arial" w:hAnsi="Arial"/>
      <w:b/>
      <w:sz w:val="18"/>
    </w:rPr>
  </w:style>
  <w:style w:type="character" w:customStyle="1" w:styleId="Underline">
    <w:name w:val="Underline"/>
    <w:rPr>
      <w:u w:val="single"/>
    </w:rPr>
  </w:style>
  <w:style w:type="character" w:styleId="Hyperlink">
    <w:name w:val="Hyperlink"/>
    <w:basedOn w:val="DefaultParagraphFont"/>
    <w:unhideWhenUsed/>
    <w:rPr>
      <w:color w:val="0000FF"/>
      <w:u w:val="none"/>
    </w:rPr>
  </w:style>
  <w:style w:type="character" w:styleId="FollowedHyperlink">
    <w:name w:val="FollowedHyperlink"/>
    <w:basedOn w:val="DefaultParagraphFont"/>
    <w:unhideWhenUsed/>
    <w:rPr>
      <w:color w:val="954F72" w:themeColor="followedHyperlink"/>
      <w:u w:val="none"/>
    </w:rPr>
  </w:style>
  <w:style w:type="table" w:styleId="TableGrid">
    <w:name w:val="Table Grid"/>
    <w:basedOn w:val="TableNormal"/>
    <w:rPr>
      <w:rFonts w:ascii="Cambria"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paragraph" w:customStyle="1" w:styleId="IPPBullet2">
    <w:name w:val="IPP Bullet2"/>
    <w:basedOn w:val="IPPNormal"/>
    <w:next w:val="IPPBullet1"/>
    <w:qFormat/>
    <w:pPr>
      <w:numPr>
        <w:numId w:val="5"/>
      </w:numPr>
      <w:tabs>
        <w:tab w:val="left" w:pos="1134"/>
      </w:tabs>
      <w:spacing w:after="60"/>
      <w:ind w:left="1134" w:hanging="567"/>
    </w:pPr>
  </w:style>
  <w:style w:type="paragraph" w:customStyle="1" w:styleId="IPPTitle16ptIndent">
    <w:name w:val="IPP Title16pt Indent"/>
    <w:basedOn w:val="Normal"/>
    <w:qFormat/>
    <w:pPr>
      <w:spacing w:after="720"/>
      <w:ind w:left="1701" w:right="1701"/>
      <w:jc w:val="center"/>
    </w:pPr>
    <w:rPr>
      <w:rFonts w:ascii="Arial" w:hAnsi="Arial" w:cs="Arial"/>
      <w:b/>
      <w:bCs/>
      <w:sz w:val="32"/>
      <w:szCs w:val="32"/>
    </w:r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character" w:customStyle="1" w:styleId="Heading1Char">
    <w:name w:val="Heading 1 Char"/>
    <w:basedOn w:val="DefaultParagraphFont"/>
    <w:link w:val="Heading1"/>
    <w:rPr>
      <w:rFonts w:eastAsia="MS Mincho"/>
      <w:b/>
      <w:bCs/>
      <w:sz w:val="22"/>
      <w:szCs w:val="24"/>
      <w:lang w:val="es-E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qFormat/>
    <w:rPr>
      <w:lang w:val="es-ES"/>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b/>
      <w:bCs/>
      <w:lang w:val="es-ES"/>
    </w:rPr>
  </w:style>
  <w:style w:type="paragraph" w:customStyle="1" w:styleId="Comments">
    <w:name w:val="Comments"/>
    <w:basedOn w:val="Normal"/>
    <w:pPr>
      <w:ind w:left="284" w:hanging="284"/>
    </w:p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paragraph" w:customStyle="1" w:styleId="IPPNumberedList">
    <w:name w:val="IPP NumberedList"/>
    <w:basedOn w:val="IPPBullet1"/>
    <w:qFormat/>
    <w:pPr>
      <w:numPr>
        <w:numId w:val="8"/>
      </w:numPr>
    </w:pPr>
  </w:style>
  <w:style w:type="paragraph" w:customStyle="1" w:styleId="IPPBullet1">
    <w:name w:val="IPP Bullet1"/>
    <w:basedOn w:val="IPPBullet1Last"/>
    <w:qFormat/>
    <w:pPr>
      <w:numPr>
        <w:numId w:val="31"/>
      </w:numPr>
      <w:spacing w:after="60"/>
      <w:ind w:left="567" w:hanging="567"/>
    </w:pPr>
  </w:style>
  <w:style w:type="paragraph" w:customStyle="1" w:styleId="IPPBullet1Last">
    <w:name w:val="IPP Bullet1Last"/>
    <w:basedOn w:val="IPPNormal"/>
    <w:next w:val="IPPNormal"/>
    <w:qFormat/>
    <w:pPr>
      <w:numPr>
        <w:numId w:val="4"/>
      </w:numPr>
    </w:pPr>
  </w:style>
  <w:style w:type="paragraph" w:customStyle="1" w:styleId="IPPNumberClose">
    <w:name w:val="IPP NumberClose"/>
    <w:basedOn w:val="IPPNumber"/>
    <w:qFormat/>
    <w:pPr>
      <w:keepNext/>
      <w:spacing w:after="60"/>
    </w:p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Number">
    <w:name w:val="IPP Number"/>
    <w:basedOn w:val="IPPNormal"/>
    <w:qFormat/>
    <w:pPr>
      <w:numPr>
        <w:numId w:val="1"/>
      </w:numPr>
    </w:p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List">
    <w:name w:val="IPP List"/>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NumberedListLast">
    <w:name w:val="IPP NumberedListLast"/>
    <w:basedOn w:val="IPPNumberedList"/>
    <w:qFormat/>
    <w:pPr>
      <w:spacing w:after="180"/>
    </w:p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References">
    <w:name w:val="IPP References"/>
    <w:basedOn w:val="IPPNormal"/>
    <w:qFormat/>
    <w:pPr>
      <w:spacing w:after="60"/>
      <w:ind w:left="567" w:hanging="567"/>
    </w:pPr>
  </w:style>
  <w:style w:type="character" w:customStyle="1" w:styleId="Heading2Char">
    <w:name w:val="Heading 2 Char"/>
    <w:basedOn w:val="DefaultParagraphFont"/>
    <w:link w:val="Heading2"/>
    <w:rPr>
      <w:rFonts w:ascii="Calibri" w:eastAsia="MS Mincho" w:hAnsi="Calibri"/>
      <w:b/>
      <w:bCs/>
      <w:i/>
      <w:iCs/>
      <w:sz w:val="28"/>
      <w:szCs w:val="28"/>
      <w:lang w:val="es-ES"/>
    </w:rPr>
  </w:style>
  <w:style w:type="character" w:customStyle="1" w:styleId="Heading3Char">
    <w:name w:val="Heading 3 Char"/>
    <w:basedOn w:val="DefaultParagraphFont"/>
    <w:link w:val="Heading3"/>
    <w:rPr>
      <w:rFonts w:ascii="Calibri" w:eastAsia="MS Mincho" w:hAnsi="Calibri"/>
      <w:b/>
      <w:bCs/>
      <w:sz w:val="26"/>
      <w:szCs w:val="26"/>
      <w:lang w:val="es-ES"/>
    </w:r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character" w:customStyle="1" w:styleId="FootnoteTextChar">
    <w:name w:val="Footnote Text Char"/>
    <w:basedOn w:val="DefaultParagraphFont"/>
    <w:link w:val="FootnoteText"/>
    <w:semiHidden/>
    <w:rPr>
      <w:rFonts w:eastAsia="MS Mincho"/>
      <w:szCs w:val="24"/>
      <w:lang w:val="es-ES"/>
    </w:rPr>
  </w:style>
  <w:style w:type="paragraph" w:customStyle="1" w:styleId="Indent1">
    <w:name w:val="Indent 1"/>
    <w:basedOn w:val="Normal"/>
    <w:qFormat/>
    <w:pPr>
      <w:spacing w:after="60"/>
      <w:ind w:left="567"/>
      <w:jc w:val="left"/>
    </w:pPr>
    <w:rPr>
      <w:rFonts w:ascii="Georgia" w:eastAsia="Times" w:hAnsi="Georgia"/>
      <w:sz w:val="18"/>
    </w:rPr>
  </w:style>
  <w:style w:type="paragraph" w:customStyle="1" w:styleId="Subhead">
    <w:name w:val="Subhead"/>
    <w:basedOn w:val="Normal"/>
    <w:qFormat/>
    <w:pPr>
      <w:keepNext/>
      <w:spacing w:before="120" w:after="60"/>
      <w:jc w:val="left"/>
    </w:pPr>
    <w:rPr>
      <w:rFonts w:ascii="Georgia" w:eastAsia="Times" w:hAnsi="Georgia"/>
      <w:b/>
      <w:sz w:val="19"/>
    </w:r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sz w:val="21"/>
      <w:szCs w:val="21"/>
      <w:lang w:val="es-ES"/>
    </w:rPr>
  </w:style>
  <w:style w:type="paragraph" w:customStyle="1" w:styleId="IPPNumberSubhead">
    <w:name w:val="IPP NumberSubhead"/>
    <w:basedOn w:val="IPPNumber"/>
    <w:qFormat/>
    <w:pPr>
      <w:keepNext/>
      <w:spacing w:after="60"/>
    </w:pPr>
    <w:rPr>
      <w:b/>
    </w:rPr>
  </w:style>
  <w:style w:type="paragraph" w:customStyle="1" w:styleId="IPPSubheadNumber">
    <w:name w:val="IPP SubheadNumber"/>
    <w:basedOn w:val="IPPSubhead"/>
    <w:qFormat/>
    <w:pPr>
      <w:numPr>
        <w:numId w:val="2"/>
      </w:numPr>
    </w:pPr>
  </w:style>
  <w:style w:type="paragraph" w:customStyle="1" w:styleId="IPPLetterList">
    <w:name w:val="IPP LetterList"/>
    <w:basedOn w:val="IPPBullet2"/>
    <w:qFormat/>
    <w:pPr>
      <w:numPr>
        <w:numId w:val="9"/>
      </w:numPr>
      <w:jc w:val="left"/>
    </w:pPr>
  </w:style>
  <w:style w:type="paragraph" w:customStyle="1" w:styleId="IPPLetterListIndent">
    <w:name w:val="IPP LetterList Indent"/>
    <w:basedOn w:val="IPPLetterList"/>
    <w:qFormat/>
    <w:pPr>
      <w:numPr>
        <w:numId w:val="6"/>
      </w:numPr>
    </w:pPr>
  </w:style>
  <w:style w:type="paragraph" w:customStyle="1" w:styleId="CharChar">
    <w:name w:val="(文字) (文字) Char (文字) (文字) Char"/>
    <w:basedOn w:val="Normal"/>
    <w:pPr>
      <w:spacing w:after="160" w:line="240" w:lineRule="exact"/>
      <w:jc w:val="left"/>
    </w:pPr>
    <w:rPr>
      <w:rFonts w:ascii="Tahoma" w:hAnsi="Tahoma"/>
      <w:sz w:val="20"/>
    </w:rPr>
  </w:style>
  <w:style w:type="paragraph" w:customStyle="1" w:styleId="IPPSubheadSpace">
    <w:name w:val="IPP Subhead Space"/>
    <w:basedOn w:val="IPPSubhead"/>
    <w:qFormat/>
    <w:pPr>
      <w:tabs>
        <w:tab w:val="left" w:pos="567"/>
      </w:tabs>
      <w:spacing w:before="60" w:after="60"/>
    </w:pPr>
  </w:style>
  <w:style w:type="paragraph" w:customStyle="1" w:styleId="CarCar">
    <w:name w:val="Car Car"/>
    <w:basedOn w:val="Normal"/>
    <w:pPr>
      <w:spacing w:after="160" w:line="240" w:lineRule="exact"/>
      <w:jc w:val="left"/>
    </w:pPr>
    <w:rPr>
      <w:rFonts w:ascii="Tahoma" w:hAnsi="Tahoma"/>
      <w:sz w:val="20"/>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Hdg1Num">
    <w:name w:val="IPP Hdg1Num"/>
    <w:basedOn w:val="IPPHeading1"/>
    <w:next w:val="IPPNormal"/>
    <w:qFormat/>
    <w:pPr>
      <w:numPr>
        <w:numId w:val="21"/>
      </w:numPr>
    </w:pPr>
  </w:style>
  <w:style w:type="paragraph" w:customStyle="1" w:styleId="IPPHdg2Num">
    <w:name w:val="IPP Hdg2Num"/>
    <w:basedOn w:val="IPPHeading2"/>
    <w:next w:val="IPPNormal"/>
    <w:qFormat/>
    <w:pPr>
      <w:numPr>
        <w:ilvl w:val="1" numString="1.1. "/>
        <w:numId w:val="22"/>
      </w:numPr>
    </w:p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NumberedListArial">
    <w:name w:val="IPP NumberedListArial"/>
    <w:basedOn w:val="IPPNumberedList"/>
    <w:qFormat/>
    <w:pPr>
      <w:numPr>
        <w:numId w:val="0"/>
      </w:numPr>
      <w:tabs>
        <w:tab w:val="num" w:pos="1134"/>
      </w:tabs>
      <w:ind w:left="1134" w:hanging="567"/>
    </w:pPr>
    <w:rPr>
      <w:rFonts w:ascii="Arial" w:hAnsi="Arial"/>
      <w:sz w:val="18"/>
    </w:rPr>
  </w:style>
  <w:style w:type="paragraph" w:customStyle="1" w:styleId="IPPSubheadSpaceAfter">
    <w:name w:val="IPP Subhead SpaceAfter"/>
    <w:basedOn w:val="IPPSubhead"/>
    <w:qFormat/>
    <w:pPr>
      <w:spacing w:after="60"/>
    </w:pPr>
  </w:style>
  <w:style w:type="character" w:customStyle="1" w:styleId="HeaderChar">
    <w:name w:val="Header Char"/>
    <w:basedOn w:val="DefaultParagraphFont"/>
    <w:link w:val="Header"/>
    <w:rPr>
      <w:rFonts w:eastAsia="MS Mincho"/>
      <w:sz w:val="22"/>
      <w:szCs w:val="24"/>
      <w:lang w:val="es-ES"/>
    </w:rPr>
  </w:style>
  <w:style w:type="character" w:customStyle="1" w:styleId="FooterChar">
    <w:name w:val="Footer Char"/>
    <w:basedOn w:val="DefaultParagraphFont"/>
    <w:link w:val="Footer"/>
    <w:rPr>
      <w:rFonts w:eastAsia="MS Mincho"/>
      <w:sz w:val="22"/>
      <w:szCs w:val="24"/>
      <w:lang w:val="es-ES"/>
    </w:rPr>
  </w:style>
  <w:style w:type="character" w:customStyle="1" w:styleId="IPPNormalChar">
    <w:name w:val="IPP Normal Char"/>
    <w:link w:val="IPPNormal"/>
    <w:rPr>
      <w:rFonts w:eastAsia="Times"/>
      <w:sz w:val="22"/>
      <w:szCs w:val="24"/>
      <w:lang w:val="es-ES"/>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character" w:customStyle="1" w:styleId="BalloonTextChar">
    <w:name w:val="Balloon Text Char"/>
    <w:basedOn w:val="DefaultParagraphFont"/>
    <w:link w:val="BalloonText"/>
    <w:rPr>
      <w:rFonts w:ascii="Tahoma" w:eastAsia="MS Mincho" w:hAnsi="Tahoma" w:cs="Tahoma"/>
      <w:sz w:val="16"/>
      <w:szCs w:val="16"/>
      <w:lang w:val="es-ES"/>
    </w:r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s-ES"/>
    </w:rPr>
  </w:style>
  <w:style w:type="character" w:customStyle="1" w:styleId="IPPNormalbold">
    <w:name w:val="IPP Normal bold"/>
    <w:basedOn w:val="PlainTextChar"/>
    <w:rPr>
      <w:rFonts w:ascii="Times New Roman" w:eastAsia="Times" w:hAnsi="Times New Roman"/>
      <w:b/>
      <w:sz w:val="22"/>
      <w:szCs w:val="21"/>
      <w:lang w:val="es-ES"/>
    </w:rPr>
  </w:style>
  <w:style w:type="character" w:customStyle="1" w:styleId="IPPNormalunderlined">
    <w:name w:val="IPP Normal underlined"/>
    <w:basedOn w:val="DefaultParagraphFont"/>
    <w:rPr>
      <w:rFonts w:ascii="Times New Roman" w:hAnsi="Times New Roman"/>
      <w:sz w:val="22"/>
      <w:u w:val="single"/>
      <w:lang w:val="es-ES"/>
    </w:rPr>
  </w:style>
  <w:style w:type="character" w:customStyle="1" w:styleId="IPPNormalstrikethrough">
    <w:name w:val="IPP Normal strikethrough"/>
    <w:rPr>
      <w:rFonts w:ascii="Times New Roman" w:hAnsi="Times New Roman"/>
      <w:strike/>
      <w:dstrike w:val="0"/>
      <w:sz w:val="22"/>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numbering" w:customStyle="1" w:styleId="IPPParagraphnumberedlist">
    <w:name w:val="IPP Paragraph numbered list"/>
    <w:pPr>
      <w:numPr>
        <w:numId w:val="7"/>
      </w:numPr>
    </w:p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customStyle="1" w:styleId="IPPParagraphnumbering">
    <w:name w:val="IPP Paragraph numbering"/>
    <w:basedOn w:val="IPPNormal"/>
    <w:qFormat/>
    <w:pPr>
      <w:numPr>
        <w:numId w:val="24"/>
      </w:numPr>
    </w:pPr>
  </w:style>
  <w:style w:type="paragraph" w:customStyle="1" w:styleId="IPPParagraphnumberingclose">
    <w:name w:val="IPP Paragraph numbering close"/>
    <w:basedOn w:val="IPPParagraphnumbering"/>
    <w:qFormat/>
    <w:pPr>
      <w:keepNext/>
      <w:spacing w:after="60"/>
    </w:pPr>
  </w:style>
  <w:style w:type="paragraph" w:customStyle="1" w:styleId="IPPPargraphnumbering">
    <w:name w:val="IPP Pargraph numbering"/>
    <w:basedOn w:val="IPPNormal"/>
    <w:qFormat/>
    <w:pPr>
      <w:tabs>
        <w:tab w:val="num" w:pos="360"/>
      </w:tabs>
    </w:pPr>
  </w:style>
  <w:style w:type="character" w:customStyle="1" w:styleId="UnresolvedMention1">
    <w:name w:val="Unresolved Mention1"/>
    <w:uiPriority w:val="99"/>
    <w:semiHidden/>
    <w:unhideWhenUsed/>
    <w:rPr>
      <w:color w:val="605E5C"/>
      <w:shd w:val="clear" w:color="auto" w:fill="E1DFDD"/>
    </w:rPr>
  </w:style>
  <w:style w:type="paragraph" w:styleId="Revision">
    <w:name w:val="Revision"/>
    <w:hidden/>
    <w:semiHidden/>
    <w:rPr>
      <w:sz w:val="22"/>
      <w:szCs w:val="24"/>
    </w:rPr>
  </w:style>
  <w:style w:type="character" w:customStyle="1" w:styleId="ui-provider">
    <w:name w:val="ui-provider"/>
    <w:basedOn w:val="DefaultParagraphFont"/>
  </w:style>
  <w:style w:type="character" w:customStyle="1" w:styleId="normaltextrun">
    <w:name w:val="normaltextrun"/>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PleaseReviewParagraphId">
    <w:name w:val="PleaseReviewParagraphId"/>
    <w:basedOn w:val="DefaultParagraphFont"/>
    <w:rPr>
      <w:rFonts w:ascii="Arial" w:hAnsi="Arial"/>
      <w:b w:val="off"/>
      <w:i w:val="off"/>
      <w:u w:val="off"/>
      <w:color w:val="000080"/>
      <w:sz w:val="16"/>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85856500">
      <w:bodyDiv w:val="1"/>
      <w:marLeft w:val="0"/>
      <w:marRight w:val="0"/>
      <w:marTop w:val="0"/>
      <w:marBottom w:val="0"/>
      <w:divBdr>
        <w:top w:val="none" w:sz="0" w:space="0" w:color="auto"/>
        <w:left w:val="none" w:sz="0" w:space="0" w:color="auto"/>
        <w:bottom w:val="none" w:sz="0" w:space="0" w:color="auto"/>
        <w:right w:val="none" w:sz="0" w:space="0" w:color="auto"/>
      </w:divBdr>
    </w:div>
    <w:div w:id="984818688">
      <w:bodyDiv w:val="1"/>
      <w:marLeft w:val="24"/>
      <w:marRight w:val="0"/>
      <w:marTop w:val="24"/>
      <w:marBottom w:val="0"/>
      <w:divBdr>
        <w:top w:val="none" w:sz="0" w:space="0" w:color="auto"/>
        <w:left w:val="none" w:sz="0" w:space="0" w:color="auto"/>
        <w:bottom w:val="none" w:sz="0" w:space="0" w:color="auto"/>
        <w:right w:val="none" w:sz="0" w:space="0" w:color="auto"/>
      </w:divBdr>
    </w:div>
    <w:div w:id="1921909366">
      <w:bodyDiv w:val="1"/>
      <w:marLeft w:val="0"/>
      <w:marRight w:val="0"/>
      <w:marTop w:val="0"/>
      <w:marBottom w:val="0"/>
      <w:divBdr>
        <w:top w:val="none" w:sz="0" w:space="0" w:color="auto"/>
        <w:left w:val="none" w:sz="0" w:space="0" w:color="auto"/>
        <w:bottom w:val="none" w:sz="0" w:space="0" w:color="auto"/>
        <w:right w:val="none" w:sz="0" w:space="0" w:color="auto"/>
      </w:divBdr>
    </w:div>
    <w:div w:id="212240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Type="http://schemas.openxmlformats.org/officeDocument/2006/relationships/webSettings" Target="webSettings.xml" Id="rId8" />
  <Relationship Type="http://schemas.openxmlformats.org/officeDocument/2006/relationships/hyperlink" Target="https://www.ippc.int/es/publications/596/" TargetMode="External" Id="rId13" />
  <Relationship Type="http://schemas.openxmlformats.org/officeDocument/2006/relationships/hyperlink" Target="https://www.ippc.int/es/publications/597/" TargetMode="External" Id="rId18" />
  <Relationship Type="http://schemas.openxmlformats.org/officeDocument/2006/relationships/hyperlink" Target="https://rr-europe.woah.org/wp-content/uploads/2020/08/oie-terrestrial-code-1_2019_en.pdf" TargetMode="External" Id="rId26" />
  <Relationship Type="http://schemas.openxmlformats.org/officeDocument/2006/relationships/customXml" Target="../customXml/item3.xml" Id="rId3" />
  <Relationship Type="http://schemas.openxmlformats.org/officeDocument/2006/relationships/hyperlink" Target="https://www.eppo.int/media/uploaded_images/RESOURCES/eppo_standards/pm5/pm5-03-05-en.pdf" TargetMode="External" Id="rId21" />
  <Relationship Type="http://schemas.openxmlformats.org/officeDocument/2006/relationships/settings" Target="settings.xml" Id="rId7" />
  <Relationship Type="http://schemas.openxmlformats.org/officeDocument/2006/relationships/hyperlink" Target="https://www.ippc.int/core-activities/standards-setting/list-topics-ippc-standards" TargetMode="External" Id="rId12" />
  <Relationship Type="http://schemas.openxmlformats.org/officeDocument/2006/relationships/hyperlink" Target="https://www.ippc.int/es/publications/601/" TargetMode="External" Id="rId17" />
  <Relationship Type="http://schemas.openxmlformats.org/officeDocument/2006/relationships/hyperlink" Target="https://rr-africa.woah.org/wp-content/uploads/2018/03/handbook_on_import_risk_analysis_-_oie_-_vol__i.pdf" TargetMode="External" Id="rId25" />
  <Relationship Type="http://schemas.openxmlformats.org/officeDocument/2006/relationships/customXml" Target="../customXml/item2.xml" Id="rId2" />
  <Relationship Type="http://schemas.openxmlformats.org/officeDocument/2006/relationships/hyperlink" Target="https://www.ippc.int/es/publications/639/" TargetMode="External" Id="rId16" />
  <Relationship Type="http://schemas.openxmlformats.org/officeDocument/2006/relationships/hyperlink" Target="https://www.ippc.int/es/about/core-activities/capacity-development/guides-and-training-materials/" TargetMode="External" Id="rId20" />
  <Relationship Type="http://schemas.openxmlformats.org/officeDocument/2006/relationships/theme" Target="theme/theme1.xml" Id="rId29" />
  <Relationship Type="http://schemas.openxmlformats.org/officeDocument/2006/relationships/customXml" Target="../customXml/item1.xml" Id="rId1" />
  <Relationship Type="http://schemas.openxmlformats.org/officeDocument/2006/relationships/styles" Target="styles.xml" Id="rId6" />
  <Relationship Type="http://schemas.openxmlformats.org/officeDocument/2006/relationships/hyperlink" Target="https://www.ippc.int/es/core-activities/" TargetMode="External" Id="rId11" />
  <Relationship Type="http://schemas.openxmlformats.org/officeDocument/2006/relationships/hyperlink" Target="https://nappo.org/application/files/1315/8352/2979/RSPM_40-07-28-14-e.pdf" TargetMode="External" Id="rId24" />
  <Relationship Type="http://schemas.openxmlformats.org/officeDocument/2006/relationships/numbering" Target="numbering.xml" Id="rId5" />
  <Relationship Type="http://schemas.openxmlformats.org/officeDocument/2006/relationships/hyperlink" Target="https://www.ippc.int/es/publications/592/" TargetMode="External" Id="rId15" />
  <Relationship Type="http://schemas.openxmlformats.org/officeDocument/2006/relationships/hyperlink" Target="https://www.nappo.org/application/files/8615/8352/2976/RSPM_31-01-06-12-e.pdf" TargetMode="External" Id="rId23" />
  <Relationship Type="http://schemas.openxmlformats.org/officeDocument/2006/relationships/fontTable" Target="fontTable.xml" Id="rId28" />
  <Relationship Type="http://schemas.openxmlformats.org/officeDocument/2006/relationships/endnotes" Target="endnotes.xml" Id="rId10" />
  <Relationship Type="http://schemas.openxmlformats.org/officeDocument/2006/relationships/hyperlink" Target="http://www.wto.org/english/tratop_e/tbt_e/principles_standards_tbt_e.htm" TargetMode="External" Id="rId19" />
  <Relationship Type="http://schemas.openxmlformats.org/officeDocument/2006/relationships/customXml" Target="../customXml/item4.xml" Id="rId4" />
  <Relationship Type="http://schemas.openxmlformats.org/officeDocument/2006/relationships/footnotes" Target="footnotes.xml" Id="rId9" />
  <Relationship Type="http://schemas.openxmlformats.org/officeDocument/2006/relationships/hyperlink" Target="https://www.ippc.int/es/publications/622/" TargetMode="External" Id="rId14" />
  <Relationship Type="http://schemas.openxmlformats.org/officeDocument/2006/relationships/hyperlink" Target="https://www.fao.org/fao-who-codexalimentarius/codex-texts/guidelines/es/" TargetMode="External" Id="rId22" />
  <Relationship Type="http://schemas.openxmlformats.org/officeDocument/2006/relationships/hyperlink" Target="mailto:ippc@fao.org" TargetMode="External" Id="rId27" />
</Relationships>
</file>

<file path=word/_rels/settings.xml.rels>&#65279;<?xml version="1.0" encoding="utf-8"?><Relationships xmlns="http://schemas.openxmlformats.org/package/2006/relationships"><Relationship Type="http://schemas.openxmlformats.org/officeDocument/2006/relationships/attachedTemplate" Target="file:///C:\Users\karen\Desktop\IPPC_2023-01-28.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c12a54429c4b9f7fb3094c9887c84ad">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5e54bd48ca98dfb5547f01d30199786f"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9EDE3261-0CA2-46EC-B4C3-6D914A8C8E11}">
  <ds:schemaRefs>
    <ds:schemaRef ds:uri="http://schemas.microsoft.com/office/2006/metadata/properties"/>
    <ds:schemaRef ds:uri="http://schemas.microsoft.com/office/infopath/2007/PartnerControls"/>
    <ds:schemaRef ds:uri="a05d7f75-f42e-4288-8809-604fd4d9691f"/>
    <ds:schemaRef ds:uri="ea6feb38-a85a-45e8-92e9-814486bbe375"/>
  </ds:schemaRefs>
</ds:datastoreItem>
</file>

<file path=customXml/itemProps2.xml><?xml version="1.0" encoding="utf-8"?>
<ds:datastoreItem xmlns:ds="http://schemas.openxmlformats.org/officeDocument/2006/customXml" ds:itemID="{0CEF1EC0-82C1-4C38-A6A3-47B2F9B2F523}">
  <ds:schemaRefs>
    <ds:schemaRef ds:uri="http://schemas.microsoft.com/sharepoint/v3/contenttype/forms"/>
  </ds:schemaRefs>
</ds:datastoreItem>
</file>

<file path=customXml/itemProps3.xml><?xml version="1.0" encoding="utf-8"?>
<ds:datastoreItem xmlns:ds="http://schemas.openxmlformats.org/officeDocument/2006/customXml" ds:itemID="{657039E5-E7A6-4201-9CCC-74294AC16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B765A-66C4-475D-8673-6624F95C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IPPC_2023-01-28</Template>
  <TotalTime>0</TotalTime>
  <Pages>1</Pages>
  <Words>2344</Words>
  <Characters>13364</Characters>
  <Application>Microsoft Office Word</Application>
  <DocSecurity>0</DocSecurity>
  <Lines>111</Lines>
  <Paragraphs>31</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IPPC-Styles</vt:lpstr>
      <vt:lpstr>IPPC-Styles</vt:lpstr>
      <vt:lpstr>IPPC-Styles</vt:lpstr>
    </vt:vector>
  </TitlesOfParts>
  <Company>FAO of the UN</Company>
  <LinksUpToDate>false</LinksUpToDate>
  <CharactersWithSpaces>15677</CharactersWithSpaces>
  <SharedDoc>false</SharedDoc>
  <HyperlinkBase/>
  <HLinks>
    <vt:vector size="18" baseType="variant">
      <vt:variant>
        <vt:i4>393279</vt:i4>
      </vt:variant>
      <vt:variant>
        <vt:i4>6</vt:i4>
      </vt:variant>
      <vt:variant>
        <vt:i4>0</vt:i4>
      </vt:variant>
      <vt:variant>
        <vt:i4>5</vt:i4>
      </vt:variant>
      <vt:variant>
        <vt:lpwstr>mailto:ippc@fao.org</vt:lpwstr>
      </vt:variant>
      <vt:variant>
        <vt:lpwstr/>
      </vt:variant>
      <vt:variant>
        <vt:i4>1114179</vt:i4>
      </vt:variant>
      <vt:variant>
        <vt:i4>3</vt:i4>
      </vt:variant>
      <vt:variant>
        <vt:i4>0</vt:i4>
      </vt:variant>
      <vt:variant>
        <vt:i4>5</vt:i4>
      </vt:variant>
      <vt:variant>
        <vt:lpwstr>https://www.ippc.int/core-activities/standards-setting/list-topics-ippc-standards</vt:lpwstr>
      </vt:variant>
      <vt:variant>
        <vt:lpwstr/>
      </vt:variant>
      <vt:variant>
        <vt:i4>5963805</vt:i4>
      </vt:variant>
      <vt:variant>
        <vt:i4>0</vt:i4>
      </vt:variant>
      <vt:variant>
        <vt:i4>0</vt:i4>
      </vt:variant>
      <vt:variant>
        <vt:i4>5</vt:i4>
      </vt:variant>
      <vt:variant>
        <vt:lpwstr>https://www.ippc.int/en/core-activities/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IPPC-Styles</dc:title>
  <dc:subject/>
  <dc:creator>Barbara Hedley</dc:creator>
  <cp:keywords/>
  <cp:lastModifiedBy>Prizm</cp:lastModifiedBy>
  <cp:revision>2</cp:revision>
  <cp:lastPrinted>2024-06-25T16:09:00Z</cp:lastPrinted>
  <dcterms:created xsi:type="dcterms:W3CDTF">2024-07-01T13:08:00Z</dcterms:created>
  <dcterms:modified xsi:type="dcterms:W3CDTF">2024-07-01T13:08:00Z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