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First Consultation: 2023-014 - Draft specification: Revision of ISPM 23 (Guidelines for inspection). Document title: 2023-014_DraftSpec_RevisionOfISPM23_es.docx]</w:t>
      </w:r>
    </w:p>
    <w:p w14:paraId="0A637336" w14:textId="65C6AC9B">
      <w:pPr>
        <w:spacing w:before="240" w:after="240"/>
      </w:pPr>
      <w:r>
        <w:rPr>
          <w:rStyle w:val="PleaseReviewParagraphId"/>
          <w:b w:val="off"/>
          <w:i w:val="off"/>
        </w:rPr>
        <w:t>[1]</w:t>
      </w:r>
      <w:r>
        <w:rPr>
          <w:b/>
        </w:rPr>
        <w:t>PROYECTO DE ESPECIFICACIÓN PARA LA NIMF: Revisión de la NIMF 23 (</w:t>
      </w:r>
      <w:r>
        <w:rPr>
          <w:b/>
          <w:i/>
        </w:rPr>
        <w:t>Directrices para la inspección</w:t>
      </w:r>
      <w:r>
        <w:rPr>
          <w:b/>
        </w:rPr>
        <w:t>) (2023-014)</w:t>
      </w:r>
    </w:p>
    <w:p w14:paraId="6C796085" w14:textId="77777777">
      <w:pPr>
        <w:pStyle w:val="IPPSubheadSpace"/>
        <w:ind w:left="0" w:firstLine="0"/>
      </w:pPr>
      <w:r>
        <w:rPr>
          <w:rStyle w:val="PleaseReviewParagraphId"/>
          <w:b w:val="off"/>
          <w:i w:val="off"/>
        </w:rPr>
        <w:t>[2]</w:t>
      </w:r>
      <w:r>
        <w:t>Estado de la elaboración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8"/>
        <w:gridCol w:w="6742"/>
      </w:tblGrid>
      <w:tr w14:paraId="3C5EC6B1" w14:textId="77777777">
        <w:tc xmlns:tara="kcentrix:tara" tara:rowspan="1" tara:colspan="2">
          <w:tcPr>
            <w:tcW w:w="5000" w:type="pct"/>
            <w:gridSpan w:val="2"/>
            <w:shd w:val="clear" w:color="auto" w:fill="auto"/>
          </w:tcPr>
          <w:p w14:paraId="0778B259" w14:textId="77777777">
            <w:pPr>
              <w:pStyle w:val="IPPArialTable"/>
              <w:spacing w:before="0" w:after="0"/>
            </w:pPr>
            <w:r>
              <w:rPr>
                <w:rStyle w:val="PleaseReviewParagraphId"/>
                <w:b w:val="off"/>
                <w:i w:val="off"/>
              </w:rPr>
              <w:t>[3]</w:t>
            </w:r>
            <w:r>
              <w:t>Esta no es una parte oficial de la especificación; después de la aprobación de la especificación, esta parte será modificada por la Secretaría de la CIPF.</w:t>
            </w:r>
          </w:p>
        </w:tc>
      </w:tr>
      <w:tr w14:paraId="273C69BE" w14:textId="77777777">
        <w:tc xmlns:tara="kcentrix:tara" tara:rowspan="1" tara:colspan="1">
          <w:tcPr>
            <w:tcW w:w="1279" w:type="pct"/>
            <w:shd w:val="clear" w:color="auto" w:fill="auto"/>
          </w:tcPr>
          <w:p w14:paraId="1AF93D49" w14:textId="77777777">
            <w:pPr>
              <w:pStyle w:val="IPPArialTable"/>
              <w:spacing w:before="0" w:after="0"/>
              <w:rPr>
                <w:b/>
                <w:bCs/>
              </w:rPr>
            </w:pPr>
            <w:r>
              <w:rPr>
                <w:rStyle w:val="PleaseReviewParagraphId"/>
                <w:b w:val="off"/>
                <w:i w:val="off"/>
              </w:rPr>
              <w:t>[4]</w:t>
            </w:r>
            <w:r>
              <w:rPr>
                <w:b/>
              </w:rPr>
              <w:t>Fecha de este documento</w:t>
            </w:r>
          </w:p>
        </w:tc>
        <w:tc xmlns:tara="kcentrix:tara" tara:rowspan="1" tara:colspan="1">
          <w:tcPr>
            <w:tcW w:w="3721" w:type="pct"/>
            <w:shd w:val="clear" w:color="auto" w:fill="auto"/>
          </w:tcPr>
          <w:p w14:paraId="66B0C9D9" w14:textId="42A333E8">
            <w:pPr>
              <w:pStyle w:val="IPPArialTable"/>
              <w:spacing w:before="0" w:after="0"/>
            </w:pPr>
            <w:r>
              <w:rPr>
                <w:rStyle w:val="PleaseReviewParagraphId"/>
                <w:b w:val="off"/>
                <w:i w:val="off"/>
              </w:rPr>
              <w:t>[5]</w:t>
            </w:r>
            <w:r>
              <w:t>2025-05-26</w:t>
            </w:r>
          </w:p>
        </w:tc>
      </w:tr>
      <w:tr w14:paraId="0A22EE63" w14:textId="77777777">
        <w:tc xmlns:tara="kcentrix:tara" tara:rowspan="1" tara:colspan="1">
          <w:tcPr>
            <w:tcW w:w="1279" w:type="pct"/>
            <w:shd w:val="clear" w:color="auto" w:fill="auto"/>
          </w:tcPr>
          <w:p w14:paraId="53B164AE" w14:textId="77777777">
            <w:pPr>
              <w:pStyle w:val="IPPArialTable"/>
              <w:spacing w:before="0" w:after="0"/>
              <w:rPr>
                <w:b/>
                <w:bCs/>
              </w:rPr>
            </w:pPr>
            <w:r>
              <w:rPr>
                <w:rStyle w:val="PleaseReviewParagraphId"/>
                <w:b w:val="off"/>
                <w:i w:val="off"/>
              </w:rPr>
              <w:t>[6]</w:t>
            </w:r>
            <w:r>
              <w:rPr>
                <w:b/>
              </w:rPr>
              <w:t>Categoría del documento</w:t>
            </w:r>
          </w:p>
        </w:tc>
        <w:tc xmlns:tara="kcentrix:tara" tara:rowspan="1" tara:colspan="1">
          <w:tcPr>
            <w:tcW w:w="3721" w:type="pct"/>
            <w:shd w:val="clear" w:color="auto" w:fill="auto"/>
          </w:tcPr>
          <w:p w14:paraId="57704C10" w14:textId="77777777">
            <w:pPr>
              <w:pStyle w:val="IPPArialTable"/>
              <w:spacing w:before="0" w:after="0"/>
            </w:pPr>
            <w:r>
              <w:rPr>
                <w:rStyle w:val="PleaseReviewParagraphId"/>
                <w:b w:val="off"/>
                <w:i w:val="off"/>
              </w:rPr>
              <w:t>[7]</w:t>
            </w:r>
            <w:r>
              <w:t>Proyecto de especificación para una Norma internacional para medidas fitosanitarias (NIMF)</w:t>
            </w:r>
          </w:p>
        </w:tc>
      </w:tr>
      <w:tr w14:paraId="5BA150A1" w14:textId="77777777">
        <w:tc xmlns:tara="kcentrix:tara" tara:rowspan="1" tara:colspan="1">
          <w:tcPr>
            <w:tcW w:w="1279" w:type="pct"/>
            <w:shd w:val="clear" w:color="auto" w:fill="auto"/>
          </w:tcPr>
          <w:p w14:paraId="79200701" w14:textId="77777777">
            <w:pPr>
              <w:pStyle w:val="IPPArialTable"/>
              <w:spacing w:before="0" w:after="0"/>
              <w:rPr>
                <w:b/>
                <w:bCs/>
              </w:rPr>
            </w:pPr>
            <w:r>
              <w:rPr>
                <w:rStyle w:val="PleaseReviewParagraphId"/>
                <w:b w:val="off"/>
                <w:i w:val="off"/>
              </w:rPr>
              <w:t>[8]</w:t>
            </w:r>
            <w:r>
              <w:rPr>
                <w:b/>
              </w:rPr>
              <w:t>Etapa actual del documento</w:t>
            </w:r>
          </w:p>
        </w:tc>
        <w:tc xmlns:tara="kcentrix:tara" tara:rowspan="1" tara:colspan="1">
          <w:tcPr>
            <w:tcW w:w="3721" w:type="pct"/>
            <w:shd w:val="clear" w:color="auto" w:fill="auto"/>
          </w:tcPr>
          <w:p w14:paraId="5CB9B6A9" w14:textId="77777777">
            <w:pPr>
              <w:pStyle w:val="IPPArialTable"/>
              <w:spacing w:before="0" w:after="0"/>
            </w:pPr>
            <w:r>
              <w:rPr>
                <w:rStyle w:val="PleaseReviewParagraphId"/>
                <w:b w:val="off"/>
                <w:i w:val="off"/>
              </w:rPr>
              <w:t>[9]</w:t>
            </w:r>
            <w:r>
              <w:rPr>
                <w:i/>
                <w:iCs/>
              </w:rPr>
              <w:t>Para</w:t>
            </w:r>
            <w:r>
              <w:t xml:space="preserve"> primera consulta</w:t>
            </w:r>
          </w:p>
        </w:tc>
      </w:tr>
      <w:tr w14:paraId="57047140" w14:textId="77777777">
        <w:tc xmlns:tara="kcentrix:tara" tara:rowspan="1" tara:colspan="1">
          <w:tcPr>
            <w:tcW w:w="1279" w:type="pct"/>
            <w:shd w:val="clear" w:color="auto" w:fill="auto"/>
          </w:tcPr>
          <w:p w14:paraId="569F0528" w14:textId="77777777">
            <w:pPr>
              <w:pStyle w:val="IPPArialTable"/>
              <w:spacing w:before="0" w:after="0"/>
              <w:rPr>
                <w:b/>
                <w:bCs/>
              </w:rPr>
            </w:pPr>
            <w:r>
              <w:rPr>
                <w:rStyle w:val="PleaseReviewParagraphId"/>
                <w:b w:val="off"/>
                <w:i w:val="off"/>
              </w:rPr>
              <w:t>[10]</w:t>
            </w:r>
            <w:r>
              <w:rPr>
                <w:b/>
              </w:rPr>
              <w:t>Etapas principales</w:t>
            </w:r>
          </w:p>
        </w:tc>
        <w:tc xmlns:tara="kcentrix:tara" tara:rowspan="1" tara:colspan="1">
          <w:tcPr>
            <w:tcW w:w="3721" w:type="pct"/>
            <w:shd w:val="clear" w:color="auto" w:fill="auto"/>
          </w:tcPr>
          <w:p w14:paraId="2D95B31D" w14:textId="0BCE726B">
            <w:pPr>
              <w:pStyle w:val="IPPArialTable"/>
              <w:spacing w:before="0" w:after="0"/>
            </w:pPr>
            <w:r>
              <w:rPr>
                <w:rStyle w:val="PleaseReviewParagraphId"/>
                <w:b w:val="off"/>
                <w:i w:val="off"/>
              </w:rPr>
              <w:t>[11]</w:t>
            </w:r>
            <w:r>
              <w:t xml:space="preserve">2024-04: La CMF, en su 18.ª reunión, añadió el tema </w:t>
            </w:r>
            <w:r>
              <w:rPr>
                <w:i/>
              </w:rPr>
              <w:t xml:space="preserve">Revisión de la NIMF 23 </w:t>
            </w:r>
            <w:r>
              <w:t>(Directrices para la inspección) (2023-014), con prioridad 2.</w:t>
            </w:r>
          </w:p>
          <w:p w14:paraId="6305225F" w14:textId="77777777">
            <w:pPr>
              <w:pStyle w:val="IPPArialTable"/>
              <w:spacing w:before="0" w:after="0"/>
            </w:pPr>
            <w:r>
              <w:rPr>
                <w:rStyle w:val="PleaseReviewParagraphId"/>
                <w:b w:val="off"/>
                <w:i w:val="off"/>
              </w:rPr>
              <w:t>[12]</w:t>
            </w:r>
            <w:r>
              <w:t>2025-05: El Comité de Normas revisó el proyecto y lo aprobó para consulta.</w:t>
            </w:r>
          </w:p>
        </w:tc>
      </w:tr>
      <w:tr w14:paraId="6BF2569A" w14:textId="77777777">
        <w:tc xmlns:tara="kcentrix:tara" tara:rowspan="1" tara:colspan="1">
          <w:tcPr>
            <w:tcW w:w="1279" w:type="pct"/>
            <w:shd w:val="clear" w:color="auto" w:fill="auto"/>
          </w:tcPr>
          <w:p w14:paraId="60797CD0" w14:textId="77777777">
            <w:pPr>
              <w:pStyle w:val="IPPArialTable"/>
              <w:spacing w:before="0" w:after="0"/>
              <w:rPr>
                <w:b/>
                <w:bCs/>
              </w:rPr>
            </w:pPr>
            <w:r>
              <w:rPr>
                <w:rStyle w:val="PleaseReviewParagraphId"/>
                <w:b w:val="off"/>
                <w:i w:val="off"/>
              </w:rPr>
              <w:t>[13]</w:t>
            </w:r>
            <w:r>
              <w:rPr>
                <w:b/>
              </w:rPr>
              <w:t>Cronología de los administradores</w:t>
            </w:r>
          </w:p>
        </w:tc>
        <w:tc xmlns:tara="kcentrix:tara" tara:rowspan="1" tara:colspan="1">
          <w:tcPr>
            <w:tcW w:w="3721" w:type="pct"/>
            <w:shd w:val="clear" w:color="auto" w:fill="auto"/>
          </w:tcPr>
          <w:p w14:paraId="2FB62C3A" w14:textId="222E0A8A">
            <w:pPr>
              <w:pStyle w:val="IPPArialTable"/>
              <w:spacing w:before="0" w:after="0"/>
            </w:pPr>
            <w:r>
              <w:rPr>
                <w:rStyle w:val="PleaseReviewParagraphId"/>
                <w:b w:val="off"/>
                <w:i w:val="off"/>
              </w:rPr>
              <w:t>[14]</w:t>
            </w:r>
            <w:r>
              <w:t>2024-05: Sr. Masahiro SAI (JP, administrador principal)</w:t>
            </w:r>
          </w:p>
          <w:p w14:paraId="7ACB7FCA" w14:textId="4419CA3C">
            <w:pPr>
              <w:pStyle w:val="IPPArialTable"/>
              <w:spacing w:before="0" w:after="0"/>
            </w:pPr>
            <w:r>
              <w:rPr>
                <w:rStyle w:val="PleaseReviewParagraphId"/>
                <w:b w:val="off"/>
                <w:i w:val="off"/>
              </w:rPr>
              <w:t>[15]</w:t>
            </w:r>
            <w:r>
              <w:t>2024-11: Sr. Steve CÔTÉ (CA, administrador adjunto)</w:t>
            </w:r>
          </w:p>
        </w:tc>
      </w:tr>
      <w:tr w14:paraId="71D8DCB1" w14:textId="77777777">
        <w:tc xmlns:tara="kcentrix:tara" tara:rowspan="1" tara:colspan="1">
          <w:tcPr>
            <w:tcW w:w="1279" w:type="pct"/>
            <w:shd w:val="clear" w:color="auto" w:fill="auto"/>
          </w:tcPr>
          <w:p w14:paraId="4AF13347" w14:textId="77777777">
            <w:pPr>
              <w:pStyle w:val="IPPArialTable"/>
              <w:spacing w:before="0" w:after="0"/>
              <w:rPr>
                <w:b/>
                <w:bCs/>
              </w:rPr>
            </w:pPr>
            <w:r>
              <w:rPr>
                <w:rStyle w:val="PleaseReviewParagraphId"/>
                <w:b w:val="off"/>
                <w:i w:val="off"/>
              </w:rPr>
              <w:t>[16]</w:t>
            </w:r>
            <w:r>
              <w:rPr>
                <w:b/>
              </w:rPr>
              <w:t>Notas</w:t>
            </w:r>
          </w:p>
        </w:tc>
        <w:tc xmlns:tara="kcentrix:tara" tara:rowspan="1" tara:colspan="1">
          <w:tcPr>
            <w:tcW w:w="3721" w:type="pct"/>
            <w:shd w:val="clear" w:color="auto" w:fill="auto"/>
          </w:tcPr>
          <w:p w14:paraId="224902D6" w14:textId="77777777">
            <w:pPr>
              <w:pStyle w:val="IPPArialTable"/>
              <w:spacing w:before="0" w:after="0"/>
            </w:pPr>
            <w:r>
              <w:rPr>
                <w:rStyle w:val="PleaseReviewParagraphId"/>
                <w:b w:val="off"/>
                <w:i w:val="off"/>
              </w:rPr>
              <w:t>[17]</w:t>
            </w:r>
            <w:r>
              <w:t>El presente documento es un proyecto.</w:t>
            </w:r>
          </w:p>
          <w:p w14:paraId="65FE8FA0" w14:textId="77777777">
            <w:pPr>
              <w:pStyle w:val="IPPArialTable"/>
              <w:spacing w:before="0" w:after="0"/>
            </w:pPr>
            <w:r>
              <w:rPr>
                <w:rStyle w:val="PleaseReviewParagraphId"/>
                <w:b w:val="off"/>
                <w:i w:val="off"/>
              </w:rPr>
              <w:t>[18]</w:t>
            </w:r>
            <w:r>
              <w:t>2025-05: Corregido.</w:t>
            </w:r>
          </w:p>
        </w:tc>
      </w:tr>
    </w:tbl>
    <w:p w14:paraId="7D62E68D" w14:textId="77777777">
      <w:pPr>
        <w:pStyle w:val="IPPSubheadSpace"/>
      </w:pPr>
      <w:r>
        <w:rPr>
          <w:rStyle w:val="PleaseReviewParagraphId"/>
          <w:b w:val="off"/>
          <w:i w:val="off"/>
        </w:rPr>
        <w:t>[19]</w:t>
      </w:r>
      <w:r>
        <w:t>Título</w:t>
      </w:r>
    </w:p>
    <w:p w14:paraId="56339832" w14:textId="0CF3F4ED">
      <w:pPr>
        <w:pStyle w:val="IPPParagraphnumbering"/>
        <w:numPr>
          <w:ilvl w:val="0"/>
          <w:numId w:val="0"/>
        </w:numPr>
        <w:jc w:val="left"/>
      </w:pPr>
      <w:r>
        <w:rPr>
          <w:rStyle w:val="PleaseReviewParagraphId"/>
          <w:b w:val="off"/>
          <w:i w:val="off"/>
        </w:rPr>
        <w:t>[20]</w:t>
      </w:r>
      <w:r>
        <w:t>Revisión de la NIMF 23 (</w:t>
      </w:r>
      <w:r>
        <w:rPr>
          <w:i/>
        </w:rPr>
        <w:t>Directrices para la inspección</w:t>
      </w:r>
      <w:r>
        <w:t>) (2023-014).</w:t>
      </w:r>
    </w:p>
    <w:p w14:paraId="1462A270" w14:textId="1F926CA0">
      <w:pPr>
        <w:pStyle w:val="IPPSubheadSpace"/>
      </w:pPr>
      <w:r>
        <w:rPr>
          <w:rStyle w:val="PleaseReviewParagraphId"/>
          <w:b w:val="off"/>
          <w:i w:val="off"/>
        </w:rPr>
        <w:t>[21]</w:t>
      </w:r>
      <w:r>
        <w:t>Justificación de la revisión de la norma</w:t>
      </w:r>
    </w:p>
    <w:p w14:paraId="26FE6839" w14:textId="675648D3">
      <w:pPr>
        <w:pStyle w:val="IPPParagraphnumbering"/>
        <w:numPr>
          <w:ilvl w:val="0"/>
          <w:numId w:val="0"/>
        </w:numPr>
      </w:pPr>
      <w:r>
        <w:rPr>
          <w:rStyle w:val="PleaseReviewParagraphId"/>
          <w:b w:val="off"/>
          <w:i w:val="off"/>
        </w:rPr>
        <w:t>[22]</w:t>
      </w:r>
      <w:r>
        <w:t>La Norma internacional para medidas fitosanitarias (NIMF) 23 (</w:t>
      </w:r>
      <w:r>
        <w:rPr>
          <w:i/>
        </w:rPr>
        <w:t>Directrices para la inspección</w:t>
      </w:r>
      <w:r>
        <w:t>) aborda la inspección de los envíos y fue por la Comisión Interina de Medidas Fitosanitarias en su séptima reunión, celebrada en abril de 2005. Desde su adopción, muchos países han utilizado la NIMF 23 para “la inspección de los envíos de plantas y productos vegetales que circulen en el tráfico internacional y, cuando sea apropiado, la inspección de otros artículos reglamentados, particularmente con el fin de prevenir la introducción y/o diseminación de plagas” (artículo IV.2 c] de la Convención Internacional de Protección Fitosanitaria [CIPF]). No obstante, desde la adopción de la NIMF 23, se han modificado o añadido las definiciones de “inspección” y otros términos pertinentes (por ejemplo, “procedimiento de verificación de cumplimiento (para un envío)”, “identidad” e “integridad”) de la NIMF 5 (</w:t>
      </w:r>
      <w:r>
        <w:rPr>
          <w:i/>
        </w:rPr>
        <w:t>Glosario de términos fitosanitarios</w:t>
      </w:r>
      <w:r>
        <w:t>). En consecuencia, se ha creado una brecha entre los requisitos de la NIMF 23 (en especial en relación con el significado de “inspección”) y las definiciones de estos términos establecidas en la NIMF 5.</w:t>
      </w:r>
    </w:p>
    <w:p w14:paraId="20E98E58" w14:textId="692BFE34">
      <w:pPr>
        <w:pStyle w:val="IPPParagraphnumbering"/>
        <w:numPr>
          <w:ilvl w:val="0"/>
          <w:numId w:val="0"/>
        </w:numPr>
      </w:pPr>
      <w:r>
        <w:rPr>
          <w:rStyle w:val="PleaseReviewParagraphId"/>
          <w:b w:val="off"/>
          <w:i w:val="off"/>
        </w:rPr>
        <w:t>[23]</w:t>
      </w:r>
      <w:r>
        <w:t>La definición revisada de “inspección” de la NIMF 5, adoptada en 2024, es “examen visual oficial de plantas, productos vegetales u otros artículos reglamentados para determinar si hay plagas presentes o para verificar la conformidad con los requisitos fitosanitarios”. Sin embargo, en la NIMF 23 el término “inspección” se emplea en un sentido más amplio y abarca otros procedimientos de verificación de cumplimiento como el examen de los documentos, la verificación de la identidad y la integridad del envío. La definición revisada del término de la NIMF 5 “procedimiento de verificación de cumplimiento (para un envío)”, adoptada en 2023, es “proceso oficial de comprobación de los documentos, verificación de la integridad de un envío, inspección o prueba para verificar si un envío cumple con los requisitos fitosanitarios de importación o los requisitos fitosanitarios relacionados con el tránsito”. Muchas otras NIMF incluyen referencias a la NIMF 23, si bien emplean el término “inspección” en un sentido estricto (es decir, examen visual para determinar si hay plagas presentes o para verificar la conformidad con los requisitos fitosanitarios).</w:t>
      </w:r>
    </w:p>
    <w:p w14:paraId="2298CF29" w14:textId="546D3C08">
      <w:pPr>
        <w:pStyle w:val="IPPParagraphnumbering"/>
        <w:keepNext/>
        <w:keepLines/>
        <w:numPr>
          <w:ilvl w:val="0"/>
          <w:numId w:val="0"/>
        </w:numPr>
      </w:pPr>
      <w:r>
        <w:rPr>
          <w:rStyle w:val="PleaseReviewParagraphId"/>
          <w:b w:val="off"/>
          <w:i w:val="off"/>
        </w:rPr>
        <w:t>[24]</w:t>
      </w:r>
      <w:r>
        <w:lastRenderedPageBreak/>
        <w:t>Además de abordar las incoherencias mencionadas anteriormente, es necesario revisar la NIMF 23 a fin de aclarar algunos de los requisitos para los procedimientos de inspección, en particular la autorización y las responsabilidades de terceras partes en caso de que realicen inspecciones, así como de dar cabida a metodologías y tecnologías modernas. Se están elaborando los requisitos para las inspecciones de campo como anexo de la NIMF 23 (proyecto de anexo “Inspección de campo” [2021</w:t>
        <w:noBreakHyphen/>
        <w:t>018] de la NIMF 23), por lo que también es necesario revisar el cuerpo de la NIMF 23 para que se corresponda con este anexo.</w:t>
      </w:r>
    </w:p>
    <w:p w14:paraId="4DFD4BBC" w14:textId="77777777">
      <w:pPr>
        <w:pStyle w:val="IPPSubheadSpace"/>
      </w:pPr>
      <w:r>
        <w:rPr>
          <w:rStyle w:val="PleaseReviewParagraphId"/>
          <w:b w:val="off"/>
          <w:i w:val="off"/>
        </w:rPr>
        <w:t>[25]</w:t>
      </w:r>
      <w:r>
        <w:t>Ámbito</w:t>
      </w:r>
    </w:p>
    <w:p w14:paraId="78FD8994" w14:textId="4F8F81E7">
      <w:pPr>
        <w:pStyle w:val="IPPParagraphnumbering"/>
        <w:numPr>
          <w:ilvl w:val="0"/>
          <w:numId w:val="0"/>
        </w:numPr>
      </w:pPr>
      <w:r>
        <w:rPr>
          <w:rStyle w:val="PleaseReviewParagraphId"/>
          <w:b w:val="off"/>
          <w:i w:val="off"/>
        </w:rPr>
        <w:t>[26]</w:t>
      </w:r>
      <w:bookmarkStart w:name="_Hlk199073156" w:id="1"/>
      <w:r>
        <w:t xml:space="preserve">En la NIMF 23 se describen los procedimientos para la inspección de plantas, productos vegetales y otros artículos reglamentados antes de la exportación y durante la importación. </w:t>
      </w:r>
      <w:bookmarkStart w:name="_Hlk199071089" w:id="2"/>
      <w:r>
        <w:t>Entre otras cosas, en la revisión de la NIMF 23 se debería: garantizar la coherencia con las definiciones de los términos pertinentes de la NIMF 5; aclarar el procedimiento de inspección y otros procedimientos de verificación de cumplimiento pertinentes (por ejemplo, las revisiones de los documentos y la integridad); y actualizar los requisitos relativos a los pasos necesarios del procedimiento de inspección</w:t>
      </w:r>
      <w:bookmarkEnd w:id="2"/>
      <w:r>
        <w:t>.</w:t>
      </w:r>
    </w:p>
    <w:p w14:paraId="4975261E" w14:textId="77777777">
      <w:pPr>
        <w:pStyle w:val="IPPSubheadSpace"/>
      </w:pPr>
      <w:r>
        <w:rPr>
          <w:rStyle w:val="PleaseReviewParagraphId"/>
          <w:b w:val="off"/>
          <w:i w:val="off"/>
        </w:rPr>
        <w:t>[27]</w:t>
      </w:r>
      <w:r>
        <w:t>Finalidad</w:t>
      </w:r>
    </w:p>
    <w:p w14:paraId="2E442AEF" w14:textId="6F84DEB7">
      <w:pPr>
        <w:pStyle w:val="IPPParagraphnumbering"/>
        <w:numPr>
          <w:ilvl w:val="0"/>
          <w:numId w:val="0"/>
        </w:numPr>
      </w:pPr>
      <w:r>
        <w:rPr>
          <w:rStyle w:val="PleaseReviewParagraphId"/>
          <w:b w:val="off"/>
          <w:i w:val="off"/>
        </w:rPr>
        <w:t>[28]</w:t>
      </w:r>
      <w:bookmarkStart w:name="_Hlk199072319" w:id="3"/>
      <w:r>
        <w:t xml:space="preserve">La finalidad de la revisión es actualizar y aclarar los requisitos establecidos en la NIMF 23 y velar por que la norma guarde coherencia con las definiciones de la NIMF 5 pertinentes. </w:t>
      </w:r>
    </w:p>
    <w:p w14:paraId="4E9A207A" w14:textId="6500140D">
      <w:pPr>
        <w:pStyle w:val="IPPParagraphnumbering"/>
        <w:numPr>
          <w:ilvl w:val="0"/>
          <w:numId w:val="0"/>
        </w:numPr>
      </w:pPr>
      <w:r>
        <w:rPr>
          <w:rStyle w:val="PleaseReviewParagraphId"/>
          <w:b w:val="off"/>
          <w:i w:val="off"/>
        </w:rPr>
        <w:t>[29]</w:t>
      </w:r>
      <w:r>
        <w:t>La norma revisada también se corresponderá con el contenido del anexo titulado “Inspección de campo” (2021</w:t>
        <w:noBreakHyphen/>
        <w:t>018), recientemente elaborado.</w:t>
      </w:r>
    </w:p>
    <w:bookmarkEnd w:id="3"/>
    <w:bookmarkEnd w:id="1"/>
    <w:p w14:paraId="7E36509A" w14:textId="77777777">
      <w:pPr>
        <w:pStyle w:val="IPPSubheadSpace"/>
      </w:pPr>
      <w:r>
        <w:rPr>
          <w:rStyle w:val="PleaseReviewParagraphId"/>
          <w:b w:val="off"/>
          <w:i w:val="off"/>
        </w:rPr>
        <w:t>[30]</w:t>
      </w:r>
      <w:r>
        <w:t>Tareas</w:t>
      </w:r>
    </w:p>
    <w:p w14:paraId="04BF2D98" w14:textId="0DC9C3BA">
      <w:pPr>
        <w:pStyle w:val="IPPParagraphnumberingclose"/>
        <w:numPr>
          <w:ilvl w:val="0"/>
          <w:numId w:val="0"/>
        </w:numPr>
      </w:pPr>
      <w:r>
        <w:rPr>
          <w:rStyle w:val="PleaseReviewParagraphId"/>
          <w:b w:val="off"/>
          <w:i w:val="off"/>
        </w:rPr>
        <w:t>[31]</w:t>
      </w:r>
      <w:r>
        <w:t>El Grupo de trabajo de expertos (GTE) debería acometer las siguientes tareas:</w:t>
      </w:r>
    </w:p>
    <w:p w14:paraId="3544C742" w14:textId="205F5D31">
      <w:pPr>
        <w:pStyle w:val="IPPNumberedList"/>
      </w:pPr>
      <w:r>
        <w:rPr>
          <w:rStyle w:val="PleaseReviewParagraphId"/>
          <w:b w:val="off"/>
          <w:i w:val="off"/>
        </w:rPr>
        <w:t>[32]</w:t>
      </w:r>
      <w:r>
        <w:t>Determinar las secciones de la NIMF 23 que se corresponden con la definición de “inspección” establecida en la NIMF 5 (es decir, examen visual para determinar si hay plagas presentes o para verificar la conformidad con los requisitos fitosanitarios) y las secciones en las que se describe la inspección en un sentido más amplio que el de la definición de la NIMF 5 (por ejemplo, los procedimientos de verificación de cumplimiento distintos de la inspección).</w:t>
      </w:r>
    </w:p>
    <w:p w14:paraId="6B6E453F" w14:textId="3F369C3B">
      <w:pPr>
        <w:pStyle w:val="IPPNumberedList"/>
      </w:pPr>
      <w:r>
        <w:rPr>
          <w:rStyle w:val="PleaseReviewParagraphId"/>
          <w:b w:val="off"/>
          <w:i w:val="off"/>
        </w:rPr>
        <w:t>[33]</w:t>
      </w:r>
      <w:r>
        <w:t>Revisar el contenido de la NIMF 23 a fin de garantizar que se hayan incluido todos los aspectos relativos a la inspección y de mejorar la coherencia entre el proyecto de anexo titulado “Inspección de campo” (2021</w:t>
        <w:noBreakHyphen/>
        <w:t>018) y el cuerpo de la norma sobre la base de las recomendaciones del GTE relativas a la Inspección de campo (2021</w:t>
        <w:noBreakHyphen/>
        <w:t>018).</w:t>
      </w:r>
    </w:p>
    <w:p w14:paraId="684B0846" w14:textId="106B44F9">
      <w:pPr>
        <w:pStyle w:val="IPPNumberedList"/>
      </w:pPr>
      <w:r>
        <w:rPr>
          <w:rStyle w:val="PleaseReviewParagraphId"/>
          <w:b w:val="off"/>
          <w:i w:val="off"/>
        </w:rPr>
        <w:t>[34]</w:t>
      </w:r>
      <w:r>
        <w:t>Examinar el texto de la NIMF 23 y determinar qué secciones, o qué partes de ellas, de haberlas, podrían transferirse al material de aplicación. Indicar si habría que actualizar alguna de estas secciones, o partes de ellas, y si sería conveniente incluir la definición de algún término en la NIMF 5.</w:t>
      </w:r>
    </w:p>
    <w:p w14:paraId="03184E67" w14:textId="1D993066">
      <w:pPr>
        <w:pStyle w:val="IPPNumberedList"/>
      </w:pPr>
      <w:r>
        <w:rPr>
          <w:rStyle w:val="PleaseReviewParagraphId"/>
          <w:b w:val="off"/>
          <w:i w:val="off"/>
        </w:rPr>
        <w:t>[35]</w:t>
      </w:r>
      <w:r>
        <w:t>Considerar si la norma revisada podría afectar específicamente (de forma positiva o negativa) a la protección de la biodiversidad y al medio ambiente. En caso afirmativo, estos efectos deberían determinarse, abordarse y aclararse en el proyecto de norma.</w:t>
      </w:r>
    </w:p>
    <w:p w14:paraId="213F27E9" w14:textId="55A64E6B">
      <w:pPr>
        <w:pStyle w:val="IPPNumberedList"/>
      </w:pPr>
      <w:r>
        <w:rPr>
          <w:rStyle w:val="PleaseReviewParagraphId"/>
          <w:b w:val="off"/>
          <w:i w:val="off"/>
        </w:rPr>
        <w:t>[36]</w:t>
      </w:r>
      <w:r>
        <w:t>Examinar todas las referencias a la NIMF 23 que aparezcan en otras NIMF para garantizar que dichas referencias todavía sean pertinentes y proponer, cuando proceda, los consiguientes cambios. Examinar todas las referencias a las NIMF que aparezcan en la NIMF 23 revisada y hacer las modificaciones correspondientes.</w:t>
      </w:r>
    </w:p>
    <w:p w14:paraId="56846D94" w14:textId="57C3ED80">
      <w:pPr>
        <w:pStyle w:val="IPPNumberedList"/>
      </w:pPr>
      <w:r>
        <w:rPr>
          <w:rStyle w:val="PleaseReviewParagraphId"/>
          <w:b w:val="off"/>
          <w:i w:val="off"/>
        </w:rPr>
        <w:t>[37]</w:t>
      </w:r>
      <w:r>
        <w:t>Considerar la aplicación de la norma revisada por las partes contratantes y determinar los posibles problemas operacionales y técnicos de la aplicación. Facilitar información y formular posibles recomendaciones sobre estos problemas al Comité de Normas.</w:t>
      </w:r>
    </w:p>
    <w:p w14:paraId="33928857" w14:textId="77777777">
      <w:pPr>
        <w:pStyle w:val="IPPSubheadSpace"/>
        <w:keepLines/>
      </w:pPr>
      <w:r>
        <w:rPr>
          <w:rStyle w:val="PleaseReviewParagraphId"/>
          <w:b w:val="off"/>
          <w:i w:val="off"/>
        </w:rPr>
        <w:t>[38]</w:t>
      </w:r>
      <w:r>
        <w:lastRenderedPageBreak/>
        <w:t xml:space="preserve">Expertos </w:t>
      </w:r>
    </w:p>
    <w:p w14:paraId="178542FB" w14:textId="686EE55E">
      <w:pPr>
        <w:pStyle w:val="IPPParagraphnumbering"/>
        <w:keepNext/>
        <w:keepLines/>
        <w:numPr>
          <w:ilvl w:val="0"/>
          <w:numId w:val="0"/>
        </w:numPr>
      </w:pPr>
      <w:r>
        <w:rPr>
          <w:rStyle w:val="PleaseReviewParagraphId"/>
          <w:b w:val="off"/>
          <w:i w:val="off"/>
        </w:rPr>
        <w:t>[39]</w:t>
      </w:r>
      <w:r>
        <w:t>Los expertos deberían tener conocimientos y experiencia colectivos en inspección de envíos, inspección de campo, procedimientos de verificación de cumplimiento y manejo del riesgo de plagas.</w:t>
      </w:r>
    </w:p>
    <w:p w14:paraId="4CADAACE" w14:textId="2A04AF71">
      <w:pPr>
        <w:pStyle w:val="IPPParagraphnumbering"/>
        <w:keepNext/>
        <w:keepLines/>
        <w:numPr>
          <w:ilvl w:val="0"/>
          <w:numId w:val="0"/>
        </w:numPr>
      </w:pPr>
      <w:r>
        <w:rPr>
          <w:rStyle w:val="PleaseReviewParagraphId"/>
          <w:b w:val="off"/>
          <w:i w:val="off"/>
        </w:rPr>
        <w:t>[40]</w:t>
      </w:r>
      <w:r>
        <w:t>Se alienta a los miembros del antiguo GTE sobre la Inspección de campo (2021</w:t>
        <w:noBreakHyphen/>
        <w:t>018) a presentar sus solicitudes.</w:t>
      </w:r>
    </w:p>
    <w:p w14:paraId="6057F719" w14:textId="77777777">
      <w:pPr>
        <w:pStyle w:val="IPPSubheadSpace"/>
      </w:pPr>
      <w:r>
        <w:rPr>
          <w:rStyle w:val="PleaseReviewParagraphId"/>
          <w:b w:val="off"/>
          <w:i w:val="off"/>
        </w:rPr>
        <w:t>[41]</w:t>
      </w:r>
      <w:r>
        <w:t>Participantes</w:t>
      </w:r>
    </w:p>
    <w:p w14:paraId="29AF64A2" w14:textId="77777777">
      <w:pPr>
        <w:pStyle w:val="IPPParagraphnumbering"/>
        <w:numPr>
          <w:ilvl w:val="0"/>
          <w:numId w:val="0"/>
        </w:numPr>
      </w:pPr>
      <w:r>
        <w:rPr>
          <w:rStyle w:val="PleaseReviewParagraphId"/>
          <w:b w:val="off"/>
          <w:i w:val="off"/>
        </w:rPr>
        <w:t>[42]</w:t>
      </w:r>
      <w:r>
        <w:t>Entre cinco y siete expertos.</w:t>
      </w:r>
    </w:p>
    <w:p w14:paraId="324E223B" w14:textId="52907442">
      <w:pPr>
        <w:pStyle w:val="IPPParagraphnumbering"/>
        <w:numPr>
          <w:ilvl w:val="0"/>
          <w:numId w:val="0"/>
        </w:numPr>
      </w:pPr>
      <w:r>
        <w:rPr>
          <w:rStyle w:val="PleaseReviewParagraphId"/>
          <w:b w:val="off"/>
          <w:i w:val="off"/>
        </w:rPr>
        <w:t>[43]</w:t>
      </w:r>
      <w:r>
        <w:t>Además, se debería invitar a un miembro del Comité de Aplicación y Desarrollo de la Capacidad (CADC) a asistir como experto invitado o representante del CADC.</w:t>
      </w:r>
    </w:p>
    <w:p w14:paraId="6E6754B2" w14:textId="33F7EFDA">
      <w:pPr>
        <w:pStyle w:val="IPPSubheadSpace"/>
      </w:pPr>
      <w:r>
        <w:rPr>
          <w:rStyle w:val="PleaseReviewParagraphId"/>
          <w:b w:val="off"/>
          <w:i w:val="off"/>
        </w:rPr>
        <w:t>[44]</w:t>
      </w:r>
      <w:r>
        <w:t>Bibliografía</w:t>
      </w:r>
    </w:p>
    <w:p w14:paraId="07E40EB2" w14:textId="2D162FEF">
      <w:pPr>
        <w:pStyle w:val="IPPParagraphnumbering"/>
        <w:numPr>
          <w:ilvl w:val="0"/>
          <w:numId w:val="0"/>
        </w:numPr>
      </w:pPr>
      <w:r>
        <w:rPr>
          <w:rStyle w:val="PleaseReviewParagraphId"/>
          <w:b w:val="off"/>
          <w:i w:val="off"/>
        </w:rPr>
        <w:t>[45]</w:t>
      </w:r>
      <w:r>
        <w:t>La CIPF, las NIMF pertinentes y otras normas y acuerdos de alcance nacional, regional e internacional que puedan aplicarse a las tareas y los documentos de debate presentados en relación con este trabajo.</w:t>
      </w:r>
    </w:p>
    <w:p w14:paraId="697FC0E4" w14:textId="2A8044B5">
      <w:pPr>
        <w:pStyle w:val="IPPHeading3"/>
      </w:pPr>
      <w:r>
        <w:rPr>
          <w:rStyle w:val="PleaseReviewParagraphId"/>
          <w:b w:val="off"/>
          <w:i w:val="off"/>
        </w:rPr>
        <w:t>[46]</w:t>
      </w:r>
      <w:r>
        <w:t>Referencias</w:t>
      </w:r>
    </w:p>
    <w:p w14:paraId="25543E3A" w14:textId="2B49070F">
      <w:pPr>
        <w:pStyle w:val="IPPParagraphnumbering"/>
        <w:numPr>
          <w:ilvl w:val="0"/>
          <w:numId w:val="0"/>
        </w:numPr>
      </w:pPr>
      <w:r>
        <w:rPr>
          <w:rStyle w:val="PleaseReviewParagraphId"/>
          <w:b w:val="off"/>
          <w:i w:val="off"/>
        </w:rPr>
        <w:t>[47]</w:t>
      </w:r>
      <w:r>
        <w:rPr>
          <w:b/>
          <w:bCs/>
        </w:rPr>
        <w:t>Secretaría de la CIPF</w:t>
      </w:r>
      <w:r>
        <w:t xml:space="preserve">. 1997. </w:t>
      </w:r>
      <w:r>
        <w:rPr>
          <w:i/>
        </w:rPr>
        <w:t>Convención Internacional de Protección Fitosanitaria</w:t>
      </w:r>
      <w:r>
        <w:t xml:space="preserve">. Secretaría de la CIPF. Roma, FAO. </w:t>
      </w:r>
      <w:hyperlink w:history="1" r:id="rId11">
        <w:r>
          <w:rPr>
            <w:rStyle w:val="Hyperlink"/>
          </w:rPr>
          <w:t>https://www.ippc.int/es/about/convention-text/</w:t>
        </w:r>
      </w:hyperlink>
    </w:p>
    <w:p w14:paraId="4548DB76" w14:textId="4A7B5732">
      <w:pPr>
        <w:pStyle w:val="IPPParagraphnumbering"/>
        <w:numPr>
          <w:ilvl w:val="0"/>
          <w:numId w:val="0"/>
        </w:numPr>
        <w:rPr>
          <w:lang w:val="fr-FR"/>
        </w:rPr>
      </w:pPr>
      <w:r>
        <w:rPr>
          <w:rStyle w:val="PleaseReviewParagraphId"/>
          <w:b w:val="off"/>
          <w:i w:val="off"/>
        </w:rPr>
        <w:t>[48]</w:t>
      </w:r>
      <w:r>
        <w:rPr>
          <w:b/>
        </w:rPr>
        <w:t>NIMF 5</w:t>
      </w:r>
      <w:r>
        <w:t xml:space="preserve">. </w:t>
      </w:r>
      <w:r>
        <w:rPr>
          <w:i/>
        </w:rPr>
        <w:t>Glosario de términos fitosanitarios</w:t>
      </w:r>
      <w:r>
        <w:t xml:space="preserve">. Secretaría de la CIPF. Roma, FAO. </w:t>
      </w:r>
      <w:hyperlink w:history="1" r:id="rId12">
        <w:r>
          <w:rPr>
            <w:rStyle w:val="Hyperlink"/>
            <w:lang w:val="fr-FR"/>
          </w:rPr>
          <w:t>https://www.ippc.int/es/publications/622/</w:t>
        </w:r>
      </w:hyperlink>
      <w:r>
        <w:rPr>
          <w:lang w:val="fr-FR"/>
        </w:rPr>
        <w:t xml:space="preserve"> </w:t>
      </w:r>
    </w:p>
    <w:p w14:paraId="6EAB1D37" w14:textId="7532569E">
      <w:pPr>
        <w:pStyle w:val="IPPHeading3"/>
        <w:rPr>
          <w:lang w:val="fr-FR"/>
        </w:rPr>
      </w:pPr>
      <w:r>
        <w:rPr>
          <w:rStyle w:val="PleaseReviewParagraphId"/>
          <w:b w:val="off"/>
          <w:i w:val="off"/>
        </w:rPr>
        <w:t>[49]</w:t>
      </w:r>
      <w:r>
        <w:rPr>
          <w:lang w:val="fr-FR"/>
        </w:rPr>
        <w:t>Otras lecturas</w:t>
      </w:r>
    </w:p>
    <w:p w14:paraId="4B82FD1E" w14:textId="6A3FB746">
      <w:pPr>
        <w:pStyle w:val="IPPParagraphnumbering"/>
        <w:numPr>
          <w:ilvl w:val="0"/>
          <w:numId w:val="0"/>
        </w:numPr>
      </w:pPr>
      <w:r>
        <w:rPr>
          <w:rStyle w:val="PleaseReviewParagraphId"/>
          <w:b w:val="off"/>
          <w:i w:val="off"/>
        </w:rPr>
        <w:t>[50]</w:t>
      </w:r>
      <w:r>
        <w:rPr>
          <w:b/>
          <w:bCs/>
          <w:lang w:val="fr-FR"/>
        </w:rPr>
        <w:t>Secretaría de la CIPF</w:t>
      </w:r>
      <w:r>
        <w:rPr>
          <w:lang w:val="fr-FR"/>
        </w:rPr>
        <w:t xml:space="preserve">. 2018. </w:t>
      </w:r>
      <w:r>
        <w:rPr>
          <w:i/>
          <w:lang w:val="en-US"/>
        </w:rPr>
        <w:t>Report of the 32nd meeting of the Standards Committee, 19–23 November 2018</w:t>
      </w:r>
      <w:r>
        <w:rPr>
          <w:lang w:val="en-US"/>
        </w:rPr>
        <w:t xml:space="preserve">. </w:t>
      </w:r>
      <w:r>
        <w:t xml:space="preserve">Secretaría de la CIPF. Roma, FAO. </w:t>
      </w:r>
      <w:hyperlink w:history="1" r:id="rId13">
        <w:r>
          <w:rPr>
            <w:rStyle w:val="Hyperlink"/>
          </w:rPr>
          <w:t>https://www.ippc.int/en/publications/86854/</w:t>
        </w:r>
      </w:hyperlink>
    </w:p>
    <w:p w14:paraId="0939B8BA" w14:textId="6BC24E86">
      <w:pPr>
        <w:pStyle w:val="IPPParagraphnumbering"/>
        <w:numPr>
          <w:ilvl w:val="0"/>
          <w:numId w:val="0"/>
        </w:numPr>
      </w:pPr>
      <w:r>
        <w:rPr>
          <w:rStyle w:val="PleaseReviewParagraphId"/>
          <w:b w:val="off"/>
          <w:i w:val="off"/>
        </w:rPr>
        <w:t>[51]</w:t>
      </w:r>
      <w:r>
        <w:rPr>
          <w:b/>
          <w:bCs/>
          <w:lang w:val="en-US"/>
        </w:rPr>
        <w:t>Secretaría de la CIPF</w:t>
      </w:r>
      <w:r>
        <w:rPr>
          <w:lang w:val="en-US"/>
        </w:rPr>
        <w:t xml:space="preserve">. 2023. </w:t>
      </w:r>
      <w:r>
        <w:rPr>
          <w:i/>
          <w:lang w:val="en-US"/>
        </w:rPr>
        <w:t>Report of the meeting of the Technical Panel for the Glossary, 28 November–2 December 2022</w:t>
      </w:r>
      <w:r>
        <w:rPr>
          <w:lang w:val="en-US"/>
        </w:rPr>
        <w:t xml:space="preserve">. </w:t>
      </w:r>
      <w:r>
        <w:t xml:space="preserve">Secretaría de la CIPF. Roma, FAO. </w:t>
      </w:r>
      <w:hyperlink w:history="1" r:id="rId14">
        <w:r>
          <w:rPr>
            <w:rStyle w:val="Hyperlink"/>
          </w:rPr>
          <w:t>https://www.ippc.int/en/publications/92027/</w:t>
        </w:r>
      </w:hyperlink>
    </w:p>
    <w:p w14:paraId="7B354063" w14:textId="1FCBF7CD">
      <w:pPr>
        <w:pStyle w:val="IPPParagraphnumbering"/>
        <w:numPr>
          <w:ilvl w:val="0"/>
          <w:numId w:val="0"/>
        </w:numPr>
      </w:pPr>
      <w:r>
        <w:rPr>
          <w:rStyle w:val="PleaseReviewParagraphId"/>
          <w:b w:val="off"/>
          <w:i w:val="off"/>
        </w:rPr>
        <w:t>[52]</w:t>
      </w:r>
      <w:r>
        <w:rPr>
          <w:b/>
          <w:lang w:val="en-US"/>
        </w:rPr>
        <w:t>Secretaría de la CIPF</w:t>
      </w:r>
      <w:r>
        <w:rPr>
          <w:lang w:val="en-US"/>
        </w:rPr>
        <w:t xml:space="preserve">. 2023. </w:t>
      </w:r>
      <w:r>
        <w:rPr>
          <w:i/>
          <w:lang w:val="en-US"/>
        </w:rPr>
        <w:t>Report of the meeting of the Standards Committee, 8–12 May 2023</w:t>
      </w:r>
      <w:r>
        <w:rPr>
          <w:lang w:val="en-US"/>
        </w:rPr>
        <w:t xml:space="preserve">. </w:t>
      </w:r>
      <w:r>
        <w:t xml:space="preserve">Secretaría de la CIPF. Roma, FAO. </w:t>
      </w:r>
      <w:hyperlink w:history="1" r:id="rId15">
        <w:r>
          <w:rPr>
            <w:rStyle w:val="Hyperlink"/>
          </w:rPr>
          <w:t>https://www.ippc.int/en/publications/92494/</w:t>
        </w:r>
      </w:hyperlink>
    </w:p>
    <w:p w14:paraId="2D133BB4" w14:textId="41FCE294">
      <w:pPr>
        <w:pStyle w:val="IPPParagraphnumbering"/>
        <w:numPr>
          <w:ilvl w:val="0"/>
          <w:numId w:val="0"/>
        </w:numPr>
      </w:pPr>
      <w:r>
        <w:rPr>
          <w:rStyle w:val="PleaseReviewParagraphId"/>
          <w:b w:val="off"/>
          <w:i w:val="off"/>
        </w:rPr>
        <w:t>[53]</w:t>
      </w:r>
      <w:r>
        <w:rPr>
          <w:b/>
          <w:lang w:val="en-US"/>
        </w:rPr>
        <w:t>Secretaría de la CIPF</w:t>
      </w:r>
      <w:r>
        <w:rPr>
          <w:lang w:val="en-US"/>
        </w:rPr>
        <w:t xml:space="preserve">. 2024. </w:t>
      </w:r>
      <w:r>
        <w:rPr>
          <w:i/>
          <w:lang w:val="en-US"/>
        </w:rPr>
        <w:t>Explanatory document on ISPM 5 (Glossary of phytosanitary terms)</w:t>
      </w:r>
      <w:r>
        <w:rPr>
          <w:lang w:val="en-US"/>
        </w:rPr>
        <w:t xml:space="preserve">. </w:t>
      </w:r>
      <w:r>
        <w:t xml:space="preserve">Secretaría de la CIPF. Roma, FAO. 57 págs. </w:t>
      </w:r>
      <w:hyperlink w:history="1" r:id="rId16">
        <w:r>
          <w:rPr>
            <w:rStyle w:val="Hyperlink"/>
          </w:rPr>
          <w:t>https://www.ippc.int/en/publications/87049</w:t>
        </w:r>
      </w:hyperlink>
      <w:r>
        <w:t xml:space="preserve"> </w:t>
      </w:r>
    </w:p>
    <w:p w14:paraId="14ED6D7F" w14:textId="498B91C6">
      <w:pPr>
        <w:pStyle w:val="IPPParagraphnumbering"/>
        <w:numPr>
          <w:ilvl w:val="0"/>
          <w:numId w:val="0"/>
        </w:numPr>
      </w:pPr>
      <w:r>
        <w:rPr>
          <w:rStyle w:val="PleaseReviewParagraphId"/>
          <w:b w:val="off"/>
          <w:i w:val="off"/>
        </w:rPr>
        <w:t>[54]</w:t>
      </w:r>
      <w:r>
        <w:rPr>
          <w:b/>
        </w:rPr>
        <w:t>NIMF 7</w:t>
      </w:r>
      <w:r>
        <w:t xml:space="preserve">. 2016. </w:t>
      </w:r>
      <w:r>
        <w:rPr>
          <w:i/>
          <w:iCs/>
        </w:rPr>
        <w:t>Sistema de certificación fitosanitaria</w:t>
      </w:r>
      <w:r>
        <w:t xml:space="preserve">. Secretaría de la CIPF. Roma, FAO. Adoptada en 2011. </w:t>
      </w:r>
      <w:hyperlink w:history="1" r:id="rId17">
        <w:r>
          <w:rPr>
            <w:rStyle w:val="Hyperlink"/>
          </w:rPr>
          <w:t>https://www.ippc.int/es/publications/613/</w:t>
        </w:r>
      </w:hyperlink>
    </w:p>
    <w:p w14:paraId="11923AEB" w14:textId="42ABADD7">
      <w:pPr>
        <w:pStyle w:val="IPPParagraphnumbering"/>
        <w:numPr>
          <w:ilvl w:val="0"/>
          <w:numId w:val="0"/>
        </w:numPr>
      </w:pPr>
      <w:r>
        <w:rPr>
          <w:rStyle w:val="PleaseReviewParagraphId"/>
          <w:b w:val="off"/>
          <w:i w:val="off"/>
        </w:rPr>
        <w:t>[55]</w:t>
      </w:r>
      <w:r>
        <w:rPr>
          <w:b/>
        </w:rPr>
        <w:t>NIMF 20</w:t>
      </w:r>
      <w:r>
        <w:t xml:space="preserve">. 2023. </w:t>
      </w:r>
      <w:r>
        <w:rPr>
          <w:i/>
        </w:rPr>
        <w:t>Directrices para un sistema de reglamentación fitosanitaria de importaciones</w:t>
      </w:r>
      <w:r>
        <w:t xml:space="preserve">. Secretaría de la CIPF. Roma, FAO. </w:t>
      </w:r>
      <w:hyperlink w:history="1" r:id="rId18">
        <w:r>
          <w:rPr>
            <w:rStyle w:val="Hyperlink"/>
          </w:rPr>
          <w:t>https://www.ippc.int/es/publications/602/</w:t>
        </w:r>
      </w:hyperlink>
    </w:p>
    <w:p w14:paraId="35174486" w14:textId="3C058F6F">
      <w:pPr>
        <w:pStyle w:val="IPPParagraphnumbering"/>
        <w:numPr>
          <w:ilvl w:val="0"/>
          <w:numId w:val="0"/>
        </w:numPr>
      </w:pPr>
      <w:r>
        <w:rPr>
          <w:rStyle w:val="PleaseReviewParagraphId"/>
          <w:b w:val="off"/>
          <w:i w:val="off"/>
        </w:rPr>
        <w:t>[56]</w:t>
      </w:r>
      <w:r>
        <w:rPr>
          <w:b/>
        </w:rPr>
        <w:t>NIMF 45</w:t>
      </w:r>
      <w:r>
        <w:t xml:space="preserve">. 2021. </w:t>
      </w:r>
      <w:r>
        <w:rPr>
          <w:i/>
          <w:iCs/>
        </w:rPr>
        <w:t>Requisitos para las organizaciones nacionales de protección fitosanitaria cuando autoricen a entidades para ejecutar acciones fitosanitarias</w:t>
      </w:r>
      <w:r>
        <w:t xml:space="preserve">. Secretaría de la CIPF. Roma, FAO. </w:t>
      </w:r>
      <w:hyperlink w:history="1" r:id="rId19">
        <w:r>
          <w:rPr>
            <w:rStyle w:val="Hyperlink"/>
          </w:rPr>
          <w:t>https://www.ippc.int/es/publications/89734/</w:t>
        </w:r>
      </w:hyperlink>
    </w:p>
    <w:p w14:paraId="6F37DDAC" w14:textId="77777777">
      <w:pPr>
        <w:pStyle w:val="IPPSubheadSpace"/>
      </w:pPr>
      <w:r>
        <w:rPr>
          <w:rStyle w:val="PleaseReviewParagraphId"/>
          <w:b w:val="off"/>
          <w:i w:val="off"/>
        </w:rPr>
        <w:t>[57]</w:t>
      </w:r>
      <w:r>
        <w:t>Documentos de debate</w:t>
      </w:r>
    </w:p>
    <w:p w14:paraId="6BB55637" w14:textId="7AFF43A9">
      <w:pPr>
        <w:pStyle w:val="IPPParagraphnumbering"/>
        <w:numPr>
          <w:ilvl w:val="0"/>
          <w:numId w:val="0"/>
        </w:numPr>
      </w:pPr>
      <w:r>
        <w:rPr>
          <w:rStyle w:val="PleaseReviewParagraphId"/>
          <w:b w:val="off"/>
          <w:i w:val="off"/>
        </w:rPr>
        <w:t>[58]</w:t>
      </w:r>
      <w:r>
        <w:t>Se alienta a los participantes y las partes interesadas a remitir documentos de debate a la Secretaría de la CIPF (</w:t>
      </w:r>
      <w:bookmarkStart w:name="OLE_LINK1" w:id="4"/>
      <w:r>
        <w:fldChar w:fldCharType="begin"/>
      </w:r>
      <w:r>
        <w:instrText>HYPERLINK "mailto:ippc@fao.org"</w:instrText>
      </w:r>
      <w:r>
        <w:fldChar w:fldCharType="separate"/>
      </w:r>
      <w:r>
        <w:rPr>
          <w:rStyle w:val="Hyperlink"/>
        </w:rPr>
        <w:t>ippc@fao.org</w:t>
      </w:r>
      <w:bookmarkEnd w:id="4"/>
      <w:r>
        <w:fldChar w:fldCharType="end"/>
      </w:r>
      <w:r>
        <w:t>) para su examen por el GTE.</w:t>
      </w:r>
    </w:p>
    <w:sectPr>
      <w:pgSz w:w="11906" w:h="16838" w:code="9"/>
      <w:pgMar w:top="1559" w:right="1418" w:bottom="1418" w:left="1418" w:header="851" w:footer="851" w:gutter="0"/>
      <w:cols w:space="720"/>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C67A5" w14:textId="77777777">
      <w:r>
        <w:rPr>
          <w:rStyle w:val="PleaseReviewParagraphId"/>
          <w:b w:val="off"/>
          <w:i w:val="off"/>
        </w:rPr>
        <w:t>[]</w:t>
      </w:r>
      <w:r>
        <w:separator/>
      </w:r>
    </w:p>
  </w:endnote>
  <w:endnote w:type="continuationSeparator" w:id="0">
    <w:p w14:paraId="50EEB30B" w14:textId="77777777">
      <w:r>
        <w:rPr>
          <w:rStyle w:val="PleaseReviewParagraphId"/>
          <w:b w:val="off"/>
          <w:i w:val="off"/>
        </w:rPr>
        <w:t>[]</w:t>
      </w:r>
      <w:r>
        <w:continuationSeparator/>
      </w:r>
    </w:p>
  </w:endnote>
  <w:endnote w:type="continuationNotice" w:id="1">
    <w:p w14:paraId="4A1C9CB7"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A6854" w14:textId="77777777">
      <w:r>
        <w:rPr>
          <w:rStyle w:val="PleaseReviewParagraphId"/>
          <w:b w:val="off"/>
          <w:i w:val="off"/>
        </w:rPr>
        <w:t>[]</w:t>
      </w:r>
      <w:r>
        <w:separator/>
      </w:r>
    </w:p>
  </w:footnote>
  <w:footnote w:type="continuationSeparator" w:id="0">
    <w:p w14:paraId="0FF20F01" w14:textId="77777777">
      <w:r>
        <w:rPr>
          <w:rStyle w:val="PleaseReviewParagraphId"/>
          <w:b w:val="off"/>
          <w:i w:val="off"/>
        </w:rPr>
        <w:t>[]</w:t>
      </w:r>
      <w:r>
        <w:continuationSeparator/>
      </w:r>
    </w:p>
  </w:footnote>
  <w:footnote w:type="continuationNotice" w:id="1">
    <w:p w14:paraId="1662D770" w14:textId="77777777">
      <w:r>
        <w:rPr>
          <w:rStyle w:val="PleaseReviewParagraphId"/>
          <w:b w:val="off"/>
          <w:i w:val="off"/>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76C85A0"/>
    <w:lvl w:ilvl="0" w:tplc="0C0A0011">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021A9C"/>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84C0A6C"/>
    <w:multiLevelType w:val="multilevel"/>
    <w:tmpl w:val="06E871E4"/>
    <w:numStyleLink w:val="IPPParagraphnumberedlist"/>
  </w:abstractNum>
  <w:abstractNum w:abstractNumId="13" w15:restartNumberingAfterBreak="0">
    <w:nsid w:val="08596633"/>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ED3B68"/>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22FA190D"/>
    <w:multiLevelType w:val="hybridMultilevel"/>
    <w:tmpl w:val="83525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0">
    <w:nsid w:val="35A3795A"/>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75A62"/>
    <w:multiLevelType w:val="multilevel"/>
    <w:tmpl w:val="67AEF0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683ABE"/>
    <w:multiLevelType w:val="hybridMultilevel"/>
    <w:tmpl w:val="9188A528"/>
    <w:lvl w:ilvl="0" w:tplc="74C8B90C">
      <w:start w:val="1"/>
      <w:numFmt w:val="bullet"/>
      <w:lvlText w:val=""/>
      <w:lvlJc w:val="left"/>
      <w:pPr>
        <w:ind w:left="440" w:hanging="440"/>
      </w:pPr>
      <w:rPr>
        <w:rFonts w:ascii="Wingdings" w:hAnsi="Wingdings" w:hint="default"/>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9C17201"/>
    <w:multiLevelType w:val="hybridMultilevel"/>
    <w:tmpl w:val="86E0B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B6D14"/>
    <w:multiLevelType w:val="hybridMultilevel"/>
    <w:tmpl w:val="BA4A3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8156E"/>
    <w:multiLevelType w:val="hybridMultilevel"/>
    <w:tmpl w:val="A164F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53DB50A4"/>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D0464"/>
    <w:multiLevelType w:val="hybridMultilevel"/>
    <w:tmpl w:val="1B700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FD69C2"/>
    <w:multiLevelType w:val="multilevel"/>
    <w:tmpl w:val="0EE01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516E1"/>
    <w:multiLevelType w:val="hybridMultilevel"/>
    <w:tmpl w:val="6A9C6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C57A5"/>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A315D0"/>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95569B"/>
    <w:multiLevelType w:val="hybridMultilevel"/>
    <w:tmpl w:val="9FBA4C3C"/>
    <w:lvl w:ilvl="0" w:tplc="ABEA9AAE">
      <w:start w:val="4"/>
      <w:numFmt w:val="decimal"/>
      <w:lvlText w:val="%1"/>
      <w:lvlJc w:val="left"/>
      <w:pPr>
        <w:ind w:left="720" w:hanging="360"/>
      </w:pPr>
      <w:rPr>
        <w:rFonts w:hint="default"/>
        <w:sz w:val="28"/>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17"/>
  </w:num>
  <w:num w:numId="4">
    <w:abstractNumId w:val="26"/>
  </w:num>
  <w:num w:numId="5">
    <w:abstractNumId w:val="29"/>
  </w:num>
  <w:num w:numId="6">
    <w:abstractNumId w:val="14"/>
  </w:num>
  <w:num w:numId="7">
    <w:abstractNumId w:val="18"/>
  </w:num>
  <w:num w:numId="8">
    <w:abstractNumId w:val="33"/>
  </w:num>
  <w:num w:numId="9">
    <w:abstractNumId w:val="27"/>
  </w:num>
  <w:num w:numId="10">
    <w:abstractNumId w:val="23"/>
  </w:num>
  <w:num w:numId="11">
    <w:abstractNumId w:val="37"/>
  </w:num>
  <w:num w:numId="12">
    <w:abstractNumId w:val="12"/>
    <w:lvlOverride w:ilvl="0">
      <w:lvl w:ilvl="0">
        <w:start w:val="1"/>
        <w:numFmt w:val="decimal"/>
        <w:pStyle w:val="IPPParagraphnumbering"/>
        <w:suff w:val="nothing"/>
        <w:lvlText w:val="[%1]"/>
        <w:lvlJc w:val="left"/>
        <w:pPr>
          <w:ind w:left="0" w:firstLine="0"/>
        </w:pPr>
        <w:rPr>
          <w:rFonts w:ascii="Arial" w:hAnsi="Arial" w:hint="default"/>
          <w:b w:val="0"/>
          <w:i w:val="0"/>
          <w:iCs/>
          <w:color w:val="0000FF"/>
          <w:sz w:val="18"/>
        </w:rPr>
      </w:lvl>
    </w:lvlOverride>
    <w:lvlOverride w:ilvl="1">
      <w:lvl w:ilvl="1">
        <w:start w:val="1"/>
        <w:numFmt w:val="none"/>
        <w:lvlRestart w:val="0"/>
        <w:lvlText w:val=""/>
        <w:lvlJc w:val="left"/>
        <w:pPr>
          <w:tabs>
            <w:tab w:val="num" w:pos="227"/>
          </w:tabs>
          <w:ind w:left="57" w:firstLine="0"/>
        </w:pPr>
        <w:rPr>
          <w:rFonts w:hint="default"/>
        </w:rPr>
      </w:lvl>
    </w:lvlOverride>
    <w:lvlOverride w:ilvl="2">
      <w:lvl w:ilvl="2">
        <w:start w:val="1"/>
        <w:numFmt w:val="none"/>
        <w:lvlRestart w:val="0"/>
        <w:lvlText w:val=""/>
        <w:lvlJc w:val="left"/>
        <w:pPr>
          <w:tabs>
            <w:tab w:val="num" w:pos="284"/>
          </w:tabs>
          <w:ind w:left="114" w:firstLine="0"/>
        </w:pPr>
        <w:rPr>
          <w:rFonts w:hint="default"/>
        </w:rPr>
      </w:lvl>
    </w:lvlOverride>
    <w:lvlOverride w:ilvl="3">
      <w:lvl w:ilvl="3">
        <w:start w:val="1"/>
        <w:numFmt w:val="none"/>
        <w:lvlRestart w:val="0"/>
        <w:lvlText w:val=""/>
        <w:lvlJc w:val="left"/>
        <w:pPr>
          <w:tabs>
            <w:tab w:val="num" w:pos="341"/>
          </w:tabs>
          <w:ind w:left="171" w:firstLine="0"/>
        </w:pPr>
        <w:rPr>
          <w:rFonts w:hint="default"/>
        </w:rPr>
      </w:lvl>
    </w:lvlOverride>
    <w:lvlOverride w:ilvl="4">
      <w:lvl w:ilvl="4">
        <w:start w:val="1"/>
        <w:numFmt w:val="none"/>
        <w:lvlRestart w:val="0"/>
        <w:lvlText w:val=""/>
        <w:lvlJc w:val="left"/>
        <w:pPr>
          <w:tabs>
            <w:tab w:val="num" w:pos="398"/>
          </w:tabs>
          <w:ind w:left="228" w:firstLine="0"/>
        </w:pPr>
        <w:rPr>
          <w:rFonts w:hint="default"/>
        </w:rPr>
      </w:lvl>
    </w:lvlOverride>
    <w:lvlOverride w:ilvl="5">
      <w:lvl w:ilvl="5">
        <w:start w:val="1"/>
        <w:numFmt w:val="none"/>
        <w:lvlRestart w:val="0"/>
        <w:lvlText w:val=""/>
        <w:lvlJc w:val="left"/>
        <w:pPr>
          <w:tabs>
            <w:tab w:val="num" w:pos="455"/>
          </w:tabs>
          <w:ind w:left="285" w:firstLine="0"/>
        </w:pPr>
        <w:rPr>
          <w:rFonts w:hint="default"/>
        </w:rPr>
      </w:lvl>
    </w:lvlOverride>
    <w:lvlOverride w:ilvl="6">
      <w:lvl w:ilvl="6">
        <w:start w:val="1"/>
        <w:numFmt w:val="none"/>
        <w:lvlRestart w:val="0"/>
        <w:lvlText w:val=""/>
        <w:lvlJc w:val="left"/>
        <w:pPr>
          <w:tabs>
            <w:tab w:val="num" w:pos="512"/>
          </w:tabs>
          <w:ind w:left="342" w:firstLine="0"/>
        </w:pPr>
        <w:rPr>
          <w:rFonts w:hint="default"/>
        </w:rPr>
      </w:lvl>
    </w:lvlOverride>
    <w:lvlOverride w:ilvl="7">
      <w:lvl w:ilvl="7">
        <w:start w:val="1"/>
        <w:numFmt w:val="none"/>
        <w:lvlRestart w:val="0"/>
        <w:lvlText w:val=""/>
        <w:lvlJc w:val="left"/>
        <w:pPr>
          <w:tabs>
            <w:tab w:val="num" w:pos="569"/>
          </w:tabs>
          <w:ind w:left="399" w:firstLine="0"/>
        </w:pPr>
        <w:rPr>
          <w:rFonts w:hint="default"/>
        </w:rPr>
      </w:lvl>
    </w:lvlOverride>
    <w:lvlOverride w:ilvl="8">
      <w:lvl w:ilvl="8">
        <w:start w:val="1"/>
        <w:numFmt w:val="none"/>
        <w:lvlRestart w:val="0"/>
        <w:lvlText w:val=""/>
        <w:lvlJc w:val="left"/>
        <w:pPr>
          <w:tabs>
            <w:tab w:val="num" w:pos="626"/>
          </w:tabs>
          <w:ind w:left="456" w:firstLine="0"/>
        </w:pPr>
        <w:rPr>
          <w:rFonts w:hint="default"/>
        </w:rPr>
      </w:lvl>
    </w:lvlOverride>
  </w:num>
  <w:num w:numId="13">
    <w:abstractNumId w:val="10"/>
  </w:num>
  <w:num w:numId="14">
    <w:abstractNumId w:val="31"/>
  </w:num>
  <w:num w:numId="15">
    <w:abstractNumId w:val="38"/>
  </w:num>
  <w:num w:numId="16">
    <w:abstractNumId w:val="20"/>
  </w:num>
  <w:num w:numId="17">
    <w:abstractNumId w:val="11"/>
  </w:num>
  <w:num w:numId="18">
    <w:abstractNumId w:val="22"/>
  </w:num>
  <w:num w:numId="19">
    <w:abstractNumId w:val="32"/>
  </w:num>
  <w:num w:numId="20">
    <w:abstractNumId w:val="12"/>
  </w:num>
  <w:num w:numId="21">
    <w:abstractNumId w:val="16"/>
  </w:num>
  <w:num w:numId="22">
    <w:abstractNumId w:val="24"/>
  </w:num>
  <w:num w:numId="23">
    <w:abstractNumId w:val="36"/>
  </w:num>
  <w:num w:numId="24">
    <w:abstractNumId w:val="15"/>
  </w:num>
  <w:num w:numId="25">
    <w:abstractNumId w:val="13"/>
  </w:num>
  <w:num w:numId="26">
    <w:abstractNumId w:val="35"/>
  </w:num>
  <w:num w:numId="27">
    <w:abstractNumId w:val="28"/>
  </w:num>
  <w:num w:numId="28">
    <w:abstractNumId w:val="34"/>
  </w:num>
  <w:num w:numId="29">
    <w:abstractNumId w:val="21"/>
  </w:num>
  <w:num w:numId="30">
    <w:abstractNumId w:val="19"/>
  </w:num>
  <w:num w:numId="31">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17"/>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mailMerge>
    <w:mainDocumentType w:val="formLetters"/>
    <w:linkToQuery/>
    <w:dataType w:val="native"/>
    <w:connectString w:val="Provider=Microsoft.ACE.OLEDB.12.0;User ID=Admin;Data Source=C:\Users\echoe\OneDrive - Food and Agriculture Organization\Calls - IPPC-Secretariat-Team\Backup\Submission form for topics for Standards and Implementation(1-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1"/>
    <w:odso>
      <w:fieldMapData>
        <w:type w:val="dbColumn"/>
        <w:name w:val="ID"/>
        <w:mappedName w:val="Unique Identifier"/>
        <w:column w:val="0"/>
        <w:lid w:val="en-US"/>
      </w:fieldMapData>
      <w:fieldMapData>
        <w:column w:val="0"/>
        <w:lid w:val="en-US"/>
      </w:fieldMapData>
      <w:fieldMapData>
        <w:column w:val="0"/>
        <w:lid w:val="en-US"/>
      </w:fieldMapData>
      <w:fieldMapData>
        <w:column w:val="0"/>
        <w:lid w:val="en-US"/>
      </w:fieldMapData>
      <w:fieldMapData>
        <w:type w:val="dbColumn"/>
        <w:name w:val="Name"/>
        <w:mappedName w:val="Last Name"/>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Phone"/>
        <w:mappedName w:val="Business Phone"/>
        <w:column w:val="12"/>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hyphenationZone w:val="425"/>
  <w:evenAndOddHeaders/>
  <w:characterSpacingControl w:val="doNotCompress"/>
  <w:hdrShapeDefaults>
    <o:shapedefaults v:ext="edit" spidmax="24985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c0sTC3MDIwt7AwNjJW0lEKTi0uzszPAykwNqkFAE1DxlMtAAAA"/>
  </w:docVars>
  <w:rsids>
    <w:rsidRoot w:val="000B32EC"/>
    <w:rsid w:val="00004C51"/>
    <w:rsid w:val="00017886"/>
    <w:rsid w:val="0002077D"/>
    <w:rsid w:val="0002302F"/>
    <w:rsid w:val="0002768F"/>
    <w:rsid w:val="0002790B"/>
    <w:rsid w:val="00030EC4"/>
    <w:rsid w:val="00035A70"/>
    <w:rsid w:val="00041120"/>
    <w:rsid w:val="00041D7B"/>
    <w:rsid w:val="00042A9D"/>
    <w:rsid w:val="000440A1"/>
    <w:rsid w:val="000442DC"/>
    <w:rsid w:val="00055E1F"/>
    <w:rsid w:val="000605F3"/>
    <w:rsid w:val="00060654"/>
    <w:rsid w:val="00061E41"/>
    <w:rsid w:val="000640F1"/>
    <w:rsid w:val="00065962"/>
    <w:rsid w:val="000675D6"/>
    <w:rsid w:val="000677B5"/>
    <w:rsid w:val="0007163D"/>
    <w:rsid w:val="00071D9C"/>
    <w:rsid w:val="00072293"/>
    <w:rsid w:val="00074A88"/>
    <w:rsid w:val="00080DB0"/>
    <w:rsid w:val="00090EB8"/>
    <w:rsid w:val="0009175A"/>
    <w:rsid w:val="00094239"/>
    <w:rsid w:val="00097C2B"/>
    <w:rsid w:val="000A1C28"/>
    <w:rsid w:val="000A50AD"/>
    <w:rsid w:val="000A6966"/>
    <w:rsid w:val="000B0BA5"/>
    <w:rsid w:val="000B31FB"/>
    <w:rsid w:val="000B32EC"/>
    <w:rsid w:val="000C4F29"/>
    <w:rsid w:val="000C5E08"/>
    <w:rsid w:val="000D1AAC"/>
    <w:rsid w:val="000D2921"/>
    <w:rsid w:val="000D3F17"/>
    <w:rsid w:val="000D5C2A"/>
    <w:rsid w:val="000D7EB0"/>
    <w:rsid w:val="000E2DA8"/>
    <w:rsid w:val="000E4546"/>
    <w:rsid w:val="000F1784"/>
    <w:rsid w:val="000F1F15"/>
    <w:rsid w:val="000F417B"/>
    <w:rsid w:val="000F6330"/>
    <w:rsid w:val="001009DF"/>
    <w:rsid w:val="00101097"/>
    <w:rsid w:val="001046FB"/>
    <w:rsid w:val="001079FC"/>
    <w:rsid w:val="00111ECE"/>
    <w:rsid w:val="00116367"/>
    <w:rsid w:val="00117F08"/>
    <w:rsid w:val="00134C8A"/>
    <w:rsid w:val="001357A9"/>
    <w:rsid w:val="0014267F"/>
    <w:rsid w:val="001448A8"/>
    <w:rsid w:val="0014676B"/>
    <w:rsid w:val="00154579"/>
    <w:rsid w:val="00155A24"/>
    <w:rsid w:val="00157F1F"/>
    <w:rsid w:val="001606D3"/>
    <w:rsid w:val="00160B95"/>
    <w:rsid w:val="00163187"/>
    <w:rsid w:val="00163D88"/>
    <w:rsid w:val="00164E15"/>
    <w:rsid w:val="00166BFF"/>
    <w:rsid w:val="00167857"/>
    <w:rsid w:val="001713A8"/>
    <w:rsid w:val="00171F75"/>
    <w:rsid w:val="001768D9"/>
    <w:rsid w:val="00177500"/>
    <w:rsid w:val="001821C0"/>
    <w:rsid w:val="00182D98"/>
    <w:rsid w:val="00183D3D"/>
    <w:rsid w:val="0018745D"/>
    <w:rsid w:val="001910D2"/>
    <w:rsid w:val="001A3A80"/>
    <w:rsid w:val="001A7841"/>
    <w:rsid w:val="001B17BC"/>
    <w:rsid w:val="001B30E7"/>
    <w:rsid w:val="001C2642"/>
    <w:rsid w:val="001C431F"/>
    <w:rsid w:val="001C4545"/>
    <w:rsid w:val="001D089E"/>
    <w:rsid w:val="001D1E7E"/>
    <w:rsid w:val="001D25C7"/>
    <w:rsid w:val="001D2940"/>
    <w:rsid w:val="001D4C73"/>
    <w:rsid w:val="001D66AF"/>
    <w:rsid w:val="001E0730"/>
    <w:rsid w:val="001E5318"/>
    <w:rsid w:val="001E7364"/>
    <w:rsid w:val="001E7919"/>
    <w:rsid w:val="001F1057"/>
    <w:rsid w:val="001F2190"/>
    <w:rsid w:val="001F7F84"/>
    <w:rsid w:val="002045DB"/>
    <w:rsid w:val="00205156"/>
    <w:rsid w:val="0021181D"/>
    <w:rsid w:val="002125DD"/>
    <w:rsid w:val="00216971"/>
    <w:rsid w:val="00224CE6"/>
    <w:rsid w:val="0023671C"/>
    <w:rsid w:val="00242A4E"/>
    <w:rsid w:val="00250F86"/>
    <w:rsid w:val="0025148C"/>
    <w:rsid w:val="00257B7E"/>
    <w:rsid w:val="00257DCF"/>
    <w:rsid w:val="002613D4"/>
    <w:rsid w:val="00262472"/>
    <w:rsid w:val="00262683"/>
    <w:rsid w:val="0026281D"/>
    <w:rsid w:val="00263782"/>
    <w:rsid w:val="002638B9"/>
    <w:rsid w:val="00266118"/>
    <w:rsid w:val="002706A1"/>
    <w:rsid w:val="00275C85"/>
    <w:rsid w:val="00276CA2"/>
    <w:rsid w:val="00281BFD"/>
    <w:rsid w:val="002849DD"/>
    <w:rsid w:val="00290D56"/>
    <w:rsid w:val="002914BE"/>
    <w:rsid w:val="002A02D2"/>
    <w:rsid w:val="002A3184"/>
    <w:rsid w:val="002A4121"/>
    <w:rsid w:val="002B29A3"/>
    <w:rsid w:val="002B4B6C"/>
    <w:rsid w:val="002B5327"/>
    <w:rsid w:val="002C1663"/>
    <w:rsid w:val="002C1D07"/>
    <w:rsid w:val="002C219F"/>
    <w:rsid w:val="002C2318"/>
    <w:rsid w:val="002C3B2F"/>
    <w:rsid w:val="002C4D4D"/>
    <w:rsid w:val="002C54E6"/>
    <w:rsid w:val="002D3FF8"/>
    <w:rsid w:val="002E1C31"/>
    <w:rsid w:val="002E6389"/>
    <w:rsid w:val="002E6B12"/>
    <w:rsid w:val="002E71B7"/>
    <w:rsid w:val="002F27D7"/>
    <w:rsid w:val="002F2EFD"/>
    <w:rsid w:val="002F705C"/>
    <w:rsid w:val="002F77EA"/>
    <w:rsid w:val="002F7D99"/>
    <w:rsid w:val="00300A38"/>
    <w:rsid w:val="00301382"/>
    <w:rsid w:val="00310897"/>
    <w:rsid w:val="00311593"/>
    <w:rsid w:val="00312C2A"/>
    <w:rsid w:val="00314B27"/>
    <w:rsid w:val="00315FB8"/>
    <w:rsid w:val="0032194E"/>
    <w:rsid w:val="00323A54"/>
    <w:rsid w:val="003264F9"/>
    <w:rsid w:val="00331C7C"/>
    <w:rsid w:val="00332741"/>
    <w:rsid w:val="00332E3D"/>
    <w:rsid w:val="00335720"/>
    <w:rsid w:val="003368E9"/>
    <w:rsid w:val="00337FD4"/>
    <w:rsid w:val="003404F6"/>
    <w:rsid w:val="00340FBB"/>
    <w:rsid w:val="00341237"/>
    <w:rsid w:val="00341FA1"/>
    <w:rsid w:val="00343D16"/>
    <w:rsid w:val="00346667"/>
    <w:rsid w:val="003472C6"/>
    <w:rsid w:val="0035030C"/>
    <w:rsid w:val="003519C7"/>
    <w:rsid w:val="0035204D"/>
    <w:rsid w:val="00352410"/>
    <w:rsid w:val="00355243"/>
    <w:rsid w:val="00360757"/>
    <w:rsid w:val="00361956"/>
    <w:rsid w:val="00361B95"/>
    <w:rsid w:val="0036540E"/>
    <w:rsid w:val="0037268F"/>
    <w:rsid w:val="003730C2"/>
    <w:rsid w:val="00377343"/>
    <w:rsid w:val="00380178"/>
    <w:rsid w:val="00381938"/>
    <w:rsid w:val="00381FC9"/>
    <w:rsid w:val="003845ED"/>
    <w:rsid w:val="00384D58"/>
    <w:rsid w:val="00386893"/>
    <w:rsid w:val="003906F3"/>
    <w:rsid w:val="003923AD"/>
    <w:rsid w:val="003A24A4"/>
    <w:rsid w:val="003A29B2"/>
    <w:rsid w:val="003A50E4"/>
    <w:rsid w:val="003A650C"/>
    <w:rsid w:val="003A6C8A"/>
    <w:rsid w:val="003B5D19"/>
    <w:rsid w:val="003D155A"/>
    <w:rsid w:val="003D6110"/>
    <w:rsid w:val="003D6636"/>
    <w:rsid w:val="003E1C17"/>
    <w:rsid w:val="003F30FE"/>
    <w:rsid w:val="003F3D7A"/>
    <w:rsid w:val="003F4980"/>
    <w:rsid w:val="003F78A0"/>
    <w:rsid w:val="003F7A34"/>
    <w:rsid w:val="00400C9A"/>
    <w:rsid w:val="0040163B"/>
    <w:rsid w:val="00402DEF"/>
    <w:rsid w:val="00411910"/>
    <w:rsid w:val="00415459"/>
    <w:rsid w:val="00415BD3"/>
    <w:rsid w:val="00417437"/>
    <w:rsid w:val="004213D8"/>
    <w:rsid w:val="004214BA"/>
    <w:rsid w:val="00423887"/>
    <w:rsid w:val="00426D97"/>
    <w:rsid w:val="004277A7"/>
    <w:rsid w:val="00427923"/>
    <w:rsid w:val="004309F8"/>
    <w:rsid w:val="00433038"/>
    <w:rsid w:val="004377E7"/>
    <w:rsid w:val="004447E8"/>
    <w:rsid w:val="00447A28"/>
    <w:rsid w:val="0045540C"/>
    <w:rsid w:val="00456FB8"/>
    <w:rsid w:val="00457FD7"/>
    <w:rsid w:val="0046084A"/>
    <w:rsid w:val="004613BB"/>
    <w:rsid w:val="00462253"/>
    <w:rsid w:val="00466A51"/>
    <w:rsid w:val="00470E1E"/>
    <w:rsid w:val="00473224"/>
    <w:rsid w:val="00473409"/>
    <w:rsid w:val="00473856"/>
    <w:rsid w:val="004745AC"/>
    <w:rsid w:val="00484270"/>
    <w:rsid w:val="00486C47"/>
    <w:rsid w:val="004875A3"/>
    <w:rsid w:val="004911A8"/>
    <w:rsid w:val="004946AF"/>
    <w:rsid w:val="00495183"/>
    <w:rsid w:val="004A373D"/>
    <w:rsid w:val="004B16A8"/>
    <w:rsid w:val="004B18F0"/>
    <w:rsid w:val="004B64E7"/>
    <w:rsid w:val="004C49E7"/>
    <w:rsid w:val="004C677C"/>
    <w:rsid w:val="004C6850"/>
    <w:rsid w:val="004D0870"/>
    <w:rsid w:val="004D40BF"/>
    <w:rsid w:val="004D77FA"/>
    <w:rsid w:val="004E2458"/>
    <w:rsid w:val="004E5D02"/>
    <w:rsid w:val="004E6046"/>
    <w:rsid w:val="005020B3"/>
    <w:rsid w:val="005066A5"/>
    <w:rsid w:val="00511FEE"/>
    <w:rsid w:val="0051458E"/>
    <w:rsid w:val="0051507C"/>
    <w:rsid w:val="005205CE"/>
    <w:rsid w:val="0052593C"/>
    <w:rsid w:val="005369AC"/>
    <w:rsid w:val="005409B9"/>
    <w:rsid w:val="00541F3F"/>
    <w:rsid w:val="005438FB"/>
    <w:rsid w:val="005447A7"/>
    <w:rsid w:val="00551440"/>
    <w:rsid w:val="005570E8"/>
    <w:rsid w:val="00560617"/>
    <w:rsid w:val="00563FA2"/>
    <w:rsid w:val="00566FEC"/>
    <w:rsid w:val="00570981"/>
    <w:rsid w:val="005729EB"/>
    <w:rsid w:val="00575EF3"/>
    <w:rsid w:val="00584BF7"/>
    <w:rsid w:val="005A11B4"/>
    <w:rsid w:val="005A193E"/>
    <w:rsid w:val="005A32F8"/>
    <w:rsid w:val="005A7C7E"/>
    <w:rsid w:val="005B34E6"/>
    <w:rsid w:val="005B568A"/>
    <w:rsid w:val="005B7A84"/>
    <w:rsid w:val="005C1BD0"/>
    <w:rsid w:val="005C2313"/>
    <w:rsid w:val="005C776D"/>
    <w:rsid w:val="005D32DA"/>
    <w:rsid w:val="005D4AE3"/>
    <w:rsid w:val="005D6636"/>
    <w:rsid w:val="005D7172"/>
    <w:rsid w:val="005D7CE1"/>
    <w:rsid w:val="005E19DD"/>
    <w:rsid w:val="005E44AF"/>
    <w:rsid w:val="005E48F2"/>
    <w:rsid w:val="005E5FFF"/>
    <w:rsid w:val="005E6F6B"/>
    <w:rsid w:val="005F17DA"/>
    <w:rsid w:val="005F3960"/>
    <w:rsid w:val="00603E76"/>
    <w:rsid w:val="006123FF"/>
    <w:rsid w:val="00612B8E"/>
    <w:rsid w:val="00622272"/>
    <w:rsid w:val="00635988"/>
    <w:rsid w:val="00646995"/>
    <w:rsid w:val="00654E77"/>
    <w:rsid w:val="00655E42"/>
    <w:rsid w:val="006569B6"/>
    <w:rsid w:val="00657AB2"/>
    <w:rsid w:val="00660C67"/>
    <w:rsid w:val="00661063"/>
    <w:rsid w:val="00661357"/>
    <w:rsid w:val="006704A5"/>
    <w:rsid w:val="0067537B"/>
    <w:rsid w:val="006756E7"/>
    <w:rsid w:val="00684516"/>
    <w:rsid w:val="00684977"/>
    <w:rsid w:val="00686B16"/>
    <w:rsid w:val="00691945"/>
    <w:rsid w:val="00694CFE"/>
    <w:rsid w:val="006960F2"/>
    <w:rsid w:val="006A082A"/>
    <w:rsid w:val="006A3DB4"/>
    <w:rsid w:val="006A7893"/>
    <w:rsid w:val="006B22B5"/>
    <w:rsid w:val="006B2378"/>
    <w:rsid w:val="006B332B"/>
    <w:rsid w:val="006B4421"/>
    <w:rsid w:val="006B50AE"/>
    <w:rsid w:val="006C7FD7"/>
    <w:rsid w:val="006D27A7"/>
    <w:rsid w:val="006D5061"/>
    <w:rsid w:val="006D5510"/>
    <w:rsid w:val="006E4B87"/>
    <w:rsid w:val="006F40D7"/>
    <w:rsid w:val="007014A9"/>
    <w:rsid w:val="007042B9"/>
    <w:rsid w:val="00704661"/>
    <w:rsid w:val="00706189"/>
    <w:rsid w:val="0070672D"/>
    <w:rsid w:val="00706E50"/>
    <w:rsid w:val="007075F6"/>
    <w:rsid w:val="007105D4"/>
    <w:rsid w:val="0071329D"/>
    <w:rsid w:val="007226DC"/>
    <w:rsid w:val="00723E4E"/>
    <w:rsid w:val="00724612"/>
    <w:rsid w:val="007252AC"/>
    <w:rsid w:val="00726975"/>
    <w:rsid w:val="00730298"/>
    <w:rsid w:val="00736883"/>
    <w:rsid w:val="007375F6"/>
    <w:rsid w:val="007403DE"/>
    <w:rsid w:val="00740527"/>
    <w:rsid w:val="00746F22"/>
    <w:rsid w:val="007479BA"/>
    <w:rsid w:val="0075014A"/>
    <w:rsid w:val="00750AB7"/>
    <w:rsid w:val="00752679"/>
    <w:rsid w:val="007538AB"/>
    <w:rsid w:val="00755C66"/>
    <w:rsid w:val="00756F39"/>
    <w:rsid w:val="00757999"/>
    <w:rsid w:val="0076509E"/>
    <w:rsid w:val="0077292D"/>
    <w:rsid w:val="0077769C"/>
    <w:rsid w:val="00780203"/>
    <w:rsid w:val="007817A5"/>
    <w:rsid w:val="00782C47"/>
    <w:rsid w:val="00784137"/>
    <w:rsid w:val="00787382"/>
    <w:rsid w:val="00791EB6"/>
    <w:rsid w:val="00792189"/>
    <w:rsid w:val="007948E1"/>
    <w:rsid w:val="007954F6"/>
    <w:rsid w:val="00795BAE"/>
    <w:rsid w:val="007A1C5D"/>
    <w:rsid w:val="007A21A4"/>
    <w:rsid w:val="007A255F"/>
    <w:rsid w:val="007B2310"/>
    <w:rsid w:val="007B27F3"/>
    <w:rsid w:val="007B7B20"/>
    <w:rsid w:val="007C02C1"/>
    <w:rsid w:val="007C29F8"/>
    <w:rsid w:val="007C4A59"/>
    <w:rsid w:val="007C6739"/>
    <w:rsid w:val="007C6FB5"/>
    <w:rsid w:val="007E5FE0"/>
    <w:rsid w:val="007F0981"/>
    <w:rsid w:val="008031EF"/>
    <w:rsid w:val="00806908"/>
    <w:rsid w:val="00811B8D"/>
    <w:rsid w:val="00816D4B"/>
    <w:rsid w:val="00823575"/>
    <w:rsid w:val="008245E6"/>
    <w:rsid w:val="008260B5"/>
    <w:rsid w:val="00826663"/>
    <w:rsid w:val="008269CE"/>
    <w:rsid w:val="0083142B"/>
    <w:rsid w:val="0083260F"/>
    <w:rsid w:val="008351DF"/>
    <w:rsid w:val="008374C9"/>
    <w:rsid w:val="00841041"/>
    <w:rsid w:val="0084188F"/>
    <w:rsid w:val="00842047"/>
    <w:rsid w:val="008421F8"/>
    <w:rsid w:val="00854443"/>
    <w:rsid w:val="0085445B"/>
    <w:rsid w:val="00854B3C"/>
    <w:rsid w:val="008559B8"/>
    <w:rsid w:val="00872FF2"/>
    <w:rsid w:val="00875202"/>
    <w:rsid w:val="008820B8"/>
    <w:rsid w:val="0089141C"/>
    <w:rsid w:val="008923BD"/>
    <w:rsid w:val="008940AB"/>
    <w:rsid w:val="00896B40"/>
    <w:rsid w:val="008976CB"/>
    <w:rsid w:val="008A1D80"/>
    <w:rsid w:val="008A5646"/>
    <w:rsid w:val="008B39BA"/>
    <w:rsid w:val="008B3BD5"/>
    <w:rsid w:val="008B3CE4"/>
    <w:rsid w:val="008C148D"/>
    <w:rsid w:val="008C2C75"/>
    <w:rsid w:val="008C3E20"/>
    <w:rsid w:val="008C44DE"/>
    <w:rsid w:val="008C5265"/>
    <w:rsid w:val="008D00A4"/>
    <w:rsid w:val="008D332D"/>
    <w:rsid w:val="008D5E7F"/>
    <w:rsid w:val="008D7262"/>
    <w:rsid w:val="008D7B49"/>
    <w:rsid w:val="008E1E55"/>
    <w:rsid w:val="008E4846"/>
    <w:rsid w:val="008E7D08"/>
    <w:rsid w:val="008F0643"/>
    <w:rsid w:val="008F2C23"/>
    <w:rsid w:val="008F4372"/>
    <w:rsid w:val="00900269"/>
    <w:rsid w:val="0091185C"/>
    <w:rsid w:val="009126DC"/>
    <w:rsid w:val="00913948"/>
    <w:rsid w:val="009165D9"/>
    <w:rsid w:val="00916B7E"/>
    <w:rsid w:val="00917091"/>
    <w:rsid w:val="009268FE"/>
    <w:rsid w:val="00931402"/>
    <w:rsid w:val="0093643B"/>
    <w:rsid w:val="00936E26"/>
    <w:rsid w:val="0094072B"/>
    <w:rsid w:val="00941CBB"/>
    <w:rsid w:val="00944983"/>
    <w:rsid w:val="00945C12"/>
    <w:rsid w:val="00951712"/>
    <w:rsid w:val="00953FB1"/>
    <w:rsid w:val="0096014E"/>
    <w:rsid w:val="0096151C"/>
    <w:rsid w:val="0096557A"/>
    <w:rsid w:val="009666B3"/>
    <w:rsid w:val="00967971"/>
    <w:rsid w:val="009742CB"/>
    <w:rsid w:val="00983D91"/>
    <w:rsid w:val="00987809"/>
    <w:rsid w:val="00990E6D"/>
    <w:rsid w:val="00991470"/>
    <w:rsid w:val="009945F9"/>
    <w:rsid w:val="0099573C"/>
    <w:rsid w:val="009A082E"/>
    <w:rsid w:val="009A3A5A"/>
    <w:rsid w:val="009A66A7"/>
    <w:rsid w:val="009B1990"/>
    <w:rsid w:val="009B3464"/>
    <w:rsid w:val="009B56E7"/>
    <w:rsid w:val="009C2BA2"/>
    <w:rsid w:val="009C3478"/>
    <w:rsid w:val="009C5ACE"/>
    <w:rsid w:val="009C72CD"/>
    <w:rsid w:val="009D0101"/>
    <w:rsid w:val="009D30BD"/>
    <w:rsid w:val="009D77DC"/>
    <w:rsid w:val="009D7C02"/>
    <w:rsid w:val="009E1649"/>
    <w:rsid w:val="009E3667"/>
    <w:rsid w:val="009E684B"/>
    <w:rsid w:val="009E736E"/>
    <w:rsid w:val="009F1B23"/>
    <w:rsid w:val="009F25A6"/>
    <w:rsid w:val="009F2D17"/>
    <w:rsid w:val="00A0201A"/>
    <w:rsid w:val="00A0350E"/>
    <w:rsid w:val="00A061EA"/>
    <w:rsid w:val="00A06BE8"/>
    <w:rsid w:val="00A07C9B"/>
    <w:rsid w:val="00A1098F"/>
    <w:rsid w:val="00A13F76"/>
    <w:rsid w:val="00A15603"/>
    <w:rsid w:val="00A20B32"/>
    <w:rsid w:val="00A21345"/>
    <w:rsid w:val="00A22F56"/>
    <w:rsid w:val="00A2383F"/>
    <w:rsid w:val="00A238AE"/>
    <w:rsid w:val="00A24928"/>
    <w:rsid w:val="00A30F9B"/>
    <w:rsid w:val="00A36F59"/>
    <w:rsid w:val="00A378C1"/>
    <w:rsid w:val="00A378EF"/>
    <w:rsid w:val="00A43375"/>
    <w:rsid w:val="00A46F3C"/>
    <w:rsid w:val="00A53193"/>
    <w:rsid w:val="00A54B5A"/>
    <w:rsid w:val="00A56D45"/>
    <w:rsid w:val="00A6145F"/>
    <w:rsid w:val="00A63775"/>
    <w:rsid w:val="00A67754"/>
    <w:rsid w:val="00A70CE8"/>
    <w:rsid w:val="00A7179D"/>
    <w:rsid w:val="00A73568"/>
    <w:rsid w:val="00A80B54"/>
    <w:rsid w:val="00A9332F"/>
    <w:rsid w:val="00A97292"/>
    <w:rsid w:val="00A976AC"/>
    <w:rsid w:val="00AB0550"/>
    <w:rsid w:val="00AB38CD"/>
    <w:rsid w:val="00AB78F9"/>
    <w:rsid w:val="00AC168D"/>
    <w:rsid w:val="00AC67B6"/>
    <w:rsid w:val="00AC67EE"/>
    <w:rsid w:val="00AC7638"/>
    <w:rsid w:val="00AD445D"/>
    <w:rsid w:val="00AD527F"/>
    <w:rsid w:val="00AE0BB4"/>
    <w:rsid w:val="00AE2C3F"/>
    <w:rsid w:val="00AE5174"/>
    <w:rsid w:val="00AF19F4"/>
    <w:rsid w:val="00AF3FF6"/>
    <w:rsid w:val="00AF4DDD"/>
    <w:rsid w:val="00B00A8F"/>
    <w:rsid w:val="00B07453"/>
    <w:rsid w:val="00B13531"/>
    <w:rsid w:val="00B1484E"/>
    <w:rsid w:val="00B153FA"/>
    <w:rsid w:val="00B15DCC"/>
    <w:rsid w:val="00B201C5"/>
    <w:rsid w:val="00B2134F"/>
    <w:rsid w:val="00B228B3"/>
    <w:rsid w:val="00B246E7"/>
    <w:rsid w:val="00B24C88"/>
    <w:rsid w:val="00B26DB8"/>
    <w:rsid w:val="00B27445"/>
    <w:rsid w:val="00B31BCE"/>
    <w:rsid w:val="00B32EE6"/>
    <w:rsid w:val="00B3790C"/>
    <w:rsid w:val="00B50E4E"/>
    <w:rsid w:val="00B54D93"/>
    <w:rsid w:val="00B56DE6"/>
    <w:rsid w:val="00B57EA1"/>
    <w:rsid w:val="00B65D9E"/>
    <w:rsid w:val="00B668A3"/>
    <w:rsid w:val="00B716F9"/>
    <w:rsid w:val="00B724BD"/>
    <w:rsid w:val="00B733D5"/>
    <w:rsid w:val="00B75B91"/>
    <w:rsid w:val="00B77E7C"/>
    <w:rsid w:val="00B80138"/>
    <w:rsid w:val="00B8308D"/>
    <w:rsid w:val="00B840EE"/>
    <w:rsid w:val="00B8751A"/>
    <w:rsid w:val="00B901C2"/>
    <w:rsid w:val="00B951B3"/>
    <w:rsid w:val="00B95306"/>
    <w:rsid w:val="00B957A6"/>
    <w:rsid w:val="00BA1135"/>
    <w:rsid w:val="00BA57BD"/>
    <w:rsid w:val="00BA622F"/>
    <w:rsid w:val="00BB32AB"/>
    <w:rsid w:val="00BB6FF8"/>
    <w:rsid w:val="00BC3611"/>
    <w:rsid w:val="00BC38F4"/>
    <w:rsid w:val="00BD0025"/>
    <w:rsid w:val="00BD0D4E"/>
    <w:rsid w:val="00BD2002"/>
    <w:rsid w:val="00BD7EBA"/>
    <w:rsid w:val="00BE1DAF"/>
    <w:rsid w:val="00BE6D70"/>
    <w:rsid w:val="00BE726D"/>
    <w:rsid w:val="00BF0D19"/>
    <w:rsid w:val="00BF469F"/>
    <w:rsid w:val="00BF4F00"/>
    <w:rsid w:val="00C00621"/>
    <w:rsid w:val="00C01C93"/>
    <w:rsid w:val="00C05FDF"/>
    <w:rsid w:val="00C07FBA"/>
    <w:rsid w:val="00C10D44"/>
    <w:rsid w:val="00C11ECC"/>
    <w:rsid w:val="00C23387"/>
    <w:rsid w:val="00C256EC"/>
    <w:rsid w:val="00C30FAE"/>
    <w:rsid w:val="00C331D1"/>
    <w:rsid w:val="00C361F8"/>
    <w:rsid w:val="00C3636F"/>
    <w:rsid w:val="00C365F7"/>
    <w:rsid w:val="00C44314"/>
    <w:rsid w:val="00C47481"/>
    <w:rsid w:val="00C537A7"/>
    <w:rsid w:val="00C53B08"/>
    <w:rsid w:val="00C54A4C"/>
    <w:rsid w:val="00C600A3"/>
    <w:rsid w:val="00C63AC5"/>
    <w:rsid w:val="00C70316"/>
    <w:rsid w:val="00C708D3"/>
    <w:rsid w:val="00C764BD"/>
    <w:rsid w:val="00C81414"/>
    <w:rsid w:val="00C82B35"/>
    <w:rsid w:val="00C93B83"/>
    <w:rsid w:val="00CA12B8"/>
    <w:rsid w:val="00CA2ADE"/>
    <w:rsid w:val="00CA4734"/>
    <w:rsid w:val="00CA63CA"/>
    <w:rsid w:val="00CA7265"/>
    <w:rsid w:val="00CB0629"/>
    <w:rsid w:val="00CB4805"/>
    <w:rsid w:val="00CB4A71"/>
    <w:rsid w:val="00CC0F0F"/>
    <w:rsid w:val="00CC1ACD"/>
    <w:rsid w:val="00CC443A"/>
    <w:rsid w:val="00CC44F8"/>
    <w:rsid w:val="00CC698C"/>
    <w:rsid w:val="00CC70C3"/>
    <w:rsid w:val="00CD2916"/>
    <w:rsid w:val="00CE1110"/>
    <w:rsid w:val="00CE63B1"/>
    <w:rsid w:val="00CE65CC"/>
    <w:rsid w:val="00CF5519"/>
    <w:rsid w:val="00D004C6"/>
    <w:rsid w:val="00D028B4"/>
    <w:rsid w:val="00D11B8B"/>
    <w:rsid w:val="00D1345F"/>
    <w:rsid w:val="00D15528"/>
    <w:rsid w:val="00D22275"/>
    <w:rsid w:val="00D244EC"/>
    <w:rsid w:val="00D25817"/>
    <w:rsid w:val="00D26B67"/>
    <w:rsid w:val="00D339C5"/>
    <w:rsid w:val="00D35574"/>
    <w:rsid w:val="00D415F8"/>
    <w:rsid w:val="00D446AC"/>
    <w:rsid w:val="00D44F21"/>
    <w:rsid w:val="00D46538"/>
    <w:rsid w:val="00D50037"/>
    <w:rsid w:val="00D569DC"/>
    <w:rsid w:val="00D6303C"/>
    <w:rsid w:val="00D67317"/>
    <w:rsid w:val="00D676E6"/>
    <w:rsid w:val="00D6778A"/>
    <w:rsid w:val="00D768AF"/>
    <w:rsid w:val="00D76BB0"/>
    <w:rsid w:val="00D77EF3"/>
    <w:rsid w:val="00D85BBA"/>
    <w:rsid w:val="00D911EC"/>
    <w:rsid w:val="00D93D01"/>
    <w:rsid w:val="00D976F3"/>
    <w:rsid w:val="00DA1345"/>
    <w:rsid w:val="00DA3D93"/>
    <w:rsid w:val="00DB1A19"/>
    <w:rsid w:val="00DB1F2A"/>
    <w:rsid w:val="00DB23B5"/>
    <w:rsid w:val="00DB3EDF"/>
    <w:rsid w:val="00DB4E9F"/>
    <w:rsid w:val="00DB6FE2"/>
    <w:rsid w:val="00DC0A1B"/>
    <w:rsid w:val="00DC5130"/>
    <w:rsid w:val="00DC62EE"/>
    <w:rsid w:val="00DC6710"/>
    <w:rsid w:val="00DD1118"/>
    <w:rsid w:val="00DD3797"/>
    <w:rsid w:val="00DD5645"/>
    <w:rsid w:val="00DE0621"/>
    <w:rsid w:val="00DE2B9B"/>
    <w:rsid w:val="00DE498F"/>
    <w:rsid w:val="00DE4C68"/>
    <w:rsid w:val="00DE5432"/>
    <w:rsid w:val="00DE6821"/>
    <w:rsid w:val="00DE6E41"/>
    <w:rsid w:val="00DF5B37"/>
    <w:rsid w:val="00E00E8A"/>
    <w:rsid w:val="00E07E31"/>
    <w:rsid w:val="00E11808"/>
    <w:rsid w:val="00E12166"/>
    <w:rsid w:val="00E1244B"/>
    <w:rsid w:val="00E1547E"/>
    <w:rsid w:val="00E21037"/>
    <w:rsid w:val="00E22564"/>
    <w:rsid w:val="00E25533"/>
    <w:rsid w:val="00E31369"/>
    <w:rsid w:val="00E322D6"/>
    <w:rsid w:val="00E32942"/>
    <w:rsid w:val="00E407A1"/>
    <w:rsid w:val="00E40A1F"/>
    <w:rsid w:val="00E40AAC"/>
    <w:rsid w:val="00E41772"/>
    <w:rsid w:val="00E470F7"/>
    <w:rsid w:val="00E535AB"/>
    <w:rsid w:val="00E5430A"/>
    <w:rsid w:val="00E547A2"/>
    <w:rsid w:val="00E55C5E"/>
    <w:rsid w:val="00E57BC8"/>
    <w:rsid w:val="00E60725"/>
    <w:rsid w:val="00E6091C"/>
    <w:rsid w:val="00E6425B"/>
    <w:rsid w:val="00E64ABD"/>
    <w:rsid w:val="00E718DF"/>
    <w:rsid w:val="00E72A55"/>
    <w:rsid w:val="00E76DB9"/>
    <w:rsid w:val="00E84B9F"/>
    <w:rsid w:val="00E852CF"/>
    <w:rsid w:val="00E86637"/>
    <w:rsid w:val="00E92D9C"/>
    <w:rsid w:val="00E95202"/>
    <w:rsid w:val="00E959CC"/>
    <w:rsid w:val="00E96D9B"/>
    <w:rsid w:val="00EB05EF"/>
    <w:rsid w:val="00EB0AF5"/>
    <w:rsid w:val="00EB47FD"/>
    <w:rsid w:val="00EC1D32"/>
    <w:rsid w:val="00EC2905"/>
    <w:rsid w:val="00ED0400"/>
    <w:rsid w:val="00ED18A0"/>
    <w:rsid w:val="00ED530C"/>
    <w:rsid w:val="00ED78B4"/>
    <w:rsid w:val="00ED7CDD"/>
    <w:rsid w:val="00EE2B0A"/>
    <w:rsid w:val="00EE39DD"/>
    <w:rsid w:val="00EF03CB"/>
    <w:rsid w:val="00EF1062"/>
    <w:rsid w:val="00EF1372"/>
    <w:rsid w:val="00EF564E"/>
    <w:rsid w:val="00F030F0"/>
    <w:rsid w:val="00F07767"/>
    <w:rsid w:val="00F07D22"/>
    <w:rsid w:val="00F11268"/>
    <w:rsid w:val="00F126BE"/>
    <w:rsid w:val="00F12CC9"/>
    <w:rsid w:val="00F1458C"/>
    <w:rsid w:val="00F150F1"/>
    <w:rsid w:val="00F201E1"/>
    <w:rsid w:val="00F20DF8"/>
    <w:rsid w:val="00F21E55"/>
    <w:rsid w:val="00F23212"/>
    <w:rsid w:val="00F23EA5"/>
    <w:rsid w:val="00F264B4"/>
    <w:rsid w:val="00F315D3"/>
    <w:rsid w:val="00F325D6"/>
    <w:rsid w:val="00F32687"/>
    <w:rsid w:val="00F33080"/>
    <w:rsid w:val="00F358F7"/>
    <w:rsid w:val="00F37128"/>
    <w:rsid w:val="00F45D0B"/>
    <w:rsid w:val="00F50D5F"/>
    <w:rsid w:val="00F54842"/>
    <w:rsid w:val="00F56C25"/>
    <w:rsid w:val="00F57928"/>
    <w:rsid w:val="00F6085C"/>
    <w:rsid w:val="00F62F3B"/>
    <w:rsid w:val="00F669FF"/>
    <w:rsid w:val="00F73D85"/>
    <w:rsid w:val="00F80F75"/>
    <w:rsid w:val="00F82851"/>
    <w:rsid w:val="00F83429"/>
    <w:rsid w:val="00F8512E"/>
    <w:rsid w:val="00F8619B"/>
    <w:rsid w:val="00F91146"/>
    <w:rsid w:val="00F92C84"/>
    <w:rsid w:val="00F93074"/>
    <w:rsid w:val="00F93609"/>
    <w:rsid w:val="00F936F8"/>
    <w:rsid w:val="00F94559"/>
    <w:rsid w:val="00FA0D6C"/>
    <w:rsid w:val="00FA7DDB"/>
    <w:rsid w:val="00FB3456"/>
    <w:rsid w:val="00FB61C5"/>
    <w:rsid w:val="00FB6BA5"/>
    <w:rsid w:val="00FB717D"/>
    <w:rsid w:val="00FC1907"/>
    <w:rsid w:val="00FC6B92"/>
    <w:rsid w:val="00FC73E8"/>
    <w:rsid w:val="00FD00DD"/>
    <w:rsid w:val="00FD01BE"/>
    <w:rsid w:val="00FD1C65"/>
    <w:rsid w:val="00FD1E06"/>
    <w:rsid w:val="00FD1FFC"/>
    <w:rsid w:val="00FD35DD"/>
    <w:rsid w:val="00FD5AA1"/>
    <w:rsid w:val="00FE5121"/>
    <w:rsid w:val="00FE75CF"/>
    <w:rsid w:val="00FF0333"/>
    <w:rsid w:val="00FF3B1B"/>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1A7766D3"/>
  <w15:docId w15:val="{346C91CD-A92F-43D0-8E59-AD22F5004AC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Normal">
    <w:name w:val="IPP Normal"/>
    <w:basedOn w:val="Normal"/>
    <w:link w:val="IPPNormalChar"/>
    <w:qFormat/>
    <w:pPr>
      <w:spacing w:after="180"/>
    </w:pPr>
    <w:rPr>
      <w:rFonts w:eastAsia="Times"/>
    </w:rPr>
  </w:style>
  <w:style w:type="paragraph" w:customStyle="1" w:styleId="IPPFootnoteRed">
    <w:name w:val="IPP Footnote Red"/>
    <w:basedOn w:val="IPPFootnote"/>
    <w:link w:val="IPPFootnoteRedChar"/>
    <w:qFormat/>
    <w:rPr>
      <w:b/>
      <w:bCs/>
      <w:color w:val="FF0000"/>
      <w:sz w:val="22"/>
      <w:vertAlign w:val="superscript"/>
    </w:rPr>
  </w:style>
  <w:style w:type="character" w:customStyle="1" w:styleId="IPPFootnoteRedChar">
    <w:name w:val="IPP Footnote Red Char"/>
    <w:link w:val="IPPFootnoteRed"/>
    <w:rPr>
      <w:rFonts w:ascii="Times New Roman" w:eastAsia="Times New Roman" w:hAnsi="Times New Roman" w:cs="Times New Roman"/>
      <w:b/>
      <w:bCs/>
      <w:color w:val="FF0000"/>
      <w:szCs w:val="24"/>
      <w:vertAlign w:val="superscript"/>
      <w:lang w:val="es-ES"/>
    </w:rPr>
  </w:style>
  <w:style w:type="character" w:customStyle="1" w:styleId="IPPNormalChar">
    <w:name w:val="IPP Normal Char"/>
    <w:link w:val="IPPNormal"/>
    <w:rPr>
      <w:rFonts w:ascii="Times New Roman" w:eastAsia="Times" w:hAnsi="Times New Roman" w:cs="Times New Roman"/>
      <w:szCs w:val="24"/>
      <w:lang w:val="es-ES"/>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s-E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cs="Times New Roman"/>
      <w:szCs w:val="24"/>
      <w:lang w:val="es-E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hAnsi="Times New Roman" w:cs="Times New Roman"/>
      <w:szCs w:val="24"/>
      <w:lang w:val="es-E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character" w:styleId="FollowedHyperlink">
    <w:name w:val="FollowedHyperlink"/>
    <w:basedOn w:val="DefaultParagraphFont"/>
    <w:semiHidden/>
    <w:unhideWhenUsed/>
    <w:rPr>
      <w:color w:val="954F72" w:themeColor="followedHyperlink"/>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s-ES"/>
    </w:rPr>
  </w:style>
  <w:style w:type="paragraph" w:styleId="Revision">
    <w:name w:val="Revision"/>
    <w:hidden/>
    <w:uiPriority w:val="99"/>
    <w:semiHidden/>
    <w:pPr>
      <w:spacing w:after="0" w:line="240" w:lineRule="auto"/>
    </w:pPr>
    <w:rPr>
      <w:rFonts w:ascii="Times New Roman" w:hAnsi="Times New Roman" w:cs="Times New Roman"/>
      <w:szCs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hAnsi="Times New Roman" w:cs="Times New Roman"/>
      <w:sz w:val="20"/>
      <w:szCs w:val="24"/>
      <w:lang w:val="es-ES"/>
    </w:rPr>
  </w:style>
  <w:style w:type="character" w:styleId="FootnoteReference">
    <w:name w:val="footnote reference"/>
    <w:basedOn w:val="DefaultParagraphFont"/>
    <w:semiHidden/>
    <w:rPr>
      <w:vertAlign w:val="superscript"/>
    </w:rPr>
  </w:style>
  <w:style w:type="table" w:styleId="TableGrid">
    <w:name w:val="Table Grid"/>
    <w:basedOn w:val="TableNormal"/>
    <w:pPr>
      <w:spacing w:after="0" w:line="240" w:lineRule="auto"/>
    </w:pPr>
    <w:rPr>
      <w:rFonts w:ascii="Cambria"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Times New Roman" w:hAnsi="Times New Roman" w:cs="Times New Roman"/>
      <w:b/>
      <w:bCs/>
      <w:szCs w:val="24"/>
      <w:lang w:val="es-ES"/>
    </w:rPr>
  </w:style>
  <w:style w:type="character" w:customStyle="1" w:styleId="Heading2Char">
    <w:name w:val="Heading 2 Char"/>
    <w:basedOn w:val="DefaultParagraphFont"/>
    <w:link w:val="Heading2"/>
    <w:rPr>
      <w:rFonts w:ascii="Calibri" w:hAnsi="Calibri" w:cs="Times New Roman"/>
      <w:b/>
      <w:bCs/>
      <w:i/>
      <w:iCs/>
      <w:sz w:val="28"/>
      <w:szCs w:val="28"/>
      <w:lang w:val="es-ES"/>
    </w:rPr>
  </w:style>
  <w:style w:type="character" w:customStyle="1" w:styleId="Heading3Char">
    <w:name w:val="Heading 3 Char"/>
    <w:basedOn w:val="DefaultParagraphFont"/>
    <w:link w:val="Heading3"/>
    <w:rPr>
      <w:rFonts w:ascii="Calibri" w:hAnsi="Calibri" w:cs="Times New Roman"/>
      <w:b/>
      <w:bCs/>
      <w:sz w:val="26"/>
      <w:szCs w:val="26"/>
      <w:lang w:val="es-ES"/>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8"/>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cs="Times New Roman"/>
      <w:b/>
      <w:sz w:val="22"/>
      <w:szCs w:val="21"/>
      <w:lang w:val="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14"/>
      </w:numPr>
      <w:spacing w:after="60"/>
      <w:ind w:left="567" w:hanging="567"/>
    </w:pPr>
  </w:style>
  <w:style w:type="paragraph" w:customStyle="1" w:styleId="IPPBullet1Last">
    <w:name w:val="IPP Bullet1Last"/>
    <w:basedOn w:val="IPPNormal"/>
    <w:next w:val="IPPNormal"/>
    <w:qFormat/>
    <w:pPr>
      <w:numPr>
        <w:numId w:val="9"/>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numbering" w:customStyle="1" w:styleId="IPPParagraphnumberedlist">
    <w:name w:val="IPP Paragraph numbered list"/>
    <w:pPr>
      <w:numPr>
        <w:numId w:val="7"/>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LetterList">
    <w:name w:val="IPP LetterList"/>
    <w:basedOn w:val="IPPBullet2"/>
    <w:qFormat/>
    <w:pPr>
      <w:tabs>
        <w:tab w:val="num" w:pos="1134"/>
      </w:tabs>
      <w:jc w:val="left"/>
    </w:pPr>
  </w:style>
  <w:style w:type="paragraph" w:customStyle="1" w:styleId="IPPLetterListIndent">
    <w:name w:val="IPP LetterList Indent"/>
    <w:basedOn w:val="IPPLetterList"/>
    <w:qFormat/>
    <w:pPr>
      <w:numPr>
        <w:numId w:val="6"/>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10"/>
      </w:numPr>
    </w:pPr>
  </w:style>
  <w:style w:type="paragraph" w:customStyle="1" w:styleId="IPPHdg2Num">
    <w:name w:val="IPP Hdg2Num"/>
    <w:basedOn w:val="IPPHeading2"/>
    <w:next w:val="IPPNormal"/>
    <w:qFormat/>
    <w:pPr>
      <w:numPr>
        <w:ilvl w:val="1" numString="1.1. "/>
        <w:numId w:val="11"/>
      </w:numPr>
    </w:pPr>
  </w:style>
  <w:style w:type="paragraph" w:customStyle="1" w:styleId="IPPNumberedList">
    <w:name w:val="IPP NumberedList"/>
    <w:basedOn w:val="IPPBullet1"/>
    <w:qFormat/>
    <w:pPr>
      <w:numPr>
        <w:numId w:val="13"/>
      </w:numPr>
    </w:pPr>
  </w:style>
  <w:style w:type="character" w:styleId="Strong">
    <w:name w:val="Strong"/>
    <w:basedOn w:val="DefaultParagraphFont"/>
    <w:qFormat/>
    <w:rPr>
      <w:b/>
      <w:bCs/>
    </w:rPr>
  </w:style>
  <w:style w:type="paragraph" w:customStyle="1" w:styleId="IPPParagraphnumbering">
    <w:name w:val="IPP Paragraph numbering"/>
    <w:basedOn w:val="IPPNormal"/>
    <w:qFormat/>
    <w:pPr>
      <w:numPr>
        <w:numId w:val="36"/>
      </w:numPr>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7991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ppc.int/en/publications/86854/" TargetMode="External" Id="rId13" /><Relationship Type="http://schemas.openxmlformats.org/officeDocument/2006/relationships/hyperlink" Target="https://www.ippc.int/es/publications/602/"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ippc.int/es/publications/622/" TargetMode="External" Id="rId12" /><Relationship Type="http://schemas.openxmlformats.org/officeDocument/2006/relationships/hyperlink" Target="https://www.ippc.int/es/publications/613/" TargetMode="External" Id="rId17" /><Relationship Type="http://schemas.openxmlformats.org/officeDocument/2006/relationships/customXml" Target="../customXml/item2.xml" Id="rId2" /><Relationship Type="http://schemas.openxmlformats.org/officeDocument/2006/relationships/hyperlink" Target="https://www.ippc.int/en/publications/87049"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es/about/convention-text/" TargetMode="External" Id="rId11" /><Relationship Type="http://schemas.openxmlformats.org/officeDocument/2006/relationships/numbering" Target="numbering.xml" Id="rId5" /><Relationship Type="http://schemas.openxmlformats.org/officeDocument/2006/relationships/hyperlink" Target="https://www.ippc.int/en/publications/92494/" TargetMode="External" Id="rId15" /><Relationship Type="http://schemas.openxmlformats.org/officeDocument/2006/relationships/endnotes" Target="endnotes.xml" Id="rId10" /><Relationship Type="http://schemas.openxmlformats.org/officeDocument/2006/relationships/hyperlink" Target="https://www.ippc.int/es/publications/89734/"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ppc.int/en/publications/92027/" TargetMode="External" Id="rId14"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470D4DC7-F668-42E1-BEB9-C8B165738D9A}">
  <ds:schemaRefs>
    <ds:schemaRef ds:uri="http://schemas.microsoft.com/sharepoint/v3/contenttype/forms"/>
  </ds:schemaRefs>
</ds:datastoreItem>
</file>

<file path=customXml/itemProps2.xml><?xml version="1.0" encoding="utf-8"?>
<ds:datastoreItem xmlns:ds="http://schemas.openxmlformats.org/officeDocument/2006/customXml" ds:itemID="{1A8B64A6-D970-4720-929F-9F47A4C1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4E00C-F79A-4D75-AD0C-36BF592E1560}">
  <ds:schemaRefs>
    <ds:schemaRef ds:uri="http://schemas.microsoft.com/office/2006/documentManagement/types"/>
    <ds:schemaRef ds:uri="http://purl.org/dc/terms/"/>
    <ds:schemaRef ds:uri="http://purl.org/dc/dcmitype/"/>
    <ds:schemaRef ds:uri="a05d7f75-f42e-4288-8809-604fd4d9691f"/>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a6feb38-a85a-45e8-92e9-814486bbe375"/>
  </ds:schemaRefs>
</ds:datastoreItem>
</file>

<file path=customXml/itemProps4.xml><?xml version="1.0" encoding="utf-8"?>
<ds:datastoreItem xmlns:ds="http://schemas.openxmlformats.org/officeDocument/2006/customXml" ds:itemID="{D3980F3B-971C-4139-A34E-8206629B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Template>
  <TotalTime>0</TotalTime>
  <Pages>1</Pages>
  <Words>1487</Words>
  <Characters>8482</Characters>
  <Application>Microsoft Office Word</Application>
  <DocSecurity>0</DocSecurity>
  <Lines>70</Lines>
  <Paragraphs>19</Paragraphs>
  <ScaleCrop>false</ScaleCrop>
  <HeadingPairs>
    <vt:vector size="8" baseType="variant">
      <vt:variant>
        <vt:lpstr>Título</vt:lpstr>
      </vt:variant>
      <vt:variant>
        <vt:i4>1</vt:i4>
      </vt:variant>
      <vt:variant>
        <vt:lpstr>タイトル</vt:lpstr>
      </vt:variant>
      <vt:variant>
        <vt:i4>1</vt:i4>
      </vt:variant>
      <vt:variant>
        <vt:lpstr>Title</vt:lpstr>
      </vt:variant>
      <vt:variant>
        <vt:i4>1</vt:i4>
      </vt:variant>
      <vt:variant>
        <vt:lpstr>Название</vt:lpstr>
      </vt:variant>
      <vt:variant>
        <vt:i4>1</vt:i4>
      </vt:variant>
    </vt:vector>
  </HeadingPairs>
  <TitlesOfParts>
    <vt:vector size="4" baseType="lpstr">
      <vt:lpstr/>
      <vt:lpstr/>
      <vt:lpstr/>
      <vt:lpstr/>
    </vt:vector>
  </TitlesOfParts>
  <Company>FAO of the UN</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Mushegian</dc:creator>
  <cp:keywords/>
  <dc:description/>
  <cp:lastModifiedBy>Prizm</cp:lastModifiedBy>
  <cp:revision>2</cp:revision>
  <cp:lastPrinted>2025-06-13T13:29:00Z</cp:lastPrinted>
  <dcterms:created xsi:type="dcterms:W3CDTF">2025-07-01T09:17:00Z</dcterms:created>
  <dcterms:modified xsi:type="dcterms:W3CDTF">2025-07-01T09:17:00Z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