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AA3" w:rsidRDefault="002E1919">
      <w:pPr>
        <w:jc w:val="center"/>
      </w:pPr>
      <w:bookmarkStart w:id="0" w:name="_GoBack"/>
      <w:bookmarkEnd w:id="0"/>
      <w:r>
        <w:rPr>
          <w:rStyle w:val="PleaseReviewParagraphId"/>
          <w:noProof/>
          <w:sz w:val="20"/>
        </w:rPr>
        <w:t>[PleaseReview document review. Review title: 2020 First Consultation: Draft 2019 and 2020 Amendments to ISPM 5 (1994-001). Document title: ND085_1994-001_Amendments_2020_ISPM5_Fr.docx]</w:t>
      </w:r>
    </w:p>
    <w:p w:rsidR="002E4AA3" w:rsidRDefault="002E1919">
      <w:pPr>
        <w:pStyle w:val="IPPHeadSection"/>
        <w:jc w:val="center"/>
      </w:pPr>
      <w:r>
        <w:rPr>
          <w:rStyle w:val="PleaseReviewParagraphId"/>
          <w:b w:val="0"/>
        </w:rPr>
        <w:t>[1]</w:t>
      </w:r>
      <w:r>
        <w:t xml:space="preserve">Projet d’amendements 2019 et 2020 à la NIMP 5: </w:t>
      </w:r>
      <w:r>
        <w:br/>
      </w:r>
      <w:r>
        <w:rPr>
          <w:i/>
        </w:rPr>
        <w:t>Glossaire des termes phytosanitaires</w:t>
      </w:r>
      <w:r>
        <w:t xml:space="preserve"> (1994‑001)</w:t>
      </w:r>
    </w:p>
    <w:p w:rsidR="002E4AA3" w:rsidRDefault="002E1919">
      <w:pPr>
        <w:pStyle w:val="IPPNormal"/>
        <w:tabs>
          <w:tab w:val="left" w:pos="2078"/>
        </w:tabs>
        <w:spacing w:after="120"/>
        <w:rPr>
          <w:rFonts w:ascii="Arial" w:hAnsi="Arial" w:cs="Arial"/>
          <w:sz w:val="18"/>
          <w:szCs w:val="18"/>
        </w:rPr>
      </w:pPr>
      <w:r>
        <w:rPr>
          <w:rStyle w:val="PleaseReviewParagraphId"/>
        </w:rPr>
        <w:t>[2]</w:t>
      </w:r>
      <w:r>
        <w:rPr>
          <w:rFonts w:ascii="Arial" w:hAnsi="Arial"/>
          <w:b/>
          <w:sz w:val="18"/>
          <w:szCs w:val="18"/>
        </w:rPr>
        <w:t>Étapes de la publication</w:t>
      </w:r>
      <w:r>
        <w:rPr>
          <w:rFonts w:ascii="Arial" w:hAnsi="Arial"/>
          <w:sz w:val="18"/>
          <w:szCs w:val="18"/>
        </w:rPr>
        <w:t xml:space="preserve"> </w:t>
      </w:r>
    </w:p>
    <w:p w:rsidR="002E4AA3" w:rsidRDefault="002E1919">
      <w:pPr>
        <w:pStyle w:val="IPPNormal"/>
        <w:tabs>
          <w:tab w:val="left" w:pos="2078"/>
        </w:tabs>
        <w:rPr>
          <w:rFonts w:ascii="Arial" w:hAnsi="Arial" w:cs="Arial"/>
          <w:i/>
          <w:iCs/>
          <w:sz w:val="18"/>
          <w:szCs w:val="18"/>
        </w:rPr>
      </w:pPr>
      <w:r>
        <w:rPr>
          <w:rStyle w:val="PleaseReviewParagraphId"/>
        </w:rPr>
        <w:t>[3]</w:t>
      </w:r>
      <w:r>
        <w:rPr>
          <w:rFonts w:ascii="Arial" w:hAnsi="Arial"/>
          <w:i/>
          <w:iCs/>
          <w:sz w:val="18"/>
          <w:szCs w:val="18"/>
        </w:rPr>
        <w:t>(Ce récapitulatif ne fait pas officiellement partie de la norme.)</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47"/>
        <w:gridCol w:w="6664"/>
      </w:tblGrid>
      <w:tr w:rsidR="002E4AA3">
        <w:trPr>
          <w:tblCellSpacing w:w="0" w:type="dxa"/>
          <w:jc w:val="center"/>
        </w:trPr>
        <w:tc>
          <w:tcPr>
            <w:tcW w:w="2347" w:type="dxa"/>
            <w:tcBorders>
              <w:top w:val="outset" w:sz="6" w:space="0" w:color="00000A"/>
              <w:bottom w:val="outset" w:sz="6" w:space="0" w:color="00000A"/>
              <w:right w:val="outset" w:sz="6" w:space="0" w:color="00000A"/>
            </w:tcBorders>
          </w:tcPr>
          <w:p w:rsidR="002E4AA3" w:rsidRDefault="002E1919">
            <w:pPr>
              <w:pStyle w:val="NormalWeb"/>
              <w:spacing w:before="58" w:beforeAutospacing="0"/>
              <w:rPr>
                <w:rFonts w:ascii="Arial" w:hAnsi="Arial" w:cs="Arial"/>
                <w:sz w:val="18"/>
                <w:szCs w:val="18"/>
              </w:rPr>
            </w:pPr>
            <w:r>
              <w:rPr>
                <w:rStyle w:val="PleaseReviewParagraphId"/>
              </w:rPr>
              <w:t>[4]</w:t>
            </w:r>
            <w:r>
              <w:rPr>
                <w:rFonts w:ascii="Arial" w:hAnsi="Arial"/>
                <w:b/>
                <w:bCs/>
                <w:sz w:val="18"/>
                <w:szCs w:val="18"/>
              </w:rPr>
              <w:t xml:space="preserve">Date du présent document </w:t>
            </w:r>
          </w:p>
        </w:tc>
        <w:tc>
          <w:tcPr>
            <w:tcW w:w="6664" w:type="dxa"/>
            <w:tcBorders>
              <w:top w:val="outset" w:sz="6" w:space="0" w:color="00000A"/>
              <w:left w:val="outset" w:sz="6" w:space="0" w:color="00000A"/>
              <w:bottom w:val="outset" w:sz="6" w:space="0" w:color="00000A"/>
            </w:tcBorders>
          </w:tcPr>
          <w:p w:rsidR="002E4AA3" w:rsidRDefault="002E1919">
            <w:pPr>
              <w:pStyle w:val="NormalWeb"/>
              <w:spacing w:before="58" w:beforeAutospacing="0"/>
              <w:rPr>
                <w:rFonts w:ascii="Arial" w:hAnsi="Arial" w:cs="Arial"/>
                <w:sz w:val="18"/>
                <w:szCs w:val="18"/>
              </w:rPr>
            </w:pPr>
            <w:r>
              <w:rPr>
                <w:rStyle w:val="PleaseReviewParagraphId"/>
              </w:rPr>
              <w:t>[5]</w:t>
            </w:r>
            <w:r>
              <w:rPr>
                <w:rFonts w:ascii="Arial" w:hAnsi="Arial"/>
                <w:sz w:val="18"/>
                <w:szCs w:val="18"/>
              </w:rPr>
              <w:t>2020-06-08</w:t>
            </w:r>
          </w:p>
        </w:tc>
      </w:tr>
      <w:tr w:rsidR="002E4AA3">
        <w:trPr>
          <w:tblCellSpacing w:w="0" w:type="dxa"/>
          <w:jc w:val="center"/>
        </w:trPr>
        <w:tc>
          <w:tcPr>
            <w:tcW w:w="2347" w:type="dxa"/>
            <w:tcBorders>
              <w:top w:val="outset" w:sz="6" w:space="0" w:color="00000A"/>
              <w:bottom w:val="outset" w:sz="6" w:space="0" w:color="00000A"/>
              <w:right w:val="outset" w:sz="6" w:space="0" w:color="00000A"/>
            </w:tcBorders>
          </w:tcPr>
          <w:p w:rsidR="002E4AA3" w:rsidRDefault="002E1919">
            <w:pPr>
              <w:pStyle w:val="NormalWeb"/>
              <w:spacing w:before="58" w:beforeAutospacing="0"/>
              <w:rPr>
                <w:rFonts w:ascii="Arial" w:hAnsi="Arial" w:cs="Arial"/>
                <w:sz w:val="18"/>
                <w:szCs w:val="18"/>
              </w:rPr>
            </w:pPr>
            <w:r>
              <w:rPr>
                <w:rStyle w:val="PleaseReviewParagraphId"/>
              </w:rPr>
              <w:t>[6]</w:t>
            </w:r>
            <w:r>
              <w:rPr>
                <w:rFonts w:ascii="Arial" w:hAnsi="Arial"/>
                <w:b/>
                <w:bCs/>
                <w:sz w:val="18"/>
                <w:szCs w:val="18"/>
              </w:rPr>
              <w:t xml:space="preserve">Catégorie du document </w:t>
            </w:r>
          </w:p>
        </w:tc>
        <w:tc>
          <w:tcPr>
            <w:tcW w:w="6664" w:type="dxa"/>
            <w:tcBorders>
              <w:top w:val="outset" w:sz="6" w:space="0" w:color="00000A"/>
              <w:left w:val="outset" w:sz="6" w:space="0" w:color="00000A"/>
              <w:bottom w:val="outset" w:sz="6" w:space="0" w:color="00000A"/>
            </w:tcBorders>
          </w:tcPr>
          <w:p w:rsidR="002E4AA3" w:rsidRDefault="002E1919">
            <w:pPr>
              <w:pStyle w:val="NormalWeb"/>
              <w:spacing w:before="58" w:beforeAutospacing="0"/>
              <w:rPr>
                <w:rFonts w:ascii="Arial" w:hAnsi="Arial" w:cs="Arial"/>
                <w:sz w:val="18"/>
                <w:szCs w:val="18"/>
              </w:rPr>
            </w:pPr>
            <w:r>
              <w:rPr>
                <w:rStyle w:val="PleaseReviewParagraphId"/>
              </w:rPr>
              <w:t>[7]</w:t>
            </w:r>
            <w:r>
              <w:rPr>
                <w:rFonts w:ascii="Arial" w:hAnsi="Arial"/>
                <w:sz w:val="18"/>
                <w:szCs w:val="18"/>
              </w:rPr>
              <w:t xml:space="preserve">Projet d'amendements 2019 et 2020 à la NIMP 5 </w:t>
            </w:r>
            <w:r>
              <w:rPr>
                <w:rFonts w:ascii="Arial" w:hAnsi="Arial"/>
                <w:iCs/>
                <w:sz w:val="18"/>
                <w:szCs w:val="18"/>
              </w:rPr>
              <w:t>(</w:t>
            </w:r>
            <w:r>
              <w:rPr>
                <w:rFonts w:ascii="Arial" w:hAnsi="Arial"/>
                <w:i/>
                <w:iCs/>
                <w:sz w:val="18"/>
                <w:szCs w:val="18"/>
              </w:rPr>
              <w:t>Glossaire des termes phytosanitaires</w:t>
            </w:r>
            <w:r>
              <w:rPr>
                <w:rFonts w:ascii="Arial" w:hAnsi="Arial"/>
                <w:iCs/>
                <w:sz w:val="18"/>
                <w:szCs w:val="18"/>
              </w:rPr>
              <w:t>)</w:t>
            </w:r>
            <w:r>
              <w:rPr>
                <w:rFonts w:ascii="Arial" w:hAnsi="Arial"/>
                <w:sz w:val="18"/>
                <w:szCs w:val="18"/>
              </w:rPr>
              <w:t xml:space="preserve"> (1994-001)</w:t>
            </w:r>
          </w:p>
        </w:tc>
      </w:tr>
      <w:tr w:rsidR="002E4AA3">
        <w:trPr>
          <w:tblCellSpacing w:w="0" w:type="dxa"/>
          <w:jc w:val="center"/>
        </w:trPr>
        <w:tc>
          <w:tcPr>
            <w:tcW w:w="2347" w:type="dxa"/>
            <w:tcBorders>
              <w:top w:val="outset" w:sz="6" w:space="0" w:color="00000A"/>
              <w:bottom w:val="outset" w:sz="6" w:space="0" w:color="00000A"/>
              <w:right w:val="outset" w:sz="6" w:space="0" w:color="00000A"/>
            </w:tcBorders>
          </w:tcPr>
          <w:p w:rsidR="002E4AA3" w:rsidRDefault="002E1919">
            <w:pPr>
              <w:pStyle w:val="NormalWeb"/>
              <w:spacing w:before="58" w:beforeAutospacing="0"/>
              <w:rPr>
                <w:rFonts w:ascii="Arial" w:hAnsi="Arial" w:cs="Arial"/>
                <w:sz w:val="18"/>
                <w:szCs w:val="18"/>
              </w:rPr>
            </w:pPr>
            <w:r>
              <w:rPr>
                <w:rStyle w:val="PleaseReviewParagraphId"/>
              </w:rPr>
              <w:t>[8]</w:t>
            </w:r>
            <w:r>
              <w:rPr>
                <w:rFonts w:ascii="Arial" w:hAnsi="Arial"/>
                <w:b/>
                <w:bCs/>
                <w:sz w:val="18"/>
                <w:szCs w:val="18"/>
              </w:rPr>
              <w:t xml:space="preserve">Étape de la préparation du document </w:t>
            </w:r>
          </w:p>
        </w:tc>
        <w:tc>
          <w:tcPr>
            <w:tcW w:w="6664" w:type="dxa"/>
            <w:tcBorders>
              <w:top w:val="outset" w:sz="6" w:space="0" w:color="00000A"/>
              <w:left w:val="outset" w:sz="6" w:space="0" w:color="00000A"/>
              <w:bottom w:val="outset" w:sz="6" w:space="0" w:color="00000A"/>
            </w:tcBorders>
          </w:tcPr>
          <w:p w:rsidR="002E4AA3" w:rsidRDefault="002E1919">
            <w:pPr>
              <w:pStyle w:val="NormalWeb"/>
              <w:spacing w:before="58" w:beforeAutospacing="0"/>
              <w:rPr>
                <w:rFonts w:ascii="Arial" w:hAnsi="Arial" w:cs="Arial"/>
                <w:sz w:val="18"/>
                <w:szCs w:val="18"/>
              </w:rPr>
            </w:pPr>
            <w:r>
              <w:rPr>
                <w:rStyle w:val="PleaseReviewParagraphId"/>
              </w:rPr>
              <w:t>[9]</w:t>
            </w:r>
            <w:r>
              <w:rPr>
                <w:rFonts w:ascii="Arial" w:hAnsi="Arial"/>
                <w:sz w:val="18"/>
                <w:szCs w:val="18"/>
              </w:rPr>
              <w:t>Préalable à la première consultation</w:t>
            </w:r>
          </w:p>
        </w:tc>
      </w:tr>
      <w:tr w:rsidR="002E4AA3">
        <w:trPr>
          <w:tblCellSpacing w:w="0" w:type="dxa"/>
          <w:jc w:val="center"/>
        </w:trPr>
        <w:tc>
          <w:tcPr>
            <w:tcW w:w="2347" w:type="dxa"/>
            <w:tcBorders>
              <w:top w:val="outset" w:sz="6" w:space="0" w:color="00000A"/>
              <w:bottom w:val="outset" w:sz="6" w:space="0" w:color="00000A"/>
              <w:right w:val="outset" w:sz="6" w:space="0" w:color="00000A"/>
            </w:tcBorders>
          </w:tcPr>
          <w:p w:rsidR="002E4AA3" w:rsidRDefault="002E1919">
            <w:pPr>
              <w:pStyle w:val="NormalWeb"/>
              <w:spacing w:before="58" w:beforeAutospacing="0"/>
              <w:rPr>
                <w:rFonts w:ascii="Arial" w:hAnsi="Arial" w:cs="Arial"/>
                <w:sz w:val="18"/>
                <w:szCs w:val="18"/>
              </w:rPr>
            </w:pPr>
            <w:r>
              <w:rPr>
                <w:rStyle w:val="PleaseReviewParagraphId"/>
              </w:rPr>
              <w:t>[10]</w:t>
            </w:r>
            <w:r>
              <w:rPr>
                <w:rFonts w:ascii="Arial" w:hAnsi="Arial"/>
                <w:b/>
                <w:bCs/>
                <w:sz w:val="18"/>
                <w:szCs w:val="18"/>
              </w:rPr>
              <w:t xml:space="preserve">Principales étapes </w:t>
            </w:r>
          </w:p>
        </w:tc>
        <w:tc>
          <w:tcPr>
            <w:tcW w:w="6664" w:type="dxa"/>
            <w:tcBorders>
              <w:top w:val="outset" w:sz="6" w:space="0" w:color="00000A"/>
              <w:left w:val="outset" w:sz="6" w:space="0" w:color="00000A"/>
              <w:bottom w:val="outset" w:sz="6" w:space="0" w:color="00000A"/>
            </w:tcBorders>
          </w:tcPr>
          <w:p w:rsidR="002E4AA3" w:rsidRDefault="002E1919">
            <w:pPr>
              <w:pStyle w:val="NormalWeb"/>
              <w:spacing w:before="58" w:beforeAutospacing="0" w:after="58" w:afterAutospacing="0"/>
              <w:rPr>
                <w:rFonts w:ascii="Arial" w:hAnsi="Arial" w:cs="Arial"/>
                <w:sz w:val="18"/>
                <w:szCs w:val="18"/>
              </w:rPr>
            </w:pPr>
            <w:r>
              <w:rPr>
                <w:rStyle w:val="PleaseReviewParagraphId"/>
              </w:rPr>
              <w:t>[11]</w:t>
            </w:r>
            <w:r>
              <w:rPr>
                <w:rFonts w:ascii="Arial" w:hAnsi="Arial"/>
                <w:sz w:val="18"/>
                <w:szCs w:val="18"/>
              </w:rPr>
              <w:t>En 1994, le Comité d'exp</w:t>
            </w:r>
            <w:r>
              <w:rPr>
                <w:rFonts w:ascii="Arial" w:hAnsi="Arial"/>
                <w:sz w:val="18"/>
                <w:szCs w:val="18"/>
              </w:rPr>
              <w:t xml:space="preserve">erts sur les mesures phytosanitaires (CEMP) ajoute le thème 1994-001, Amendements à la NIMP 5: Glossaire des termes phytosanitaires. </w:t>
            </w:r>
          </w:p>
          <w:p w:rsidR="002E4AA3" w:rsidRDefault="002E1919">
            <w:pPr>
              <w:pStyle w:val="NormalWeb"/>
              <w:spacing w:before="29" w:beforeAutospacing="0" w:after="29" w:afterAutospacing="0"/>
              <w:rPr>
                <w:rFonts w:ascii="Arial" w:hAnsi="Arial" w:cs="Arial"/>
                <w:sz w:val="18"/>
                <w:szCs w:val="18"/>
              </w:rPr>
            </w:pPr>
            <w:r>
              <w:rPr>
                <w:rStyle w:val="PleaseReviewParagraphId"/>
              </w:rPr>
              <w:t>[12]</w:t>
            </w:r>
            <w:r>
              <w:rPr>
                <w:rFonts w:ascii="Arial" w:hAnsi="Arial"/>
                <w:sz w:val="18"/>
                <w:szCs w:val="18"/>
              </w:rPr>
              <w:t xml:space="preserve">2006-05 Le Comité des normes (CN) approuve la spécification GT5. </w:t>
            </w:r>
          </w:p>
          <w:p w:rsidR="002E4AA3" w:rsidRDefault="002E1919">
            <w:pPr>
              <w:pStyle w:val="NormalWeb"/>
              <w:spacing w:before="29" w:beforeAutospacing="0" w:after="29" w:afterAutospacing="0"/>
              <w:rPr>
                <w:rFonts w:ascii="Arial" w:hAnsi="Arial" w:cs="Arial"/>
                <w:sz w:val="18"/>
                <w:szCs w:val="18"/>
              </w:rPr>
            </w:pPr>
            <w:r>
              <w:rPr>
                <w:rStyle w:val="PleaseReviewParagraphId"/>
              </w:rPr>
              <w:t>[13]</w:t>
            </w:r>
            <w:r>
              <w:rPr>
                <w:rFonts w:ascii="Arial" w:hAnsi="Arial"/>
                <w:sz w:val="18"/>
                <w:szCs w:val="18"/>
              </w:rPr>
              <w:t>2012-10 Le Groupe technique sur le Glossaire (GT</w:t>
            </w:r>
            <w:r>
              <w:rPr>
                <w:rFonts w:ascii="Arial" w:hAnsi="Arial"/>
                <w:sz w:val="18"/>
                <w:szCs w:val="18"/>
              </w:rPr>
              <w:t xml:space="preserve">G) révise la spécification. </w:t>
            </w:r>
          </w:p>
          <w:p w:rsidR="002E4AA3" w:rsidRDefault="002E1919">
            <w:pPr>
              <w:pStyle w:val="NormalWeb"/>
              <w:spacing w:before="29" w:beforeAutospacing="0" w:after="29" w:afterAutospacing="0"/>
              <w:rPr>
                <w:rFonts w:ascii="Arial" w:hAnsi="Arial" w:cs="Arial"/>
                <w:sz w:val="18"/>
                <w:szCs w:val="18"/>
              </w:rPr>
            </w:pPr>
            <w:r>
              <w:rPr>
                <w:rStyle w:val="PleaseReviewParagraphId"/>
              </w:rPr>
              <w:t>[14]</w:t>
            </w:r>
            <w:r>
              <w:rPr>
                <w:rFonts w:ascii="Arial" w:hAnsi="Arial"/>
                <w:sz w:val="18"/>
                <w:szCs w:val="18"/>
              </w:rPr>
              <w:t xml:space="preserve">2012-11 Le CN révise et approuve la spécification révisée, il annule la spécification 1. </w:t>
            </w:r>
          </w:p>
          <w:p w:rsidR="002E4AA3" w:rsidRDefault="002E1919">
            <w:pPr>
              <w:pStyle w:val="NormalWeb"/>
              <w:spacing w:before="58" w:beforeAutospacing="0" w:after="58" w:afterAutospacing="0"/>
              <w:rPr>
                <w:rFonts w:ascii="Arial" w:hAnsi="Arial" w:cs="Arial"/>
                <w:sz w:val="18"/>
                <w:szCs w:val="18"/>
              </w:rPr>
            </w:pPr>
            <w:r>
              <w:rPr>
                <w:rStyle w:val="PleaseReviewParagraphId"/>
              </w:rPr>
              <w:t>[15]</w:t>
            </w:r>
            <w:r>
              <w:rPr>
                <w:rFonts w:ascii="Arial" w:hAnsi="Arial"/>
                <w:sz w:val="18"/>
                <w:szCs w:val="18"/>
              </w:rPr>
              <w:t xml:space="preserve">2018-12 Le GTG rédige le projet de texte sur la «prospection de repérage» (que le CN approuve en vue d’une première consultation </w:t>
            </w:r>
            <w:r>
              <w:rPr>
                <w:rFonts w:ascii="Arial" w:hAnsi="Arial"/>
                <w:sz w:val="18"/>
                <w:szCs w:val="18"/>
              </w:rPr>
              <w:t>en 2019).</w:t>
            </w:r>
          </w:p>
          <w:p w:rsidR="002E4AA3" w:rsidRDefault="002E1919">
            <w:pPr>
              <w:pStyle w:val="NormalWeb"/>
              <w:spacing w:before="58" w:beforeAutospacing="0" w:after="58" w:afterAutospacing="0"/>
              <w:rPr>
                <w:rFonts w:ascii="Arial" w:hAnsi="Arial" w:cs="Arial"/>
                <w:sz w:val="18"/>
                <w:szCs w:val="18"/>
              </w:rPr>
            </w:pPr>
            <w:r>
              <w:rPr>
                <w:rStyle w:val="PleaseReviewParagraphId"/>
              </w:rPr>
              <w:t>[16]</w:t>
            </w:r>
            <w:r>
              <w:rPr>
                <w:rFonts w:ascii="Arial" w:hAnsi="Arial"/>
                <w:sz w:val="18"/>
                <w:szCs w:val="18"/>
              </w:rPr>
              <w:t>2019-05 Le CN approuve et intègre les amendements 2019 en vue d’une première consultation (voir ci-après).</w:t>
            </w:r>
          </w:p>
          <w:p w:rsidR="002E4AA3" w:rsidRDefault="002E1919">
            <w:pPr>
              <w:pStyle w:val="NormalWeb"/>
              <w:spacing w:before="58" w:beforeAutospacing="0" w:after="58" w:afterAutospacing="0"/>
              <w:rPr>
                <w:rFonts w:ascii="Arial" w:hAnsi="Arial" w:cs="Arial"/>
                <w:sz w:val="18"/>
                <w:szCs w:val="18"/>
              </w:rPr>
            </w:pPr>
            <w:r>
              <w:rPr>
                <w:rStyle w:val="PleaseReviewParagraphId"/>
              </w:rPr>
              <w:t>[17]</w:t>
            </w:r>
            <w:r>
              <w:rPr>
                <w:rFonts w:ascii="Arial" w:hAnsi="Arial"/>
                <w:sz w:val="18"/>
                <w:szCs w:val="18"/>
              </w:rPr>
              <w:t>2019-11 Le GTG propose les amendements 2020 (voir ci-après).</w:t>
            </w:r>
          </w:p>
          <w:p w:rsidR="002E4AA3" w:rsidRDefault="002E1919">
            <w:pPr>
              <w:pStyle w:val="NormalWeb"/>
              <w:spacing w:before="58" w:beforeAutospacing="0" w:after="58" w:afterAutospacing="0"/>
              <w:rPr>
                <w:rFonts w:ascii="Arial" w:hAnsi="Arial" w:cs="Arial"/>
                <w:sz w:val="18"/>
                <w:szCs w:val="18"/>
              </w:rPr>
            </w:pPr>
            <w:r>
              <w:rPr>
                <w:rStyle w:val="PleaseReviewParagraphId"/>
              </w:rPr>
              <w:t>[18]</w:t>
            </w:r>
            <w:r>
              <w:rPr>
                <w:rFonts w:ascii="Arial" w:hAnsi="Arial"/>
                <w:sz w:val="18"/>
                <w:szCs w:val="18"/>
              </w:rPr>
              <w:t xml:space="preserve">2020-04 Le CN examine les amendements 2020 au moyen du système de </w:t>
            </w:r>
            <w:r>
              <w:rPr>
                <w:rFonts w:ascii="Arial" w:hAnsi="Arial"/>
                <w:sz w:val="18"/>
                <w:szCs w:val="18"/>
              </w:rPr>
              <w:t>mise en ligne des observations (en raison de l’annulation de sa réunion de mai 2020) et approuve les amendements 2020 en vue d’une première consultation, par décision électronique (2020_eSC_May_17).</w:t>
            </w:r>
          </w:p>
        </w:tc>
      </w:tr>
      <w:tr w:rsidR="002E4AA3">
        <w:trPr>
          <w:tblCellSpacing w:w="0" w:type="dxa"/>
          <w:jc w:val="center"/>
        </w:trPr>
        <w:tc>
          <w:tcPr>
            <w:tcW w:w="2347" w:type="dxa"/>
            <w:tcBorders>
              <w:top w:val="outset" w:sz="6" w:space="0" w:color="00000A"/>
              <w:bottom w:val="outset" w:sz="6" w:space="0" w:color="00000A"/>
              <w:right w:val="outset" w:sz="6" w:space="0" w:color="00000A"/>
            </w:tcBorders>
          </w:tcPr>
          <w:p w:rsidR="002E4AA3" w:rsidRDefault="002E1919">
            <w:pPr>
              <w:pStyle w:val="NormalWeb"/>
              <w:spacing w:before="58" w:beforeAutospacing="0"/>
              <w:rPr>
                <w:rFonts w:ascii="Arial" w:hAnsi="Arial" w:cs="Arial"/>
                <w:sz w:val="18"/>
                <w:szCs w:val="18"/>
              </w:rPr>
            </w:pPr>
            <w:r>
              <w:rPr>
                <w:rStyle w:val="PleaseReviewParagraphId"/>
              </w:rPr>
              <w:t>[19]</w:t>
            </w:r>
            <w:r>
              <w:rPr>
                <w:rFonts w:ascii="Arial" w:hAnsi="Arial"/>
                <w:b/>
                <w:bCs/>
                <w:sz w:val="18"/>
                <w:szCs w:val="18"/>
              </w:rPr>
              <w:t>Notes</w:t>
            </w:r>
            <w:r>
              <w:rPr>
                <w:rFonts w:ascii="Arial" w:hAnsi="Arial"/>
                <w:sz w:val="18"/>
                <w:szCs w:val="18"/>
              </w:rPr>
              <w:t xml:space="preserve"> </w:t>
            </w:r>
          </w:p>
        </w:tc>
        <w:tc>
          <w:tcPr>
            <w:tcW w:w="6664" w:type="dxa"/>
            <w:tcBorders>
              <w:top w:val="outset" w:sz="6" w:space="0" w:color="00000A"/>
              <w:left w:val="outset" w:sz="6" w:space="0" w:color="00000A"/>
              <w:bottom w:val="outset" w:sz="6" w:space="0" w:color="00000A"/>
            </w:tcBorders>
          </w:tcPr>
          <w:p w:rsidR="002E4AA3" w:rsidRDefault="002E1919">
            <w:pPr>
              <w:pStyle w:val="IPPNormal"/>
              <w:rPr>
                <w:rFonts w:ascii="Arial" w:hAnsi="Arial" w:cs="Arial"/>
                <w:sz w:val="18"/>
                <w:szCs w:val="18"/>
              </w:rPr>
            </w:pPr>
            <w:r>
              <w:rPr>
                <w:rStyle w:val="PleaseReviewParagraphId"/>
              </w:rPr>
              <w:t>[20]</w:t>
            </w:r>
            <w:r>
              <w:rPr>
                <w:rFonts w:ascii="Arial" w:hAnsi="Arial"/>
                <w:sz w:val="18"/>
                <w:szCs w:val="18"/>
              </w:rPr>
              <w:t>Note à l’intention du secrétariat au suje</w:t>
            </w:r>
            <w:r>
              <w:rPr>
                <w:rFonts w:ascii="Arial" w:hAnsi="Arial"/>
                <w:sz w:val="18"/>
                <w:szCs w:val="18"/>
              </w:rPr>
              <w:t>t de la mise en page du présent document: la forme des définitions et des explications (barré, gras, italique) doit être conservée.</w:t>
            </w:r>
          </w:p>
        </w:tc>
      </w:tr>
    </w:tbl>
    <w:p w:rsidR="002E4AA3" w:rsidRDefault="002E1919">
      <w:pPr>
        <w:pStyle w:val="IPPHeading1"/>
        <w:spacing w:before="480"/>
        <w:rPr>
          <w:sz w:val="22"/>
        </w:rPr>
      </w:pPr>
      <w:r>
        <w:rPr>
          <w:rStyle w:val="PleaseReviewParagraphId"/>
          <w:b w:val="0"/>
        </w:rPr>
        <w:t>[21]</w:t>
      </w:r>
      <w:r>
        <w:rPr>
          <w:sz w:val="22"/>
        </w:rPr>
        <w:t>1. SUPPRESSIONS</w:t>
      </w:r>
    </w:p>
    <w:p w:rsidR="002E4AA3" w:rsidRDefault="002E1919">
      <w:pPr>
        <w:pStyle w:val="IPPParagraphnumbering"/>
        <w:numPr>
          <w:ilvl w:val="0"/>
          <w:numId w:val="0"/>
        </w:numPr>
        <w:spacing w:before="180"/>
        <w:rPr>
          <w:b/>
        </w:rPr>
      </w:pPr>
      <w:r>
        <w:rPr>
          <w:rStyle w:val="PleaseReviewParagraphId"/>
        </w:rPr>
        <w:t>[22]</w:t>
      </w:r>
      <w:r>
        <w:rPr>
          <w:b/>
        </w:rPr>
        <w:t>1.1 «incidence» (2018-010)</w:t>
      </w:r>
    </w:p>
    <w:p w:rsidR="002E4AA3" w:rsidRDefault="002E1919">
      <w:pPr>
        <w:pStyle w:val="IPPParagraphnumbering"/>
        <w:numPr>
          <w:ilvl w:val="0"/>
          <w:numId w:val="0"/>
        </w:numPr>
      </w:pPr>
      <w:r>
        <w:rPr>
          <w:rStyle w:val="PleaseReviewParagraphId"/>
        </w:rPr>
        <w:t>[23]</w:t>
      </w:r>
      <w:r>
        <w:t>Dans le cadre de l’appel à propositions de thèmes 2018 relatifs aux normes et à la mise en œuvre, un thème a été présenté en vue de réviser la définition du terme «incidence» et de définir le terme « prévalence», leurs significations respectives étant susc</w:t>
      </w:r>
      <w:r>
        <w:t xml:space="preserve">eptibles de prêter à confusion dans le contexte épidémiologique et phytosanitaire. </w:t>
      </w:r>
    </w:p>
    <w:p w:rsidR="002E4AA3" w:rsidRDefault="002E1919">
      <w:pPr>
        <w:pStyle w:val="IPPParagraphnumbering"/>
        <w:numPr>
          <w:ilvl w:val="0"/>
          <w:numId w:val="0"/>
        </w:numPr>
      </w:pPr>
      <w:r>
        <w:rPr>
          <w:rStyle w:val="PleaseReviewParagraphId"/>
        </w:rPr>
        <w:t>[24]</w:t>
      </w:r>
      <w:r>
        <w:t xml:space="preserve">Le Comité des normes (CN), à sa réunion de novembre 2018, a examiné les recommandations de l’Équipe spéciale chargée des thèmes et a noté que les termes «incidence» et </w:t>
      </w:r>
      <w:r>
        <w:t>«prévalence» avaient été l’objet de débats approfondis. Seul le terme «incidence» est défini dans le Glossaire et, au lieu de réviser sa définition et de définir le terme «prévalence», le CN a proposé de supprimer le terme «incidence» du Glossaire et d’uti</w:t>
      </w:r>
      <w:r>
        <w:t xml:space="preserve">liser dans les normes </w:t>
      </w:r>
      <w:r>
        <w:lastRenderedPageBreak/>
        <w:t xml:space="preserve">internationales pour les mesures phytosanitaires (NIMP) les termes «incidences» et «prévalence» suivant leur sens courant donné par le dictionnaire. Le CN a par conséquent ajouté le terme «incidence» à la </w:t>
      </w:r>
      <w:r>
        <w:rPr>
          <w:i/>
        </w:rPr>
        <w:t>Liste de thèmes pour les norm</w:t>
      </w:r>
      <w:r>
        <w:rPr>
          <w:i/>
        </w:rPr>
        <w:t>es de la Convention internationale pour la protection des végétaux (CIPV)</w:t>
      </w:r>
      <w:r>
        <w:t xml:space="preserve"> et a demandé au Groupe technique sur le Glossaire (GTG) d’envisager la suppression de ce terme dans le Glossaire. </w:t>
      </w:r>
    </w:p>
    <w:p w:rsidR="002E4AA3" w:rsidRDefault="002E1919">
      <w:pPr>
        <w:pStyle w:val="IPPParagraphnumbering"/>
        <w:numPr>
          <w:ilvl w:val="0"/>
          <w:numId w:val="0"/>
        </w:numPr>
      </w:pPr>
      <w:r>
        <w:rPr>
          <w:rStyle w:val="PleaseReviewParagraphId"/>
        </w:rPr>
        <w:t>[25]</w:t>
      </w:r>
      <w:r>
        <w:t>À sa réunion de novembre 2019, le GTG a analysé ses travaux pré</w:t>
      </w:r>
      <w:r>
        <w:t>cédents sur le terme «incidence» et les expressions corrélées du Glossaire, à savoir «zone à faible prévalence d'organismes nuisibles» et «niveau de tolérance», ainsi que les décisions prises par le CN et la Commission des mesures phytosanitaires (CMP) à c</w:t>
      </w:r>
      <w:r>
        <w:t>e sujet depuis 1995. Le GTG a rappelé qu’il était au départ prévu de définir le terme «prévalence» mais que, à la suite d’un long processus d’examen et de consultation sur les termes «prévalence», «incidence» et «tolérance», le terme «incidence» et sa défi</w:t>
      </w:r>
      <w:r>
        <w:t>nition ont été finalement adoptés dans le Glossaire (ainsi que l’expression «niveau de tolérance»). Le GTG a examiné les divers mérites de la conservation du terme «incidence» dans le Glossaire, du remplacement de celui-ci par le terme «prévalence» et de l</w:t>
      </w:r>
      <w:r>
        <w:t>a présence des deux termes dans le Glossaire.</w:t>
      </w:r>
    </w:p>
    <w:p w:rsidR="002E4AA3" w:rsidRDefault="002E1919">
      <w:pPr>
        <w:pStyle w:val="IPPParagraphnumbering"/>
        <w:numPr>
          <w:ilvl w:val="0"/>
          <w:numId w:val="0"/>
        </w:numPr>
      </w:pPr>
      <w:r>
        <w:rPr>
          <w:rStyle w:val="PleaseReviewParagraphId"/>
        </w:rPr>
        <w:t>[26]</w:t>
      </w:r>
      <w:r>
        <w:t>Le GTG a aussi noté que, d’après le document explicatif relatif à la NIMP 5 (Glossaire annoté), le terme «prévalence» était parfois employé de manière erronée dans les projets de NIMP, dans le sens d’«incid</w:t>
      </w:r>
      <w:r>
        <w:t>ence», et que l’utilisation de ce terme, tel que défini dans le Glossaire, était préférable.</w:t>
      </w:r>
    </w:p>
    <w:p w:rsidR="002E4AA3" w:rsidRDefault="002E1919">
      <w:pPr>
        <w:pStyle w:val="IPPParagraphnumbering"/>
        <w:numPr>
          <w:ilvl w:val="0"/>
          <w:numId w:val="0"/>
        </w:numPr>
      </w:pPr>
      <w:r>
        <w:rPr>
          <w:rStyle w:val="PleaseReviewParagraphId"/>
        </w:rPr>
        <w:t>[27]</w:t>
      </w:r>
      <w:r>
        <w:t>Compte tenu des débats approfondis qui ont été menés par le passé sur les définitions possibles des termes «prévalence» et «incidence», ainsi que des vues dive</w:t>
      </w:r>
      <w:r>
        <w:t>rgentes qui ont été exprimées, le GTG a confirmé qu’il y avait peu de chances qu’un accord soit trouvé au sujet de la révision de la définition du terme «incidence» et d’une nouvelle définition du terme «prévalence» dans le Glossaire. Reconnaissant l’appro</w:t>
      </w:r>
      <w:r>
        <w:t>che pragmatique proposée par le CN, le GTG a par conséquent décidé de proposer que le terme «incidence» soit supprimé du Glossaire, sans corrections à apporter à la définition de «niveau de tolérance» (expression qui fait référence au terme «incidence»), e</w:t>
      </w:r>
      <w:r>
        <w:t>t que les termes «incidence» et «prévalence» soient employés dans les NIMP dans leur sens courant donné par le dictionnaire. Le GTG a aussi noté que la suppression du terme «incidence» nécessiterait d’apporter des modifications au Glossaire annoté.</w:t>
      </w:r>
    </w:p>
    <w:p w:rsidR="002E4AA3" w:rsidRDefault="002E1919">
      <w:pPr>
        <w:pStyle w:val="IPPParagraphnumbering"/>
        <w:keepNext/>
        <w:numPr>
          <w:ilvl w:val="0"/>
          <w:numId w:val="0"/>
        </w:numPr>
        <w:spacing w:after="60"/>
      </w:pPr>
      <w:r>
        <w:rPr>
          <w:rStyle w:val="PleaseReviewParagraphId"/>
        </w:rPr>
        <w:t>[28]</w:t>
      </w:r>
      <w:r>
        <w:t>Les</w:t>
      </w:r>
      <w:r>
        <w:t xml:space="preserve"> éléments d'explication ci-après peuvent être pris en compte lors de l'examen de la proposition de suppression du terme «incidence». </w:t>
      </w:r>
    </w:p>
    <w:p w:rsidR="002E4AA3" w:rsidRDefault="002E1919">
      <w:pPr>
        <w:pStyle w:val="IPPParagraphnumbering"/>
        <w:numPr>
          <w:ilvl w:val="0"/>
          <w:numId w:val="15"/>
        </w:numPr>
        <w:spacing w:before="180"/>
      </w:pPr>
      <w:r>
        <w:rPr>
          <w:rStyle w:val="PleaseReviewParagraphId"/>
        </w:rPr>
        <w:t>[29]</w:t>
      </w:r>
      <w:r>
        <w:t>La définition actuelle d’«incidence» dans le Glossaire s’applique bien à l’emploi de ce terme dans le domaine de la pr</w:t>
      </w:r>
      <w:r>
        <w:t xml:space="preserve">otection des végétaux, mais elle correspond aussi à la définition épidémiologique du terme «prévalence», tel qu’utilisé dans le domaine de santé humaine et animale. Dans la banque de données terminologiques et linguistiques </w:t>
      </w:r>
      <w:r>
        <w:rPr>
          <w:i/>
        </w:rPr>
        <w:t>TERMIUM Plus</w:t>
      </w:r>
      <w:r>
        <w:t>, s’agissant des dom</w:t>
      </w:r>
      <w:r>
        <w:t>aines «Statistique, Épidémiologie et Médecine générale, hygiène et santé», les deux termes sont définis comme suit:</w:t>
      </w:r>
    </w:p>
    <w:p w:rsidR="002E4AA3" w:rsidRDefault="002E1919">
      <w:pPr>
        <w:pStyle w:val="IPPParagraphnumbering"/>
        <w:numPr>
          <w:ilvl w:val="0"/>
          <w:numId w:val="30"/>
        </w:numPr>
        <w:spacing w:before="180"/>
      </w:pPr>
      <w:r>
        <w:rPr>
          <w:rStyle w:val="PleaseReviewParagraphId"/>
        </w:rPr>
        <w:t>[30]</w:t>
      </w:r>
      <w:r>
        <w:rPr>
          <w:u w:val="single"/>
        </w:rPr>
        <w:t>incidence:</w:t>
      </w:r>
      <w:r>
        <w:t xml:space="preserve"> Nombre de nouveaux cas d’une maladie ou d’un problème de santé dans une population à risque au cours d’une période donnée, gé</w:t>
      </w:r>
      <w:r>
        <w:t>néralement un an;</w:t>
      </w:r>
      <w:r>
        <w:rPr>
          <w:u w:val="single"/>
        </w:rPr>
        <w:t xml:space="preserve"> </w:t>
      </w:r>
    </w:p>
    <w:p w:rsidR="002E4AA3" w:rsidRDefault="002E1919">
      <w:pPr>
        <w:pStyle w:val="IPPParagraphnumbering"/>
        <w:numPr>
          <w:ilvl w:val="0"/>
          <w:numId w:val="30"/>
        </w:numPr>
        <w:spacing w:before="180"/>
      </w:pPr>
      <w:r>
        <w:rPr>
          <w:rStyle w:val="PleaseReviewParagraphId"/>
        </w:rPr>
        <w:t>[31]</w:t>
      </w:r>
      <w:r>
        <w:rPr>
          <w:u w:val="single"/>
        </w:rPr>
        <w:t>prévalence:</w:t>
      </w:r>
      <w:r>
        <w:t xml:space="preserve"> Nombre de personnes dans une population ayant une maladie ou un problème de santé particulier à un moment donné, habituellement exprimé en proportion du nombre de personnes atteintes par rapport à la population totale.</w:t>
      </w:r>
    </w:p>
    <w:p w:rsidR="002E4AA3" w:rsidRDefault="002E1919">
      <w:pPr>
        <w:pStyle w:val="IPPParagraphnumbering"/>
        <w:numPr>
          <w:ilvl w:val="0"/>
          <w:numId w:val="15"/>
        </w:numPr>
        <w:spacing w:before="180"/>
      </w:pPr>
      <w:r>
        <w:rPr>
          <w:rStyle w:val="PleaseReviewParagraphId"/>
        </w:rPr>
        <w:lastRenderedPageBreak/>
        <w:t>[3</w:t>
      </w:r>
      <w:r>
        <w:rPr>
          <w:rStyle w:val="PleaseReviewParagraphId"/>
        </w:rPr>
        <w:t>2]</w:t>
      </w:r>
      <w:r>
        <w:t xml:space="preserve">S’agissant d’«incidence», le sens courant donné dans les dictionnaires classiques correspond bien à la définition du Glossaire, dans lequel le terme est simplement appliqué plus spécifiquement au domaine de la protection des végétaux. </w:t>
      </w:r>
    </w:p>
    <w:p w:rsidR="002E4AA3" w:rsidRDefault="002E1919">
      <w:pPr>
        <w:pStyle w:val="IPPParagraphnumbering"/>
        <w:numPr>
          <w:ilvl w:val="0"/>
          <w:numId w:val="15"/>
        </w:numPr>
        <w:spacing w:before="180"/>
      </w:pPr>
      <w:r>
        <w:rPr>
          <w:rStyle w:val="PleaseReviewParagraphId"/>
        </w:rPr>
        <w:t>[33]</w:t>
      </w:r>
      <w:r>
        <w:t>Le terme «inci</w:t>
      </w:r>
      <w:r>
        <w:t xml:space="preserve">dence» peut par conséquent être supprimé du Glossaire et les termes «prévalence» et «incidence» peuvent être utilisés dans leur sens courant. </w:t>
      </w:r>
    </w:p>
    <w:p w:rsidR="002E4AA3" w:rsidRDefault="002E1919">
      <w:pPr>
        <w:pStyle w:val="IPPParagraphnumbering"/>
        <w:keepNext/>
        <w:numPr>
          <w:ilvl w:val="0"/>
          <w:numId w:val="0"/>
        </w:numPr>
        <w:spacing w:after="60"/>
        <w:rPr>
          <w:b/>
          <w:i/>
        </w:rPr>
      </w:pPr>
      <w:r>
        <w:rPr>
          <w:rStyle w:val="PleaseReviewParagraphId"/>
        </w:rPr>
        <w:t>[34]</w:t>
      </w:r>
      <w:r>
        <w:rPr>
          <w:b/>
          <w:i/>
        </w:rPr>
        <w:t>Proposition de suppression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7"/>
        <w:gridCol w:w="6800"/>
      </w:tblGrid>
      <w:tr w:rsidR="002E4AA3">
        <w:tc>
          <w:tcPr>
            <w:tcW w:w="2172" w:type="dxa"/>
          </w:tcPr>
          <w:p w:rsidR="002E4AA3" w:rsidRDefault="002E1919">
            <w:pPr>
              <w:autoSpaceDE w:val="0"/>
              <w:autoSpaceDN w:val="0"/>
              <w:adjustRightInd w:val="0"/>
              <w:spacing w:after="160" w:line="259" w:lineRule="auto"/>
              <w:jc w:val="left"/>
              <w:rPr>
                <w:rFonts w:eastAsia="Times New Roman"/>
                <w:color w:val="000000"/>
                <w:sz w:val="24"/>
              </w:rPr>
            </w:pPr>
            <w:r>
              <w:rPr>
                <w:rStyle w:val="PleaseReviewParagraphId"/>
              </w:rPr>
              <w:t>[35]</w:t>
            </w:r>
            <w:r>
              <w:rPr>
                <w:b/>
                <w:bCs/>
                <w:color w:val="000000"/>
                <w:sz w:val="24"/>
              </w:rPr>
              <w:t>incidence</w:t>
            </w:r>
            <w:r>
              <w:rPr>
                <w:bCs/>
                <w:color w:val="000000"/>
                <w:sz w:val="24"/>
              </w:rPr>
              <w:t xml:space="preserve"> (d’un </w:t>
            </w:r>
            <w:r>
              <w:rPr>
                <w:b/>
                <w:bCs/>
                <w:color w:val="000000"/>
                <w:sz w:val="24"/>
              </w:rPr>
              <w:t>organisme nuisible</w:t>
            </w:r>
            <w:r>
              <w:rPr>
                <w:bCs/>
                <w:color w:val="000000"/>
                <w:sz w:val="24"/>
              </w:rPr>
              <w:t>)</w:t>
            </w:r>
          </w:p>
        </w:tc>
        <w:tc>
          <w:tcPr>
            <w:tcW w:w="6970" w:type="dxa"/>
          </w:tcPr>
          <w:p w:rsidR="002E4AA3" w:rsidRDefault="002E1919">
            <w:pPr>
              <w:autoSpaceDE w:val="0"/>
              <w:autoSpaceDN w:val="0"/>
              <w:adjustRightInd w:val="0"/>
              <w:spacing w:after="120" w:line="259" w:lineRule="auto"/>
              <w:jc w:val="left"/>
              <w:rPr>
                <w:rFonts w:eastAsia="Times New Roman"/>
                <w:color w:val="000000"/>
                <w:sz w:val="24"/>
              </w:rPr>
            </w:pPr>
            <w:r>
              <w:rPr>
                <w:rStyle w:val="PleaseReviewParagraphId"/>
              </w:rPr>
              <w:t>[36]</w:t>
            </w:r>
            <w:r>
              <w:rPr>
                <w:color w:val="000000"/>
                <w:sz w:val="24"/>
              </w:rPr>
              <w:t xml:space="preserve">Proportion ou nombre d’unités d’un échantillon, d’un </w:t>
            </w:r>
            <w:r>
              <w:rPr>
                <w:b/>
                <w:color w:val="000000"/>
                <w:sz w:val="24"/>
              </w:rPr>
              <w:t>envoi</w:t>
            </w:r>
            <w:r>
              <w:rPr>
                <w:color w:val="000000"/>
                <w:sz w:val="24"/>
              </w:rPr>
              <w:t xml:space="preserve">, d’un </w:t>
            </w:r>
            <w:r>
              <w:rPr>
                <w:b/>
                <w:color w:val="000000"/>
                <w:sz w:val="24"/>
              </w:rPr>
              <w:t>champ</w:t>
            </w:r>
            <w:r>
              <w:rPr>
                <w:color w:val="000000"/>
                <w:sz w:val="24"/>
              </w:rPr>
              <w:t xml:space="preserve"> ou d’une autre population définie dans lesquelles un </w:t>
            </w:r>
            <w:r>
              <w:rPr>
                <w:b/>
                <w:color w:val="000000"/>
                <w:sz w:val="24"/>
              </w:rPr>
              <w:t>organisme nuisible</w:t>
            </w:r>
            <w:r>
              <w:rPr>
                <w:color w:val="000000"/>
                <w:sz w:val="24"/>
              </w:rPr>
              <w:t xml:space="preserve"> est présent [CMP, 2009]</w:t>
            </w:r>
          </w:p>
        </w:tc>
      </w:tr>
    </w:tbl>
    <w:p w:rsidR="002E4AA3" w:rsidRDefault="002E1919">
      <w:pPr>
        <w:pStyle w:val="IPPHeading1"/>
        <w:spacing w:before="480"/>
      </w:pPr>
      <w:r>
        <w:rPr>
          <w:rStyle w:val="PleaseReviewParagraphId"/>
          <w:b w:val="0"/>
        </w:rPr>
        <w:t>[37]</w:t>
      </w:r>
      <w:r>
        <w:rPr>
          <w:sz w:val="22"/>
        </w:rPr>
        <w:t>2.</w:t>
      </w:r>
      <w:r>
        <w:rPr>
          <w:sz w:val="22"/>
        </w:rPr>
        <w:tab/>
      </w:r>
      <w:r>
        <w:t>RÉVISIONS</w:t>
      </w:r>
    </w:p>
    <w:p w:rsidR="002E4AA3" w:rsidRDefault="002E1919">
      <w:pPr>
        <w:pStyle w:val="IPPHeading2"/>
        <w:rPr>
          <w:szCs w:val="22"/>
        </w:rPr>
      </w:pPr>
      <w:r>
        <w:rPr>
          <w:rStyle w:val="PleaseReviewParagraphId"/>
          <w:b w:val="0"/>
        </w:rPr>
        <w:t>[38]</w:t>
      </w:r>
      <w:r>
        <w:rPr>
          <w:sz w:val="22"/>
          <w:szCs w:val="22"/>
        </w:rPr>
        <w:t>2.1</w:t>
      </w:r>
      <w:r>
        <w:rPr>
          <w:sz w:val="22"/>
          <w:szCs w:val="22"/>
        </w:rPr>
        <w:tab/>
      </w:r>
      <w:r>
        <w:t>«action d’urgence» (2018-044)</w:t>
      </w:r>
    </w:p>
    <w:p w:rsidR="002E4AA3" w:rsidRDefault="002E1919">
      <w:pPr>
        <w:pStyle w:val="IPPParagraphnumbering"/>
        <w:numPr>
          <w:ilvl w:val="0"/>
          <w:numId w:val="0"/>
        </w:numPr>
      </w:pPr>
      <w:r>
        <w:rPr>
          <w:rStyle w:val="PleaseReviewParagraphId"/>
        </w:rPr>
        <w:t>[39]</w:t>
      </w:r>
      <w:r>
        <w:t>À sa réunion de décembre 2018, au cours de l’examen des observations reçues dans le cadre de la première consultation sur la proposition de révision de la définition du terme «traitement» (2017-008), le GTG s’est penché sur l’application de l’expression «a</w:t>
      </w:r>
      <w:r>
        <w:t xml:space="preserve">ction d'urgence» à un nouvel organisme nuisible non réglementé, qui serait par exemple découvert dans un envoi importé. </w:t>
      </w:r>
    </w:p>
    <w:p w:rsidR="002E4AA3" w:rsidRDefault="002E1919">
      <w:pPr>
        <w:pStyle w:val="IPPParagraphnumbering"/>
        <w:numPr>
          <w:ilvl w:val="0"/>
          <w:numId w:val="0"/>
        </w:numPr>
      </w:pPr>
      <w:r>
        <w:rPr>
          <w:rStyle w:val="PleaseReviewParagraphId"/>
        </w:rPr>
        <w:t>[40]</w:t>
      </w:r>
      <w:r>
        <w:t>Le GTG a estimé qu’il était approprié que des situations de ce type puissent être gérées par les organisations nationales de la pro</w:t>
      </w:r>
      <w:r>
        <w:t>tection des végétaux (ONPV) au moyen d’une «action d’urgence», mais il a noté que, compte tenu du fait que la définition de l’expression «action d'urgence» renvoyait à celle d’«action phytosanitaire» et, par conséquent, à la mise en œuvre d’une «mesure phy</w:t>
      </w:r>
      <w:r>
        <w:t xml:space="preserve">tosanitaire», elle s’appliquait uniquement aux organismes nuisibles réglementés. </w:t>
      </w:r>
    </w:p>
    <w:p w:rsidR="002E4AA3" w:rsidRDefault="002E1919">
      <w:pPr>
        <w:pStyle w:val="IPPParagraphnumbering"/>
        <w:numPr>
          <w:ilvl w:val="0"/>
          <w:numId w:val="0"/>
        </w:numPr>
      </w:pPr>
      <w:r>
        <w:rPr>
          <w:rStyle w:val="PleaseReviewParagraphId"/>
        </w:rPr>
        <w:t>[41]</w:t>
      </w:r>
      <w:r>
        <w:t>Rappelant l’article VII, paragraphe 6, de la CIPV, selon lequel «aucune disposition du présent article n’empêche les parties contractantes de prendre des mesures d’urgenc</w:t>
      </w:r>
      <w:r>
        <w:t>e appropriées suite à la détection d’un organisme nuisible représentant des menaces potentielles pour leur territoire, ou suite à un rapport concernant une telle détection», le GTG a considéré que le texte de la Convention justifiait les mesures prises par</w:t>
      </w:r>
      <w:r>
        <w:t xml:space="preserve"> les ONPV face à tout organisme nuisible représentant «une menaces potentielle», y compris les organismes nuisibles non réglementés. Le GTG a par conséquent conclu que la définition d’«action d'urgence» devait probablement être révisée pour couvrir les org</w:t>
      </w:r>
      <w:r>
        <w:t xml:space="preserve">anismes nuisibles non réglementés et, en mai 2019, le CN a décidé d’ajouter cette expression à la </w:t>
      </w:r>
      <w:r>
        <w:rPr>
          <w:i/>
        </w:rPr>
        <w:t>Liste de thèmes pour les normes de la CIPV</w:t>
      </w:r>
      <w:r>
        <w:t>.</w:t>
      </w:r>
    </w:p>
    <w:p w:rsidR="002E4AA3" w:rsidRDefault="002E1919">
      <w:pPr>
        <w:pStyle w:val="IPPParagraphnumbering"/>
        <w:numPr>
          <w:ilvl w:val="0"/>
          <w:numId w:val="0"/>
        </w:numPr>
      </w:pPr>
      <w:r>
        <w:rPr>
          <w:rStyle w:val="PleaseReviewParagraphId"/>
        </w:rPr>
        <w:t>[42]</w:t>
      </w:r>
      <w:r>
        <w:t>À sa réunion de novembre 2019, le GTG a analysé l’emploi des expressions «action d'urgence» et «action phytosa</w:t>
      </w:r>
      <w:r>
        <w:t>nitaire» dans les NIMP adoptées et a proposé que la définition de la première soit révisée. Le GTG a aussi décidé que des modifications mineures devaient être apportées à la note 10 du Glossaire annoté, afin d’y mentionner les actions phytosanitaires et, a</w:t>
      </w:r>
      <w:r>
        <w:t>insi, d’aider à distinguer celles-ci des actions d'urgence.</w:t>
      </w:r>
    </w:p>
    <w:p w:rsidR="002E4AA3" w:rsidRDefault="002E1919">
      <w:pPr>
        <w:pStyle w:val="IPPParagraphnumbering"/>
        <w:numPr>
          <w:ilvl w:val="0"/>
          <w:numId w:val="0"/>
        </w:numPr>
      </w:pPr>
      <w:r>
        <w:rPr>
          <w:rStyle w:val="PleaseReviewParagraphId"/>
        </w:rPr>
        <w:t>[43]</w:t>
      </w:r>
      <w:r>
        <w:t xml:space="preserve">Les éléments d'explication ci-après peuvent être pris en compte lors de l'examen de la proposition de révision de l’expression «action d'urgence». </w:t>
      </w:r>
    </w:p>
    <w:p w:rsidR="002E4AA3" w:rsidRDefault="002E1919">
      <w:pPr>
        <w:pStyle w:val="IPPParagraphnumbering"/>
        <w:numPr>
          <w:ilvl w:val="0"/>
          <w:numId w:val="15"/>
        </w:numPr>
        <w:spacing w:before="180"/>
      </w:pPr>
      <w:r>
        <w:rPr>
          <w:rStyle w:val="PleaseReviewParagraphId"/>
        </w:rPr>
        <w:t>[44]</w:t>
      </w:r>
      <w:r>
        <w:t>Il est nécessaire de remplacer «phytosan</w:t>
      </w:r>
      <w:r>
        <w:t xml:space="preserve">itaire» par «officiel» dans l’énoncé actuel de la définition de l’expression «action phytosanitaire» afin de préciser qu’une action d'urgence peut cibler aussi bien les organismes nuisibles réglementés que les </w:t>
      </w:r>
      <w:r>
        <w:lastRenderedPageBreak/>
        <w:t xml:space="preserve">organismes nuisibles non réglementés et, dans </w:t>
      </w:r>
      <w:r>
        <w:t xml:space="preserve">le même temps, de conserver l’idée que toute action d'urgence devrait être prise sous l’autorité de l’ONPV.  </w:t>
      </w:r>
    </w:p>
    <w:p w:rsidR="002E4AA3" w:rsidRDefault="002E1919">
      <w:pPr>
        <w:pStyle w:val="IPPParagraphnumbering"/>
        <w:keepNext/>
        <w:keepLines/>
        <w:numPr>
          <w:ilvl w:val="0"/>
          <w:numId w:val="15"/>
        </w:numPr>
        <w:spacing w:before="180"/>
      </w:pPr>
      <w:r>
        <w:rPr>
          <w:rStyle w:val="PleaseReviewParagraphId"/>
        </w:rPr>
        <w:t>[45]</w:t>
      </w:r>
      <w:r>
        <w:t>Dans la définition, il est proposé de remplacer «action» par «opération» dans un souci de cohérence avec la définition d’«action phytosanitair</w:t>
      </w:r>
      <w:r>
        <w:t>e» dans le Glossaire, à savoir: «Toute opération officielle – inspection, analyse, surveillance ou traitement – entreprise pour appliquer des mesures phytosanitaires».</w:t>
      </w:r>
    </w:p>
    <w:p w:rsidR="002E4AA3" w:rsidRDefault="002E1919">
      <w:pPr>
        <w:pStyle w:val="IPPParagraphnumbering"/>
        <w:numPr>
          <w:ilvl w:val="0"/>
          <w:numId w:val="15"/>
        </w:numPr>
        <w:spacing w:before="180"/>
      </w:pPr>
      <w:r>
        <w:rPr>
          <w:rStyle w:val="PleaseReviewParagraphId"/>
        </w:rPr>
        <w:t>[46]</w:t>
      </w:r>
      <w:r>
        <w:t>Grâce à la révision, l’emploi des expressions «action phytosanitaire» et «action d'u</w:t>
      </w:r>
      <w:r>
        <w:t>rgence» est bien précisé et distingué, comme suit:</w:t>
      </w:r>
    </w:p>
    <w:p w:rsidR="002E4AA3" w:rsidRDefault="002E1919">
      <w:pPr>
        <w:pStyle w:val="IPPParagraphnumbering"/>
        <w:numPr>
          <w:ilvl w:val="1"/>
          <w:numId w:val="15"/>
        </w:numPr>
        <w:spacing w:before="180"/>
      </w:pPr>
      <w:r>
        <w:rPr>
          <w:rStyle w:val="PleaseReviewParagraphId"/>
        </w:rPr>
        <w:t>[47]</w:t>
      </w:r>
      <w:r>
        <w:t>«action phytosanitaire» s’applique à des opérations menées afin de mettre en œuvre des mesures phytosanitaires (par exemple en cas de non-conformité d’un envoi par rapport aux exigences phytosanitaires</w:t>
      </w:r>
      <w:r>
        <w:t xml:space="preserve"> à l'importation);</w:t>
      </w:r>
    </w:p>
    <w:p w:rsidR="002E4AA3" w:rsidRDefault="002E1919">
      <w:pPr>
        <w:pStyle w:val="IPPParagraphnumbering"/>
        <w:numPr>
          <w:ilvl w:val="1"/>
          <w:numId w:val="15"/>
        </w:numPr>
        <w:spacing w:before="180"/>
      </w:pPr>
      <w:r>
        <w:rPr>
          <w:rStyle w:val="PleaseReviewParagraphId"/>
        </w:rPr>
        <w:t>[48]</w:t>
      </w:r>
      <w:r>
        <w:t>«action d’urgence» s’applique à des opérations menées en cas de situations phytosanitaires nouvelles ou imprévues, par exemple la détection, dans un envoi importé, d’un organisme nuisible n’ayant pas été précédemment évalué.</w:t>
      </w:r>
    </w:p>
    <w:p w:rsidR="002E4AA3" w:rsidRDefault="002E1919">
      <w:pPr>
        <w:pStyle w:val="IPPParagraphnumbering"/>
        <w:numPr>
          <w:ilvl w:val="0"/>
          <w:numId w:val="15"/>
        </w:numPr>
        <w:spacing w:before="180"/>
      </w:pPr>
      <w:r>
        <w:rPr>
          <w:rStyle w:val="PleaseReviewParagraphId"/>
        </w:rPr>
        <w:t>[49]</w:t>
      </w:r>
      <w:r>
        <w:t>La r</w:t>
      </w:r>
      <w:r>
        <w:t>évision proposée de la définition de l’expression «action d'urgence» ne nécessiterait aucune correction à insérer dans les NIMP adoptées, car elle correspond bien à l’emploi actuel de l’expression.</w:t>
      </w:r>
    </w:p>
    <w:p w:rsidR="002E4AA3" w:rsidRDefault="002E1919">
      <w:pPr>
        <w:pStyle w:val="IPPParagraphnumbering"/>
        <w:keepNext/>
        <w:numPr>
          <w:ilvl w:val="0"/>
          <w:numId w:val="0"/>
        </w:numPr>
        <w:rPr>
          <w:b/>
          <w:bCs/>
          <w:i/>
          <w:iCs/>
          <w:szCs w:val="22"/>
        </w:rPr>
      </w:pPr>
      <w:r>
        <w:rPr>
          <w:rStyle w:val="PleaseReviewParagraphId"/>
        </w:rPr>
        <w:t>[50]</w:t>
      </w:r>
      <w:r>
        <w:rPr>
          <w:b/>
          <w:bCs/>
          <w:i/>
          <w:iCs/>
          <w:szCs w:val="22"/>
        </w:rPr>
        <w:t xml:space="preserve">Définition actuelle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1"/>
        <w:gridCol w:w="6806"/>
      </w:tblGrid>
      <w:tr w:rsidR="002E4AA3">
        <w:tc>
          <w:tcPr>
            <w:tcW w:w="2172" w:type="dxa"/>
          </w:tcPr>
          <w:p w:rsidR="002E4AA3" w:rsidRDefault="002E1919">
            <w:pPr>
              <w:autoSpaceDE w:val="0"/>
              <w:autoSpaceDN w:val="0"/>
              <w:adjustRightInd w:val="0"/>
              <w:rPr>
                <w:rFonts w:eastAsia="Times New Roman"/>
                <w:color w:val="000000"/>
                <w:sz w:val="24"/>
              </w:rPr>
            </w:pPr>
            <w:r>
              <w:rPr>
                <w:rStyle w:val="PleaseReviewParagraphId"/>
              </w:rPr>
              <w:t>[51]</w:t>
            </w:r>
            <w:r>
              <w:rPr>
                <w:b/>
                <w:bCs/>
                <w:color w:val="000000"/>
                <w:sz w:val="24"/>
              </w:rPr>
              <w:t>Action d’urgence</w:t>
            </w:r>
          </w:p>
        </w:tc>
        <w:tc>
          <w:tcPr>
            <w:tcW w:w="6970" w:type="dxa"/>
          </w:tcPr>
          <w:p w:rsidR="002E4AA3" w:rsidRDefault="002E1919">
            <w:pPr>
              <w:autoSpaceDE w:val="0"/>
              <w:autoSpaceDN w:val="0"/>
              <w:adjustRightInd w:val="0"/>
              <w:spacing w:after="120"/>
              <w:rPr>
                <w:rFonts w:eastAsia="Times New Roman"/>
                <w:color w:val="000000"/>
                <w:sz w:val="24"/>
              </w:rPr>
            </w:pPr>
            <w:r>
              <w:rPr>
                <w:rStyle w:val="PleaseReviewParagraphId"/>
              </w:rPr>
              <w:t>[52]</w:t>
            </w:r>
            <w:r>
              <w:rPr>
                <w:b/>
                <w:color w:val="000000"/>
                <w:sz w:val="24"/>
              </w:rPr>
              <w:t xml:space="preserve">Action </w:t>
            </w:r>
            <w:r>
              <w:rPr>
                <w:b/>
                <w:color w:val="000000"/>
                <w:sz w:val="24"/>
              </w:rPr>
              <w:t>phytosanitaire</w:t>
            </w:r>
            <w:r>
              <w:rPr>
                <w:color w:val="000000"/>
                <w:sz w:val="24"/>
              </w:rPr>
              <w:t xml:space="preserve"> menée rapidement en cas de situation phytosanitaire nouvelle ou imprévue [CIMP, 2001]</w:t>
            </w:r>
          </w:p>
        </w:tc>
      </w:tr>
    </w:tbl>
    <w:p w:rsidR="002E4AA3" w:rsidRDefault="002E1919">
      <w:pPr>
        <w:pStyle w:val="IPPParagraphnumbering"/>
        <w:numPr>
          <w:ilvl w:val="0"/>
          <w:numId w:val="0"/>
        </w:numPr>
        <w:spacing w:before="180"/>
        <w:rPr>
          <w:b/>
          <w:bCs/>
          <w:i/>
          <w:iCs/>
          <w:szCs w:val="22"/>
        </w:rPr>
      </w:pPr>
      <w:r>
        <w:rPr>
          <w:rStyle w:val="PleaseReviewParagraphId"/>
        </w:rPr>
        <w:t>[53]</w:t>
      </w:r>
      <w:r>
        <w:rPr>
          <w:b/>
          <w:bCs/>
          <w:i/>
          <w:iCs/>
          <w:szCs w:val="22"/>
        </w:rPr>
        <w:t>Proposition de révision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6825"/>
      </w:tblGrid>
      <w:tr w:rsidR="002E4AA3">
        <w:tc>
          <w:tcPr>
            <w:tcW w:w="2164" w:type="dxa"/>
          </w:tcPr>
          <w:p w:rsidR="002E4AA3" w:rsidRDefault="002E1919">
            <w:pPr>
              <w:keepNext/>
              <w:rPr>
                <w:rFonts w:eastAsia="Times New Roman"/>
                <w:b/>
                <w:sz w:val="24"/>
              </w:rPr>
            </w:pPr>
            <w:r>
              <w:rPr>
                <w:rStyle w:val="PleaseReviewParagraphId"/>
              </w:rPr>
              <w:t>[54]</w:t>
            </w:r>
            <w:r>
              <w:rPr>
                <w:b/>
                <w:bCs/>
                <w:sz w:val="24"/>
              </w:rPr>
              <w:t>Action d’urgence</w:t>
            </w:r>
          </w:p>
        </w:tc>
        <w:tc>
          <w:tcPr>
            <w:tcW w:w="6976" w:type="dxa"/>
          </w:tcPr>
          <w:p w:rsidR="002E4AA3" w:rsidRDefault="002E1919">
            <w:pPr>
              <w:spacing w:after="180"/>
              <w:ind w:right="851"/>
              <w:rPr>
                <w:rFonts w:eastAsia="Times New Roman"/>
                <w:sz w:val="24"/>
                <w:u w:val="single"/>
              </w:rPr>
            </w:pPr>
            <w:r>
              <w:rPr>
                <w:rStyle w:val="PleaseReviewParagraphId"/>
              </w:rPr>
              <w:t>[55]</w:t>
            </w:r>
            <w:r>
              <w:rPr>
                <w:b/>
                <w:bCs/>
                <w:strike/>
                <w:sz w:val="24"/>
              </w:rPr>
              <w:t>Action phytosanitaire</w:t>
            </w:r>
            <w:r>
              <w:rPr>
                <w:sz w:val="24"/>
                <w:u w:val="single"/>
              </w:rPr>
              <w:t xml:space="preserve">Opération </w:t>
            </w:r>
            <w:r>
              <w:rPr>
                <w:b/>
                <w:sz w:val="24"/>
                <w:u w:val="single"/>
              </w:rPr>
              <w:t>officielle</w:t>
            </w:r>
            <w:r>
              <w:rPr>
                <w:sz w:val="24"/>
              </w:rPr>
              <w:t xml:space="preserve"> menée rapidement en cas de situation phytosanitaire nouvell</w:t>
            </w:r>
            <w:r>
              <w:rPr>
                <w:sz w:val="24"/>
              </w:rPr>
              <w:t>e ou imprévue</w:t>
            </w:r>
          </w:p>
        </w:tc>
      </w:tr>
    </w:tbl>
    <w:p w:rsidR="002E4AA3" w:rsidRDefault="002E1919">
      <w:pPr>
        <w:pStyle w:val="IPPHeading2"/>
        <w:keepLines/>
        <w:numPr>
          <w:ilvl w:val="1"/>
          <w:numId w:val="32"/>
        </w:numPr>
        <w:rPr>
          <w:szCs w:val="24"/>
        </w:rPr>
      </w:pPr>
      <w:r>
        <w:rPr>
          <w:rStyle w:val="PleaseReviewParagraphId"/>
          <w:b w:val="0"/>
        </w:rPr>
        <w:t>[56]</w:t>
      </w:r>
      <w:r>
        <w:t>«agrément (d'un envoi)» (2018-045)</w:t>
      </w:r>
    </w:p>
    <w:p w:rsidR="002E4AA3" w:rsidRDefault="002E1919">
      <w:pPr>
        <w:keepNext/>
        <w:keepLines/>
        <w:spacing w:after="180"/>
        <w:rPr>
          <w:sz w:val="24"/>
        </w:rPr>
      </w:pPr>
      <w:r>
        <w:rPr>
          <w:rStyle w:val="PleaseReviewParagraphId"/>
        </w:rPr>
        <w:t>[57]</w:t>
      </w:r>
      <w:r>
        <w:rPr>
          <w:sz w:val="24"/>
        </w:rPr>
        <w:t xml:space="preserve">À sa réunion de décembre 2018, le GTG a noté que la définition de l’expression «agrément (d’un envoi)» dans le Glossaire ne précisait pas si l’«agrément» était le </w:t>
      </w:r>
      <w:r>
        <w:rPr>
          <w:i/>
          <w:sz w:val="24"/>
        </w:rPr>
        <w:t>résultat</w:t>
      </w:r>
      <w:r>
        <w:rPr>
          <w:sz w:val="24"/>
        </w:rPr>
        <w:t xml:space="preserve"> d’une «inspection» ou le </w:t>
      </w:r>
      <w:r>
        <w:rPr>
          <w:i/>
          <w:sz w:val="24"/>
        </w:rPr>
        <w:t>processus</w:t>
      </w:r>
      <w:r>
        <w:rPr>
          <w:sz w:val="24"/>
        </w:rPr>
        <w:t xml:space="preserve"> d’un type particulier d’inspection. Il a par conséquent recommandé de réviser la définition du terme «agrément» afin de faire explicitement référence non pas à l’autorisation d’importer ou exporter un envoi mais au processus qui permet de s’assur</w:t>
      </w:r>
      <w:r>
        <w:rPr>
          <w:sz w:val="24"/>
        </w:rPr>
        <w:t>er du respect de la réglementation phytosanitaire. Sinon, l’expression «agrément (d'un envoi)» serait redondante et quasiment synonyme de l’expression «libération (d'un envoi)», qui est définie dans le Glossaire comme l’«autorisation d’entrée après agrémen</w:t>
      </w:r>
      <w:r>
        <w:rPr>
          <w:sz w:val="24"/>
        </w:rPr>
        <w:t xml:space="preserve">t». </w:t>
      </w:r>
    </w:p>
    <w:p w:rsidR="002E4AA3" w:rsidRDefault="002E1919">
      <w:pPr>
        <w:pStyle w:val="IPPParagraphnumbering"/>
        <w:numPr>
          <w:ilvl w:val="0"/>
          <w:numId w:val="0"/>
        </w:numPr>
      </w:pPr>
      <w:r>
        <w:rPr>
          <w:rStyle w:val="PleaseReviewParagraphId"/>
        </w:rPr>
        <w:t>[58]</w:t>
      </w:r>
      <w:r>
        <w:t xml:space="preserve">En mai 2019, le CN a par conséquent ajouté l’expression «agrément (d'un envoi)» à la </w:t>
      </w:r>
      <w:r>
        <w:rPr>
          <w:i/>
        </w:rPr>
        <w:t>Liste de thèmes pour les normes de la CIPV</w:t>
      </w:r>
      <w:r>
        <w:t>, en vue d’une éventuelle révision.</w:t>
      </w:r>
    </w:p>
    <w:p w:rsidR="002E4AA3" w:rsidRDefault="002E1919">
      <w:pPr>
        <w:spacing w:after="180"/>
        <w:rPr>
          <w:rFonts w:eastAsia="Times New Roman"/>
          <w:sz w:val="24"/>
        </w:rPr>
      </w:pPr>
      <w:r>
        <w:rPr>
          <w:rStyle w:val="PleaseReviewParagraphId"/>
        </w:rPr>
        <w:t>[59]</w:t>
      </w:r>
      <w:r>
        <w:rPr>
          <w:sz w:val="24"/>
        </w:rPr>
        <w:t>À sa réunion de novembre 2019, le GTG a analysé les définitions des termes du Gl</w:t>
      </w:r>
      <w:r>
        <w:rPr>
          <w:sz w:val="24"/>
        </w:rPr>
        <w:t xml:space="preserve">ossaire liés au terme «agrément», ainsi que celles données dans le dictionnaire et l’emploi de ce terme dans les NIMP adoptés. Au cours des débats, le GTG a décidé de réviser la définition afin de préciser que l’agrément était un processus et a noté qu’il </w:t>
      </w:r>
      <w:r>
        <w:rPr>
          <w:sz w:val="24"/>
        </w:rPr>
        <w:t xml:space="preserve">devrait être applicable aux exportations et aux importations. </w:t>
      </w:r>
    </w:p>
    <w:p w:rsidR="002E4AA3" w:rsidRDefault="002E1919">
      <w:pPr>
        <w:pStyle w:val="IPPParagraphnumbering"/>
        <w:numPr>
          <w:ilvl w:val="0"/>
          <w:numId w:val="0"/>
        </w:numPr>
      </w:pPr>
      <w:r>
        <w:rPr>
          <w:rStyle w:val="PleaseReviewParagraphId"/>
        </w:rPr>
        <w:lastRenderedPageBreak/>
        <w:t>[60]</w:t>
      </w:r>
      <w:r>
        <w:t xml:space="preserve">Les éléments d'explication ci-après peuvent être pris en compte lors de l'examen de la proposition de révision de la définition de l’expression «agrément (d’un envoi)». </w:t>
      </w:r>
    </w:p>
    <w:p w:rsidR="002E4AA3" w:rsidRDefault="002E1919">
      <w:pPr>
        <w:pStyle w:val="IPPParagraphnumbering"/>
        <w:numPr>
          <w:ilvl w:val="0"/>
          <w:numId w:val="15"/>
        </w:numPr>
        <w:spacing w:before="180"/>
      </w:pPr>
      <w:r>
        <w:rPr>
          <w:rStyle w:val="PleaseReviewParagraphId"/>
        </w:rPr>
        <w:t>[61]</w:t>
      </w:r>
      <w:r>
        <w:t xml:space="preserve">Il est proposé </w:t>
      </w:r>
      <w:r>
        <w:t xml:space="preserve">de remplacer «vérification» par «processus de vérification» afin de préciser que l’agrément n’est pas le </w:t>
      </w:r>
      <w:r>
        <w:rPr>
          <w:i/>
        </w:rPr>
        <w:t>résultat</w:t>
      </w:r>
      <w:r>
        <w:t xml:space="preserve"> du processus de vérification de la conformité à la réglementation phytosanitaire mais le </w:t>
      </w:r>
      <w:r>
        <w:rPr>
          <w:i/>
        </w:rPr>
        <w:t>processus</w:t>
      </w:r>
      <w:r>
        <w:t xml:space="preserve"> de vérification à proprement parler. </w:t>
      </w:r>
    </w:p>
    <w:p w:rsidR="002E4AA3" w:rsidRDefault="002E1919">
      <w:pPr>
        <w:pStyle w:val="IPPParagraphnumbering"/>
        <w:numPr>
          <w:ilvl w:val="0"/>
          <w:numId w:val="15"/>
        </w:numPr>
        <w:spacing w:before="180"/>
      </w:pPr>
      <w:r>
        <w:rPr>
          <w:rStyle w:val="PleaseReviewParagraphId"/>
        </w:rPr>
        <w:t>[62]</w:t>
      </w:r>
      <w:r>
        <w:t xml:space="preserve">L’ajout de la précision «officiel» à «processus» souligne le fait que l’agrément des envois relève de la responsabilité des ONPV. </w:t>
      </w:r>
    </w:p>
    <w:p w:rsidR="002E4AA3" w:rsidRDefault="002E1919">
      <w:pPr>
        <w:pStyle w:val="IPPParagraphnumbering"/>
        <w:numPr>
          <w:ilvl w:val="0"/>
          <w:numId w:val="15"/>
        </w:numPr>
        <w:spacing w:before="180"/>
      </w:pPr>
      <w:r>
        <w:rPr>
          <w:rStyle w:val="PleaseReviewParagraphId"/>
        </w:rPr>
        <w:t>[63]</w:t>
      </w:r>
      <w:r>
        <w:t>Il n’est pas nécessaire de préciser par quels moyens ou méthodes (inspection ou test, par exemple), le processus d’agréme</w:t>
      </w:r>
      <w:r>
        <w:t>nt peut être mené.</w:t>
      </w:r>
    </w:p>
    <w:p w:rsidR="002E4AA3" w:rsidRDefault="002E1919">
      <w:pPr>
        <w:pStyle w:val="IPPParagraphnumbering"/>
        <w:numPr>
          <w:ilvl w:val="0"/>
          <w:numId w:val="15"/>
        </w:numPr>
        <w:spacing w:before="180"/>
      </w:pPr>
      <w:r>
        <w:rPr>
          <w:rStyle w:val="PleaseReviewParagraphId"/>
        </w:rPr>
        <w:t>[64]</w:t>
      </w:r>
      <w:r>
        <w:t>Il n’est pas nécessaire de préciser que le processus d’agrément peut en réalité conduire à la libération ou à l’interception d'un envoi à l’importation, à la délivrance d'un certificat phytosanitaire pour l’exportation ou au refus de</w:t>
      </w:r>
      <w:r>
        <w:t xml:space="preserve"> délivrer un tel certificat.</w:t>
      </w:r>
    </w:p>
    <w:p w:rsidR="002E4AA3" w:rsidRDefault="002E1919">
      <w:pPr>
        <w:pStyle w:val="IPPParagraphnumbering"/>
        <w:numPr>
          <w:ilvl w:val="0"/>
          <w:numId w:val="15"/>
        </w:numPr>
        <w:spacing w:before="180"/>
      </w:pPr>
      <w:r>
        <w:rPr>
          <w:rStyle w:val="PleaseReviewParagraphId"/>
        </w:rPr>
        <w:t>[65]</w:t>
      </w:r>
      <w:r>
        <w:t>La révision proposée de la définition de l’expression «agrément (d’un envoi)» ne nécessiterait aucune correction à insérer dans les NIMP adoptées, car elle correspond bien à l’emploi actuel de l’expression.</w:t>
      </w:r>
    </w:p>
    <w:p w:rsidR="002E4AA3" w:rsidRDefault="002E1919">
      <w:pPr>
        <w:pStyle w:val="IPPParagraphnumbering"/>
        <w:numPr>
          <w:ilvl w:val="0"/>
          <w:numId w:val="0"/>
        </w:numPr>
        <w:spacing w:before="180"/>
        <w:rPr>
          <w:b/>
          <w:bCs/>
          <w:i/>
          <w:iCs/>
          <w:szCs w:val="22"/>
        </w:rPr>
      </w:pPr>
      <w:r>
        <w:rPr>
          <w:rStyle w:val="PleaseReviewParagraphId"/>
        </w:rPr>
        <w:t>[66]</w:t>
      </w:r>
      <w:r>
        <w:rPr>
          <w:b/>
          <w:bCs/>
          <w:i/>
          <w:iCs/>
          <w:szCs w:val="22"/>
        </w:rPr>
        <w:t>Définition a</w:t>
      </w:r>
      <w:r>
        <w:rPr>
          <w:b/>
          <w:bCs/>
          <w:i/>
          <w:iCs/>
          <w:szCs w:val="22"/>
        </w:rPr>
        <w:t>ctuelle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8"/>
        <w:gridCol w:w="6799"/>
      </w:tblGrid>
      <w:tr w:rsidR="002E4AA3">
        <w:tc>
          <w:tcPr>
            <w:tcW w:w="2172" w:type="dxa"/>
          </w:tcPr>
          <w:p w:rsidR="002E4AA3" w:rsidRDefault="002E1919">
            <w:pPr>
              <w:jc w:val="left"/>
              <w:rPr>
                <w:b/>
                <w:bCs/>
                <w:sz w:val="24"/>
              </w:rPr>
            </w:pPr>
            <w:r>
              <w:rPr>
                <w:rStyle w:val="PleaseReviewParagraphId"/>
              </w:rPr>
              <w:t>[67]</w:t>
            </w:r>
            <w:r>
              <w:rPr>
                <w:b/>
                <w:bCs/>
                <w:sz w:val="24"/>
              </w:rPr>
              <w:t>Agrément</w:t>
            </w:r>
            <w:r>
              <w:rPr>
                <w:bCs/>
                <w:sz w:val="24"/>
              </w:rPr>
              <w:t xml:space="preserve"> (d’un </w:t>
            </w:r>
            <w:r>
              <w:rPr>
                <w:b/>
                <w:bCs/>
                <w:sz w:val="24"/>
              </w:rPr>
              <w:t>envoi</w:t>
            </w:r>
            <w:r>
              <w:rPr>
                <w:bCs/>
                <w:sz w:val="24"/>
              </w:rPr>
              <w:t>)</w:t>
            </w:r>
          </w:p>
        </w:tc>
        <w:tc>
          <w:tcPr>
            <w:tcW w:w="6970" w:type="dxa"/>
          </w:tcPr>
          <w:p w:rsidR="002E4AA3" w:rsidRDefault="002E1919">
            <w:pPr>
              <w:autoSpaceDE w:val="0"/>
              <w:autoSpaceDN w:val="0"/>
              <w:adjustRightInd w:val="0"/>
              <w:rPr>
                <w:rFonts w:eastAsia="Times New Roman"/>
                <w:sz w:val="24"/>
              </w:rPr>
            </w:pPr>
            <w:r>
              <w:rPr>
                <w:rStyle w:val="PleaseReviewParagraphId"/>
              </w:rPr>
              <w:t>[68]</w:t>
            </w:r>
            <w:r>
              <w:rPr>
                <w:sz w:val="24"/>
              </w:rPr>
              <w:t xml:space="preserve">Vérification de la conformité à la </w:t>
            </w:r>
            <w:r>
              <w:rPr>
                <w:b/>
                <w:sz w:val="24"/>
              </w:rPr>
              <w:t>réglementation phytosanitaire</w:t>
            </w:r>
            <w:r>
              <w:rPr>
                <w:sz w:val="24"/>
              </w:rPr>
              <w:t xml:space="preserve"> [FAO, 1995]</w:t>
            </w:r>
          </w:p>
        </w:tc>
      </w:tr>
    </w:tbl>
    <w:p w:rsidR="002E4AA3" w:rsidRDefault="002E1919">
      <w:pPr>
        <w:pStyle w:val="IPPParagraphnumbering"/>
        <w:numPr>
          <w:ilvl w:val="0"/>
          <w:numId w:val="0"/>
        </w:numPr>
        <w:spacing w:before="180"/>
        <w:rPr>
          <w:b/>
          <w:bCs/>
          <w:i/>
          <w:iCs/>
          <w:szCs w:val="22"/>
        </w:rPr>
      </w:pPr>
      <w:r>
        <w:rPr>
          <w:rStyle w:val="PleaseReviewParagraphId"/>
        </w:rPr>
        <w:t>[69]</w:t>
      </w:r>
      <w:r>
        <w:rPr>
          <w:b/>
          <w:bCs/>
          <w:i/>
          <w:iCs/>
          <w:szCs w:val="22"/>
        </w:rPr>
        <w:t>Proposition de révision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8"/>
        <w:gridCol w:w="6819"/>
      </w:tblGrid>
      <w:tr w:rsidR="002E4AA3">
        <w:tc>
          <w:tcPr>
            <w:tcW w:w="2145" w:type="dxa"/>
          </w:tcPr>
          <w:p w:rsidR="002E4AA3" w:rsidRDefault="002E1919">
            <w:pPr>
              <w:jc w:val="left"/>
              <w:rPr>
                <w:b/>
                <w:bCs/>
                <w:sz w:val="24"/>
              </w:rPr>
            </w:pPr>
            <w:r>
              <w:rPr>
                <w:rStyle w:val="PleaseReviewParagraphId"/>
              </w:rPr>
              <w:t>[70]</w:t>
            </w:r>
            <w:r>
              <w:rPr>
                <w:b/>
                <w:bCs/>
                <w:sz w:val="24"/>
              </w:rPr>
              <w:t>Agrément</w:t>
            </w:r>
            <w:r>
              <w:rPr>
                <w:bCs/>
                <w:sz w:val="24"/>
              </w:rPr>
              <w:t xml:space="preserve"> (d’un </w:t>
            </w:r>
            <w:r>
              <w:rPr>
                <w:b/>
                <w:bCs/>
                <w:sz w:val="24"/>
              </w:rPr>
              <w:t>envoi</w:t>
            </w:r>
            <w:r>
              <w:rPr>
                <w:bCs/>
                <w:sz w:val="24"/>
              </w:rPr>
              <w:t>)</w:t>
            </w:r>
          </w:p>
        </w:tc>
        <w:tc>
          <w:tcPr>
            <w:tcW w:w="6927" w:type="dxa"/>
          </w:tcPr>
          <w:p w:rsidR="002E4AA3" w:rsidRDefault="002E1919">
            <w:pPr>
              <w:pStyle w:val="IPPQuote"/>
              <w:ind w:left="0"/>
              <w:rPr>
                <w:sz w:val="24"/>
                <w:szCs w:val="24"/>
              </w:rPr>
            </w:pPr>
            <w:r>
              <w:rPr>
                <w:rStyle w:val="PleaseReviewParagraphId"/>
              </w:rPr>
              <w:t>[71]</w:t>
            </w:r>
            <w:r>
              <w:rPr>
                <w:strike/>
                <w:sz w:val="24"/>
                <w:szCs w:val="24"/>
              </w:rPr>
              <w:t>Vérification</w:t>
            </w:r>
            <w:r>
              <w:rPr>
                <w:sz w:val="24"/>
                <w:szCs w:val="24"/>
              </w:rPr>
              <w:t xml:space="preserve"> </w:t>
            </w:r>
            <w:r>
              <w:rPr>
                <w:sz w:val="24"/>
                <w:szCs w:val="24"/>
                <w:u w:val="single"/>
              </w:rPr>
              <w:t xml:space="preserve">Processus </w:t>
            </w:r>
            <w:r>
              <w:rPr>
                <w:b/>
                <w:bCs/>
                <w:sz w:val="24"/>
                <w:szCs w:val="24"/>
                <w:u w:val="single"/>
              </w:rPr>
              <w:t>officiel</w:t>
            </w:r>
            <w:r>
              <w:rPr>
                <w:sz w:val="24"/>
                <w:szCs w:val="24"/>
              </w:rPr>
              <w:t xml:space="preserve"> de </w:t>
            </w:r>
            <w:r>
              <w:rPr>
                <w:sz w:val="24"/>
                <w:szCs w:val="24"/>
                <w:u w:val="single"/>
              </w:rPr>
              <w:t>vérification</w:t>
            </w:r>
            <w:r>
              <w:rPr>
                <w:sz w:val="24"/>
                <w:szCs w:val="24"/>
              </w:rPr>
              <w:t xml:space="preserve"> de la conformité à la </w:t>
            </w:r>
            <w:r>
              <w:rPr>
                <w:b/>
                <w:sz w:val="24"/>
                <w:szCs w:val="24"/>
              </w:rPr>
              <w:t>réglementation phytosanitaire</w:t>
            </w:r>
          </w:p>
        </w:tc>
      </w:tr>
    </w:tbl>
    <w:p w:rsidR="002E4AA3" w:rsidRDefault="002E1919">
      <w:pPr>
        <w:pStyle w:val="IPPHeading2"/>
        <w:keepLines/>
        <w:numPr>
          <w:ilvl w:val="1"/>
          <w:numId w:val="32"/>
        </w:numPr>
        <w:spacing w:before="240"/>
        <w:rPr>
          <w:szCs w:val="24"/>
        </w:rPr>
      </w:pPr>
      <w:r>
        <w:rPr>
          <w:rStyle w:val="PleaseReviewParagraphId"/>
          <w:b w:val="0"/>
        </w:rPr>
        <w:t>[72]</w:t>
      </w:r>
      <w:r>
        <w:t>«prospection de repérage» (expression découlant de « prospection» [2015-013])</w:t>
      </w:r>
    </w:p>
    <w:p w:rsidR="002E4AA3" w:rsidRDefault="002E1919">
      <w:pPr>
        <w:keepNext/>
        <w:keepLines/>
        <w:spacing w:after="180"/>
        <w:rPr>
          <w:sz w:val="24"/>
        </w:rPr>
      </w:pPr>
      <w:r>
        <w:rPr>
          <w:rStyle w:val="PleaseReviewParagraphId"/>
        </w:rPr>
        <w:t>[73]</w:t>
      </w:r>
      <w:r>
        <w:rPr>
          <w:sz w:val="24"/>
        </w:rPr>
        <w:t xml:space="preserve">Le CN a ajouté le terme du Glossaire «prospection» à la </w:t>
      </w:r>
      <w:r>
        <w:rPr>
          <w:i/>
          <w:sz w:val="24"/>
        </w:rPr>
        <w:t>Liste de thèmes pour les normes de la CIPV</w:t>
      </w:r>
      <w:r>
        <w:rPr>
          <w:sz w:val="24"/>
        </w:rPr>
        <w:t xml:space="preserve"> en mai 2013, afin que le GTG examine si le concept d’«absence» devait être ajouté à la définition. En mai 2016, dans le cadre du Projet d’amendements 2017 à la NIMP 5, le GTG a proposé de réviser la définition du terme «prospection», conformément au proje</w:t>
      </w:r>
      <w:r>
        <w:rPr>
          <w:sz w:val="24"/>
        </w:rPr>
        <w:t xml:space="preserve">t de révision de la NIMP 6, ainsi que l’emploi de ce terme dans d’autres NIMP et dans les trois types de prospection définis dans le Glossaire. Au cours de l’examen des observations reçues dans le cadre de la première consultation, le Groupe de travail du </w:t>
      </w:r>
      <w:r>
        <w:rPr>
          <w:sz w:val="24"/>
        </w:rPr>
        <w:t>Comité des normes (CN-7) a noté, en mai 2018, que l’établissement de l’absence d’un organisme nuisible ne faisait pas partie de la définition de l’expression «prospection de repérage». Il a demandé au GTG d’examiner si celle-ci devait être modifiée, sous l</w:t>
      </w:r>
      <w:r>
        <w:rPr>
          <w:sz w:val="24"/>
        </w:rPr>
        <w:t xml:space="preserve">a forme de corrections à insérer, afin d’y ajouter «ou absence». </w:t>
      </w:r>
    </w:p>
    <w:p w:rsidR="002E4AA3" w:rsidRDefault="002E1919">
      <w:pPr>
        <w:pStyle w:val="IPPParagraphnumbering"/>
        <w:numPr>
          <w:ilvl w:val="0"/>
          <w:numId w:val="0"/>
        </w:numPr>
      </w:pPr>
      <w:r>
        <w:rPr>
          <w:rStyle w:val="PleaseReviewParagraphId"/>
        </w:rPr>
        <w:t>[74]</w:t>
      </w:r>
      <w:r>
        <w:t xml:space="preserve">Le GTG a examiné l’expression «prospection de repérage» à sa réunion de décembre 2018. Les éléments d'explication ci-après peuvent être pris en compte lors de l'examen de la proposition </w:t>
      </w:r>
      <w:r>
        <w:t>de révision de la définition.</w:t>
      </w:r>
    </w:p>
    <w:p w:rsidR="002E4AA3" w:rsidRDefault="002E1919">
      <w:pPr>
        <w:pStyle w:val="IPPParagraphnumbering"/>
        <w:numPr>
          <w:ilvl w:val="0"/>
          <w:numId w:val="15"/>
        </w:numPr>
        <w:spacing w:before="180"/>
      </w:pPr>
      <w:r>
        <w:rPr>
          <w:rStyle w:val="PleaseReviewParagraphId"/>
        </w:rPr>
        <w:t>[75]</w:t>
      </w:r>
      <w:r>
        <w:t xml:space="preserve">L’expression «prospection de repérage» est utilisée à maintes reprises tout le long des NIMP lorsqu’il est question d’établir ou de vérifier l’absence d’un organisme nuisible. </w:t>
      </w:r>
    </w:p>
    <w:p w:rsidR="002E4AA3" w:rsidRDefault="002E1919">
      <w:pPr>
        <w:pStyle w:val="IPPParagraphnumbering"/>
        <w:keepNext/>
        <w:keepLines/>
        <w:numPr>
          <w:ilvl w:val="0"/>
          <w:numId w:val="15"/>
        </w:numPr>
        <w:spacing w:before="180"/>
      </w:pPr>
      <w:r>
        <w:rPr>
          <w:rStyle w:val="PleaseReviewParagraphId"/>
        </w:rPr>
        <w:lastRenderedPageBreak/>
        <w:t>[76]</w:t>
      </w:r>
      <w:r>
        <w:t xml:space="preserve">L’objectif d’une prospection de repérage </w:t>
      </w:r>
      <w:r>
        <w:t xml:space="preserve">est de déterminer si un organisme nuisible est présent, ce qui signifie que la présence ou l’absence de cet organisme est, dans la même mesure, un résultat possible de la prospection de repérage et que celle-ci peut être utilisée pour déterminer l’absence </w:t>
      </w:r>
      <w:r>
        <w:t>d’un organisme nuisible.</w:t>
      </w:r>
    </w:p>
    <w:p w:rsidR="002E4AA3" w:rsidRDefault="002E1919">
      <w:pPr>
        <w:pStyle w:val="IPPParagraphnumbering"/>
        <w:numPr>
          <w:ilvl w:val="0"/>
          <w:numId w:val="15"/>
        </w:numPr>
        <w:spacing w:before="180"/>
      </w:pPr>
      <w:r>
        <w:rPr>
          <w:rStyle w:val="PleaseReviewParagraphId"/>
        </w:rPr>
        <w:t>[77]</w:t>
      </w:r>
      <w:r>
        <w:t>Dans la définition, «si» exprime déjà le concept d’absence mais celui-ci n’est pas aussi explicite que dans la définition des termes «prospection» et «surveillance» et de l’expression «prospection de délimitation». Il est par c</w:t>
      </w:r>
      <w:r>
        <w:t xml:space="preserve">onséquent suggéré d’éliminer la conjonction de subordination «si» et de la remplacer par «ou l’absence». </w:t>
      </w:r>
    </w:p>
    <w:p w:rsidR="002E4AA3" w:rsidRDefault="002E1919">
      <w:pPr>
        <w:pStyle w:val="IPPParagraphnumbering"/>
        <w:numPr>
          <w:ilvl w:val="0"/>
          <w:numId w:val="15"/>
        </w:numPr>
        <w:spacing w:before="180"/>
      </w:pPr>
      <w:r>
        <w:rPr>
          <w:rStyle w:val="PleaseReviewParagraphId"/>
        </w:rPr>
        <w:t>[78]</w:t>
      </w:r>
      <w:r>
        <w:t>Il est aussi proposé d’ajouter dans la définition la précision «dans une zone, un lieu de production ou un site de production», par souci de clart</w:t>
      </w:r>
      <w:r>
        <w:t>é et de cohérence avec la définition de l’expression «prospection (d’organismes nuisibles)».</w:t>
      </w:r>
    </w:p>
    <w:p w:rsidR="002E4AA3" w:rsidRDefault="002E1919">
      <w:pPr>
        <w:pStyle w:val="IPPParagraphnumbering"/>
        <w:numPr>
          <w:ilvl w:val="0"/>
          <w:numId w:val="15"/>
        </w:numPr>
        <w:spacing w:before="180"/>
      </w:pPr>
      <w:r>
        <w:rPr>
          <w:rStyle w:val="PleaseReviewParagraphId"/>
        </w:rPr>
        <w:t>[79]</w:t>
      </w:r>
      <w:r>
        <w:t>La proposition de définition révisée de «prospection de repérage» correspond bien à l’emploi de cette expression dans les NIMP adoptées.</w:t>
      </w:r>
    </w:p>
    <w:p w:rsidR="002E4AA3" w:rsidRDefault="002E1919">
      <w:pPr>
        <w:keepNext/>
        <w:numPr>
          <w:ilvl w:val="0"/>
          <w:numId w:val="4"/>
        </w:numPr>
        <w:spacing w:after="180"/>
        <w:rPr>
          <w:rFonts w:eastAsia="Times"/>
          <w:b/>
          <w:bCs/>
          <w:i/>
          <w:iCs/>
          <w:szCs w:val="22"/>
        </w:rPr>
      </w:pPr>
      <w:r>
        <w:rPr>
          <w:rStyle w:val="PleaseReviewParagraphId"/>
        </w:rPr>
        <w:t>[80]</w:t>
      </w:r>
      <w:r>
        <w:rPr>
          <w:b/>
          <w:bCs/>
          <w:i/>
          <w:iCs/>
          <w:szCs w:val="22"/>
        </w:rPr>
        <w:t>Définition actuell</w:t>
      </w:r>
      <w:r>
        <w:rPr>
          <w:b/>
          <w:bCs/>
          <w:i/>
          <w:iCs/>
          <w:szCs w:val="22"/>
        </w:rPr>
        <w:t xml:space="preserv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6778"/>
      </w:tblGrid>
      <w:tr w:rsidR="002E4AA3">
        <w:trPr>
          <w:cantSplit/>
        </w:trPr>
        <w:tc>
          <w:tcPr>
            <w:tcW w:w="2245" w:type="dxa"/>
          </w:tcPr>
          <w:p w:rsidR="002E4AA3" w:rsidRDefault="002E1919">
            <w:pPr>
              <w:spacing w:after="180"/>
              <w:jc w:val="left"/>
              <w:rPr>
                <w:rFonts w:eastAsia="Times"/>
                <w:b/>
                <w:szCs w:val="22"/>
              </w:rPr>
            </w:pPr>
            <w:r>
              <w:rPr>
                <w:rStyle w:val="PleaseReviewParagraphId"/>
              </w:rPr>
              <w:t>[81]</w:t>
            </w:r>
            <w:r>
              <w:rPr>
                <w:b/>
                <w:szCs w:val="22"/>
              </w:rPr>
              <w:t>Prospection de repérage</w:t>
            </w:r>
          </w:p>
        </w:tc>
        <w:tc>
          <w:tcPr>
            <w:tcW w:w="6825" w:type="dxa"/>
          </w:tcPr>
          <w:p w:rsidR="002E4AA3" w:rsidRDefault="002E1919">
            <w:pPr>
              <w:spacing w:after="180"/>
              <w:rPr>
                <w:rFonts w:eastAsia="Times"/>
                <w:szCs w:val="22"/>
              </w:rPr>
            </w:pPr>
            <w:r>
              <w:rPr>
                <w:rStyle w:val="PleaseReviewParagraphId"/>
              </w:rPr>
              <w:t>[82]</w:t>
            </w:r>
            <w:r>
              <w:rPr>
                <w:b/>
              </w:rPr>
              <w:t>Prospection</w:t>
            </w:r>
            <w:r>
              <w:t xml:space="preserve"> réalisée dans une </w:t>
            </w:r>
            <w:r>
              <w:rPr>
                <w:b/>
              </w:rPr>
              <w:t>zone</w:t>
            </w:r>
            <w:r>
              <w:t xml:space="preserve"> afin de déterminer si des </w:t>
            </w:r>
            <w:r>
              <w:rPr>
                <w:b/>
              </w:rPr>
              <w:t>organismes nuisibles</w:t>
            </w:r>
            <w:r>
              <w:t xml:space="preserve"> y sont présents [FAO, 1990; révisée FAO, 1995]</w:t>
            </w:r>
          </w:p>
        </w:tc>
      </w:tr>
    </w:tbl>
    <w:p w:rsidR="002E4AA3" w:rsidRDefault="002E1919">
      <w:pPr>
        <w:numPr>
          <w:ilvl w:val="0"/>
          <w:numId w:val="4"/>
        </w:numPr>
        <w:spacing w:before="180" w:after="180"/>
        <w:rPr>
          <w:rFonts w:eastAsia="Times"/>
          <w:b/>
          <w:bCs/>
          <w:i/>
          <w:iCs/>
          <w:szCs w:val="22"/>
        </w:rPr>
      </w:pPr>
      <w:r>
        <w:rPr>
          <w:rStyle w:val="PleaseReviewParagraphId"/>
        </w:rPr>
        <w:t>[83]</w:t>
      </w:r>
      <w:r>
        <w:rPr>
          <w:b/>
          <w:bCs/>
          <w:i/>
          <w:iCs/>
          <w:szCs w:val="22"/>
        </w:rPr>
        <w:t>Proposition de révision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4"/>
        <w:gridCol w:w="6803"/>
      </w:tblGrid>
      <w:tr w:rsidR="002E4AA3">
        <w:tc>
          <w:tcPr>
            <w:tcW w:w="2164" w:type="dxa"/>
          </w:tcPr>
          <w:p w:rsidR="002E4AA3" w:rsidRDefault="002E1919">
            <w:pPr>
              <w:keepNext/>
            </w:pPr>
            <w:r>
              <w:rPr>
                <w:rStyle w:val="PleaseReviewParagraphId"/>
              </w:rPr>
              <w:t>[84]</w:t>
            </w:r>
            <w:r>
              <w:rPr>
                <w:b/>
                <w:szCs w:val="22"/>
              </w:rPr>
              <w:t>Prospection de repérage</w:t>
            </w:r>
          </w:p>
        </w:tc>
        <w:tc>
          <w:tcPr>
            <w:tcW w:w="6976" w:type="dxa"/>
          </w:tcPr>
          <w:p w:rsidR="002E4AA3" w:rsidRDefault="002E1919">
            <w:pPr>
              <w:keepNext/>
              <w:spacing w:after="240"/>
            </w:pPr>
            <w:r>
              <w:rPr>
                <w:rStyle w:val="PleaseReviewParagraphId"/>
              </w:rPr>
              <w:t>[85]</w:t>
            </w:r>
            <w:r>
              <w:rPr>
                <w:b/>
              </w:rPr>
              <w:t>Prospection</w:t>
            </w:r>
            <w:r>
              <w:t xml:space="preserve"> réalisée afin de déterminer la présence </w:t>
            </w:r>
            <w:r>
              <w:rPr>
                <w:u w:val="single"/>
              </w:rPr>
              <w:t>ou l’absence</w:t>
            </w:r>
            <w:r>
              <w:t xml:space="preserve"> d’</w:t>
            </w:r>
            <w:r>
              <w:rPr>
                <w:b/>
              </w:rPr>
              <w:t>organismes nuisibles</w:t>
            </w:r>
            <w:r>
              <w:t xml:space="preserve"> dans une </w:t>
            </w:r>
            <w:r>
              <w:rPr>
                <w:b/>
              </w:rPr>
              <w:t>zone</w:t>
            </w:r>
            <w:r>
              <w:t xml:space="preserve">, un </w:t>
            </w:r>
            <w:r>
              <w:rPr>
                <w:b/>
              </w:rPr>
              <w:t>lieu de production</w:t>
            </w:r>
            <w:r>
              <w:t xml:space="preserve"> ou un </w:t>
            </w:r>
            <w:r>
              <w:rPr>
                <w:b/>
              </w:rPr>
              <w:t>site de production</w:t>
            </w:r>
            <w:r>
              <w:t xml:space="preserve"> [FAO, 1990; révisée FAO, 1995]</w:t>
            </w:r>
          </w:p>
        </w:tc>
      </w:tr>
    </w:tbl>
    <w:p w:rsidR="002E4AA3" w:rsidRDefault="002E1919">
      <w:pPr>
        <w:rPr>
          <w:rFonts w:eastAsia="Times New Roman"/>
          <w:bCs/>
          <w:szCs w:val="22"/>
        </w:rPr>
      </w:pPr>
      <w:r>
        <w:rPr>
          <w:rStyle w:val="PleaseReviewParagraphId"/>
        </w:rPr>
        <w:t>[86]</w:t>
      </w:r>
    </w:p>
    <w:sectPr w:rsidR="002E4AA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19" w:rsidRDefault="002E1919">
      <w:r>
        <w:rPr>
          <w:rStyle w:val="PleaseReviewParagraphId"/>
        </w:rPr>
        <w:t>[]</w:t>
      </w:r>
      <w:r>
        <w:separator/>
      </w:r>
    </w:p>
  </w:endnote>
  <w:endnote w:type="continuationSeparator" w:id="0">
    <w:p w:rsidR="002E1919" w:rsidRDefault="002E1919">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19" w:rsidRDefault="002E1919">
      <w:r>
        <w:rPr>
          <w:rStyle w:val="PleaseReviewParagraphId"/>
        </w:rPr>
        <w:t>[]</w:t>
      </w:r>
      <w:r>
        <w:separator/>
      </w:r>
    </w:p>
  </w:footnote>
  <w:footnote w:type="continuationSeparator" w:id="0">
    <w:p w:rsidR="002E1919" w:rsidRDefault="002E1919">
      <w:r>
        <w:rPr>
          <w:rStyle w:val="PleaseReviewParagraphId"/>
        </w:rPr>
        <w:t>[]</w:t>
      </w: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cs="Times New Roman" w:hint="default"/>
        <w:b w:val="0"/>
        <w:i/>
        <w:color w:val="0000FF"/>
        <w:sz w:val="16"/>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15:restartNumberingAfterBreak="0">
    <w:nsid w:val="28631139"/>
    <w:multiLevelType w:val="hybridMultilevel"/>
    <w:tmpl w:val="C69E14A4"/>
    <w:lvl w:ilvl="0" w:tplc="42401244">
      <w:start w:val="1"/>
      <w:numFmt w:val="decimal"/>
      <w:lvlText w:val="%1."/>
      <w:lvlJc w:val="left"/>
      <w:pPr>
        <w:ind w:left="720" w:hanging="360"/>
      </w:pPr>
    </w:lvl>
    <w:lvl w:ilvl="1" w:tplc="F6F243D8">
      <w:start w:val="1"/>
      <w:numFmt w:val="lowerLetter"/>
      <w:lvlText w:val="%2."/>
      <w:lvlJc w:val="left"/>
      <w:pPr>
        <w:ind w:left="1440" w:hanging="360"/>
      </w:pPr>
    </w:lvl>
    <w:lvl w:ilvl="2" w:tplc="1FBA7F38">
      <w:start w:val="1"/>
      <w:numFmt w:val="lowerRoman"/>
      <w:lvlText w:val="%3."/>
      <w:lvlJc w:val="right"/>
      <w:pPr>
        <w:ind w:left="2160" w:hanging="180"/>
      </w:pPr>
    </w:lvl>
    <w:lvl w:ilvl="3" w:tplc="F70C3A98">
      <w:start w:val="1"/>
      <w:numFmt w:val="decimal"/>
      <w:lvlText w:val="%4."/>
      <w:lvlJc w:val="left"/>
      <w:pPr>
        <w:ind w:left="2880" w:hanging="360"/>
      </w:pPr>
    </w:lvl>
    <w:lvl w:ilvl="4" w:tplc="38520204">
      <w:start w:val="1"/>
      <w:numFmt w:val="lowerLetter"/>
      <w:lvlText w:val="%5."/>
      <w:lvlJc w:val="left"/>
      <w:pPr>
        <w:ind w:left="3600" w:hanging="360"/>
      </w:pPr>
    </w:lvl>
    <w:lvl w:ilvl="5" w:tplc="BAC838B6">
      <w:start w:val="1"/>
      <w:numFmt w:val="lowerRoman"/>
      <w:lvlText w:val="%6."/>
      <w:lvlJc w:val="right"/>
      <w:pPr>
        <w:ind w:left="4320" w:hanging="180"/>
      </w:pPr>
    </w:lvl>
    <w:lvl w:ilvl="6" w:tplc="2DD00DE8">
      <w:start w:val="1"/>
      <w:numFmt w:val="decimal"/>
      <w:lvlText w:val="%7."/>
      <w:lvlJc w:val="left"/>
      <w:pPr>
        <w:ind w:left="5040" w:hanging="360"/>
      </w:pPr>
    </w:lvl>
    <w:lvl w:ilvl="7" w:tplc="D2242D5A">
      <w:start w:val="1"/>
      <w:numFmt w:val="lowerLetter"/>
      <w:lvlText w:val="%8."/>
      <w:lvlJc w:val="left"/>
      <w:pPr>
        <w:ind w:left="5760" w:hanging="360"/>
      </w:pPr>
    </w:lvl>
    <w:lvl w:ilvl="8" w:tplc="4E988288">
      <w:start w:val="1"/>
      <w:numFmt w:val="lowerRoman"/>
      <w:lvlText w:val="%9."/>
      <w:lvlJc w:val="right"/>
      <w:pPr>
        <w:ind w:left="6480" w:hanging="180"/>
      </w:pPr>
    </w:lvl>
  </w:abstractNum>
  <w:abstractNum w:abstractNumId="5" w15:restartNumberingAfterBreak="0">
    <w:nsid w:val="2D7D5CC3"/>
    <w:multiLevelType w:val="multilevel"/>
    <w:tmpl w:val="ED0EDE16"/>
    <w:lvl w:ilvl="0">
      <w:start w:val="1"/>
      <w:numFmt w:val="bullet"/>
      <w:lvlText w:val=""/>
      <w:lvlJc w:val="left"/>
      <w:pPr>
        <w:tabs>
          <w:tab w:val="num" w:pos="0"/>
        </w:tabs>
        <w:ind w:hanging="482"/>
      </w:pPr>
      <w:rPr>
        <w:rFonts w:ascii="Symbol" w:hAnsi="Symbol"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425319D7"/>
    <w:multiLevelType w:val="hybridMultilevel"/>
    <w:tmpl w:val="F6AE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3294B"/>
    <w:multiLevelType w:val="multilevel"/>
    <w:tmpl w:val="ED0EDE16"/>
    <w:lvl w:ilvl="0">
      <w:start w:val="1"/>
      <w:numFmt w:val="bullet"/>
      <w:lvlText w:val=""/>
      <w:lvlJc w:val="left"/>
      <w:pPr>
        <w:tabs>
          <w:tab w:val="num" w:pos="0"/>
        </w:tabs>
        <w:ind w:hanging="482"/>
      </w:pPr>
      <w:rPr>
        <w:rFonts w:ascii="Symbol" w:hAnsi="Symbol" w:hint="default"/>
        <w:b w:val="0"/>
        <w:i/>
        <w:color w:val="0000FF"/>
        <w:sz w:val="16"/>
      </w:rPr>
    </w:lvl>
    <w:lvl w:ilvl="1">
      <w:start w:val="1"/>
      <w:numFmt w:val="none"/>
      <w:lvlRestart w:val="0"/>
      <w:lvlText w:val=""/>
      <w:lvlJc w:val="left"/>
      <w:pPr>
        <w:tabs>
          <w:tab w:val="num" w:pos="0"/>
        </w:tabs>
        <w:ind w:hanging="482"/>
      </w:pPr>
      <w:rPr>
        <w:rFonts w:cs="Times New Roman" w:hint="default"/>
      </w:rPr>
    </w:lvl>
    <w:lvl w:ilvl="2">
      <w:start w:val="1"/>
      <w:numFmt w:val="none"/>
      <w:lvlRestart w:val="0"/>
      <w:lvlText w:val=""/>
      <w:lvlJc w:val="left"/>
      <w:pPr>
        <w:tabs>
          <w:tab w:val="num" w:pos="0"/>
        </w:tabs>
        <w:ind w:hanging="482"/>
      </w:pPr>
      <w:rPr>
        <w:rFonts w:cs="Times New Roman" w:hint="default"/>
      </w:rPr>
    </w:lvl>
    <w:lvl w:ilvl="3">
      <w:start w:val="1"/>
      <w:numFmt w:val="none"/>
      <w:lvlRestart w:val="0"/>
      <w:lvlText w:val=""/>
      <w:lvlJc w:val="left"/>
      <w:pPr>
        <w:tabs>
          <w:tab w:val="num" w:pos="0"/>
        </w:tabs>
        <w:ind w:hanging="482"/>
      </w:pPr>
      <w:rPr>
        <w:rFonts w:cs="Times New Roman" w:hint="default"/>
      </w:rPr>
    </w:lvl>
    <w:lvl w:ilvl="4">
      <w:start w:val="1"/>
      <w:numFmt w:val="none"/>
      <w:lvlRestart w:val="0"/>
      <w:lvlText w:val=""/>
      <w:lvlJc w:val="left"/>
      <w:pPr>
        <w:tabs>
          <w:tab w:val="num" w:pos="0"/>
        </w:tabs>
        <w:ind w:hanging="482"/>
      </w:pPr>
      <w:rPr>
        <w:rFonts w:cs="Times New Roman" w:hint="default"/>
      </w:rPr>
    </w:lvl>
    <w:lvl w:ilvl="5">
      <w:start w:val="1"/>
      <w:numFmt w:val="none"/>
      <w:lvlRestart w:val="0"/>
      <w:lvlText w:val=""/>
      <w:lvlJc w:val="left"/>
      <w:pPr>
        <w:tabs>
          <w:tab w:val="num" w:pos="0"/>
        </w:tabs>
        <w:ind w:hanging="482"/>
      </w:pPr>
      <w:rPr>
        <w:rFonts w:cs="Times New Roman" w:hint="default"/>
      </w:rPr>
    </w:lvl>
    <w:lvl w:ilvl="6">
      <w:start w:val="1"/>
      <w:numFmt w:val="none"/>
      <w:lvlRestart w:val="0"/>
      <w:lvlText w:val=""/>
      <w:lvlJc w:val="left"/>
      <w:pPr>
        <w:tabs>
          <w:tab w:val="num" w:pos="0"/>
        </w:tabs>
        <w:ind w:hanging="482"/>
      </w:pPr>
      <w:rPr>
        <w:rFonts w:cs="Times New Roman" w:hint="default"/>
      </w:rPr>
    </w:lvl>
    <w:lvl w:ilvl="7">
      <w:start w:val="1"/>
      <w:numFmt w:val="none"/>
      <w:lvlRestart w:val="0"/>
      <w:lvlText w:val=""/>
      <w:lvlJc w:val="left"/>
      <w:pPr>
        <w:tabs>
          <w:tab w:val="num" w:pos="0"/>
        </w:tabs>
        <w:ind w:hanging="482"/>
      </w:pPr>
      <w:rPr>
        <w:rFonts w:cs="Times New Roman" w:hint="default"/>
      </w:rPr>
    </w:lvl>
    <w:lvl w:ilvl="8">
      <w:start w:val="1"/>
      <w:numFmt w:val="none"/>
      <w:lvlRestart w:val="0"/>
      <w:lvlText w:val=""/>
      <w:lvlJc w:val="left"/>
      <w:pPr>
        <w:tabs>
          <w:tab w:val="num" w:pos="0"/>
        </w:tabs>
        <w:ind w:hanging="482"/>
      </w:pPr>
      <w:rPr>
        <w:rFonts w:cs="Times New Roman" w:hint="default"/>
      </w:r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cs="Times New Roman"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14047BF"/>
    <w:multiLevelType w:val="hybridMultilevel"/>
    <w:tmpl w:val="3D82EEBC"/>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72BA3"/>
    <w:multiLevelType w:val="hybridMultilevel"/>
    <w:tmpl w:val="68B09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5A30A7"/>
    <w:multiLevelType w:val="multilevel"/>
    <w:tmpl w:val="74BA6DAE"/>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cs="Times New Roman" w:hint="default"/>
      </w:rPr>
    </w:lvl>
    <w:lvl w:ilvl="1">
      <w:start w:val="1"/>
      <w:numFmt w:val="decimal"/>
      <w:pStyle w:val="IPPHdg2Num"/>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4"/>
  </w:num>
  <w:num w:numId="2">
    <w:abstractNumId w:val="6"/>
  </w:num>
  <w:num w:numId="3">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4">
    <w:abstractNumId w:val="12"/>
  </w:num>
  <w:num w:numId="5">
    <w:abstractNumId w:val="14"/>
  </w:num>
  <w:num w:numId="6">
    <w:abstractNumId w:val="13"/>
  </w:num>
  <w:num w:numId="7">
    <w:abstractNumId w:val="2"/>
  </w:num>
  <w:num w:numId="8">
    <w:abstractNumId w:val="1"/>
  </w:num>
  <w:num w:numId="9">
    <w:abstractNumId w:val="16"/>
  </w:num>
  <w:num w:numId="10">
    <w:abstractNumId w:val="7"/>
  </w:num>
  <w:num w:numId="11">
    <w:abstractNumId w:val="18"/>
  </w:num>
  <w:num w:numId="12">
    <w:abstractNumId w:val="0"/>
  </w:num>
  <w:num w:numId="13">
    <w:abstractNumId w:val="3"/>
  </w:num>
  <w:num w:numId="14">
    <w:abstractNumId w:val="10"/>
  </w:num>
  <w:num w:numId="15">
    <w:abstractNumId w:val="8"/>
  </w:num>
  <w:num w:numId="16">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7">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8">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19">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0">
    <w:abstractNumId w:val="5"/>
  </w:num>
  <w:num w:numId="21">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2">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3">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4">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5">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6">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7">
    <w:abstractNumId w:val="9"/>
  </w:num>
  <w:num w:numId="28">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29">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0">
    <w:abstractNumId w:val="11"/>
  </w:num>
  <w:num w:numId="31">
    <w:abstractNumId w:val="15"/>
  </w:num>
  <w:num w:numId="32">
    <w:abstractNumId w:val="17"/>
  </w:num>
  <w:num w:numId="33">
    <w:abstractNumId w:val="1"/>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34">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5">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6">
    <w:abstractNumId w:val="1"/>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0" w:nlCheck="1" w:checkStyle="0"/>
  <w:activeWritingStyle w:appName="MSWord" w:lang="fr-FR" w:vendorID="64" w:dllVersion="131078" w:nlCheck="1" w:checkStyle="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20EE"/>
    <w:rsid w:val="00003929"/>
    <w:rsid w:val="00007EC5"/>
    <w:rsid w:val="000107A0"/>
    <w:rsid w:val="00010B62"/>
    <w:rsid w:val="00011145"/>
    <w:rsid w:val="00022F5E"/>
    <w:rsid w:val="0002364A"/>
    <w:rsid w:val="00027AB1"/>
    <w:rsid w:val="000306D2"/>
    <w:rsid w:val="0003303A"/>
    <w:rsid w:val="00037285"/>
    <w:rsid w:val="0004269C"/>
    <w:rsid w:val="0005010F"/>
    <w:rsid w:val="000505C2"/>
    <w:rsid w:val="00052094"/>
    <w:rsid w:val="0005437A"/>
    <w:rsid w:val="0005600F"/>
    <w:rsid w:val="000618F3"/>
    <w:rsid w:val="00071364"/>
    <w:rsid w:val="00073FDF"/>
    <w:rsid w:val="00076EBE"/>
    <w:rsid w:val="00084800"/>
    <w:rsid w:val="0009076E"/>
    <w:rsid w:val="00090BF5"/>
    <w:rsid w:val="00093688"/>
    <w:rsid w:val="000961AC"/>
    <w:rsid w:val="00097533"/>
    <w:rsid w:val="000A0772"/>
    <w:rsid w:val="000B29C5"/>
    <w:rsid w:val="000B4996"/>
    <w:rsid w:val="000B6749"/>
    <w:rsid w:val="000C08AB"/>
    <w:rsid w:val="000D4E57"/>
    <w:rsid w:val="000E5A9D"/>
    <w:rsid w:val="000E6ED0"/>
    <w:rsid w:val="000E736F"/>
    <w:rsid w:val="000F1B47"/>
    <w:rsid w:val="000F330E"/>
    <w:rsid w:val="000F7381"/>
    <w:rsid w:val="001112F3"/>
    <w:rsid w:val="0011548B"/>
    <w:rsid w:val="00121BB7"/>
    <w:rsid w:val="00124C45"/>
    <w:rsid w:val="00127224"/>
    <w:rsid w:val="0012791D"/>
    <w:rsid w:val="00131DE8"/>
    <w:rsid w:val="001339BB"/>
    <w:rsid w:val="00135B74"/>
    <w:rsid w:val="00144FFE"/>
    <w:rsid w:val="001455E6"/>
    <w:rsid w:val="001521E8"/>
    <w:rsid w:val="001561B7"/>
    <w:rsid w:val="00156FB0"/>
    <w:rsid w:val="001670B8"/>
    <w:rsid w:val="00176D2C"/>
    <w:rsid w:val="0018752D"/>
    <w:rsid w:val="0019070A"/>
    <w:rsid w:val="001913AC"/>
    <w:rsid w:val="00191436"/>
    <w:rsid w:val="00194CF3"/>
    <w:rsid w:val="001A1AB6"/>
    <w:rsid w:val="001B5A48"/>
    <w:rsid w:val="001B794B"/>
    <w:rsid w:val="001D020E"/>
    <w:rsid w:val="001E3321"/>
    <w:rsid w:val="001E7E73"/>
    <w:rsid w:val="001F1AE6"/>
    <w:rsid w:val="001F1D19"/>
    <w:rsid w:val="001F5C54"/>
    <w:rsid w:val="001F69FF"/>
    <w:rsid w:val="001F7A9C"/>
    <w:rsid w:val="00204472"/>
    <w:rsid w:val="002051CA"/>
    <w:rsid w:val="00210338"/>
    <w:rsid w:val="002112E7"/>
    <w:rsid w:val="0021152A"/>
    <w:rsid w:val="00212BC7"/>
    <w:rsid w:val="00215898"/>
    <w:rsid w:val="002171A1"/>
    <w:rsid w:val="00220D6B"/>
    <w:rsid w:val="00231002"/>
    <w:rsid w:val="00233128"/>
    <w:rsid w:val="002360F3"/>
    <w:rsid w:val="00241E7A"/>
    <w:rsid w:val="00243FB4"/>
    <w:rsid w:val="00254B9E"/>
    <w:rsid w:val="0026231C"/>
    <w:rsid w:val="002646F4"/>
    <w:rsid w:val="00266084"/>
    <w:rsid w:val="00266C00"/>
    <w:rsid w:val="00266FA0"/>
    <w:rsid w:val="00267D6A"/>
    <w:rsid w:val="00270EFE"/>
    <w:rsid w:val="00274FB3"/>
    <w:rsid w:val="00276A4C"/>
    <w:rsid w:val="002773B0"/>
    <w:rsid w:val="002822FB"/>
    <w:rsid w:val="002854A6"/>
    <w:rsid w:val="0028596A"/>
    <w:rsid w:val="0028608E"/>
    <w:rsid w:val="002A50E8"/>
    <w:rsid w:val="002B1445"/>
    <w:rsid w:val="002B2AD3"/>
    <w:rsid w:val="002B7B0C"/>
    <w:rsid w:val="002B7DAA"/>
    <w:rsid w:val="002C0988"/>
    <w:rsid w:val="002C63EE"/>
    <w:rsid w:val="002C6719"/>
    <w:rsid w:val="002D0180"/>
    <w:rsid w:val="002D2B28"/>
    <w:rsid w:val="002E0474"/>
    <w:rsid w:val="002E1919"/>
    <w:rsid w:val="002E4AA3"/>
    <w:rsid w:val="002E5433"/>
    <w:rsid w:val="002F05C7"/>
    <w:rsid w:val="002F46B8"/>
    <w:rsid w:val="002F6A4D"/>
    <w:rsid w:val="002F7252"/>
    <w:rsid w:val="00301769"/>
    <w:rsid w:val="00316D86"/>
    <w:rsid w:val="00322A44"/>
    <w:rsid w:val="0032397C"/>
    <w:rsid w:val="00326F65"/>
    <w:rsid w:val="00336A24"/>
    <w:rsid w:val="00340631"/>
    <w:rsid w:val="00341A6E"/>
    <w:rsid w:val="00344C99"/>
    <w:rsid w:val="00347417"/>
    <w:rsid w:val="00357498"/>
    <w:rsid w:val="003632C9"/>
    <w:rsid w:val="00370CED"/>
    <w:rsid w:val="00380360"/>
    <w:rsid w:val="00386200"/>
    <w:rsid w:val="00390419"/>
    <w:rsid w:val="0039274F"/>
    <w:rsid w:val="00394D14"/>
    <w:rsid w:val="003957AB"/>
    <w:rsid w:val="003957F8"/>
    <w:rsid w:val="003A555F"/>
    <w:rsid w:val="003A73FD"/>
    <w:rsid w:val="003B4C73"/>
    <w:rsid w:val="003C1262"/>
    <w:rsid w:val="003C505C"/>
    <w:rsid w:val="003C7006"/>
    <w:rsid w:val="003D2A56"/>
    <w:rsid w:val="003E3A83"/>
    <w:rsid w:val="003E45AE"/>
    <w:rsid w:val="003F35A4"/>
    <w:rsid w:val="003F4601"/>
    <w:rsid w:val="003F63B8"/>
    <w:rsid w:val="003F7C67"/>
    <w:rsid w:val="00416B1F"/>
    <w:rsid w:val="00426FCA"/>
    <w:rsid w:val="0043463C"/>
    <w:rsid w:val="004436C7"/>
    <w:rsid w:val="0044394D"/>
    <w:rsid w:val="00444769"/>
    <w:rsid w:val="00450CA5"/>
    <w:rsid w:val="0045164B"/>
    <w:rsid w:val="004530A8"/>
    <w:rsid w:val="00453524"/>
    <w:rsid w:val="004678EE"/>
    <w:rsid w:val="0047007B"/>
    <w:rsid w:val="00472713"/>
    <w:rsid w:val="00476DAD"/>
    <w:rsid w:val="00476F14"/>
    <w:rsid w:val="004823F5"/>
    <w:rsid w:val="004826FD"/>
    <w:rsid w:val="00484268"/>
    <w:rsid w:val="00485C17"/>
    <w:rsid w:val="004974FA"/>
    <w:rsid w:val="004A03EE"/>
    <w:rsid w:val="004A5181"/>
    <w:rsid w:val="004B1C24"/>
    <w:rsid w:val="004B68F9"/>
    <w:rsid w:val="004D3E19"/>
    <w:rsid w:val="004D4E0E"/>
    <w:rsid w:val="004D5E4F"/>
    <w:rsid w:val="004F3C74"/>
    <w:rsid w:val="004F79B1"/>
    <w:rsid w:val="00506FC2"/>
    <w:rsid w:val="005134C2"/>
    <w:rsid w:val="00517FC1"/>
    <w:rsid w:val="00531701"/>
    <w:rsid w:val="005375BB"/>
    <w:rsid w:val="0054148D"/>
    <w:rsid w:val="00543665"/>
    <w:rsid w:val="00551E2B"/>
    <w:rsid w:val="00554B30"/>
    <w:rsid w:val="00574AE4"/>
    <w:rsid w:val="00574D91"/>
    <w:rsid w:val="0059094F"/>
    <w:rsid w:val="00591694"/>
    <w:rsid w:val="00591E0D"/>
    <w:rsid w:val="0059223C"/>
    <w:rsid w:val="0059282C"/>
    <w:rsid w:val="005B1779"/>
    <w:rsid w:val="005B3564"/>
    <w:rsid w:val="005B4198"/>
    <w:rsid w:val="005B44E6"/>
    <w:rsid w:val="005B481A"/>
    <w:rsid w:val="005B678B"/>
    <w:rsid w:val="005B68F5"/>
    <w:rsid w:val="005B713F"/>
    <w:rsid w:val="005C4999"/>
    <w:rsid w:val="005C5E82"/>
    <w:rsid w:val="005D7DB2"/>
    <w:rsid w:val="005E1857"/>
    <w:rsid w:val="005E2060"/>
    <w:rsid w:val="005E3784"/>
    <w:rsid w:val="005F1EC4"/>
    <w:rsid w:val="005F3602"/>
    <w:rsid w:val="005F638F"/>
    <w:rsid w:val="005F689F"/>
    <w:rsid w:val="00606969"/>
    <w:rsid w:val="00607C1E"/>
    <w:rsid w:val="00615024"/>
    <w:rsid w:val="0061777F"/>
    <w:rsid w:val="006204ED"/>
    <w:rsid w:val="006211E6"/>
    <w:rsid w:val="006353E9"/>
    <w:rsid w:val="00640B0B"/>
    <w:rsid w:val="00640E00"/>
    <w:rsid w:val="00642820"/>
    <w:rsid w:val="00642E4E"/>
    <w:rsid w:val="00643CB1"/>
    <w:rsid w:val="00651F45"/>
    <w:rsid w:val="006559BC"/>
    <w:rsid w:val="00661CC5"/>
    <w:rsid w:val="00663FA7"/>
    <w:rsid w:val="00664D59"/>
    <w:rsid w:val="00671592"/>
    <w:rsid w:val="00680531"/>
    <w:rsid w:val="00686AB3"/>
    <w:rsid w:val="00690096"/>
    <w:rsid w:val="00690956"/>
    <w:rsid w:val="0069374F"/>
    <w:rsid w:val="006B75F3"/>
    <w:rsid w:val="006C04DD"/>
    <w:rsid w:val="006C643B"/>
    <w:rsid w:val="006D2E32"/>
    <w:rsid w:val="006D39F1"/>
    <w:rsid w:val="006E5775"/>
    <w:rsid w:val="006F052F"/>
    <w:rsid w:val="006F0C91"/>
    <w:rsid w:val="006F24F1"/>
    <w:rsid w:val="006F3BB8"/>
    <w:rsid w:val="006F453E"/>
    <w:rsid w:val="00702BC1"/>
    <w:rsid w:val="007030D6"/>
    <w:rsid w:val="0070632D"/>
    <w:rsid w:val="00714EB1"/>
    <w:rsid w:val="00715CA5"/>
    <w:rsid w:val="00720FED"/>
    <w:rsid w:val="00721486"/>
    <w:rsid w:val="007215DA"/>
    <w:rsid w:val="00722DE6"/>
    <w:rsid w:val="00726ABB"/>
    <w:rsid w:val="00730781"/>
    <w:rsid w:val="00732E0F"/>
    <w:rsid w:val="007362EA"/>
    <w:rsid w:val="0074048C"/>
    <w:rsid w:val="007404C6"/>
    <w:rsid w:val="0074589E"/>
    <w:rsid w:val="0075017F"/>
    <w:rsid w:val="007515B3"/>
    <w:rsid w:val="007635BA"/>
    <w:rsid w:val="00763DC9"/>
    <w:rsid w:val="00766957"/>
    <w:rsid w:val="00767C8D"/>
    <w:rsid w:val="00767FD6"/>
    <w:rsid w:val="007744BB"/>
    <w:rsid w:val="007776E5"/>
    <w:rsid w:val="007853E6"/>
    <w:rsid w:val="00785760"/>
    <w:rsid w:val="007872B3"/>
    <w:rsid w:val="00791E2F"/>
    <w:rsid w:val="007A3EDC"/>
    <w:rsid w:val="007A6133"/>
    <w:rsid w:val="007C2AA9"/>
    <w:rsid w:val="007C33D3"/>
    <w:rsid w:val="007C6DC2"/>
    <w:rsid w:val="007C798F"/>
    <w:rsid w:val="007D1FF2"/>
    <w:rsid w:val="007D3F57"/>
    <w:rsid w:val="007D6A1C"/>
    <w:rsid w:val="007E2547"/>
    <w:rsid w:val="007E41FC"/>
    <w:rsid w:val="007F0F71"/>
    <w:rsid w:val="007F2590"/>
    <w:rsid w:val="007F5BE2"/>
    <w:rsid w:val="00804BF9"/>
    <w:rsid w:val="00810691"/>
    <w:rsid w:val="0081142A"/>
    <w:rsid w:val="00815138"/>
    <w:rsid w:val="0081527D"/>
    <w:rsid w:val="00816B35"/>
    <w:rsid w:val="008225C0"/>
    <w:rsid w:val="008241E9"/>
    <w:rsid w:val="00825726"/>
    <w:rsid w:val="00830BA3"/>
    <w:rsid w:val="00830CF5"/>
    <w:rsid w:val="00832238"/>
    <w:rsid w:val="00833D51"/>
    <w:rsid w:val="00840C26"/>
    <w:rsid w:val="00847F9E"/>
    <w:rsid w:val="00851F2F"/>
    <w:rsid w:val="00852EA9"/>
    <w:rsid w:val="0086270B"/>
    <w:rsid w:val="00865B8B"/>
    <w:rsid w:val="00865C78"/>
    <w:rsid w:val="008724EA"/>
    <w:rsid w:val="00872F2A"/>
    <w:rsid w:val="008751C2"/>
    <w:rsid w:val="00876855"/>
    <w:rsid w:val="00876C74"/>
    <w:rsid w:val="00894C58"/>
    <w:rsid w:val="008A17FC"/>
    <w:rsid w:val="008A2F4D"/>
    <w:rsid w:val="008A6208"/>
    <w:rsid w:val="008A7D5C"/>
    <w:rsid w:val="008B7AFD"/>
    <w:rsid w:val="008C2CCD"/>
    <w:rsid w:val="008C6357"/>
    <w:rsid w:val="008E2D73"/>
    <w:rsid w:val="008F05C6"/>
    <w:rsid w:val="008F5095"/>
    <w:rsid w:val="008F60E8"/>
    <w:rsid w:val="008F6826"/>
    <w:rsid w:val="009000E6"/>
    <w:rsid w:val="00901BF6"/>
    <w:rsid w:val="00907D0C"/>
    <w:rsid w:val="00913A0B"/>
    <w:rsid w:val="00920EDA"/>
    <w:rsid w:val="009213A7"/>
    <w:rsid w:val="00923540"/>
    <w:rsid w:val="009239D7"/>
    <w:rsid w:val="00934AE8"/>
    <w:rsid w:val="00945710"/>
    <w:rsid w:val="009501BD"/>
    <w:rsid w:val="0095127E"/>
    <w:rsid w:val="00963BE1"/>
    <w:rsid w:val="009647A9"/>
    <w:rsid w:val="009650AA"/>
    <w:rsid w:val="00977882"/>
    <w:rsid w:val="0098254D"/>
    <w:rsid w:val="009859F5"/>
    <w:rsid w:val="00995AD4"/>
    <w:rsid w:val="00996A77"/>
    <w:rsid w:val="00997F3E"/>
    <w:rsid w:val="009A30BC"/>
    <w:rsid w:val="009A4F76"/>
    <w:rsid w:val="009B5B3D"/>
    <w:rsid w:val="009C7081"/>
    <w:rsid w:val="009D1017"/>
    <w:rsid w:val="009D3783"/>
    <w:rsid w:val="009E4684"/>
    <w:rsid w:val="009E56A5"/>
    <w:rsid w:val="009E7654"/>
    <w:rsid w:val="009F24CE"/>
    <w:rsid w:val="00A01BC8"/>
    <w:rsid w:val="00A023D6"/>
    <w:rsid w:val="00A02E4C"/>
    <w:rsid w:val="00A04E4B"/>
    <w:rsid w:val="00A22149"/>
    <w:rsid w:val="00A31290"/>
    <w:rsid w:val="00A4364C"/>
    <w:rsid w:val="00A4499F"/>
    <w:rsid w:val="00A504F9"/>
    <w:rsid w:val="00A63CDF"/>
    <w:rsid w:val="00A6698E"/>
    <w:rsid w:val="00A6759C"/>
    <w:rsid w:val="00A72B22"/>
    <w:rsid w:val="00A8421B"/>
    <w:rsid w:val="00A84AF0"/>
    <w:rsid w:val="00A917C1"/>
    <w:rsid w:val="00AA5806"/>
    <w:rsid w:val="00AB7371"/>
    <w:rsid w:val="00AB7F15"/>
    <w:rsid w:val="00AC2917"/>
    <w:rsid w:val="00AC2A87"/>
    <w:rsid w:val="00AC49F6"/>
    <w:rsid w:val="00AD089D"/>
    <w:rsid w:val="00AD13DA"/>
    <w:rsid w:val="00AD2ED4"/>
    <w:rsid w:val="00AD4CC2"/>
    <w:rsid w:val="00AD5286"/>
    <w:rsid w:val="00AE037B"/>
    <w:rsid w:val="00AE0E06"/>
    <w:rsid w:val="00AE2FB8"/>
    <w:rsid w:val="00AE422C"/>
    <w:rsid w:val="00AE4AE1"/>
    <w:rsid w:val="00AE6515"/>
    <w:rsid w:val="00AE6E68"/>
    <w:rsid w:val="00AE7547"/>
    <w:rsid w:val="00AE772C"/>
    <w:rsid w:val="00AF6AD4"/>
    <w:rsid w:val="00B03407"/>
    <w:rsid w:val="00B10E97"/>
    <w:rsid w:val="00B15B14"/>
    <w:rsid w:val="00B16885"/>
    <w:rsid w:val="00B218DA"/>
    <w:rsid w:val="00B24523"/>
    <w:rsid w:val="00B25D0C"/>
    <w:rsid w:val="00B30733"/>
    <w:rsid w:val="00B34F65"/>
    <w:rsid w:val="00B36972"/>
    <w:rsid w:val="00B4352F"/>
    <w:rsid w:val="00B47117"/>
    <w:rsid w:val="00B53325"/>
    <w:rsid w:val="00B5788C"/>
    <w:rsid w:val="00B6059E"/>
    <w:rsid w:val="00B63A98"/>
    <w:rsid w:val="00B64DCA"/>
    <w:rsid w:val="00B762A0"/>
    <w:rsid w:val="00B8016D"/>
    <w:rsid w:val="00B828B0"/>
    <w:rsid w:val="00B831D9"/>
    <w:rsid w:val="00B91811"/>
    <w:rsid w:val="00BA3FCD"/>
    <w:rsid w:val="00BB139F"/>
    <w:rsid w:val="00BB4AD9"/>
    <w:rsid w:val="00BB4B46"/>
    <w:rsid w:val="00BB622A"/>
    <w:rsid w:val="00BD0F32"/>
    <w:rsid w:val="00BD2A11"/>
    <w:rsid w:val="00BD3A1D"/>
    <w:rsid w:val="00BD3A48"/>
    <w:rsid w:val="00BD52E0"/>
    <w:rsid w:val="00BD5BBA"/>
    <w:rsid w:val="00BD6BE4"/>
    <w:rsid w:val="00BE29A8"/>
    <w:rsid w:val="00C17FD6"/>
    <w:rsid w:val="00C23D66"/>
    <w:rsid w:val="00C25069"/>
    <w:rsid w:val="00C30DD1"/>
    <w:rsid w:val="00C3629D"/>
    <w:rsid w:val="00C37D6B"/>
    <w:rsid w:val="00C47941"/>
    <w:rsid w:val="00C47B45"/>
    <w:rsid w:val="00C523F6"/>
    <w:rsid w:val="00C55FFC"/>
    <w:rsid w:val="00C60204"/>
    <w:rsid w:val="00C66483"/>
    <w:rsid w:val="00C70B18"/>
    <w:rsid w:val="00C74D93"/>
    <w:rsid w:val="00C75BD5"/>
    <w:rsid w:val="00C76D35"/>
    <w:rsid w:val="00C81EA7"/>
    <w:rsid w:val="00C8419A"/>
    <w:rsid w:val="00C854CC"/>
    <w:rsid w:val="00C864C3"/>
    <w:rsid w:val="00C86F2A"/>
    <w:rsid w:val="00C97A90"/>
    <w:rsid w:val="00CA0702"/>
    <w:rsid w:val="00CB5716"/>
    <w:rsid w:val="00CC751C"/>
    <w:rsid w:val="00D03EA9"/>
    <w:rsid w:val="00D074F9"/>
    <w:rsid w:val="00D14272"/>
    <w:rsid w:val="00D14FBC"/>
    <w:rsid w:val="00D179BE"/>
    <w:rsid w:val="00D23DFF"/>
    <w:rsid w:val="00D2516C"/>
    <w:rsid w:val="00D4581F"/>
    <w:rsid w:val="00D55A3A"/>
    <w:rsid w:val="00D56E33"/>
    <w:rsid w:val="00D57439"/>
    <w:rsid w:val="00D61BA8"/>
    <w:rsid w:val="00D7044B"/>
    <w:rsid w:val="00D72712"/>
    <w:rsid w:val="00D841B8"/>
    <w:rsid w:val="00D85349"/>
    <w:rsid w:val="00D85E5D"/>
    <w:rsid w:val="00D917FB"/>
    <w:rsid w:val="00D918F2"/>
    <w:rsid w:val="00D9507B"/>
    <w:rsid w:val="00D95FA3"/>
    <w:rsid w:val="00DA1AC1"/>
    <w:rsid w:val="00DA241A"/>
    <w:rsid w:val="00DA2434"/>
    <w:rsid w:val="00DA3582"/>
    <w:rsid w:val="00DA4648"/>
    <w:rsid w:val="00DA4984"/>
    <w:rsid w:val="00DC0626"/>
    <w:rsid w:val="00DC13DF"/>
    <w:rsid w:val="00DC3167"/>
    <w:rsid w:val="00DC6E96"/>
    <w:rsid w:val="00DD0A97"/>
    <w:rsid w:val="00DD12DD"/>
    <w:rsid w:val="00DD1516"/>
    <w:rsid w:val="00DD180C"/>
    <w:rsid w:val="00DE3070"/>
    <w:rsid w:val="00DE45C8"/>
    <w:rsid w:val="00DE5F90"/>
    <w:rsid w:val="00DE6A7A"/>
    <w:rsid w:val="00DF2932"/>
    <w:rsid w:val="00DF7EB3"/>
    <w:rsid w:val="00E134CA"/>
    <w:rsid w:val="00E142AE"/>
    <w:rsid w:val="00E14D10"/>
    <w:rsid w:val="00E1600F"/>
    <w:rsid w:val="00E21455"/>
    <w:rsid w:val="00E24021"/>
    <w:rsid w:val="00E26076"/>
    <w:rsid w:val="00E2700E"/>
    <w:rsid w:val="00E27F4D"/>
    <w:rsid w:val="00E32256"/>
    <w:rsid w:val="00E46B74"/>
    <w:rsid w:val="00E50E41"/>
    <w:rsid w:val="00E616B4"/>
    <w:rsid w:val="00E6564E"/>
    <w:rsid w:val="00E67218"/>
    <w:rsid w:val="00E711F9"/>
    <w:rsid w:val="00E73F92"/>
    <w:rsid w:val="00E77CEF"/>
    <w:rsid w:val="00E87756"/>
    <w:rsid w:val="00E92FB4"/>
    <w:rsid w:val="00E95F31"/>
    <w:rsid w:val="00EA7EEE"/>
    <w:rsid w:val="00EB549F"/>
    <w:rsid w:val="00EB64EC"/>
    <w:rsid w:val="00EB7066"/>
    <w:rsid w:val="00EB7866"/>
    <w:rsid w:val="00EC79DB"/>
    <w:rsid w:val="00ED5FC2"/>
    <w:rsid w:val="00EE4D78"/>
    <w:rsid w:val="00EE7A58"/>
    <w:rsid w:val="00EF2009"/>
    <w:rsid w:val="00EF30F9"/>
    <w:rsid w:val="00EF55DD"/>
    <w:rsid w:val="00EF7609"/>
    <w:rsid w:val="00EF7DC6"/>
    <w:rsid w:val="00F05C26"/>
    <w:rsid w:val="00F11C32"/>
    <w:rsid w:val="00F32878"/>
    <w:rsid w:val="00F43692"/>
    <w:rsid w:val="00F514EB"/>
    <w:rsid w:val="00F617E5"/>
    <w:rsid w:val="00F65E27"/>
    <w:rsid w:val="00F67348"/>
    <w:rsid w:val="00F77C50"/>
    <w:rsid w:val="00F802CB"/>
    <w:rsid w:val="00F81971"/>
    <w:rsid w:val="00F84B92"/>
    <w:rsid w:val="00F91D47"/>
    <w:rsid w:val="00F97085"/>
    <w:rsid w:val="00FA22EF"/>
    <w:rsid w:val="00FA3F89"/>
    <w:rsid w:val="00FA4474"/>
    <w:rsid w:val="00FB2756"/>
    <w:rsid w:val="00FB62A6"/>
    <w:rsid w:val="00FC2622"/>
    <w:rsid w:val="00FC401A"/>
    <w:rsid w:val="00FD46B7"/>
    <w:rsid w:val="00FD5D9F"/>
    <w:rsid w:val="00FF5682"/>
    <w:rsid w:val="67DA349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E19D86-6BED-4E5C-AF64-6CC920AA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eastAsia="en-US"/>
    </w:rPr>
  </w:style>
  <w:style w:type="paragraph" w:styleId="Heading1">
    <w:name w:val="heading 1"/>
    <w:basedOn w:val="Normal"/>
    <w:next w:val="Normal"/>
    <w:link w:val="Heading1Char"/>
    <w:uiPriority w:val="99"/>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w:eastAsia="MS Mincho" w:hAnsi="Times New Roman" w:cs="Times New Roman"/>
      <w:b/>
      <w:bCs/>
      <w:sz w:val="24"/>
      <w:szCs w:val="24"/>
      <w:lang w:val="fr-FR" w:eastAsia="en-US"/>
    </w:rPr>
  </w:style>
  <w:style w:type="character" w:customStyle="1" w:styleId="Heading2Char">
    <w:name w:val="Heading 2 Char"/>
    <w:link w:val="Heading2"/>
    <w:uiPriority w:val="99"/>
    <w:locked/>
    <w:rPr>
      <w:rFonts w:eastAsia="MS Mincho" w:cs="Times New Roman"/>
      <w:b/>
      <w:bCs/>
      <w:i/>
      <w:iCs/>
      <w:sz w:val="28"/>
      <w:szCs w:val="28"/>
      <w:lang w:val="fr-FR" w:eastAsia="en-US"/>
    </w:rPr>
  </w:style>
  <w:style w:type="character" w:customStyle="1" w:styleId="Heading3Char">
    <w:name w:val="Heading 3 Char"/>
    <w:link w:val="Heading3"/>
    <w:uiPriority w:val="99"/>
    <w:locked/>
    <w:rPr>
      <w:rFonts w:eastAsia="MS Mincho" w:cs="Times New Roman"/>
      <w:b/>
      <w:bCs/>
      <w:sz w:val="26"/>
      <w:szCs w:val="26"/>
      <w:lang w:val="fr-FR" w:eastAsia="en-US"/>
    </w:rPr>
  </w:style>
  <w:style w:type="paragraph" w:customStyle="1" w:styleId="IPPParagraphnumbering">
    <w:name w:val="IPP Paragraph numbering"/>
    <w:basedOn w:val="IPPNormal"/>
    <w:qFormat/>
    <w:pPr>
      <w:numPr>
        <w:numId w:val="3"/>
      </w:numPr>
    </w:pPr>
  </w:style>
  <w:style w:type="paragraph" w:customStyle="1" w:styleId="IPPNormal">
    <w:name w:val="IPP Normal"/>
    <w:basedOn w:val="Normal"/>
    <w:link w:val="IPPNormalChar"/>
    <w:uiPriority w:val="99"/>
    <w:pPr>
      <w:spacing w:after="180"/>
    </w:pPr>
    <w:rPr>
      <w:rFonts w:eastAsia="Times New Roman"/>
      <w:sz w:val="24"/>
      <w:szCs w:val="20"/>
    </w:rPr>
  </w:style>
  <w:style w:type="paragraph" w:customStyle="1" w:styleId="IPPBullet1Last">
    <w:name w:val="IPP Bullet1Last"/>
    <w:basedOn w:val="IPPNormal"/>
    <w:next w:val="IPPNormal"/>
    <w:autoRedefine/>
    <w:qFormat/>
    <w:pPr>
      <w:numPr>
        <w:numId w:val="4"/>
      </w:numPr>
    </w:pPr>
  </w:style>
  <w:style w:type="character" w:customStyle="1" w:styleId="IPPNormalChar">
    <w:name w:val="IPP Normal Char"/>
    <w:link w:val="IPPNormal"/>
    <w:uiPriority w:val="99"/>
    <w:locked/>
    <w:rPr>
      <w:rFonts w:ascii="Times New Roman" w:hAnsi="Times New Roman"/>
      <w:sz w:val="24"/>
      <w:lang w:val="fr-FR" w:eastAsia="en-US"/>
    </w:rPr>
  </w:style>
  <w:style w:type="character" w:styleId="Hyperlink">
    <w:name w:val="Hyperlink"/>
    <w:uiPriority w:val="99"/>
    <w:rPr>
      <w:rFonts w:cs="Times New Roman"/>
      <w:color w:val="0563C1"/>
      <w:u w:val="single"/>
    </w:rPr>
  </w:style>
  <w:style w:type="character" w:customStyle="1" w:styleId="PleaseReviewParagraphId">
    <w:name w:val="PleaseReviewParagraphId"/>
    <w:uiPriority w:val="99"/>
    <w:rPr>
      <w:rFonts w:ascii="Arial" w:hAnsi="Arial"/>
      <w:color w:val="000080"/>
      <w:sz w:val="16"/>
      <w:u w:val="none"/>
    </w:rPr>
  </w:style>
  <w:style w:type="paragraph" w:customStyle="1" w:styleId="IPPBullet1">
    <w:name w:val="IPP Bullet1"/>
    <w:basedOn w:val="IPPBullet1Last"/>
    <w:qFormat/>
    <w:pPr>
      <w:numPr>
        <w:numId w:val="5"/>
      </w:numPr>
      <w:spacing w:after="60"/>
      <w:ind w:left="567" w:hanging="567"/>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locked/>
    <w:rPr>
      <w:rFonts w:ascii="Tahoma" w:eastAsia="MS Mincho" w:hAnsi="Tahoma" w:cs="Tahoma"/>
      <w:sz w:val="16"/>
      <w:szCs w:val="16"/>
      <w:lang w:val="fr-FR"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uiPriority w:val="99"/>
    <w:pPr>
      <w:spacing w:after="240"/>
    </w:pPr>
    <w:rPr>
      <w:sz w:val="24"/>
    </w:rPr>
  </w:style>
  <w:style w:type="paragraph" w:styleId="ListParagraph">
    <w:name w:val="List Paragraph"/>
    <w:basedOn w:val="Normal"/>
    <w:uiPriority w:val="99"/>
    <w:qFormat/>
    <w:pPr>
      <w:spacing w:line="240" w:lineRule="atLeast"/>
      <w:ind w:leftChars="400" w:left="800"/>
    </w:pPr>
    <w:rPr>
      <w:rFonts w:ascii="Verdana" w:eastAsia="Times New Roman" w:hAnsi="Verdana"/>
      <w:sz w:val="20"/>
      <w:lang w:eastAsia="nl-NL"/>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rFonts w:ascii="Calibri" w:eastAsia="Calibri" w:hAnsi="Calibri"/>
      <w:sz w:val="20"/>
      <w:szCs w:val="20"/>
      <w:lang w:eastAsia="ja-JP"/>
    </w:rPr>
  </w:style>
  <w:style w:type="character" w:customStyle="1" w:styleId="CommentTextChar">
    <w:name w:val="Comment Text Char"/>
    <w:link w:val="CommentText"/>
    <w:uiPriority w:val="99"/>
    <w:semiHidden/>
    <w:locked/>
    <w:rPr>
      <w:rFonts w:cs="Times New Roman"/>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sz w:val="20"/>
    </w:rPr>
  </w:style>
  <w:style w:type="table" w:styleId="TableGrid">
    <w:name w:val="Table Grid"/>
    <w:basedOn w:val="TableNormal"/>
    <w:uiPriority w:val="99"/>
    <w:rPr>
      <w:rFonts w:ascii="Cambria" w:eastAsia="MS Mincho" w:hAnsi="Cambria"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eastAsia="MS Mincho" w:hAnsi="Times New Roman" w:cs="Times New Roman"/>
      <w:sz w:val="24"/>
      <w:szCs w:val="24"/>
      <w:lang w:val="fr-FR"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Times New Roman" w:eastAsia="MS Mincho" w:hAnsi="Times New Roman" w:cs="Times New Roman"/>
      <w:sz w:val="24"/>
      <w:szCs w:val="24"/>
      <w:lang w:val="fr-FR" w:eastAsia="en-US"/>
    </w:rPr>
  </w:style>
  <w:style w:type="paragraph" w:styleId="DocumentMap">
    <w:name w:val="Document Map"/>
    <w:basedOn w:val="Normal"/>
    <w:link w:val="DocumentMapChar"/>
    <w:uiPriority w:val="99"/>
    <w:semiHidden/>
    <w:rPr>
      <w:rFonts w:ascii="Tahoma" w:eastAsia="Calibri" w:hAnsi="Tahoma"/>
      <w:sz w:val="16"/>
      <w:szCs w:val="16"/>
      <w:lang w:eastAsia="ja-JP"/>
    </w:rPr>
  </w:style>
  <w:style w:type="character" w:customStyle="1" w:styleId="DocumentMapChar">
    <w:name w:val="Document Map Char"/>
    <w:link w:val="DocumentMap"/>
    <w:uiPriority w:val="99"/>
    <w:semiHidden/>
    <w:locked/>
    <w:rPr>
      <w:rFonts w:ascii="Tahoma" w:hAnsi="Tahoma" w:cs="Times New Roman"/>
      <w:sz w:val="16"/>
    </w:rPr>
  </w:style>
  <w:style w:type="paragraph" w:styleId="FootnoteText">
    <w:name w:val="footnote text"/>
    <w:basedOn w:val="Normal"/>
    <w:link w:val="FootnoteTextChar"/>
    <w:uiPriority w:val="99"/>
    <w:pPr>
      <w:spacing w:before="60"/>
    </w:pPr>
    <w:rPr>
      <w:sz w:val="20"/>
    </w:rPr>
  </w:style>
  <w:style w:type="character" w:customStyle="1" w:styleId="FootnoteTextChar">
    <w:name w:val="Footnote Text Char"/>
    <w:link w:val="FootnoteText"/>
    <w:uiPriority w:val="99"/>
    <w:locked/>
    <w:rPr>
      <w:rFonts w:ascii="Times New Roman" w:eastAsia="MS Mincho" w:hAnsi="Times New Roman" w:cs="Times New Roman"/>
      <w:sz w:val="24"/>
      <w:szCs w:val="24"/>
      <w:lang w:val="fr-FR" w:eastAsia="en-US"/>
    </w:rPr>
  </w:style>
  <w:style w:type="character" w:styleId="FootnoteReference">
    <w:name w:val="footnote reference"/>
    <w:aliases w:val="Footnote text,Ref,de nota al pie,Footnote Reference1,Ref1,de nota al pie1,註腳內容,de nota al pie + (Asian) MS Mincho,11 pt,16 Point,Superscript 6 Point"/>
    <w:uiPriority w:val="99"/>
    <w:rPr>
      <w:rFonts w:cs="Times New Roman"/>
      <w:vertAlign w:val="superscript"/>
    </w:rPr>
  </w:style>
  <w:style w:type="paragraph" w:customStyle="1" w:styleId="Style">
    <w:name w:val="Style"/>
    <w:basedOn w:val="Footer"/>
    <w:autoRedefine/>
    <w:uiPriority w:val="99"/>
    <w:pPr>
      <w:pBdr>
        <w:top w:val="single" w:sz="4" w:space="1" w:color="auto"/>
      </w:pBdr>
      <w:tabs>
        <w:tab w:val="clear" w:pos="4680"/>
        <w:tab w:val="clear" w:pos="9360"/>
        <w:tab w:val="right" w:pos="9072"/>
      </w:tabs>
      <w:spacing w:after="120"/>
      <w:jc w:val="left"/>
    </w:pPr>
    <w:rPr>
      <w:rFonts w:ascii="Arial" w:eastAsia="Calibri" w:hAnsi="Arial"/>
      <w:sz w:val="18"/>
      <w:lang w:eastAsia="en-GB"/>
    </w:rPr>
  </w:style>
  <w:style w:type="character" w:styleId="PageNumber">
    <w:name w:val="page number"/>
    <w:uiPriority w:val="99"/>
    <w:rPr>
      <w:rFonts w:ascii="Arial" w:hAnsi="Arial" w:cs="Times New Roman"/>
      <w:b/>
      <w:sz w:val="18"/>
    </w:rPr>
  </w:style>
  <w:style w:type="paragraph" w:customStyle="1" w:styleId="IPPArialFootnote">
    <w:name w:val="IPP Arial Footnote"/>
    <w:basedOn w:val="IPPArialTable"/>
    <w:uiPriority w:val="99"/>
    <w:pPr>
      <w:tabs>
        <w:tab w:val="left" w:pos="28"/>
      </w:tabs>
      <w:ind w:left="284" w:hanging="284"/>
    </w:pPr>
    <w:rPr>
      <w:sz w:val="16"/>
    </w:rPr>
  </w:style>
  <w:style w:type="paragraph" w:customStyle="1" w:styleId="IPPBullet2">
    <w:name w:val="IPP Bullet2"/>
    <w:basedOn w:val="IPPNormal"/>
    <w:next w:val="IPPBullet1"/>
    <w:uiPriority w:val="99"/>
    <w:pPr>
      <w:numPr>
        <w:numId w:val="9"/>
      </w:numPr>
      <w:tabs>
        <w:tab w:val="left" w:pos="1134"/>
      </w:tabs>
      <w:spacing w:after="60"/>
      <w:ind w:left="1134" w:hanging="567"/>
    </w:pPr>
  </w:style>
  <w:style w:type="paragraph" w:customStyle="1" w:styleId="IPPQuote">
    <w:name w:val="IPP Quote"/>
    <w:basedOn w:val="IPPNormal"/>
    <w:uiPriority w:val="99"/>
    <w:pPr>
      <w:ind w:left="851" w:right="851"/>
    </w:pPr>
    <w:rPr>
      <w:sz w:val="18"/>
    </w:rPr>
  </w:style>
  <w:style w:type="paragraph" w:customStyle="1" w:styleId="IPPIndentClose">
    <w:name w:val="IPP Indent Close"/>
    <w:basedOn w:val="IPPNormal"/>
    <w:uiPriority w:val="99"/>
    <w:pPr>
      <w:tabs>
        <w:tab w:val="left" w:pos="2835"/>
      </w:tabs>
      <w:spacing w:after="60"/>
      <w:ind w:left="567"/>
    </w:pPr>
  </w:style>
  <w:style w:type="paragraph" w:customStyle="1" w:styleId="IPPIndent">
    <w:name w:val="IPP Indent"/>
    <w:basedOn w:val="IPPIndentClose"/>
    <w:uiPriority w:val="99"/>
    <w:pPr>
      <w:spacing w:after="180"/>
    </w:pPr>
  </w:style>
  <w:style w:type="paragraph" w:customStyle="1" w:styleId="IPPFootnote">
    <w:name w:val="IPP Footnote"/>
    <w:basedOn w:val="IPPArialFootnote"/>
    <w:uiPriority w:val="99"/>
    <w:pPr>
      <w:tabs>
        <w:tab w:val="left" w:pos="0"/>
      </w:tabs>
      <w:spacing w:before="0"/>
      <w:ind w:left="0" w:firstLine="0"/>
      <w:jc w:val="both"/>
    </w:pPr>
    <w:rPr>
      <w:rFonts w:ascii="Times New Roman" w:hAnsi="Times New Roman"/>
      <w:sz w:val="20"/>
    </w:rPr>
  </w:style>
  <w:style w:type="paragraph" w:customStyle="1" w:styleId="IPPHeading3">
    <w:name w:val="IPP Heading3"/>
    <w:basedOn w:val="IPPNormal"/>
    <w:uiPriority w:val="99"/>
    <w:pPr>
      <w:keepNext/>
      <w:tabs>
        <w:tab w:val="left" w:pos="567"/>
      </w:tabs>
      <w:spacing w:before="120" w:after="120"/>
      <w:ind w:left="567" w:hanging="567"/>
    </w:pPr>
    <w:rPr>
      <w:b/>
      <w:i/>
    </w:rPr>
  </w:style>
  <w:style w:type="character" w:customStyle="1" w:styleId="IPPnormalitalics">
    <w:name w:val="IPP normal italics"/>
    <w:uiPriority w:val="99"/>
    <w:rPr>
      <w:rFonts w:ascii="Times New Roman" w:hAnsi="Times New Roman" w:cs="Times New Roman"/>
      <w:i/>
      <w:sz w:val="22"/>
      <w:lang w:val="fr-FR"/>
    </w:rPr>
  </w:style>
  <w:style w:type="character" w:customStyle="1" w:styleId="IPPNormalbold">
    <w:name w:val="IPP Normal bold"/>
    <w:uiPriority w:val="99"/>
    <w:rPr>
      <w:rFonts w:ascii="Times New Roman" w:hAnsi="Times New Roman" w:cs="Times New Roman"/>
      <w:b/>
      <w:sz w:val="21"/>
      <w:szCs w:val="21"/>
      <w:lang w:val="fr-FR" w:eastAsia="en-US"/>
    </w:rPr>
  </w:style>
  <w:style w:type="paragraph" w:customStyle="1" w:styleId="IPPHeadSection">
    <w:name w:val="IPP HeadSection"/>
    <w:basedOn w:val="Normal"/>
    <w:next w:val="Normal"/>
    <w:uiPriority w:val="99"/>
    <w:pPr>
      <w:keepNext/>
      <w:tabs>
        <w:tab w:val="left" w:pos="851"/>
      </w:tabs>
      <w:spacing w:before="360" w:after="120"/>
      <w:ind w:left="851" w:hanging="851"/>
      <w:outlineLvl w:val="0"/>
    </w:pPr>
    <w:rPr>
      <w:rFonts w:eastAsia="Calibri"/>
      <w:b/>
      <w:bCs/>
      <w:caps/>
      <w:sz w:val="24"/>
      <w:szCs w:val="22"/>
    </w:rPr>
  </w:style>
  <w:style w:type="paragraph" w:customStyle="1" w:styleId="IPPHeading1">
    <w:name w:val="IPP Heading1"/>
    <w:basedOn w:val="IPPNormal"/>
    <w:next w:val="IPPNormal"/>
    <w:uiPriority w:val="99"/>
    <w:pPr>
      <w:keepNext/>
      <w:tabs>
        <w:tab w:val="left" w:pos="567"/>
      </w:tabs>
      <w:spacing w:before="240" w:after="120"/>
      <w:ind w:left="567" w:hanging="567"/>
      <w:jc w:val="left"/>
      <w:outlineLvl w:val="1"/>
    </w:pPr>
    <w:rPr>
      <w:b/>
      <w:szCs w:val="22"/>
    </w:rPr>
  </w:style>
  <w:style w:type="paragraph" w:customStyle="1" w:styleId="IPPSubhead">
    <w:name w:val="IPP Subhead"/>
    <w:basedOn w:val="Normal"/>
    <w:uiPriority w:val="99"/>
    <w:pPr>
      <w:keepNext/>
      <w:ind w:left="567" w:hanging="567"/>
      <w:jc w:val="left"/>
    </w:pPr>
    <w:rPr>
      <w:b/>
      <w:bCs/>
      <w:iCs/>
      <w:szCs w:val="22"/>
    </w:rPr>
  </w:style>
  <w:style w:type="character" w:customStyle="1" w:styleId="IPPNormalunderlined">
    <w:name w:val="IPP Normal underlined"/>
    <w:uiPriority w:val="99"/>
    <w:rPr>
      <w:rFonts w:ascii="Times New Roman" w:hAnsi="Times New Roman" w:cs="Times New Roman"/>
      <w:sz w:val="22"/>
      <w:u w:val="single"/>
      <w:lang w:val="fr-FR"/>
    </w:rPr>
  </w:style>
  <w:style w:type="character" w:customStyle="1" w:styleId="IPPNormalstrikethrough">
    <w:name w:val="IPP Normal strikethrough"/>
    <w:uiPriority w:val="99"/>
    <w:rPr>
      <w:rFonts w:ascii="Times New Roman" w:hAnsi="Times New Roman"/>
      <w:strike/>
      <w:sz w:val="22"/>
    </w:rPr>
  </w:style>
  <w:style w:type="paragraph" w:customStyle="1" w:styleId="IPPTitle16pt">
    <w:name w:val="IPP Title16pt"/>
    <w:basedOn w:val="Normal"/>
    <w:uiPriority w:val="99"/>
    <w:pPr>
      <w:spacing w:after="720"/>
      <w:ind w:left="1701" w:right="1701"/>
      <w:jc w:val="center"/>
    </w:pPr>
    <w:rPr>
      <w:rFonts w:ascii="Arial" w:hAnsi="Arial" w:cs="Arial"/>
      <w:b/>
      <w:bCs/>
      <w:sz w:val="32"/>
      <w:szCs w:val="32"/>
    </w:rPr>
  </w:style>
  <w:style w:type="paragraph" w:customStyle="1" w:styleId="IPPTitle18pt">
    <w:name w:val="IPP Title18pt"/>
    <w:basedOn w:val="Normal"/>
    <w:uiPriority w:val="99"/>
    <w:pPr>
      <w:spacing w:after="360"/>
      <w:jc w:val="center"/>
    </w:pPr>
    <w:rPr>
      <w:rFonts w:ascii="Arial" w:hAnsi="Arial" w:cs="Arial"/>
      <w:b/>
      <w:bCs/>
      <w:sz w:val="36"/>
      <w:szCs w:val="36"/>
    </w:rPr>
  </w:style>
  <w:style w:type="paragraph" w:customStyle="1" w:styleId="IPPHeader">
    <w:name w:val="IPP Header"/>
    <w:basedOn w:val="Normal"/>
    <w:uiPriority w:val="99"/>
    <w:pPr>
      <w:pBdr>
        <w:bottom w:val="single" w:sz="4" w:space="4" w:color="auto"/>
      </w:pBdr>
      <w:tabs>
        <w:tab w:val="left" w:pos="1134"/>
        <w:tab w:val="right" w:pos="9072"/>
      </w:tabs>
      <w:spacing w:after="120"/>
      <w:jc w:val="left"/>
    </w:pPr>
    <w:rPr>
      <w:rFonts w:ascii="Arial" w:hAnsi="Arial"/>
      <w:sz w:val="18"/>
    </w:rPr>
  </w:style>
  <w:style w:type="paragraph" w:customStyle="1" w:styleId="IPPAnnexHead">
    <w:name w:val="IPP AnnexHead"/>
    <w:basedOn w:val="IPPNormal"/>
    <w:next w:val="IPPNormal"/>
    <w:uiPriority w:val="99"/>
    <w:pPr>
      <w:keepNext/>
      <w:tabs>
        <w:tab w:val="left" w:pos="567"/>
      </w:tabs>
      <w:spacing w:before="120"/>
      <w:jc w:val="left"/>
      <w:outlineLvl w:val="1"/>
    </w:pPr>
    <w:rPr>
      <w:b/>
    </w:rPr>
  </w:style>
  <w:style w:type="paragraph" w:customStyle="1" w:styleId="IPPNormalCloseSpace">
    <w:name w:val="IPP NormalCloseSpace"/>
    <w:basedOn w:val="Normal"/>
    <w:uiPriority w:val="99"/>
    <w:pPr>
      <w:keepNext/>
      <w:spacing w:after="60"/>
    </w:pPr>
  </w:style>
  <w:style w:type="paragraph" w:customStyle="1" w:styleId="IPPHeading2">
    <w:name w:val="IPP Heading2"/>
    <w:basedOn w:val="IPPNormal"/>
    <w:next w:val="IPPNormal"/>
    <w:uiPriority w:val="99"/>
    <w:pPr>
      <w:keepNext/>
      <w:tabs>
        <w:tab w:val="left" w:pos="567"/>
      </w:tabs>
      <w:spacing w:before="120" w:after="120"/>
      <w:ind w:left="567" w:hanging="567"/>
      <w:jc w:val="left"/>
      <w:outlineLvl w:val="2"/>
    </w:pPr>
    <w:rPr>
      <w:b/>
    </w:rPr>
  </w:style>
  <w:style w:type="paragraph" w:customStyle="1" w:styleId="IPPFooter">
    <w:name w:val="IPP Footer"/>
    <w:basedOn w:val="IPPHeader"/>
    <w:next w:val="PlainText"/>
    <w:uiPriority w:val="9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99"/>
    <w:pPr>
      <w:tabs>
        <w:tab w:val="right" w:leader="dot" w:pos="9072"/>
      </w:tabs>
      <w:spacing w:before="240"/>
      <w:ind w:left="567" w:hanging="567"/>
    </w:pPr>
  </w:style>
  <w:style w:type="paragraph" w:styleId="TOC2">
    <w:name w:val="toc 2"/>
    <w:basedOn w:val="TOC1"/>
    <w:next w:val="Normal"/>
    <w:autoRedefine/>
    <w:uiPriority w:val="99"/>
    <w:pPr>
      <w:keepNext w:val="0"/>
      <w:tabs>
        <w:tab w:val="left" w:pos="425"/>
      </w:tabs>
      <w:spacing w:before="120" w:after="0"/>
      <w:ind w:left="425" w:right="284" w:hanging="425"/>
    </w:pPr>
  </w:style>
  <w:style w:type="paragraph" w:styleId="TOC3">
    <w:name w:val="toc 3"/>
    <w:basedOn w:val="TOC2"/>
    <w:next w:val="Normal"/>
    <w:autoRedefine/>
    <w:uiPriority w:val="99"/>
    <w:pPr>
      <w:tabs>
        <w:tab w:val="left" w:pos="1276"/>
      </w:tabs>
      <w:spacing w:before="60"/>
      <w:ind w:left="1276" w:hanging="851"/>
    </w:pPr>
    <w:rPr>
      <w:rFonts w:eastAsia="Calibri"/>
    </w:rPr>
  </w:style>
  <w:style w:type="paragraph" w:styleId="TOC4">
    <w:name w:val="toc 4"/>
    <w:basedOn w:val="Normal"/>
    <w:next w:val="Normal"/>
    <w:autoRedefine/>
    <w:uiPriority w:val="99"/>
    <w:pPr>
      <w:spacing w:after="120"/>
      <w:ind w:left="660"/>
    </w:pPr>
    <w:rPr>
      <w:rFonts w:eastAsia="Calibri"/>
    </w:rPr>
  </w:style>
  <w:style w:type="paragraph" w:styleId="TOC5">
    <w:name w:val="toc 5"/>
    <w:basedOn w:val="Normal"/>
    <w:next w:val="Normal"/>
    <w:autoRedefine/>
    <w:uiPriority w:val="99"/>
    <w:pPr>
      <w:spacing w:after="120"/>
      <w:ind w:left="880"/>
    </w:pPr>
    <w:rPr>
      <w:rFonts w:eastAsia="Calibri"/>
    </w:rPr>
  </w:style>
  <w:style w:type="paragraph" w:styleId="TOC6">
    <w:name w:val="toc 6"/>
    <w:basedOn w:val="Normal"/>
    <w:next w:val="Normal"/>
    <w:autoRedefine/>
    <w:uiPriority w:val="99"/>
    <w:pPr>
      <w:spacing w:after="120"/>
      <w:ind w:left="1100"/>
    </w:pPr>
    <w:rPr>
      <w:rFonts w:eastAsia="Calibri"/>
    </w:rPr>
  </w:style>
  <w:style w:type="paragraph" w:styleId="TOC7">
    <w:name w:val="toc 7"/>
    <w:basedOn w:val="Normal"/>
    <w:next w:val="Normal"/>
    <w:autoRedefine/>
    <w:uiPriority w:val="99"/>
    <w:pPr>
      <w:spacing w:after="120"/>
      <w:ind w:left="1320"/>
    </w:pPr>
    <w:rPr>
      <w:rFonts w:eastAsia="Calibri"/>
    </w:rPr>
  </w:style>
  <w:style w:type="paragraph" w:styleId="TOC8">
    <w:name w:val="toc 8"/>
    <w:basedOn w:val="Normal"/>
    <w:next w:val="Normal"/>
    <w:autoRedefine/>
    <w:uiPriority w:val="99"/>
    <w:pPr>
      <w:spacing w:after="120"/>
      <w:ind w:left="1540"/>
    </w:pPr>
    <w:rPr>
      <w:rFonts w:eastAsia="Calibri"/>
    </w:rPr>
  </w:style>
  <w:style w:type="paragraph" w:styleId="TOC9">
    <w:name w:val="toc 9"/>
    <w:basedOn w:val="Normal"/>
    <w:next w:val="Normal"/>
    <w:autoRedefine/>
    <w:uiPriority w:val="99"/>
    <w:pPr>
      <w:spacing w:after="120"/>
      <w:ind w:left="1760"/>
    </w:pPr>
    <w:rPr>
      <w:rFonts w:eastAsia="Calibri"/>
    </w:rPr>
  </w:style>
  <w:style w:type="paragraph" w:customStyle="1" w:styleId="IPPReferences">
    <w:name w:val="IPP References"/>
    <w:basedOn w:val="IPPNormal"/>
    <w:uiPriority w:val="99"/>
    <w:pPr>
      <w:spacing w:after="60"/>
      <w:ind w:left="567" w:hanging="567"/>
    </w:pPr>
  </w:style>
  <w:style w:type="paragraph" w:customStyle="1" w:styleId="IPPArial">
    <w:name w:val="IPP Arial"/>
    <w:basedOn w:val="IPPNormal"/>
    <w:uiPriority w:val="99"/>
    <w:pPr>
      <w:spacing w:after="0"/>
    </w:pPr>
    <w:rPr>
      <w:rFonts w:ascii="Arial" w:hAnsi="Arial"/>
      <w:sz w:val="18"/>
    </w:rPr>
  </w:style>
  <w:style w:type="paragraph" w:customStyle="1" w:styleId="IPPArialTable">
    <w:name w:val="IPP Arial Table"/>
    <w:basedOn w:val="IPPArial"/>
    <w:uiPriority w:val="99"/>
    <w:pPr>
      <w:spacing w:before="60" w:after="60"/>
      <w:jc w:val="left"/>
    </w:pPr>
  </w:style>
  <w:style w:type="paragraph" w:customStyle="1" w:styleId="IPPHeaderlandscape">
    <w:name w:val="IPP Header landscape"/>
    <w:basedOn w:val="IPPHeader"/>
    <w:uiPriority w:val="99"/>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pPr>
      <w:jc w:val="left"/>
    </w:pPr>
    <w:rPr>
      <w:rFonts w:ascii="Courier" w:eastAsia="Calibri" w:hAnsi="Courier"/>
      <w:sz w:val="21"/>
      <w:szCs w:val="21"/>
    </w:rPr>
  </w:style>
  <w:style w:type="character" w:customStyle="1" w:styleId="PlainTextChar">
    <w:name w:val="Plain Text Char"/>
    <w:link w:val="PlainText"/>
    <w:uiPriority w:val="99"/>
    <w:locked/>
    <w:rPr>
      <w:rFonts w:ascii="Courier" w:hAnsi="Courier" w:cs="Times New Roman"/>
      <w:sz w:val="21"/>
      <w:szCs w:val="21"/>
      <w:lang w:val="fr-FR" w:eastAsia="en-US"/>
    </w:rPr>
  </w:style>
  <w:style w:type="paragraph" w:customStyle="1" w:styleId="IPPLetterList">
    <w:name w:val="IPP LetterList"/>
    <w:basedOn w:val="IPPBullet2"/>
    <w:uiPriority w:val="99"/>
    <w:pPr>
      <w:tabs>
        <w:tab w:val="num" w:pos="1134"/>
      </w:tabs>
      <w:jc w:val="left"/>
    </w:pPr>
  </w:style>
  <w:style w:type="paragraph" w:customStyle="1" w:styleId="IPPLetterListIndent">
    <w:name w:val="IPP LetterList Indent"/>
    <w:basedOn w:val="IPPLetterList"/>
    <w:uiPriority w:val="99"/>
    <w:pPr>
      <w:numPr>
        <w:numId w:val="7"/>
      </w:numPr>
    </w:pPr>
  </w:style>
  <w:style w:type="paragraph" w:customStyle="1" w:styleId="IPPFooterLandscape">
    <w:name w:val="IPP Footer Landscape"/>
    <w:basedOn w:val="IPPHeaderlandscape"/>
    <w:uiPriority w:val="99"/>
    <w:pPr>
      <w:pBdr>
        <w:top w:val="single" w:sz="4" w:space="1" w:color="auto"/>
        <w:bottom w:val="none" w:sz="0" w:space="0" w:color="auto"/>
      </w:pBdr>
      <w:jc w:val="right"/>
    </w:pPr>
    <w:rPr>
      <w:b/>
    </w:rPr>
  </w:style>
  <w:style w:type="paragraph" w:customStyle="1" w:styleId="IPPSubheadSpace">
    <w:name w:val="IPP Subhead Space"/>
    <w:basedOn w:val="IPPSubhead"/>
    <w:uiPriority w:val="99"/>
    <w:pPr>
      <w:tabs>
        <w:tab w:val="left" w:pos="567"/>
      </w:tabs>
      <w:spacing w:before="60" w:after="60"/>
    </w:pPr>
  </w:style>
  <w:style w:type="paragraph" w:customStyle="1" w:styleId="IPPSubheadSpaceAfter">
    <w:name w:val="IPP Subhead SpaceAfter"/>
    <w:basedOn w:val="IPPSubhead"/>
    <w:uiPriority w:val="99"/>
    <w:pPr>
      <w:spacing w:after="60"/>
    </w:pPr>
  </w:style>
  <w:style w:type="paragraph" w:customStyle="1" w:styleId="IPPHdg1Num">
    <w:name w:val="IPP Hdg1Num"/>
    <w:basedOn w:val="IPPHeading1"/>
    <w:next w:val="IPPNormal"/>
    <w:uiPriority w:val="99"/>
    <w:pPr>
      <w:numPr>
        <w:numId w:val="10"/>
      </w:numPr>
    </w:pPr>
  </w:style>
  <w:style w:type="paragraph" w:customStyle="1" w:styleId="IPPHdg2Num">
    <w:name w:val="IPP Hdg2Num"/>
    <w:basedOn w:val="IPPHeading2"/>
    <w:next w:val="IPPNormal"/>
    <w:uiPriority w:val="99"/>
    <w:pPr>
      <w:numPr>
        <w:ilvl w:val="1"/>
        <w:numId w:val="11"/>
      </w:numPr>
    </w:pPr>
  </w:style>
  <w:style w:type="paragraph" w:customStyle="1" w:styleId="IPPNumberedList">
    <w:name w:val="IPP NumberedList"/>
    <w:basedOn w:val="IPPBullet1"/>
    <w:uiPriority w:val="99"/>
    <w:pPr>
      <w:numPr>
        <w:numId w:val="12"/>
      </w:numPr>
    </w:pPr>
  </w:style>
  <w:style w:type="character" w:styleId="Strong">
    <w:name w:val="Strong"/>
    <w:uiPriority w:val="99"/>
    <w:qFormat/>
    <w:rPr>
      <w:rFonts w:cs="Times New Roman"/>
      <w:b/>
      <w:bCs/>
    </w:rPr>
  </w:style>
  <w:style w:type="paragraph" w:customStyle="1" w:styleId="IPPParagraphnumberingclose">
    <w:name w:val="IPP Paragraph numbering close"/>
    <w:basedOn w:val="IPPParagraphnumbering"/>
    <w:uiPriority w:val="99"/>
    <w:pPr>
      <w:keepNext/>
      <w:spacing w:after="60"/>
    </w:pPr>
  </w:style>
  <w:style w:type="paragraph" w:customStyle="1" w:styleId="IPPNumberedListLast">
    <w:name w:val="IPP NumberedListLast"/>
    <w:basedOn w:val="IPPNumberedList"/>
    <w:uiPriority w:val="99"/>
    <w:pPr>
      <w:spacing w:after="180"/>
    </w:p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rPr>
  </w:style>
  <w:style w:type="paragraph" w:styleId="Revision">
    <w:name w:val="Revision"/>
    <w:hidden/>
    <w:uiPriority w:val="99"/>
    <w:semiHidden/>
    <w:rPr>
      <w:rFonts w:ascii="Times New Roman" w:eastAsia="MS Mincho" w:hAnsi="Times New Roman" w:cs="Times New Roman"/>
      <w:sz w:val="22"/>
      <w:szCs w:val="24"/>
      <w:lang w:eastAsia="en-US"/>
    </w:rPr>
  </w:style>
  <w:style w:type="paragraph" w:customStyle="1" w:styleId="IPPHeading30">
    <w:name w:val="IPP Heading 3"/>
    <w:basedOn w:val="IPPNormal"/>
    <w:uiPriority w:val="99"/>
    <w:pPr>
      <w:keepNext/>
      <w:tabs>
        <w:tab w:val="left" w:pos="567"/>
      </w:tabs>
      <w:spacing w:before="120" w:after="120"/>
      <w:ind w:left="567" w:hanging="567"/>
    </w:pPr>
    <w:rPr>
      <w:b/>
      <w:i/>
    </w:rPr>
  </w:style>
  <w:style w:type="numbering" w:customStyle="1" w:styleId="IPPParagraphnumberedlist">
    <w:name w:val="IPP Paragraph numbered list"/>
    <w:pPr>
      <w:numPr>
        <w:numId w:val="2"/>
      </w:numPr>
    </w:pPr>
  </w:style>
  <w:style w:type="numbering" w:customStyle="1" w:styleId="IPPParagraphnumberedlist1">
    <w:name w:val="IPP Paragraph numbered lis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SSJ\Dropbox\Work%202020-03-05%20Telework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1" ma:contentTypeDescription="Create a new document." ma:contentTypeScope="" ma:versionID="61142f1ed0c1dec27da566218e6f21e8">
  <xsd:schema xmlns:xs="http://www.w3.org/2001/XMLSchema" xmlns:xsd="http://www.w3.org/2001/XMLSchema" xmlns:p="http://schemas.microsoft.com/office/2006/metadata/properties" xmlns:ns2="cc7ce8ca-8f52-44ec-9496-3c41d0f5ad18" xmlns:ns3="4fb7a208-8fac-4c53-8d25-a43bcf43b5d1" targetNamespace="http://schemas.microsoft.com/office/2006/metadata/properties" ma:root="true" ma:fieldsID="077319f449a11b6f7df61a45f15c51ad" ns2:_="" ns3:_="">
    <xsd:import namespace="cc7ce8ca-8f52-44ec-9496-3c41d0f5ad18"/>
    <xsd:import namespace="4fb7a208-8fac-4c53-8d25-a43bcf43b5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cc7ce8ca-8f52-44ec-9496-3c41d0f5a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4fb7a208-8fac-4c53-8d25-a43bcf43b5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D3306-2047-4C1B-9B95-643C9EC662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830D9D-FAC5-48A8-87EE-149139FB7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E8840-BE76-412F-B830-70918BAD6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6</Pages>
  <Words>2504</Words>
  <Characters>14274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DRAFT 2017 AMENDMENTS TO ISPM 5:</vt:lpstr>
    </vt:vector>
  </TitlesOfParts>
  <Company>FAO of the UN</Company>
  <LinksUpToDate>false</LinksUpToDate>
  <CharactersWithSpaces>16745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Cassin, Aoife (AGDI)</cp:lastModifiedBy>
  <cp:revision>2</cp:revision>
  <cp:lastPrinted>2020-05-07T11:12:00Z</cp:lastPrinted>
  <dcterms:created xsi:type="dcterms:W3CDTF">2020-07-01T10:22:00Z</dcterms:created>
  <dcterms:modified xsi:type="dcterms:W3CDTF">2020-07-01T10:22:00Z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0x0101000AC78A91C8838E4CB12C6EAFBD4A90C0</vt:lpwstr>
  </property>
</Properties>
</file>