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sz w:val="20"/>
          <w:rStyle w:val="PleaseReviewParagraphId"/>
          <w:noProof/>
        </w:rPr>
        <w:t>[PleaseReview document review. Review title: 2021 ICD Draft Specification: Surveillance and reporting obligations, e-Learning course (2020-012 ). Document title: 2021_ICD_DraftSpecification_eLearningSurveillance (2020-012)_FR.docx]</w:t>
      </w:r>
    </w:p>
    <w:p w14:paraId="12E8C62C" w14:textId="77777777">
      <w:pPr>
        <w:pStyle w:val="IPPHeading1"/>
        <w:tabs>
          <w:tab w:val="clear" w:pos="567"/>
        </w:tabs>
        <w:ind w:left="0" w:firstLine="0"/>
        <w:jc w:val="center"/>
        <w:outlineLvl w:val="9"/>
        <w:rPr>
          <w:rFonts w:ascii="Times New Roman" w:hAnsi="Times New Roman" w:eastAsia="MS Mincho" w:cs="Times New Roman"/>
          <w:bCs/>
          <w:iCs/>
          <w:sz w:val="28"/>
          <w:szCs w:val="28"/>
        </w:rPr>
      </w:pPr>
      <w:r>
        <w:rPr>
          <w:rStyle w:val="PleaseReviewParagraphId"/>
          <w:b w:val="off"/>
          <w:i w:val="off"/>
        </w:rPr>
        <w:t>[1]</w:t>
      </w:r>
      <w:r>
        <w:rPr>
          <w:rFonts w:ascii="Times New Roman" w:hAnsi="Times New Roman"/>
          <w:sz w:val="28"/>
        </w:rPr>
        <w:t xml:space="preserve">Spécification relative aux obligations en matière de surveillance </w:t>
        <w:br/>
        <w:t>et de communication d’informations, cours de formation en ligne (2020-012)</w:t>
      </w:r>
    </w:p>
    <w:p w14:paraId="6FFD50C7" w14:textId="5B45A537">
      <w:pPr>
        <w:spacing w:before="240" w:after="120"/>
        <w:ind w:left="567" w:hanging="567"/>
        <w:rPr>
          <w:rFonts w:ascii="Times New Roman" w:hAnsi="Times New Roman" w:eastAsia="Times New Roman" w:cs="Times New Roman"/>
          <w:color w:val="000000" w:themeColor="text1"/>
          <w:lang w:val="en-GB"/>
        </w:rPr>
      </w:pPr>
      <w:r>
        <w:rPr>
          <w:rStyle w:val="PleaseReviewParagraphId"/>
          <w:b w:val="off"/>
          <w:i w:val="off"/>
        </w:rPr>
        <w:t>[2]</w:t>
      </w:r>
      <w:r>
        <w:rPr>
          <w:rFonts w:ascii="Times New Roman" w:hAnsi="Times New Roman" w:eastAsia="Times New Roman" w:cs="Times New Roman"/>
          <w:color w:val="000000" w:themeColor="text1"/>
          <w:lang w:val="en-GB"/>
        </w:rPr>
        <w:t xml:space="preserve">  </w:t>
      </w:r>
      <w:r>
        <w:rPr>
          <w:rFonts w:ascii="Times New Roman" w:hAnsi="Times New Roman" w:eastAsia="Times New Roman" w:cs="Times New Roman"/>
          <w:b/>
          <w:bCs/>
          <w:color w:val="000000" w:themeColor="text1"/>
        </w:rPr>
        <w:t>État d’avancement du document</w:t>
      </w:r>
    </w:p>
    <w:tbl>
      <w:tblPr>
        <w:tblW w:w="0" w:type="auto"/>
        <w:tblLayout w:type="fixed"/>
        <w:tblLook w:val="00A0" w:firstRow="1" w:lastRow="0" w:firstColumn="1" w:lastColumn="0" w:noHBand="0" w:noVBand="0"/>
      </w:tblPr>
      <w:tblGrid>
        <w:gridCol w:w="2265"/>
        <w:gridCol w:w="6735"/>
      </w:tblGrid>
      <w:tr w14:paraId="1377C42D" w14:textId="77777777">
        <w:trPr>
          <w:trHeight w:val="300"/>
        </w:trPr>
        <w:tc>
          <w:tcPr>
            <w:tcW w:w="9000" w:type="dxa"/>
            <w:gridSpan w:val="2"/>
            <w:tcBorders>
              <w:top w:val="single" w:color="7F7F7F" w:themeColor="text1" w:themeTint="80" w:sz="6" w:space="0"/>
              <w:left w:val="single" w:color="7F7F7F" w:themeColor="text1" w:themeTint="80" w:sz="6" w:space="0"/>
              <w:bottom w:val="single" w:color="7F7F7F" w:themeColor="text1" w:themeTint="80" w:sz="6" w:space="0"/>
              <w:right w:val="single" w:color="7F7F7F" w:themeColor="text1" w:themeTint="80" w:sz="6" w:space="0"/>
            </w:tcBorders>
          </w:tcPr>
          <w:p w14:paraId="2EB0BB97" w14:textId="33CBA209">
            <w:pPr>
              <w:spacing w:before="60" w:after="60"/>
              <w:rPr>
                <w:rFonts w:ascii="Arial" w:hAnsi="Arial" w:eastAsia="Arial"/>
                <w:sz w:val="18"/>
                <w:szCs w:val="18"/>
              </w:rPr>
            </w:pPr>
            <w:r>
              <w:rPr>
                <w:rStyle w:val="PleaseReviewParagraphId"/>
                <w:b w:val="off"/>
                <w:i w:val="off"/>
              </w:rPr>
              <w:t>[3]</w:t>
            </w:r>
            <w:r>
              <w:rPr>
                <w:rFonts w:ascii="Arial" w:hAnsi="Arial" w:eastAsia="Arial"/>
                <w:sz w:val="18"/>
                <w:szCs w:val="18"/>
                <w:lang w:val="en-CA"/>
              </w:rPr>
              <w:t>This status box is not an official part of the Guide and will be modified by the IPPC Secretariat</w:t>
            </w:r>
          </w:p>
        </w:tc>
      </w:tr>
      <w:tr w14:paraId="40104168" w14:textId="77777777">
        <w:trPr>
          <w:trHeight w:val="300"/>
        </w:trPr>
        <w:tc>
          <w:tcPr>
            <w:tcW w:w="2265" w:type="dxa"/>
            <w:tcBorders>
              <w:top w:val="single" w:color="7F7F7F" w:themeColor="text1" w:themeTint="80" w:sz="6" w:space="0"/>
              <w:left w:val="single" w:color="7F7F7F" w:themeColor="text1" w:themeTint="80" w:sz="6" w:space="0"/>
              <w:bottom w:val="single" w:color="7F7F7F" w:themeColor="text1" w:themeTint="80" w:sz="6" w:space="0"/>
              <w:right w:val="single" w:color="7F7F7F" w:themeColor="text1" w:themeTint="80" w:sz="6" w:space="0"/>
            </w:tcBorders>
          </w:tcPr>
          <w:p w14:paraId="15CB5F4F" w14:textId="0FD3EE34">
            <w:pPr>
              <w:spacing w:before="60" w:after="60"/>
              <w:rPr>
                <w:rFonts w:ascii="Arial" w:hAnsi="Arial" w:eastAsia="Arial"/>
                <w:sz w:val="18"/>
                <w:szCs w:val="18"/>
              </w:rPr>
            </w:pPr>
            <w:r>
              <w:rPr>
                <w:rStyle w:val="PleaseReviewParagraphId"/>
                <w:b w:val="off"/>
                <w:i w:val="off"/>
              </w:rPr>
              <w:t>[4]</w:t>
            </w:r>
            <w:r>
              <w:rPr>
                <w:rFonts w:ascii="Arial" w:hAnsi="Arial" w:eastAsia="Arial"/>
                <w:b/>
                <w:bCs/>
                <w:sz w:val="18"/>
                <w:szCs w:val="18"/>
                <w:lang w:val="en-CA"/>
              </w:rPr>
              <w:t xml:space="preserve">Topic number </w:t>
            </w:r>
          </w:p>
        </w:tc>
        <w:tc>
          <w:tcPr>
            <w:tcW w:w="6735" w:type="dxa"/>
            <w:tcBorders>
              <w:top w:val="single" w:color="7F7F7F" w:themeColor="text1" w:themeTint="80" w:sz="6" w:space="0"/>
              <w:bottom w:val="single" w:color="7F7F7F" w:themeColor="text1" w:themeTint="80" w:sz="6" w:space="0"/>
              <w:right w:val="single" w:color="7F7F7F" w:themeColor="text1" w:themeTint="80" w:sz="6" w:space="0"/>
            </w:tcBorders>
          </w:tcPr>
          <w:p w14:paraId="5B482E32" w14:textId="1131FA1F">
            <w:pPr>
              <w:spacing w:before="60" w:after="60"/>
              <w:rPr>
                <w:rFonts w:ascii="Arial" w:hAnsi="Arial" w:eastAsia="Arial"/>
                <w:sz w:val="18"/>
                <w:szCs w:val="18"/>
              </w:rPr>
            </w:pPr>
            <w:r>
              <w:rPr>
                <w:rStyle w:val="PleaseReviewParagraphId"/>
                <w:b w:val="off"/>
                <w:i w:val="off"/>
              </w:rPr>
              <w:t>[5]</w:t>
            </w:r>
            <w:r>
              <w:rPr>
                <w:rFonts w:ascii="Arial" w:hAnsi="Arial" w:eastAsia="Arial"/>
                <w:sz w:val="18"/>
                <w:szCs w:val="18"/>
                <w:lang w:val="en-CA"/>
              </w:rPr>
              <w:t>2020-012</w:t>
            </w:r>
          </w:p>
        </w:tc>
      </w:tr>
      <w:tr w14:paraId="11FD0786" w14:textId="77777777">
        <w:trPr>
          <w:trHeight w:val="300"/>
        </w:trPr>
        <w:tc>
          <w:tcPr>
            <w:tcW w:w="2265" w:type="dxa"/>
            <w:tcBorders>
              <w:left w:val="single" w:color="7F7F7F" w:themeColor="text1" w:themeTint="80" w:sz="6" w:space="0"/>
              <w:bottom w:val="single" w:color="7F7F7F" w:themeColor="text1" w:themeTint="80" w:sz="6" w:space="0"/>
              <w:right w:val="single" w:color="7F7F7F" w:themeColor="text1" w:themeTint="80" w:sz="6" w:space="0"/>
            </w:tcBorders>
          </w:tcPr>
          <w:p w14:paraId="3EA6AAEB" w14:textId="7554E5C1">
            <w:pPr>
              <w:spacing w:before="60" w:after="60"/>
              <w:rPr>
                <w:rFonts w:ascii="Arial" w:hAnsi="Arial" w:eastAsia="Arial"/>
                <w:sz w:val="18"/>
                <w:szCs w:val="18"/>
              </w:rPr>
            </w:pPr>
            <w:r>
              <w:rPr>
                <w:rStyle w:val="PleaseReviewParagraphId"/>
                <w:b w:val="off"/>
                <w:i w:val="off"/>
              </w:rPr>
              <w:t>[6]</w:t>
            </w:r>
            <w:r>
              <w:rPr>
                <w:rFonts w:ascii="Arial" w:hAnsi="Arial" w:eastAsia="Arial"/>
                <w:b/>
                <w:bCs/>
                <w:sz w:val="18"/>
                <w:szCs w:val="18"/>
                <w:lang w:val="en-CA"/>
              </w:rPr>
              <w:t>Title</w:t>
            </w:r>
          </w:p>
        </w:tc>
        <w:tc>
          <w:tcPr>
            <w:tcW w:w="6735" w:type="dxa"/>
            <w:tcBorders>
              <w:bottom w:val="single" w:color="7F7F7F" w:themeColor="text1" w:themeTint="80" w:sz="6" w:space="0"/>
              <w:right w:val="single" w:color="7F7F7F" w:themeColor="text1" w:themeTint="80" w:sz="6" w:space="0"/>
            </w:tcBorders>
          </w:tcPr>
          <w:p w14:paraId="7B7A91EE" w14:textId="12596A83">
            <w:pPr>
              <w:spacing w:before="60" w:after="60"/>
              <w:rPr>
                <w:rFonts w:ascii="Arial" w:hAnsi="Arial" w:eastAsia="Arial"/>
                <w:sz w:val="18"/>
                <w:szCs w:val="18"/>
              </w:rPr>
            </w:pPr>
            <w:r>
              <w:rPr>
                <w:rStyle w:val="PleaseReviewParagraphId"/>
                <w:b w:val="off"/>
                <w:i w:val="off"/>
              </w:rPr>
              <w:t>[7]</w:t>
            </w:r>
            <w:r>
              <w:rPr>
                <w:rFonts w:ascii="Arial" w:hAnsi="Arial" w:eastAsia="Arial"/>
                <w:sz w:val="18"/>
                <w:szCs w:val="18"/>
                <w:lang w:val="en-CA"/>
              </w:rPr>
              <w:t>Surveillance and reporting obligations, e-Learning course (2020-012)</w:t>
            </w:r>
          </w:p>
        </w:tc>
      </w:tr>
      <w:tr w14:paraId="6B6C4A75" w14:textId="77777777">
        <w:trPr>
          <w:trHeight w:val="300"/>
        </w:trPr>
        <w:tc>
          <w:tcPr>
            <w:tcW w:w="2265" w:type="dxa"/>
            <w:tcBorders>
              <w:left w:val="single" w:color="7F7F7F" w:themeColor="text1" w:themeTint="80" w:sz="6" w:space="0"/>
              <w:bottom w:val="single" w:color="7F7F7F" w:themeColor="text1" w:themeTint="80" w:sz="6" w:space="0"/>
              <w:right w:val="single" w:color="7F7F7F" w:themeColor="text1" w:themeTint="80" w:sz="6" w:space="0"/>
            </w:tcBorders>
          </w:tcPr>
          <w:p w14:paraId="6C2FE016" w14:textId="5BBC2909">
            <w:pPr>
              <w:spacing w:before="60" w:after="60"/>
              <w:rPr>
                <w:rFonts w:ascii="Arial" w:hAnsi="Arial" w:eastAsia="Arial"/>
                <w:sz w:val="18"/>
                <w:szCs w:val="18"/>
              </w:rPr>
            </w:pPr>
            <w:r>
              <w:rPr>
                <w:rStyle w:val="PleaseReviewParagraphId"/>
                <w:b w:val="off"/>
                <w:i w:val="off"/>
              </w:rPr>
              <w:t>[8]</w:t>
            </w:r>
            <w:r>
              <w:rPr>
                <w:rFonts w:ascii="Arial" w:hAnsi="Arial" w:eastAsia="Arial"/>
                <w:b/>
                <w:bCs/>
                <w:sz w:val="18"/>
                <w:szCs w:val="18"/>
                <w:lang w:val="en-CA"/>
              </w:rPr>
              <w:t>Type of implementation resource</w:t>
            </w:r>
          </w:p>
        </w:tc>
        <w:tc>
          <w:tcPr>
            <w:tcW w:w="6735" w:type="dxa"/>
            <w:tcBorders>
              <w:bottom w:val="single" w:color="7F7F7F" w:themeColor="text1" w:themeTint="80" w:sz="6" w:space="0"/>
              <w:right w:val="single" w:color="7F7F7F" w:themeColor="text1" w:themeTint="80" w:sz="6" w:space="0"/>
            </w:tcBorders>
          </w:tcPr>
          <w:p w14:paraId="4AE754A8" w14:textId="1C2D7F5B">
            <w:pPr>
              <w:spacing w:before="60" w:after="60"/>
              <w:rPr>
                <w:rFonts w:ascii="Arial" w:hAnsi="Arial" w:eastAsia="Arial"/>
                <w:sz w:val="18"/>
                <w:szCs w:val="18"/>
              </w:rPr>
            </w:pPr>
            <w:r>
              <w:rPr>
                <w:rStyle w:val="PleaseReviewParagraphId"/>
                <w:b w:val="off"/>
                <w:i w:val="off"/>
              </w:rPr>
              <w:t>[9]</w:t>
            </w:r>
            <w:r>
              <w:rPr>
                <w:rFonts w:ascii="Arial" w:hAnsi="Arial" w:eastAsia="Arial"/>
                <w:sz w:val="18"/>
                <w:szCs w:val="18"/>
                <w:lang w:val="en-CA"/>
              </w:rPr>
              <w:t>IPPC e-Learning course</w:t>
            </w:r>
          </w:p>
        </w:tc>
      </w:tr>
      <w:tr w14:paraId="42291E71" w14:textId="77777777">
        <w:trPr>
          <w:trHeight w:val="300"/>
        </w:trPr>
        <w:tc>
          <w:tcPr>
            <w:tcW w:w="2265" w:type="dxa"/>
            <w:tcBorders>
              <w:left w:val="single" w:color="7F7F7F" w:themeColor="text1" w:themeTint="80" w:sz="6" w:space="0"/>
              <w:bottom w:val="single" w:color="7F7F7F" w:themeColor="text1" w:themeTint="80" w:sz="6" w:space="0"/>
              <w:right w:val="single" w:color="7F7F7F" w:themeColor="text1" w:themeTint="80" w:sz="6" w:space="0"/>
            </w:tcBorders>
          </w:tcPr>
          <w:p w14:paraId="1E57CD2F" w14:textId="121BBFED">
            <w:pPr>
              <w:spacing w:before="60" w:after="60"/>
              <w:rPr>
                <w:rFonts w:ascii="Arial" w:hAnsi="Arial" w:eastAsia="Arial"/>
                <w:sz w:val="18"/>
                <w:szCs w:val="18"/>
              </w:rPr>
            </w:pPr>
            <w:r>
              <w:rPr>
                <w:rStyle w:val="PleaseReviewParagraphId"/>
                <w:b w:val="off"/>
                <w:i w:val="off"/>
              </w:rPr>
              <w:t>[10]</w:t>
            </w:r>
            <w:r>
              <w:rPr>
                <w:rFonts w:ascii="Arial" w:hAnsi="Arial" w:eastAsia="Arial"/>
                <w:b/>
                <w:bCs/>
                <w:sz w:val="18"/>
                <w:szCs w:val="18"/>
                <w:lang w:val="en-CA"/>
              </w:rPr>
              <w:t>Date of this document</w:t>
            </w:r>
          </w:p>
        </w:tc>
        <w:tc>
          <w:tcPr>
            <w:tcW w:w="6735" w:type="dxa"/>
            <w:tcBorders>
              <w:bottom w:val="single" w:color="7F7F7F" w:themeColor="text1" w:themeTint="80" w:sz="6" w:space="0"/>
              <w:right w:val="single" w:color="7F7F7F" w:themeColor="text1" w:themeTint="80" w:sz="6" w:space="0"/>
            </w:tcBorders>
          </w:tcPr>
          <w:p w14:paraId="7D9334E1" w14:textId="5AC542F4">
            <w:pPr>
              <w:spacing w:before="60" w:after="60"/>
              <w:rPr>
                <w:rFonts w:ascii="Arial" w:hAnsi="Arial" w:eastAsia="Arial"/>
                <w:sz w:val="18"/>
                <w:szCs w:val="18"/>
              </w:rPr>
            </w:pPr>
            <w:r>
              <w:rPr>
                <w:rStyle w:val="PleaseReviewParagraphId"/>
                <w:b w:val="off"/>
                <w:i w:val="off"/>
              </w:rPr>
              <w:t>[11]</w:t>
            </w:r>
            <w:r>
              <w:rPr>
                <w:rFonts w:ascii="Arial" w:hAnsi="Arial" w:eastAsia="Arial"/>
                <w:sz w:val="18"/>
                <w:szCs w:val="18"/>
                <w:lang w:val="en-CA"/>
              </w:rPr>
              <w:t>2021-04-12</w:t>
            </w:r>
          </w:p>
        </w:tc>
      </w:tr>
      <w:tr w14:paraId="02A34458" w14:textId="77777777">
        <w:trPr>
          <w:trHeight w:val="300"/>
        </w:trPr>
        <w:tc>
          <w:tcPr>
            <w:tcW w:w="2265" w:type="dxa"/>
            <w:tcBorders>
              <w:left w:val="single" w:color="7F7F7F" w:themeColor="text1" w:themeTint="80" w:sz="6" w:space="0"/>
              <w:bottom w:val="single" w:color="7F7F7F" w:themeColor="text1" w:themeTint="80" w:sz="6" w:space="0"/>
              <w:right w:val="single" w:color="7F7F7F" w:themeColor="text1" w:themeTint="80" w:sz="6" w:space="0"/>
            </w:tcBorders>
          </w:tcPr>
          <w:p w14:paraId="36CE5A4B" w14:textId="54937261">
            <w:pPr>
              <w:spacing w:before="60" w:after="60"/>
              <w:rPr>
                <w:rFonts w:ascii="Arial" w:hAnsi="Arial" w:eastAsia="Arial"/>
                <w:sz w:val="18"/>
                <w:szCs w:val="18"/>
              </w:rPr>
            </w:pPr>
            <w:r>
              <w:rPr>
                <w:rStyle w:val="PleaseReviewParagraphId"/>
                <w:b w:val="off"/>
                <w:i w:val="off"/>
              </w:rPr>
              <w:t>[12]</w:t>
            </w:r>
            <w:r>
              <w:rPr>
                <w:rFonts w:ascii="Arial" w:hAnsi="Arial" w:eastAsia="Arial"/>
                <w:b/>
                <w:bCs/>
                <w:sz w:val="18"/>
                <w:szCs w:val="18"/>
                <w:lang w:val="en-CA"/>
              </w:rPr>
              <w:t>Current document stage</w:t>
            </w:r>
          </w:p>
        </w:tc>
        <w:tc>
          <w:tcPr>
            <w:tcW w:w="6735" w:type="dxa"/>
            <w:tcBorders>
              <w:bottom w:val="single" w:color="7F7F7F" w:themeColor="text1" w:themeTint="80" w:sz="6" w:space="0"/>
              <w:right w:val="single" w:color="7F7F7F" w:themeColor="text1" w:themeTint="80" w:sz="6" w:space="0"/>
            </w:tcBorders>
          </w:tcPr>
          <w:p w14:paraId="281E3591" w14:textId="773BE900">
            <w:pPr>
              <w:spacing w:before="60" w:after="60"/>
              <w:rPr>
                <w:rFonts w:ascii="Arial" w:hAnsi="Arial" w:eastAsia="Arial"/>
                <w:sz w:val="18"/>
                <w:szCs w:val="18"/>
              </w:rPr>
            </w:pPr>
            <w:r>
              <w:rPr>
                <w:rStyle w:val="PleaseReviewParagraphId"/>
                <w:b w:val="off"/>
                <w:i w:val="off"/>
              </w:rPr>
              <w:t>[13]</w:t>
            </w:r>
            <w:r>
              <w:rPr>
                <w:rFonts w:ascii="Arial" w:hAnsi="Arial" w:eastAsia="Arial"/>
                <w:sz w:val="18"/>
                <w:szCs w:val="18"/>
                <w:lang w:val="en-CA"/>
              </w:rPr>
              <w:t>Draft Specification</w:t>
            </w:r>
          </w:p>
        </w:tc>
      </w:tr>
      <w:tr w14:paraId="481CA011" w14:textId="77777777">
        <w:trPr>
          <w:trHeight w:val="480"/>
        </w:trPr>
        <w:tc>
          <w:tcPr>
            <w:tcW w:w="2265" w:type="dxa"/>
            <w:tcBorders>
              <w:left w:val="single" w:color="7F7F7F" w:themeColor="text1" w:themeTint="80" w:sz="6" w:space="0"/>
              <w:bottom w:val="single" w:color="7F7F7F" w:themeColor="text1" w:themeTint="80" w:sz="6" w:space="0"/>
              <w:right w:val="single" w:color="7F7F7F" w:themeColor="text1" w:themeTint="80" w:sz="6" w:space="0"/>
            </w:tcBorders>
          </w:tcPr>
          <w:p w14:paraId="5601B581" w14:textId="121D0DF1">
            <w:pPr>
              <w:spacing w:before="60" w:after="60"/>
              <w:rPr>
                <w:rFonts w:ascii="Arial" w:hAnsi="Arial" w:eastAsia="Arial"/>
                <w:sz w:val="18"/>
                <w:szCs w:val="18"/>
              </w:rPr>
            </w:pPr>
            <w:r>
              <w:rPr>
                <w:rStyle w:val="PleaseReviewParagraphId"/>
                <w:b w:val="off"/>
                <w:i w:val="off"/>
              </w:rPr>
              <w:t>[14]</w:t>
            </w:r>
            <w:r>
              <w:rPr>
                <w:rFonts w:ascii="Arial" w:hAnsi="Arial" w:eastAsia="Arial"/>
                <w:b/>
                <w:bCs/>
                <w:sz w:val="18"/>
                <w:szCs w:val="18"/>
                <w:lang w:val="en-CA"/>
              </w:rPr>
              <w:t>Major stages completed</w:t>
            </w:r>
          </w:p>
        </w:tc>
        <w:tc>
          <w:tcPr>
            <w:tcW w:w="6735" w:type="dxa"/>
            <w:tcBorders>
              <w:bottom w:val="single" w:color="7F7F7F" w:themeColor="text1" w:themeTint="80" w:sz="6" w:space="0"/>
              <w:right w:val="single" w:color="7F7F7F" w:themeColor="text1" w:themeTint="80" w:sz="6" w:space="0"/>
            </w:tcBorders>
          </w:tcPr>
          <w:p w14:paraId="265E7BBD" w14:textId="6B3A7123">
            <w:pPr>
              <w:pStyle w:val="ListParagraph"/>
              <w:numPr>
                <w:ilvl w:val="0"/>
                <w:numId w:val="1"/>
              </w:numPr>
              <w:spacing w:after="60"/>
              <w:ind w:left="0" w:hanging="357"/>
              <w:rPr>
                <w:rFonts w:ascii="Arial" w:hAnsi="Arial" w:eastAsia="Arial"/>
                <w:sz w:val="18"/>
                <w:szCs w:val="18"/>
              </w:rPr>
            </w:pPr>
            <w:r>
              <w:rPr>
                <w:rStyle w:val="PleaseReviewParagraphId"/>
                <w:b w:val="off"/>
                <w:i w:val="off"/>
              </w:rPr>
              <w:t>[15]</w:t>
            </w:r>
            <w:r>
              <w:rPr>
                <w:rFonts w:ascii="Arial" w:hAnsi="Arial" w:eastAsia="Arial"/>
                <w:sz w:val="18"/>
                <w:szCs w:val="18"/>
                <w:lang w:val="en-CA"/>
              </w:rPr>
              <w:t>2021-03: CPM-15 added this topic to List of Implementation and Capacity Development Topics; priority 1</w:t>
            </w:r>
          </w:p>
          <w:p w14:paraId="6ED332B2" w14:textId="2483FBCC">
            <w:pPr>
              <w:spacing w:after="60"/>
              <w:rPr>
                <w:rFonts w:ascii="Arial" w:hAnsi="Arial" w:eastAsia="Arial"/>
                <w:sz w:val="18"/>
                <w:szCs w:val="18"/>
              </w:rPr>
            </w:pPr>
            <w:r>
              <w:rPr>
                <w:rStyle w:val="PleaseReviewParagraphId"/>
                <w:b w:val="off"/>
                <w:i w:val="off"/>
              </w:rPr>
              <w:t>[16]</w:t>
            </w:r>
            <w:r>
              <w:rPr>
                <w:rFonts w:ascii="Arial" w:hAnsi="Arial" w:eastAsia="Arial"/>
                <w:sz w:val="18"/>
                <w:szCs w:val="18"/>
                <w:lang w:val="en-CA"/>
              </w:rPr>
              <w:t>2020-11: Implementation and Capacity Development Committee (IC) lead identified (Mr Chris DALE (AU))</w:t>
            </w:r>
          </w:p>
          <w:p w14:paraId="21907B36" w14:textId="28A1A8E9">
            <w:pPr>
              <w:pStyle w:val="ListParagraph"/>
              <w:numPr>
                <w:ilvl w:val="0"/>
                <w:numId w:val="1"/>
              </w:numPr>
              <w:spacing w:after="60"/>
              <w:ind w:left="0" w:hanging="357"/>
              <w:rPr>
                <w:rFonts w:ascii="Arial" w:hAnsi="Arial" w:eastAsia="Arial"/>
                <w:sz w:val="18"/>
                <w:szCs w:val="18"/>
              </w:rPr>
            </w:pPr>
            <w:r>
              <w:rPr>
                <w:rStyle w:val="PleaseReviewParagraphId"/>
                <w:b w:val="off"/>
                <w:i w:val="off"/>
              </w:rPr>
              <w:t>[17]</w:t>
            </w:r>
            <w:r>
              <w:rPr>
                <w:rFonts w:ascii="Arial" w:hAnsi="Arial" w:eastAsia="Arial"/>
                <w:sz w:val="18"/>
                <w:szCs w:val="18"/>
                <w:lang w:val="en-CA"/>
              </w:rPr>
              <w:t>2021-03: draft Specification prepared by the Implementation and Facilitation Unit (IFU)  with input from IC lead</w:t>
            </w:r>
          </w:p>
          <w:p w14:paraId="73F95745" w14:textId="63BA3E29">
            <w:pPr>
              <w:pStyle w:val="ListParagraph"/>
              <w:numPr>
                <w:ilvl w:val="0"/>
                <w:numId w:val="1"/>
              </w:numPr>
              <w:spacing w:after="60"/>
              <w:ind w:left="0" w:hanging="357"/>
              <w:rPr>
                <w:rFonts w:ascii="Arial" w:hAnsi="Arial" w:eastAsia="Arial"/>
                <w:sz w:val="18"/>
                <w:szCs w:val="18"/>
              </w:rPr>
            </w:pPr>
            <w:r>
              <w:rPr>
                <w:rStyle w:val="PleaseReviewParagraphId"/>
                <w:b w:val="off"/>
                <w:i w:val="off"/>
              </w:rPr>
              <w:t>[18]</w:t>
            </w:r>
            <w:r>
              <w:rPr>
                <w:rFonts w:ascii="Arial" w:hAnsi="Arial" w:eastAsia="Arial"/>
                <w:sz w:val="18"/>
                <w:szCs w:val="18"/>
                <w:lang w:val="en-CA"/>
              </w:rPr>
              <w:t>2021-04: Commented by IC though OCS</w:t>
            </w:r>
          </w:p>
          <w:p w14:paraId="1B641B28" w14:textId="50848A32">
            <w:pPr>
              <w:pStyle w:val="ListParagraph"/>
              <w:numPr>
                <w:ilvl w:val="0"/>
                <w:numId w:val="1"/>
              </w:numPr>
              <w:spacing w:after="60"/>
              <w:ind w:left="0" w:hanging="357"/>
              <w:rPr>
                <w:rFonts w:ascii="Arial" w:hAnsi="Arial" w:eastAsia="Arial"/>
                <w:sz w:val="18"/>
                <w:szCs w:val="18"/>
              </w:rPr>
            </w:pPr>
            <w:r>
              <w:rPr>
                <w:rStyle w:val="PleaseReviewParagraphId"/>
                <w:b w:val="off"/>
                <w:i w:val="off"/>
              </w:rPr>
              <w:t>[19]</w:t>
            </w:r>
            <w:r>
              <w:rPr>
                <w:rFonts w:ascii="Arial" w:hAnsi="Arial" w:eastAsia="Arial"/>
                <w:sz w:val="18"/>
                <w:szCs w:val="18"/>
                <w:lang w:val="en-CA"/>
              </w:rPr>
              <w:t>2021-05: Comments reviewed of by IC lead</w:t>
            </w:r>
          </w:p>
          <w:p w14:paraId="004CE0CB" w14:textId="1B1EE1F9">
            <w:pPr>
              <w:pStyle w:val="ListParagraph"/>
              <w:numPr>
                <w:ilvl w:val="0"/>
                <w:numId w:val="1"/>
              </w:numPr>
              <w:spacing w:after="60"/>
              <w:ind w:left="0" w:hanging="357"/>
              <w:rPr>
                <w:rFonts w:ascii="Arial" w:hAnsi="Arial" w:eastAsia="Arial"/>
                <w:sz w:val="18"/>
                <w:szCs w:val="18"/>
              </w:rPr>
            </w:pPr>
            <w:r>
              <w:rPr>
                <w:rStyle w:val="PleaseReviewParagraphId"/>
                <w:b w:val="off"/>
                <w:i w:val="off"/>
              </w:rPr>
              <w:t>[20]</w:t>
            </w:r>
            <w:r>
              <w:rPr>
                <w:rFonts w:ascii="Arial" w:hAnsi="Arial" w:eastAsia="Arial"/>
                <w:sz w:val="18"/>
                <w:szCs w:val="18"/>
                <w:lang w:val="en-CA"/>
              </w:rPr>
              <w:t>2021-05: IC approved draft specification for consultation (e-decision 2021_eIC_09)</w:t>
            </w:r>
          </w:p>
          <w:p w14:paraId="41289414" w14:textId="26D5EC2A">
            <w:pPr>
              <w:spacing w:after="60"/>
              <w:rPr>
                <w:rFonts w:ascii="Arial" w:hAnsi="Arial" w:eastAsia="Arial"/>
                <w:sz w:val="18"/>
                <w:szCs w:val="18"/>
              </w:rPr>
            </w:pPr>
            <w:r>
              <w:rPr>
                <w:rStyle w:val="PleaseReviewParagraphId"/>
                <w:b w:val="off"/>
                <w:i w:val="off"/>
              </w:rPr>
              <w:t>[21]</w:t>
            </w:r>
          </w:p>
        </w:tc>
      </w:tr>
      <w:tr w14:paraId="6724095B" w14:textId="77777777">
        <w:trPr>
          <w:trHeight w:val="480"/>
        </w:trPr>
        <w:tc>
          <w:tcPr>
            <w:tcW w:w="2265" w:type="dxa"/>
            <w:tcBorders>
              <w:left w:val="single" w:color="7F7F7F" w:themeColor="text1" w:themeTint="80" w:sz="6" w:space="0"/>
              <w:bottom w:val="single" w:color="7F7F7F" w:themeColor="text1" w:themeTint="80" w:sz="6" w:space="0"/>
              <w:right w:val="single" w:color="7F7F7F" w:themeColor="text1" w:themeTint="80" w:sz="6" w:space="0"/>
            </w:tcBorders>
          </w:tcPr>
          <w:p w14:paraId="23AD5AFF" w14:textId="5549B494">
            <w:pPr>
              <w:spacing w:before="60" w:after="60"/>
              <w:rPr>
                <w:rFonts w:ascii="Arial" w:hAnsi="Arial" w:eastAsia="Arial"/>
                <w:sz w:val="18"/>
                <w:szCs w:val="18"/>
              </w:rPr>
            </w:pPr>
            <w:r>
              <w:rPr>
                <w:rStyle w:val="PleaseReviewParagraphId"/>
                <w:b w:val="off"/>
                <w:i w:val="off"/>
              </w:rPr>
              <w:t>[22]</w:t>
            </w:r>
            <w:r>
              <w:rPr>
                <w:rFonts w:ascii="Arial" w:hAnsi="Arial" w:eastAsia="Arial"/>
                <w:b/>
                <w:bCs/>
                <w:sz w:val="18"/>
                <w:szCs w:val="18"/>
                <w:lang w:val="en-CA"/>
              </w:rPr>
              <w:t>Implementation and Capacity Development Committee (IC) lead</w:t>
            </w:r>
          </w:p>
        </w:tc>
        <w:tc>
          <w:tcPr>
            <w:tcW w:w="6735" w:type="dxa"/>
            <w:tcBorders>
              <w:bottom w:val="single" w:color="7F7F7F" w:themeColor="text1" w:themeTint="80" w:sz="6" w:space="0"/>
              <w:right w:val="single" w:color="7F7F7F" w:themeColor="text1" w:themeTint="80" w:sz="6" w:space="0"/>
            </w:tcBorders>
          </w:tcPr>
          <w:p w14:paraId="05AE50A8" w14:textId="7C99DC47">
            <w:pPr>
              <w:spacing w:before="60" w:after="60"/>
              <w:rPr>
                <w:rFonts w:ascii="Arial" w:hAnsi="Arial" w:eastAsia="Arial"/>
                <w:sz w:val="18"/>
                <w:szCs w:val="18"/>
              </w:rPr>
            </w:pPr>
            <w:r>
              <w:rPr>
                <w:rStyle w:val="PleaseReviewParagraphId"/>
                <w:b w:val="off"/>
                <w:i w:val="off"/>
              </w:rPr>
              <w:t>[23]</w:t>
            </w:r>
            <w:r>
              <w:rPr>
                <w:rFonts w:ascii="Arial" w:hAnsi="Arial" w:eastAsia="Arial"/>
                <w:sz w:val="18"/>
                <w:szCs w:val="18"/>
                <w:lang w:val="en-CA"/>
              </w:rPr>
              <w:t>2020-11 IC Mr Chris DALE (AU)</w:t>
            </w:r>
          </w:p>
        </w:tc>
      </w:tr>
      <w:tr w14:paraId="1E887D97" w14:textId="77777777">
        <w:trPr>
          <w:trHeight w:val="480"/>
        </w:trPr>
        <w:tc>
          <w:tcPr>
            <w:tcW w:w="2265" w:type="dxa"/>
            <w:tcBorders>
              <w:left w:val="single" w:color="7F7F7F" w:themeColor="text1" w:themeTint="80" w:sz="6" w:space="0"/>
              <w:bottom w:val="single" w:color="7F7F7F" w:themeColor="text1" w:themeTint="80" w:sz="6" w:space="0"/>
              <w:right w:val="single" w:color="7F7F7F" w:themeColor="text1" w:themeTint="80" w:sz="6" w:space="0"/>
            </w:tcBorders>
          </w:tcPr>
          <w:p w14:paraId="03572452" w14:textId="0B0EAA1D">
            <w:pPr>
              <w:spacing w:before="60" w:after="60"/>
              <w:rPr>
                <w:rFonts w:ascii="Arial" w:hAnsi="Arial" w:eastAsia="Arial"/>
                <w:sz w:val="18"/>
                <w:szCs w:val="18"/>
              </w:rPr>
            </w:pPr>
            <w:r>
              <w:rPr>
                <w:rStyle w:val="PleaseReviewParagraphId"/>
                <w:b w:val="off"/>
                <w:i w:val="off"/>
              </w:rPr>
              <w:t>[24]</w:t>
            </w:r>
            <w:r>
              <w:rPr>
                <w:rFonts w:ascii="Arial" w:hAnsi="Arial" w:eastAsia="Arial"/>
                <w:b/>
                <w:bCs/>
                <w:sz w:val="18"/>
                <w:szCs w:val="18"/>
                <w:lang w:val="en-CA"/>
              </w:rPr>
              <w:t>IPPC Secretariat lead</w:t>
            </w:r>
          </w:p>
        </w:tc>
        <w:tc>
          <w:tcPr>
            <w:tcW w:w="6735" w:type="dxa"/>
            <w:tcBorders>
              <w:bottom w:val="single" w:color="7F7F7F" w:themeColor="text1" w:themeTint="80" w:sz="6" w:space="0"/>
              <w:right w:val="single" w:color="7F7F7F" w:themeColor="text1" w:themeTint="80" w:sz="6" w:space="0"/>
            </w:tcBorders>
          </w:tcPr>
          <w:p w14:paraId="41B97589" w14:textId="0F956AA3">
            <w:pPr>
              <w:spacing w:before="60" w:after="60"/>
              <w:rPr>
                <w:rFonts w:ascii="Arial" w:hAnsi="Arial" w:eastAsia="Arial"/>
                <w:sz w:val="18"/>
                <w:szCs w:val="18"/>
              </w:rPr>
            </w:pPr>
            <w:r>
              <w:rPr>
                <w:rStyle w:val="PleaseReviewParagraphId"/>
                <w:b w:val="off"/>
                <w:i w:val="off"/>
              </w:rPr>
              <w:t>[25]</w:t>
            </w:r>
            <w:r>
              <w:rPr>
                <w:rFonts w:ascii="Arial" w:hAnsi="Arial" w:eastAsia="Arial"/>
                <w:sz w:val="18"/>
                <w:szCs w:val="18"/>
                <w:lang w:val="en-CA"/>
              </w:rPr>
              <w:t>2021-02 IFU Ms Natsumi YAMADA</w:t>
            </w:r>
          </w:p>
        </w:tc>
      </w:tr>
      <w:tr w14:paraId="7F5B178F" w14:textId="77777777">
        <w:trPr>
          <w:trHeight w:val="480"/>
        </w:trPr>
        <w:tc>
          <w:tcPr>
            <w:tcW w:w="2265" w:type="dxa"/>
            <w:tcBorders>
              <w:left w:val="single" w:color="7F7F7F" w:themeColor="text1" w:themeTint="80" w:sz="6" w:space="0"/>
              <w:bottom w:val="single" w:color="7F7F7F" w:themeColor="text1" w:themeTint="80" w:sz="6" w:space="0"/>
              <w:right w:val="single" w:color="7F7F7F" w:themeColor="text1" w:themeTint="80" w:sz="6" w:space="0"/>
            </w:tcBorders>
          </w:tcPr>
          <w:p w14:paraId="077CEA0B" w14:textId="514BDE02">
            <w:pPr>
              <w:spacing w:before="60" w:after="60"/>
              <w:rPr>
                <w:rFonts w:ascii="Arial" w:hAnsi="Arial" w:eastAsia="Arial"/>
                <w:sz w:val="18"/>
                <w:szCs w:val="18"/>
              </w:rPr>
            </w:pPr>
            <w:r>
              <w:rPr>
                <w:rStyle w:val="PleaseReviewParagraphId"/>
                <w:b w:val="off"/>
                <w:i w:val="off"/>
              </w:rPr>
              <w:t>[26]</w:t>
            </w:r>
            <w:r>
              <w:rPr>
                <w:rFonts w:ascii="Arial" w:hAnsi="Arial" w:eastAsia="Arial"/>
                <w:b/>
                <w:bCs/>
                <w:sz w:val="18"/>
                <w:szCs w:val="18"/>
                <w:lang w:val="en-CA"/>
              </w:rPr>
              <w:t xml:space="preserve">Working Group experts </w:t>
            </w:r>
          </w:p>
        </w:tc>
        <w:tc>
          <w:tcPr>
            <w:tcW w:w="6735" w:type="dxa"/>
            <w:tcBorders>
              <w:bottom w:val="single" w:color="7F7F7F" w:themeColor="text1" w:themeTint="80" w:sz="6" w:space="0"/>
              <w:right w:val="single" w:color="7F7F7F" w:themeColor="text1" w:themeTint="80" w:sz="6" w:space="0"/>
            </w:tcBorders>
          </w:tcPr>
          <w:p w14:paraId="19986AB3" w14:textId="7E54D9AA">
            <w:pPr>
              <w:spacing w:before="60" w:after="60"/>
              <w:rPr>
                <w:rFonts w:ascii="Arial" w:hAnsi="Arial" w:eastAsia="Arial"/>
                <w:sz w:val="18"/>
                <w:szCs w:val="18"/>
              </w:rPr>
            </w:pPr>
            <w:r>
              <w:rPr>
                <w:rStyle w:val="PleaseReviewParagraphId"/>
                <w:b w:val="off"/>
                <w:i w:val="off"/>
              </w:rPr>
              <w:t>[27]</w:t>
            </w:r>
          </w:p>
        </w:tc>
      </w:tr>
      <w:tr w14:paraId="56111D6F" w14:textId="77777777">
        <w:trPr>
          <w:trHeight w:val="480"/>
        </w:trPr>
        <w:tc>
          <w:tcPr>
            <w:tcW w:w="2265" w:type="dxa"/>
            <w:tcBorders>
              <w:left w:val="single" w:color="7F7F7F" w:themeColor="text1" w:themeTint="80" w:sz="6" w:space="0"/>
              <w:bottom w:val="single" w:color="auto" w:sz="6" w:space="0"/>
              <w:right w:val="single" w:color="7F7F7F" w:themeColor="text1" w:themeTint="80" w:sz="6" w:space="0"/>
            </w:tcBorders>
          </w:tcPr>
          <w:p w14:paraId="54D38249" w14:textId="07B77DC1">
            <w:pPr>
              <w:spacing w:before="60" w:after="60"/>
              <w:rPr>
                <w:rFonts w:ascii="Arial" w:hAnsi="Arial" w:eastAsia="Arial"/>
                <w:sz w:val="18"/>
                <w:szCs w:val="18"/>
              </w:rPr>
            </w:pPr>
            <w:r>
              <w:rPr>
                <w:rStyle w:val="PleaseReviewParagraphId"/>
                <w:b w:val="off"/>
                <w:i w:val="off"/>
              </w:rPr>
              <w:t>[28]</w:t>
            </w:r>
            <w:r>
              <w:rPr>
                <w:rFonts w:ascii="Arial" w:hAnsi="Arial" w:eastAsia="Arial"/>
                <w:b/>
                <w:bCs/>
                <w:sz w:val="18"/>
                <w:szCs w:val="18"/>
                <w:lang w:val="en-CA"/>
              </w:rPr>
              <w:t>Notes</w:t>
            </w:r>
          </w:p>
        </w:tc>
        <w:tc>
          <w:tcPr>
            <w:tcW w:w="6735" w:type="dxa"/>
            <w:tcBorders>
              <w:bottom w:val="single" w:color="auto" w:sz="6" w:space="0"/>
              <w:right w:val="single" w:color="7F7F7F" w:themeColor="text1" w:themeTint="80" w:sz="6" w:space="0"/>
            </w:tcBorders>
          </w:tcPr>
          <w:p w14:paraId="165B46A0" w14:textId="4692E67C">
            <w:pPr>
              <w:spacing w:after="180"/>
              <w:rPr>
                <w:rFonts w:ascii="Arial" w:hAnsi="Arial" w:eastAsia="Arial"/>
                <w:sz w:val="18"/>
                <w:szCs w:val="18"/>
              </w:rPr>
            </w:pPr>
            <w:r>
              <w:rPr>
                <w:rStyle w:val="PleaseReviewParagraphId"/>
                <w:b w:val="off"/>
                <w:i w:val="off"/>
              </w:rPr>
              <w:t>[29]</w:t>
            </w:r>
          </w:p>
        </w:tc>
      </w:tr>
    </w:tbl>
    <w:p w14:paraId="1CB3B773" w14:textId="77777777">
      <w:pPr>
        <w:tabs>
          <w:tab w:val="left" w:pos="567"/>
        </w:tabs>
        <w:spacing w:before="240" w:after="120"/>
        <w:ind w:left="567" w:hanging="567"/>
        <w:rPr>
          <w:rFonts w:ascii="Times New Roman" w:hAnsi="Times New Roman" w:eastAsia="Times New Roman" w:cs="Times New Roman"/>
          <w:b/>
          <w:bCs/>
          <w:color w:val="000000" w:themeColor="text1"/>
          <w:sz w:val="24"/>
          <w:szCs w:val="24"/>
        </w:rPr>
        <w:sectPr>
          <w:pgSz w:w="12240" w:h="15840"/>
          <w:pgMar w:top="1440" w:right="1440" w:bottom="1440" w:left="1440" w:header="708" w:footer="708" w:gutter="0"/>
          <w:cols w:space="708"/>
          <w:docGrid w:linePitch="360"/>
        </w:sectPr>
      </w:pPr>
      <w:r>
        <w:rPr>
          <w:rStyle w:val="PleaseReviewParagraphId"/>
          <w:b w:val="off"/>
          <w:i w:val="off"/>
        </w:rPr>
        <w:t>[30]</w:t>
      </w:r>
    </w:p>
    <w:p w14:paraId="45BBF69F" w14:textId="77777777">
      <w:pPr>
        <w:pStyle w:val="IPPHeading1"/>
        <w:outlineLvl w:val="9"/>
        <w:rPr>
          <w:rFonts w:ascii="Times New Roman" w:hAnsi="Times New Roman" w:cs="Times New Roman"/>
        </w:rPr>
      </w:pPr>
      <w:r>
        <w:rPr>
          <w:rStyle w:val="PleaseReviewParagraphId"/>
          <w:b w:val="off"/>
          <w:i w:val="off"/>
        </w:rPr>
        <w:t>[31]</w:t>
      </w:r>
      <w:r>
        <w:rPr>
          <w:rFonts w:ascii="Times New Roman" w:hAnsi="Times New Roman"/>
        </w:rPr>
        <w:lastRenderedPageBreak/>
        <w:t>1. Titre</w:t>
      </w:r>
    </w:p>
    <w:p w14:paraId="166BFE5A" w14:textId="77777777">
      <w:pPr>
        <w:pStyle w:val="IPPHeading1"/>
        <w:jc w:val="both"/>
        <w:outlineLvl w:val="9"/>
        <w:rPr>
          <w:rFonts w:ascii="Times New Roman" w:hAnsi="Times New Roman" w:eastAsia="MS Mincho" w:cs="Times New Roman"/>
          <w:b w:val="0"/>
          <w:bCs/>
          <w:iCs/>
          <w:sz w:val="22"/>
        </w:rPr>
      </w:pPr>
      <w:r>
        <w:rPr>
          <w:rStyle w:val="PleaseReviewParagraphId"/>
          <w:b w:val="off"/>
          <w:i w:val="off"/>
        </w:rPr>
        <w:t>[32]</w:t>
      </w:r>
      <w:r>
        <w:rPr>
          <w:rFonts w:ascii="Times New Roman" w:hAnsi="Times New Roman"/>
          <w:b w:val="0"/>
          <w:sz w:val="22"/>
        </w:rPr>
        <w:t>Obligations en matière de surveillance et de communication d’informations, cours de formation en ligne (2020-012)</w:t>
      </w:r>
    </w:p>
    <w:p w14:paraId="6E4661D8" w14:textId="77777777">
      <w:pPr>
        <w:pStyle w:val="IPPHeading1"/>
        <w:outlineLvl w:val="9"/>
        <w:rPr>
          <w:rFonts w:ascii="Times New Roman" w:hAnsi="Times New Roman" w:cs="Times New Roman"/>
          <w:b w:val="0"/>
          <w:szCs w:val="24"/>
        </w:rPr>
      </w:pPr>
      <w:r>
        <w:rPr>
          <w:rStyle w:val="PleaseReviewParagraphId"/>
          <w:b w:val="off"/>
          <w:i w:val="off"/>
        </w:rPr>
        <w:t>[33]</w:t>
      </w:r>
      <w:r>
        <w:rPr>
          <w:rFonts w:ascii="Times New Roman" w:hAnsi="Times New Roman"/>
        </w:rPr>
        <w:t>2. Type de ressource nécessaire à la mise en œuvre</w:t>
      </w:r>
    </w:p>
    <w:p w14:paraId="152DAF4C" w14:textId="77777777">
      <w:pPr>
        <w:pStyle w:val="IPPParagraphnumbering"/>
        <w:numPr>
          <w:ilvl w:val="0"/>
          <w:numId w:val="0"/>
        </w:numPr>
        <w:tabs>
          <w:tab w:val="left" w:pos="720"/>
        </w:tabs>
        <w:rPr>
          <w:rFonts w:ascii="Times New Roman" w:hAnsi="Times New Roman" w:eastAsia="MS Mincho" w:cs="Times New Roman"/>
          <w:bCs/>
          <w:iCs/>
        </w:rPr>
      </w:pPr>
      <w:r>
        <w:rPr>
          <w:rStyle w:val="PleaseReviewParagraphId"/>
          <w:b w:val="off"/>
          <w:i w:val="off"/>
        </w:rPr>
        <w:t>[34]</w:t>
      </w:r>
      <w:r>
        <w:rPr>
          <w:rFonts w:ascii="Times New Roman" w:hAnsi="Times New Roman"/>
        </w:rPr>
        <w:t>Nouveau cours de formation en ligne</w:t>
      </w:r>
    </w:p>
    <w:p w14:paraId="58D86B90" w14:textId="77777777">
      <w:pPr>
        <w:pStyle w:val="IPPHeading1"/>
        <w:jc w:val="both"/>
        <w:outlineLvl w:val="9"/>
        <w:rPr>
          <w:rFonts w:ascii="Times New Roman" w:hAnsi="Times New Roman" w:cs="Times New Roman"/>
          <w:b w:val="0"/>
          <w:szCs w:val="24"/>
        </w:rPr>
      </w:pPr>
      <w:r>
        <w:rPr>
          <w:rStyle w:val="PleaseReviewParagraphId"/>
          <w:b w:val="off"/>
          <w:i w:val="off"/>
        </w:rPr>
        <w:t>[35]</w:t>
      </w:r>
      <w:r>
        <w:rPr>
          <w:rFonts w:ascii="Times New Roman" w:hAnsi="Times New Roman"/>
        </w:rPr>
        <w:t>3. Articles de la Convention, NIMP et recommandations de la CMP sur lesquels porte la ressource proposée</w:t>
      </w:r>
    </w:p>
    <w:p w14:paraId="5EC9403A" w14:textId="77777777">
      <w:pPr>
        <w:pStyle w:val="IPPNormal"/>
        <w:jc w:val="both"/>
        <w:rPr>
          <w:rFonts w:ascii="Times New Roman" w:hAnsi="Times New Roman" w:eastAsia="MS Mincho" w:cs="Times New Roman"/>
          <w:bCs/>
          <w:iCs/>
        </w:rPr>
      </w:pPr>
      <w:r>
        <w:rPr>
          <w:rStyle w:val="PleaseReviewParagraphId"/>
          <w:b w:val="off"/>
          <w:i w:val="off"/>
        </w:rPr>
        <w:t>[36]</w:t>
      </w:r>
      <w:r>
        <w:rPr>
          <w:rFonts w:ascii="Times New Roman" w:hAnsi="Times New Roman"/>
        </w:rPr>
        <w:t>Convention internationale pour la protection des végétaux</w:t>
      </w:r>
      <w:r>
        <w:rPr>
          <w:rStyle w:val="FootnoteReference"/>
          <w:rFonts w:ascii="Times New Roman" w:hAnsi="Times New Roman" w:eastAsia="MS Mincho" w:cs="Times New Roman"/>
          <w:bCs/>
          <w:iCs/>
          <w:color w:val="0000FF"/>
          <w:u w:val="single"/>
        </w:rPr>
        <w:footnoteReference w:id="1"/>
      </w:r>
      <w:r>
        <w:rPr>
          <w:rFonts w:ascii="Times New Roman" w:hAnsi="Times New Roman"/>
        </w:rPr>
        <w:t xml:space="preserve"> (articles IV. 2 b), e), 3 a), VII. 2 i), j) et VIII. 1 a) en particulier)</w:t>
      </w:r>
    </w:p>
    <w:p w14:paraId="577767EB" w14:textId="77777777">
      <w:pPr>
        <w:pStyle w:val="IPPNormal"/>
        <w:rPr>
          <w:rFonts w:ascii="Times New Roman" w:hAnsi="Times New Roman" w:cs="Times New Roman"/>
          <w:color w:val="0000FF"/>
        </w:rPr>
      </w:pPr>
      <w:r>
        <w:rPr>
          <w:rStyle w:val="PleaseReviewParagraphId"/>
          <w:b w:val="off"/>
          <w:i w:val="off"/>
        </w:rPr>
        <w:t>[38]</w:t>
      </w:r>
      <w:r>
        <w:rPr>
          <w:rFonts w:ascii="Times New Roman" w:hAnsi="Times New Roman"/>
        </w:rPr>
        <w:t xml:space="preserve">NIMP 6: </w:t>
      </w:r>
      <w:r>
        <w:rPr>
          <w:rFonts w:ascii="Times New Roman" w:hAnsi="Times New Roman"/>
          <w:i/>
        </w:rPr>
        <w:t>Surveillance</w:t>
      </w:r>
      <w:r>
        <w:rPr>
          <w:rStyle w:val="FootnoteReference"/>
          <w:rFonts w:ascii="Times New Roman" w:hAnsi="Times New Roman" w:cs="Times New Roman"/>
          <w:color w:val="0000FF"/>
        </w:rPr>
        <w:footnoteReference w:id="2"/>
      </w:r>
    </w:p>
    <w:p w14:paraId="2F23A682" w14:textId="77777777">
      <w:pPr>
        <w:pStyle w:val="IPPNormal"/>
        <w:rPr>
          <w:rFonts w:ascii="Times New Roman" w:hAnsi="Times New Roman" w:cs="Times New Roman"/>
          <w:i/>
        </w:rPr>
      </w:pPr>
      <w:r>
        <w:rPr>
          <w:rStyle w:val="PleaseReviewParagraphId"/>
          <w:b w:val="off"/>
          <w:i w:val="off"/>
        </w:rPr>
        <w:t>[40]</w:t>
      </w:r>
      <w:r>
        <w:rPr>
          <w:rFonts w:ascii="Times New Roman" w:hAnsi="Times New Roman"/>
        </w:rPr>
        <w:t>NIMP 8:</w:t>
      </w:r>
      <w:r>
        <w:rPr>
          <w:rFonts w:ascii="Times New Roman" w:hAnsi="Times New Roman"/>
          <w:i/>
        </w:rPr>
        <w:t xml:space="preserve"> Détermination de la situation d’un organisme nuisible dans une zone</w:t>
      </w:r>
      <w:r>
        <w:rPr>
          <w:rStyle w:val="FootnoteReference"/>
          <w:rFonts w:ascii="Times New Roman" w:hAnsi="Times New Roman" w:cs="Times New Roman"/>
          <w:i/>
        </w:rPr>
        <w:footnoteReference w:id="3"/>
      </w:r>
    </w:p>
    <w:p w14:paraId="5F428A57" w14:textId="77777777">
      <w:pPr>
        <w:pStyle w:val="IPPNormal"/>
        <w:rPr>
          <w:rFonts w:ascii="Times New Roman" w:hAnsi="Times New Roman" w:cs="Times New Roman"/>
          <w:i/>
          <w:color w:val="0000FF"/>
        </w:rPr>
      </w:pPr>
      <w:r>
        <w:rPr>
          <w:rStyle w:val="PleaseReviewParagraphId"/>
          <w:b w:val="off"/>
          <w:i w:val="off"/>
        </w:rPr>
        <w:t>[42]</w:t>
      </w:r>
      <w:r>
        <w:rPr>
          <w:rFonts w:ascii="Times New Roman" w:hAnsi="Times New Roman"/>
        </w:rPr>
        <w:t xml:space="preserve">NIMP 17: </w:t>
      </w:r>
      <w:r>
        <w:rPr>
          <w:rFonts w:ascii="Times New Roman" w:hAnsi="Times New Roman"/>
          <w:i/>
        </w:rPr>
        <w:t>Signalement d’organismes nuisibles</w:t>
      </w:r>
      <w:r>
        <w:rPr>
          <w:rStyle w:val="FootnoteReference"/>
          <w:rFonts w:ascii="Times New Roman" w:hAnsi="Times New Roman" w:cs="Times New Roman"/>
          <w:i/>
          <w:color w:val="0000FF"/>
        </w:rPr>
        <w:footnoteReference w:id="4"/>
      </w:r>
    </w:p>
    <w:p w14:paraId="09F74003" w14:textId="77777777">
      <w:pPr>
        <w:pStyle w:val="IPPHeading1"/>
        <w:outlineLvl w:val="9"/>
        <w:rPr>
          <w:rFonts w:ascii="Times New Roman" w:hAnsi="Times New Roman" w:eastAsia="MS Mincho" w:cs="Times New Roman"/>
          <w:b w:val="0"/>
          <w:bCs/>
          <w:iCs/>
          <w:szCs w:val="24"/>
        </w:rPr>
      </w:pPr>
      <w:r>
        <w:rPr>
          <w:rStyle w:val="PleaseReviewParagraphId"/>
          <w:b w:val="off"/>
          <w:i w:val="off"/>
        </w:rPr>
        <w:t>[44]</w:t>
      </w:r>
      <w:r>
        <w:rPr>
          <w:rFonts w:ascii="Times New Roman" w:hAnsi="Times New Roman"/>
        </w:rPr>
        <w:t xml:space="preserve">4. Champ d’application </w:t>
      </w:r>
    </w:p>
    <w:p w14:paraId="64270318" w14:textId="735B921E">
      <w:pPr>
        <w:pStyle w:val="IPPHeading1"/>
        <w:tabs>
          <w:tab w:val="clear" w:pos="567"/>
        </w:tabs>
        <w:ind w:left="0" w:firstLine="0"/>
        <w:jc w:val="both"/>
        <w:rPr>
          <w:rFonts w:ascii="Times New Roman" w:hAnsi="Times New Roman" w:eastAsia="MS Mincho" w:cs="Times New Roman"/>
          <w:b w:val="0"/>
          <w:sz w:val="22"/>
        </w:rPr>
      </w:pPr>
      <w:r>
        <w:rPr>
          <w:rStyle w:val="PleaseReviewParagraphId"/>
          <w:b w:val="off"/>
          <w:i w:val="off"/>
        </w:rPr>
        <w:t>[45]</w:t>
      </w:r>
      <w:r>
        <w:rPr>
          <w:rFonts w:ascii="Times New Roman" w:hAnsi="Times New Roman"/>
          <w:b w:val="0"/>
          <w:sz w:val="22"/>
        </w:rPr>
        <w:t xml:space="preserve">Le cours de formation en ligne présentera les concepts clés liés à la surveillance, à la détermination de la situation et au signalement des organismes nuisibles, en particulier en ce qui concerne la détection de nouveaux organismes nuisibles et les organismes nuisibles d’apparition récente. Il fournira des recommandations pratiques visant à aider les ONPV à renforcer leurs systèmes de surveillance nationaux et leurs activités de surveillance à l’appui de la détection précoce, du suivi et de la détermination de la situation des organismes nuisibles. Il fournira également des conseils spécifiques destinés à aider les ONPV à élaborer un système national de signalement de la présence, de l’apparition de foyers et de la dissémination d'organismes nuisibles. </w:t>
      </w:r>
    </w:p>
    <w:p w14:paraId="33C4B635" w14:textId="77777777">
      <w:pPr>
        <w:pStyle w:val="IPPHeading1"/>
        <w:tabs>
          <w:tab w:val="clear" w:pos="567"/>
        </w:tabs>
        <w:ind w:left="0" w:firstLine="0"/>
        <w:outlineLvl w:val="9"/>
        <w:rPr>
          <w:rFonts w:ascii="Times New Roman" w:hAnsi="Times New Roman" w:eastAsia="MS Mincho" w:cs="Times New Roman"/>
          <w:b w:val="0"/>
          <w:szCs w:val="24"/>
        </w:rPr>
      </w:pPr>
      <w:r>
        <w:rPr>
          <w:rStyle w:val="PleaseReviewParagraphId"/>
          <w:b w:val="off"/>
          <w:i w:val="off"/>
        </w:rPr>
        <w:t>[46]</w:t>
      </w:r>
      <w:r>
        <w:rPr>
          <w:rFonts w:ascii="Times New Roman" w:hAnsi="Times New Roman"/>
        </w:rPr>
        <w:t xml:space="preserve">5. Informations générales/Objectif </w:t>
      </w:r>
    </w:p>
    <w:p w14:paraId="745276EF" w14:textId="50C7DD7D">
      <w:pPr>
        <w:pStyle w:val="IPPParagraphnumbering"/>
        <w:numPr>
          <w:ilvl w:val="0"/>
          <w:numId w:val="0"/>
        </w:numPr>
        <w:tabs>
          <w:tab w:val="left" w:pos="720"/>
        </w:tabs>
        <w:jc w:val="both"/>
        <w:rPr>
          <w:rFonts w:ascii="Times New Roman" w:hAnsi="Times New Roman" w:cs="Times New Roman"/>
        </w:rPr>
      </w:pPr>
      <w:r>
        <w:rPr>
          <w:rStyle w:val="PleaseReviewParagraphId"/>
          <w:b w:val="off"/>
          <w:i w:val="off"/>
        </w:rPr>
        <w:t>[47]</w:t>
      </w:r>
      <w:r>
        <w:rPr>
          <w:rFonts w:ascii="Times New Roman" w:hAnsi="Times New Roman"/>
        </w:rPr>
        <w:t xml:space="preserve">Le cours de formation en ligne a pour objectif de fournir des orientations pratiques permettant d’améliorer la surveillance et la détermination de la situation des organismes nuisibles, et d’aider les ONPV à respecter leurs obligations en matière de signalement de la présence, de l’apparition de foyers et de la dissémination d'organismes nuisibles. Les participants acquerront les connaissances et les compétences nécessaires pour établir et maintenir un système de surveillance national, ainsi que concevoir et mettre en œuvre des activités de surveillance pour déterminer la situation des organismes nuisibles et communiquer des signalements d'organismes nuisibles conformément aux normes NIMP 6, NIMP 8 et NIMP 17. Des études de cas seront également présentées en tant que références permettant d’illustrer les obligations, les avantages et les défis </w:t>
        <w:lastRenderedPageBreak/>
        <w:t>liés à la surveillance, à la détermination de la situation et au signalement des organismes nuisibles, en particulier en ce qui concerne la détection de nouveaux organismes nuisibles et de nouveaux foyers.</w:t>
      </w:r>
    </w:p>
    <w:p w14:paraId="203C4936" w14:textId="77777777">
      <w:pPr>
        <w:pStyle w:val="IPPHeading1"/>
        <w:outlineLvl w:val="9"/>
        <w:rPr>
          <w:rFonts w:ascii="Times New Roman" w:hAnsi="Times New Roman" w:cs="Times New Roman"/>
          <w:szCs w:val="24"/>
        </w:rPr>
      </w:pPr>
      <w:r>
        <w:rPr>
          <w:rStyle w:val="PleaseReviewParagraphId"/>
          <w:b w:val="off"/>
          <w:i w:val="off"/>
        </w:rPr>
        <w:t>[48]</w:t>
      </w:r>
      <w:r>
        <w:rPr>
          <w:rFonts w:ascii="Times New Roman" w:hAnsi="Times New Roman"/>
        </w:rPr>
        <w:t>6. Contenu de la ressource proposée pour la mise en œuvre</w:t>
      </w:r>
    </w:p>
    <w:p w14:paraId="29B96DCB" w14:textId="77777777">
      <w:pPr>
        <w:pStyle w:val="IPPNormal"/>
        <w:rPr>
          <w:rFonts w:ascii="Times New Roman" w:hAnsi="Times New Roman" w:cs="Times New Roman"/>
        </w:rPr>
      </w:pPr>
      <w:r>
        <w:rPr>
          <w:rStyle w:val="PleaseReviewParagraphId"/>
          <w:b w:val="off"/>
          <w:i w:val="off"/>
        </w:rPr>
        <w:t>[49]</w:t>
      </w:r>
      <w:r>
        <w:rPr>
          <w:rFonts w:ascii="Times New Roman" w:hAnsi="Times New Roman"/>
        </w:rPr>
        <w:t>Le cours de formation en ligne proposé devrait, notamment:</w:t>
      </w:r>
    </w:p>
    <w:p w14:paraId="0674A0EC" w14:textId="77777777">
      <w:pPr>
        <w:pStyle w:val="IPPNormal"/>
        <w:numPr>
          <w:ilvl w:val="0"/>
          <w:numId w:val="41"/>
        </w:numPr>
        <w:jc w:val="both"/>
        <w:rPr>
          <w:rFonts w:ascii="Times New Roman" w:hAnsi="Times New Roman" w:cs="Times New Roman"/>
        </w:rPr>
      </w:pPr>
      <w:r>
        <w:rPr>
          <w:rStyle w:val="PleaseReviewParagraphId"/>
          <w:b w:val="off"/>
          <w:i w:val="off"/>
        </w:rPr>
        <w:t>[50]</w:t>
      </w:r>
      <w:r>
        <w:rPr>
          <w:rFonts w:ascii="Times New Roman" w:hAnsi="Times New Roman"/>
        </w:rPr>
        <w:t xml:space="preserve">Décrire les responsabilités et les obligations des ONPV en matière de surveillance, de détermination de la situation et de signalement des organismes nuisibles. </w:t>
      </w:r>
    </w:p>
    <w:p w14:paraId="0DD20183" w14:textId="77777777">
      <w:pPr>
        <w:pStyle w:val="IPPNormal"/>
        <w:numPr>
          <w:ilvl w:val="0"/>
          <w:numId w:val="41"/>
        </w:numPr>
        <w:jc w:val="both"/>
        <w:rPr>
          <w:rFonts w:ascii="Times New Roman" w:hAnsi="Times New Roman" w:cs="Times New Roman"/>
        </w:rPr>
      </w:pPr>
      <w:r>
        <w:rPr>
          <w:rStyle w:val="PleaseReviewParagraphId"/>
          <w:b w:val="off"/>
          <w:i w:val="off"/>
        </w:rPr>
        <w:t>[51]</w:t>
      </w:r>
      <w:r>
        <w:rPr>
          <w:rFonts w:ascii="Times New Roman" w:hAnsi="Times New Roman"/>
        </w:rPr>
        <w:t>Décrire le rôle que joue la surveillance dans la détection précoce et la détermination de la situation des organismes nuisibles.</w:t>
      </w:r>
    </w:p>
    <w:p w14:paraId="56E0C1F4" w14:textId="77777777">
      <w:pPr>
        <w:pStyle w:val="IPPNormal"/>
        <w:numPr>
          <w:ilvl w:val="0"/>
          <w:numId w:val="41"/>
        </w:numPr>
        <w:jc w:val="both"/>
        <w:rPr>
          <w:rFonts w:ascii="Times New Roman" w:hAnsi="Times New Roman" w:cs="Times New Roman"/>
        </w:rPr>
      </w:pPr>
      <w:r>
        <w:rPr>
          <w:rStyle w:val="PleaseReviewParagraphId"/>
          <w:b w:val="off"/>
          <w:i w:val="off"/>
        </w:rPr>
        <w:t>[52]</w:t>
      </w:r>
      <w:r>
        <w:rPr>
          <w:rFonts w:ascii="Times New Roman" w:hAnsi="Times New Roman"/>
        </w:rPr>
        <w:t>Décrire les étapes essentielles de la conception de programmes et d’activités de surveillance axés sur la détection précoce.</w:t>
      </w:r>
    </w:p>
    <w:p w14:paraId="16E5A9A7" w14:textId="77777777">
      <w:pPr>
        <w:pStyle w:val="IPPNormal"/>
        <w:numPr>
          <w:ilvl w:val="0"/>
          <w:numId w:val="41"/>
        </w:numPr>
        <w:jc w:val="both"/>
        <w:rPr>
          <w:rFonts w:ascii="Times New Roman" w:hAnsi="Times New Roman" w:cs="Times New Roman"/>
        </w:rPr>
      </w:pPr>
      <w:r>
        <w:rPr>
          <w:rStyle w:val="PleaseReviewParagraphId"/>
          <w:b w:val="off"/>
          <w:i w:val="off"/>
        </w:rPr>
        <w:t>[53]</w:t>
      </w:r>
      <w:r>
        <w:rPr>
          <w:rFonts w:ascii="Times New Roman" w:hAnsi="Times New Roman"/>
        </w:rPr>
        <w:t xml:space="preserve">Décrire les liens qui existent entre la surveillance, la détermination de la situation des organismes nuisibles et le signalement des organismes nuisibles. </w:t>
      </w:r>
    </w:p>
    <w:p w14:paraId="7DA8B17A" w14:textId="77777777">
      <w:pPr>
        <w:pStyle w:val="IPPNormal"/>
        <w:numPr>
          <w:ilvl w:val="0"/>
          <w:numId w:val="41"/>
        </w:numPr>
        <w:jc w:val="both"/>
        <w:rPr>
          <w:rFonts w:ascii="Times New Roman" w:hAnsi="Times New Roman" w:cs="Times New Roman"/>
        </w:rPr>
      </w:pPr>
      <w:r>
        <w:rPr>
          <w:rStyle w:val="PleaseReviewParagraphId"/>
          <w:b w:val="off"/>
          <w:i w:val="off"/>
        </w:rPr>
        <w:t>[54]</w:t>
      </w:r>
      <w:r>
        <w:rPr>
          <w:rFonts w:ascii="Times New Roman" w:hAnsi="Times New Roman"/>
        </w:rPr>
        <w:t>Décrire les étapes essentielles de la conception d’un système national de signalement des organismes nuisibles.</w:t>
      </w:r>
    </w:p>
    <w:p w14:paraId="78F9547E" w14:textId="77777777">
      <w:pPr>
        <w:pStyle w:val="IPPNormal"/>
        <w:numPr>
          <w:ilvl w:val="0"/>
          <w:numId w:val="41"/>
        </w:numPr>
        <w:tabs>
          <w:tab w:val="left" w:pos="5954"/>
        </w:tabs>
        <w:jc w:val="both"/>
        <w:rPr>
          <w:rFonts w:ascii="Times New Roman" w:hAnsi="Times New Roman" w:eastAsia="Calibri" w:cs="Times New Roman"/>
        </w:rPr>
      </w:pPr>
      <w:r>
        <w:rPr>
          <w:rStyle w:val="PleaseReviewParagraphId"/>
          <w:b w:val="off"/>
          <w:i w:val="off"/>
        </w:rPr>
        <w:t>[55]</w:t>
      </w:r>
      <w:r>
        <w:rPr>
          <w:rFonts w:ascii="Times New Roman" w:hAnsi="Times New Roman"/>
        </w:rPr>
        <w:t>Présenter des conseils pratiques et des procédures visant à aider les ONPV à mettre en œuvre des programmes de détection précoce et des programmes de surveillance, ainsi qu’à communiquer des informations sur des organismes nuisibles détectés grâce à la surveillance.</w:t>
      </w:r>
    </w:p>
    <w:p w14:paraId="4F4A73A4" w14:textId="77777777">
      <w:pPr>
        <w:pStyle w:val="ListParagraph"/>
        <w:numPr>
          <w:ilvl w:val="0"/>
          <w:numId w:val="41"/>
        </w:numPr>
        <w:jc w:val="both"/>
        <w:rPr>
          <w:rFonts w:ascii="Times New Roman" w:hAnsi="Times New Roman" w:eastAsia="Times" w:cs="Times New Roman"/>
        </w:rPr>
      </w:pPr>
      <w:r>
        <w:rPr>
          <w:rStyle w:val="PleaseReviewParagraphId"/>
          <w:b w:val="off"/>
          <w:i w:val="off"/>
        </w:rPr>
        <w:t>[56]</w:t>
      </w:r>
      <w:r>
        <w:rPr>
          <w:rFonts w:ascii="Times New Roman" w:hAnsi="Times New Roman"/>
        </w:rPr>
        <w:t>Suggérer des études de cas qui illustrent comment les ONPV ont utilisé la surveillance et la détermination de la situation des organismes nuisibles à l’appui de la détection précoce de la présence, de l’apparition de foyers et de la dissémination d'organismes nuisibles, ou les étapes suivies pour communiquer des informations sur des organismes nuisibles détectés, depuis la détection jusqu'au téléchargement d’un rapport sur le Portail phytosanitaire international (PPI).</w:t>
      </w:r>
    </w:p>
    <w:p w14:paraId="2D37345F" w14:textId="77777777">
      <w:pPr>
        <w:keepNext/>
        <w:tabs>
          <w:tab w:val="left" w:pos="567"/>
        </w:tabs>
        <w:spacing w:before="240" w:after="120"/>
        <w:ind w:left="567" w:hanging="567"/>
        <w:rPr>
          <w:rFonts w:ascii="Times New Roman" w:hAnsi="Times New Roman" w:cs="Times New Roman"/>
          <w:sz w:val="24"/>
          <w:szCs w:val="24"/>
        </w:rPr>
      </w:pPr>
      <w:r>
        <w:rPr>
          <w:rStyle w:val="PleaseReviewParagraphId"/>
          <w:b w:val="off"/>
          <w:i w:val="off"/>
        </w:rPr>
        <w:t>[57]</w:t>
      </w:r>
      <w:r>
        <w:rPr>
          <w:rFonts w:ascii="Times New Roman" w:hAnsi="Times New Roman"/>
          <w:b/>
          <w:sz w:val="24"/>
        </w:rPr>
        <w:t>7. Références et documents complémentaires</w:t>
      </w:r>
    </w:p>
    <w:p w14:paraId="7BDCE1EB" w14:textId="591B992E">
      <w:pPr>
        <w:tabs>
          <w:tab w:val="left" w:pos="720"/>
        </w:tabs>
        <w:spacing w:after="180"/>
        <w:jc w:val="both"/>
        <w:rPr>
          <w:rFonts w:ascii="Times New Roman" w:hAnsi="Times New Roman" w:eastAsia="Times" w:cs="Times New Roman"/>
        </w:rPr>
      </w:pPr>
      <w:r>
        <w:rPr>
          <w:rStyle w:val="PleaseReviewParagraphId"/>
          <w:b w:val="off"/>
          <w:i w:val="off"/>
        </w:rPr>
        <w:t>[58]</w:t>
      </w:r>
      <w:r>
        <w:rPr>
          <w:rFonts w:ascii="Times New Roman" w:hAnsi="Times New Roman"/>
        </w:rPr>
        <w:t xml:space="preserve">Surveillance des organismes nuisibles (Secrétariat de la CIPV, 2016), disponible à l’adresse: </w:t>
      </w:r>
      <w:hyperlink r:id="rId8">
        <w:r>
          <w:rPr>
            <w:rStyle w:val="Hyperlink"/>
            <w:rFonts w:ascii="Times New Roman" w:hAnsi="Times New Roman"/>
          </w:rPr>
          <w:t>https://www.ippc.int/fr/publications/86051/</w:t>
        </w:r>
      </w:hyperlink>
      <w:r>
        <w:rPr>
          <w:rFonts w:ascii="Times New Roman" w:hAnsi="Times New Roman"/>
        </w:rPr>
        <w:t xml:space="preserve">  </w:t>
      </w:r>
    </w:p>
    <w:p w14:paraId="02AF1CD9" w14:textId="62468323">
      <w:pPr>
        <w:tabs>
          <w:tab w:val="left" w:pos="720"/>
        </w:tabs>
        <w:spacing w:after="180"/>
        <w:jc w:val="both"/>
        <w:rPr>
          <w:rFonts w:ascii="Times New Roman" w:hAnsi="Times New Roman" w:eastAsia="Times" w:cs="Times New Roman"/>
        </w:rPr>
      </w:pPr>
      <w:r>
        <w:rPr>
          <w:rStyle w:val="PleaseReviewParagraphId"/>
          <w:b w:val="off"/>
          <w:i w:val="off"/>
        </w:rPr>
        <w:t>[59]</w:t>
      </w:r>
      <w:r>
        <w:rPr>
          <w:rFonts w:ascii="Times New Roman" w:hAnsi="Times New Roman"/>
        </w:rPr>
        <w:t xml:space="preserve">Présentations effectuées lors du colloque international de la CIPV sur les zones exemptes et la surveillance des organismes nuisibles (Secrétariat de la CIPV, 2019), disponible à l’adresse: </w:t>
      </w:r>
      <w:hyperlink r:id="rId9">
        <w:r>
          <w:rPr>
            <w:rStyle w:val="Hyperlink"/>
            <w:rFonts w:ascii="Times New Roman" w:hAnsi="Times New Roman"/>
          </w:rPr>
          <w:t>https://www.ippc.int/fr/core-activities/capacity-development/symposia/symposium-on-pfas-and-surveillance/</w:t>
        </w:r>
      </w:hyperlink>
      <w:r>
        <w:rPr>
          <w:rFonts w:ascii="Times New Roman" w:hAnsi="Times New Roman"/>
        </w:rPr>
        <w:t xml:space="preserve">   </w:t>
      </w:r>
    </w:p>
    <w:p w14:paraId="12C2B3FC" w14:textId="1EFFCCF9">
      <w:pPr>
        <w:tabs>
          <w:tab w:val="left" w:pos="720"/>
        </w:tabs>
        <w:spacing w:after="180"/>
        <w:jc w:val="both"/>
        <w:rPr>
          <w:rFonts w:ascii="Times New Roman" w:hAnsi="Times New Roman" w:eastAsia="Times" w:cs="Times New Roman"/>
        </w:rPr>
      </w:pPr>
      <w:r>
        <w:rPr>
          <w:rStyle w:val="PleaseReviewParagraphId"/>
          <w:b w:val="off"/>
          <w:i w:val="off"/>
        </w:rPr>
        <w:t>[60]</w:t>
      </w:r>
      <w:r>
        <w:rPr>
          <w:rFonts w:ascii="Times New Roman" w:hAnsi="Times New Roman"/>
        </w:rPr>
        <w:t xml:space="preserve">Rapport du colloque sur la surveillance des organismes nuisibles des végétaux (Secrétariat de la CIPV, 2012), disponible à l’adresse: </w:t>
      </w:r>
      <w:hyperlink r:id="rId10">
        <w:r>
          <w:rPr>
            <w:rStyle w:val="Hyperlink"/>
            <w:rFonts w:ascii="Times New Roman" w:hAnsi="Times New Roman"/>
          </w:rPr>
          <w:t>https://www.ippc.int/en/irss/activities/7/</w:t>
        </w:r>
      </w:hyperlink>
      <w:r>
        <w:rPr>
          <w:rFonts w:ascii="Times New Roman" w:hAnsi="Times New Roman"/>
        </w:rPr>
        <w:t xml:space="preserve">  (en anglais) </w:t>
      </w:r>
    </w:p>
    <w:p w14:paraId="62F2903A" w14:textId="139ED60F">
      <w:pPr>
        <w:tabs>
          <w:tab w:val="left" w:pos="720"/>
        </w:tabs>
        <w:spacing w:after="180"/>
        <w:jc w:val="both"/>
        <w:rPr>
          <w:rFonts w:ascii="Times New Roman" w:hAnsi="Times New Roman" w:eastAsia="Times" w:cs="Times New Roman"/>
        </w:rPr>
      </w:pPr>
      <w:r>
        <w:rPr>
          <w:rStyle w:val="PleaseReviewParagraphId"/>
          <w:b w:val="off"/>
          <w:i w:val="off"/>
        </w:rPr>
        <w:t>[61]</w:t>
      </w:r>
      <w:r>
        <w:rPr>
          <w:rFonts w:ascii="Times New Roman" w:hAnsi="Times New Roman"/>
        </w:rPr>
        <w:t xml:space="preserve">Manuel sur les obligations nationales en matière de communication d’informations (Secrétariat de la CIPV, 2016), disponible à l’adresse: </w:t>
      </w:r>
      <w:hyperlink r:id="rId11">
        <w:r>
          <w:rPr>
            <w:rStyle w:val="Hyperlink"/>
            <w:rFonts w:ascii="Times New Roman" w:hAnsi="Times New Roman"/>
          </w:rPr>
          <w:t>https://www.ippc.int/fr/publications/80405/</w:t>
        </w:r>
      </w:hyperlink>
      <w:r>
        <w:rPr>
          <w:rFonts w:ascii="Times New Roman" w:hAnsi="Times New Roman"/>
        </w:rPr>
        <w:t xml:space="preserve">  </w:t>
      </w:r>
    </w:p>
    <w:p w14:paraId="410A455D" w14:textId="1038526A">
      <w:pPr>
        <w:tabs>
          <w:tab w:val="left" w:pos="720"/>
        </w:tabs>
        <w:spacing w:after="180"/>
        <w:jc w:val="both"/>
        <w:rPr>
          <w:rFonts w:ascii="Times New Roman" w:hAnsi="Times New Roman" w:eastAsia="Times" w:cs="Times New Roman"/>
        </w:rPr>
      </w:pPr>
      <w:r>
        <w:rPr>
          <w:rStyle w:val="PleaseReviewParagraphId"/>
          <w:b w:val="off"/>
          <w:i w:val="off"/>
        </w:rPr>
        <w:t>[62]</w:t>
      </w:r>
      <w:r>
        <w:rPr>
          <w:rFonts w:ascii="Times New Roman" w:hAnsi="Times New Roman"/>
        </w:rPr>
        <w:t xml:space="preserve">Cours de formation en ligne sur les obligations nationales en matière de communication d’informations (Secrétariat de la CIPV, 2019), disponible à l’adresse: </w:t>
      </w:r>
      <w:hyperlink r:id="rId12">
        <w:r>
          <w:rPr>
            <w:rStyle w:val="Hyperlink"/>
            <w:rFonts w:ascii="Times New Roman" w:hAnsi="Times New Roman"/>
          </w:rPr>
          <w:t>https://www.ippc.int/fr/e-learning/</w:t>
        </w:r>
      </w:hyperlink>
      <w:r>
        <w:rPr>
          <w:rFonts w:ascii="Times New Roman" w:hAnsi="Times New Roman"/>
        </w:rPr>
        <w:t xml:space="preserve">  </w:t>
      </w:r>
    </w:p>
    <w:p w14:paraId="234A45FB" w14:textId="1235EC60">
      <w:pPr>
        <w:tabs>
          <w:tab w:val="left" w:pos="720"/>
        </w:tabs>
        <w:spacing w:after="180"/>
        <w:jc w:val="both"/>
        <w:rPr>
          <w:rStyle w:val="Hyperlink"/>
          <w:rFonts w:ascii="Times New Roman" w:hAnsi="Times New Roman" w:eastAsia="Times" w:cs="Times New Roman"/>
        </w:rPr>
      </w:pPr>
      <w:r>
        <w:rPr>
          <w:rStyle w:val="PleaseReviewParagraphId"/>
          <w:b w:val="off"/>
          <w:i w:val="off"/>
        </w:rPr>
        <w:t>[63]</w:t>
      </w:r>
      <w:r>
        <w:rPr>
          <w:rFonts w:ascii="Times New Roman" w:hAnsi="Times New Roman"/>
        </w:rPr>
        <w:lastRenderedPageBreak/>
        <w:t xml:space="preserve">IPPC Pest Report Bulletins (bulletins relatifs à la notification des organismes nuisibles), disponible à l’adresse: </w:t>
      </w:r>
      <w:hyperlink r:id="rId13">
        <w:r>
          <w:rPr>
            <w:rStyle w:val="Hyperlink"/>
            <w:rFonts w:ascii="Times New Roman" w:hAnsi="Times New Roman"/>
          </w:rPr>
          <w:t>https://www.ippc.int/fr/countries/reportingsystem-summary/all/</w:t>
        </w:r>
      </w:hyperlink>
      <w:r>
        <w:rPr>
          <w:rFonts w:ascii="Times New Roman" w:hAnsi="Times New Roman"/>
        </w:rPr>
        <w:t xml:space="preserve">  </w:t>
      </w:r>
    </w:p>
    <w:p w14:paraId="27177576" w14:textId="77777777">
      <w:pPr>
        <w:tabs>
          <w:tab w:val="left" w:pos="720"/>
        </w:tabs>
        <w:spacing w:after="180"/>
        <w:rPr>
          <w:rFonts w:ascii="Times New Roman" w:hAnsi="Times New Roman" w:eastAsia="Times" w:cs="Times New Roman"/>
          <w:bCs/>
          <w:iCs/>
          <w:sz w:val="24"/>
          <w:szCs w:val="24"/>
        </w:rPr>
      </w:pPr>
      <w:r>
        <w:rPr>
          <w:rStyle w:val="PleaseReviewParagraphId"/>
          <w:b w:val="off"/>
          <w:i w:val="off"/>
        </w:rPr>
        <w:t>[64]</w:t>
      </w:r>
      <w:r>
        <w:rPr>
          <w:rFonts w:ascii="Times New Roman" w:hAnsi="Times New Roman"/>
          <w:b/>
          <w:sz w:val="24"/>
        </w:rPr>
        <w:t xml:space="preserve">8. Contributions financières et en nature </w:t>
      </w:r>
    </w:p>
    <w:p w14:paraId="4D434332" w14:textId="77777777">
      <w:pPr>
        <w:tabs>
          <w:tab w:val="left" w:pos="720"/>
        </w:tabs>
        <w:spacing w:after="180"/>
        <w:jc w:val="both"/>
        <w:rPr>
          <w:rFonts w:ascii="Times New Roman" w:hAnsi="Times New Roman" w:eastAsia="Times" w:cs="Times New Roman"/>
        </w:rPr>
      </w:pPr>
      <w:r>
        <w:rPr>
          <w:rStyle w:val="PleaseReviewParagraphId"/>
          <w:b w:val="off"/>
          <w:i w:val="off"/>
        </w:rPr>
        <w:t>[65]</w:t>
      </w:r>
      <w:r>
        <w:rPr>
          <w:rFonts w:ascii="Times New Roman" w:hAnsi="Times New Roman"/>
        </w:rPr>
        <w:t>Le présent cours de formation en ligne sera élaboré dans le cadre de l’appui apporté par la FAO au programme de facilitation des échanges du Marché commun de l’Afrique orientale et australe (COMESA) (GCP/INT/387/COM).</w:t>
      </w:r>
    </w:p>
    <w:p w14:paraId="577DC8AD" w14:textId="77777777">
      <w:pPr>
        <w:tabs>
          <w:tab w:val="left" w:pos="720"/>
        </w:tabs>
        <w:spacing w:after="180"/>
        <w:jc w:val="both"/>
        <w:rPr>
          <w:rFonts w:ascii="Times New Roman" w:hAnsi="Times New Roman" w:eastAsia="Times" w:cs="Times New Roman"/>
        </w:rPr>
      </w:pPr>
      <w:r>
        <w:rPr>
          <w:rStyle w:val="PleaseReviewParagraphId"/>
          <w:b w:val="off"/>
          <w:i w:val="off"/>
        </w:rPr>
        <w:t>[66]</w:t>
      </w:r>
      <w:r>
        <w:rPr>
          <w:rFonts w:ascii="Times New Roman" w:hAnsi="Times New Roman"/>
        </w:rPr>
        <w:t xml:space="preserve">Le Comité de liaison Europe–Afrique–Caraïbes (COLEACP) fournira une aide en nature sous la forme d’un appui pédagogique et technique. </w:t>
      </w:r>
    </w:p>
    <w:p w14:paraId="5A29C08D" w14:textId="77777777">
      <w:pPr>
        <w:pStyle w:val="IPPHeading1"/>
        <w:outlineLvl w:val="9"/>
        <w:rPr>
          <w:rFonts w:ascii="Times New Roman" w:hAnsi="Times New Roman" w:cs="Times New Roman"/>
          <w:i/>
          <w:iCs/>
          <w:szCs w:val="24"/>
        </w:rPr>
      </w:pPr>
      <w:r>
        <w:rPr>
          <w:rStyle w:val="PleaseReviewParagraphId"/>
          <w:b w:val="off"/>
          <w:i w:val="off"/>
        </w:rPr>
        <w:t>[67]</w:t>
      </w:r>
      <w:r>
        <w:rPr>
          <w:rFonts w:ascii="Times New Roman" w:hAnsi="Times New Roman"/>
        </w:rPr>
        <w:t>9. Critères de sélection des spécialistes du groupe de travail</w:t>
      </w:r>
    </w:p>
    <w:p w14:paraId="38B0A555" w14:textId="2F0248E7">
      <w:pPr>
        <w:pStyle w:val="IPPNormal"/>
        <w:jc w:val="both"/>
        <w:rPr>
          <w:rFonts w:ascii="Times New Roman" w:hAnsi="Times New Roman" w:cs="Times New Roman"/>
        </w:rPr>
      </w:pPr>
      <w:r>
        <w:rPr>
          <w:rStyle w:val="PleaseReviewParagraphId"/>
          <w:b w:val="off"/>
          <w:i w:val="off"/>
        </w:rPr>
        <w:t>[68]</w:t>
      </w:r>
      <w:r>
        <w:rPr>
          <w:rFonts w:ascii="Times New Roman" w:hAnsi="Times New Roman"/>
        </w:rPr>
        <w:t>Il est souhaitable de constituer un groupe de travail chargé de contribuer à l’élaboration du cours de formation en ligne et qu'il soit composé de spécialistes dotés d'une expertise technique et pratique pertinente dans les domaines de la surveillance, de la détermination de la situation et du signalement des organismes nuisibles. Les membres de ce groupe de travail devraient également être sélectionnés de manière à assurer la diversité de la représentation géographique des pays en développement et des pays développés, afin de veiller à ce que la documentation élaborée soit applicable à l’échelle mondiale et reflète les meilleures pratiques appliquées dans le monde entier. Les membres du groupe de travail devraient être sélectionnés en fonction des critères qui suivent:</w:t>
      </w:r>
    </w:p>
    <w:p w14:paraId="75461112" w14:textId="77777777">
      <w:pPr>
        <w:pStyle w:val="IPPBullet2"/>
        <w:numPr>
          <w:ilvl w:val="0"/>
          <w:numId w:val="21"/>
        </w:numPr>
        <w:rPr>
          <w:rFonts w:cs="Times New Roman"/>
        </w:rPr>
      </w:pPr>
      <w:r>
        <w:rPr>
          <w:rStyle w:val="PleaseReviewParagraphId"/>
          <w:b w:val="off"/>
          <w:i w:val="off"/>
        </w:rPr>
        <w:t>[69]</w:t>
      </w:r>
      <w:r>
        <w:t>Compétences et connaissances pratiques dans un ou plusieurs des domaines suivants, une expérience supplémentaire dans le domaine de l’évaluation du risque phytosanitaire étant souhaitable:</w:t>
      </w:r>
    </w:p>
    <w:p w14:paraId="7F295BC8" w14:textId="77777777">
      <w:pPr>
        <w:pStyle w:val="ListParagraph"/>
        <w:numPr>
          <w:ilvl w:val="0"/>
          <w:numId w:val="22"/>
        </w:numPr>
        <w:jc w:val="both"/>
        <w:rPr>
          <w:rFonts w:ascii="Times New Roman" w:hAnsi="Times New Roman" w:cs="Times New Roman"/>
        </w:rPr>
      </w:pPr>
      <w:r>
        <w:rPr>
          <w:rStyle w:val="PleaseReviewParagraphId"/>
          <w:b w:val="off"/>
          <w:i w:val="off"/>
        </w:rPr>
        <w:t>[70]</w:t>
      </w:r>
      <w:r>
        <w:rPr>
          <w:rFonts w:ascii="Times New Roman" w:hAnsi="Times New Roman"/>
        </w:rPr>
        <w:t>Conception et mise en œuvre de programmes de surveillance</w:t>
      </w:r>
    </w:p>
    <w:p w14:paraId="69699FC8" w14:textId="77777777">
      <w:pPr>
        <w:pStyle w:val="ListParagraph"/>
        <w:numPr>
          <w:ilvl w:val="0"/>
          <w:numId w:val="22"/>
        </w:numPr>
        <w:rPr>
          <w:rFonts w:ascii="Times New Roman" w:hAnsi="Times New Roman" w:cs="Times New Roman"/>
        </w:rPr>
      </w:pPr>
      <w:r>
        <w:rPr>
          <w:rStyle w:val="PleaseReviewParagraphId"/>
          <w:b w:val="off"/>
          <w:i w:val="off"/>
        </w:rPr>
        <w:t>[71]</w:t>
      </w:r>
      <w:r>
        <w:rPr>
          <w:rFonts w:ascii="Times New Roman" w:hAnsi="Times New Roman"/>
        </w:rPr>
        <w:t>Obligations des parties contractantes en matière de communication d'informations</w:t>
      </w:r>
    </w:p>
    <w:p w14:paraId="32E220F8" w14:textId="77777777">
      <w:pPr>
        <w:pStyle w:val="ListParagraph"/>
        <w:numPr>
          <w:ilvl w:val="0"/>
          <w:numId w:val="22"/>
        </w:numPr>
        <w:rPr>
          <w:rFonts w:ascii="Times New Roman" w:hAnsi="Times New Roman" w:eastAsia="Times New Roman" w:cs="Times New Roman"/>
        </w:rPr>
      </w:pPr>
      <w:r>
        <w:rPr>
          <w:rStyle w:val="PleaseReviewParagraphId"/>
          <w:b w:val="off"/>
          <w:i w:val="off"/>
        </w:rPr>
        <w:t>[72]</w:t>
      </w:r>
      <w:r>
        <w:rPr>
          <w:rFonts w:ascii="Times New Roman" w:hAnsi="Times New Roman"/>
        </w:rPr>
        <w:t>Détermination de la situation des organismes nuisibles</w:t>
      </w:r>
    </w:p>
    <w:p w14:paraId="481F6FF5" w14:textId="77777777">
      <w:pPr>
        <w:pStyle w:val="ListParagraph"/>
        <w:numPr>
          <w:ilvl w:val="0"/>
          <w:numId w:val="22"/>
        </w:numPr>
        <w:rPr>
          <w:rFonts w:ascii="Times New Roman" w:hAnsi="Times New Roman" w:eastAsia="Times New Roman" w:cs="Times New Roman"/>
        </w:rPr>
      </w:pPr>
      <w:r>
        <w:rPr>
          <w:rStyle w:val="PleaseReviewParagraphId"/>
          <w:b w:val="off"/>
          <w:i w:val="off"/>
        </w:rPr>
        <w:t>[73]</w:t>
      </w:r>
      <w:r>
        <w:rPr>
          <w:rFonts w:ascii="Times New Roman" w:hAnsi="Times New Roman"/>
        </w:rPr>
        <w:t>Infestations d'organismes nuisibles et interventions connexes</w:t>
      </w:r>
    </w:p>
    <w:p w14:paraId="4FCC49D0" w14:textId="77777777">
      <w:pPr>
        <w:pStyle w:val="ListParagraph"/>
        <w:numPr>
          <w:ilvl w:val="0"/>
          <w:numId w:val="22"/>
        </w:numPr>
        <w:rPr>
          <w:rFonts w:ascii="Times New Roman" w:hAnsi="Times New Roman" w:eastAsia="Times New Roman" w:cs="Times New Roman"/>
        </w:rPr>
      </w:pPr>
      <w:r>
        <w:rPr>
          <w:rStyle w:val="PleaseReviewParagraphId"/>
          <w:b w:val="off"/>
          <w:i w:val="off"/>
        </w:rPr>
        <w:t>[74]</w:t>
      </w:r>
      <w:r>
        <w:rPr>
          <w:rFonts w:ascii="Times New Roman" w:hAnsi="Times New Roman"/>
        </w:rPr>
        <w:t>Systèmes d’alerte concernant les organismes nuisibles</w:t>
      </w:r>
    </w:p>
    <w:p w14:paraId="483DFF0D" w14:textId="77777777">
      <w:pPr>
        <w:pStyle w:val="ListParagraph"/>
        <w:numPr>
          <w:ilvl w:val="0"/>
          <w:numId w:val="22"/>
        </w:numPr>
        <w:rPr>
          <w:rFonts w:ascii="Times New Roman" w:hAnsi="Times New Roman" w:eastAsia="Times New Roman" w:cs="Times New Roman"/>
        </w:rPr>
      </w:pPr>
      <w:r>
        <w:rPr>
          <w:rStyle w:val="PleaseReviewParagraphId"/>
          <w:b w:val="off"/>
          <w:i w:val="off"/>
        </w:rPr>
        <w:t>[75]</w:t>
      </w:r>
      <w:r>
        <w:rPr>
          <w:rFonts w:ascii="Times New Roman" w:hAnsi="Times New Roman"/>
        </w:rPr>
        <w:t>Élaboration de programmes de formation, en particulier de cours de formation en ligne</w:t>
      </w:r>
    </w:p>
    <w:p w14:paraId="546062C4" w14:textId="77777777">
      <w:pPr>
        <w:pStyle w:val="IPPBullet2"/>
        <w:numPr>
          <w:ilvl w:val="0"/>
          <w:numId w:val="21"/>
        </w:numPr>
        <w:spacing w:before="240"/>
        <w:rPr>
          <w:rFonts w:cs="Times New Roman"/>
        </w:rPr>
      </w:pPr>
      <w:r>
        <w:rPr>
          <w:rStyle w:val="PleaseReviewParagraphId"/>
          <w:b w:val="off"/>
          <w:i w:val="off"/>
        </w:rPr>
        <w:t>[76]</w:t>
      </w:r>
      <w:r>
        <w:t>Les connaissances en matière de surveillance des organismes nuisibles, de détermination de la situation de ces organismes, d’évaluation du risque phytosanitaire et de signalement d'organismes nuisibles dans les pays africains, dans un contexte tant régional qu’international, seront prises en compte, ces pays étant ciblés par le donateur du projet et le contexte régional étant celui dans lequel le présent matériel sera élaboré.</w:t>
      </w:r>
    </w:p>
    <w:sectPr>
      <w:pgSz w:w="12240" w:h="15840"/>
      <w:pgMar w:top="1440" w:right="1440" w:bottom="1440" w:left="1440" w:header="708" w:footer="708" w:gutter="0"/>
      <w:cols w:space="708"/>
      <w:docGrid w:linePitch="360"/>
    </w:sectPr>
  </w:body>
</w:document>
</file>

<file path=word/commentsExtensible.xml><?xml version="1.0" encoding="utf-8"?>
<w16cex:commentsExtensible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AF9DF" w16cex:dateUtc="2021-04-09T06:05:00Z"/>
  <w16cex:commentExtensible w16cex:durableId="241AF9E2" w16cex:dateUtc="2021-04-09T06:05:00Z"/>
</w16cex:commentsExtensible>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2951EF" w16cid:durableId="241AF9DF"/>
  <w16cid:commentId w16cid:paraId="38F56941" w16cid:durableId="241AF9E2"/>
</w16cid:commentsIds>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BD02C" w14:textId="77777777">
      <w:pPr>
        <w:spacing w:after="0" w:line="240" w:lineRule="auto"/>
      </w:pPr>
      <w:r>
        <w:rPr>
          <w:rStyle w:val="PleaseReviewParagraphId"/>
          <w:b w:val="off"/>
          <w:i w:val="off"/>
        </w:rPr>
        <w:t>[]</w:t>
      </w:r>
      <w:r>
        <w:separator/>
      </w:r>
    </w:p>
  </w:endnote>
  <w:endnote w:type="continuationSeparator" w:id="0">
    <w:p w14:paraId="630789D9" w14:textId="77777777">
      <w:pPr>
        <w:spacing w:after="0" w:line="240" w:lineRule="auto"/>
      </w:pPr>
      <w:r>
        <w:rPr>
          <w:rStyle w:val="PleaseReviewParagraphId"/>
          <w:b w:val="off"/>
          <w:i w:val="off"/>
        </w:rPr>
        <w:t>[]</w:t>
      </w:r>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2BBC9" w14:textId="77777777">
      <w:pPr>
        <w:spacing w:after="0" w:line="240" w:lineRule="auto"/>
      </w:pPr>
      <w:r>
        <w:rPr>
          <w:rStyle w:val="PleaseReviewParagraphId"/>
          <w:b w:val="off"/>
          <w:i w:val="off"/>
        </w:rPr>
        <w:t>[]</w:t>
      </w:r>
      <w:r>
        <w:separator/>
      </w:r>
    </w:p>
  </w:footnote>
  <w:footnote w:type="continuationSeparator" w:id="0">
    <w:p w14:paraId="0598E95D" w14:textId="77777777">
      <w:pPr>
        <w:spacing w:after="0" w:line="240" w:lineRule="auto"/>
      </w:pPr>
      <w:r>
        <w:rPr>
          <w:rStyle w:val="PleaseReviewParagraphId"/>
          <w:b w:val="off"/>
          <w:i w:val="off"/>
        </w:rPr>
        <w:t>[]</w:t>
      </w:r>
      <w:r>
        <w:continuationSeparator/>
      </w:r>
    </w:p>
  </w:footnote>
  <w:footnote w:id="1">
    <w:p w14:paraId="113C1A06" w14:textId="77777777">
      <w:pPr>
        <w:pStyle w:val="FootnoteText"/>
      </w:pPr>
      <w:r>
        <w:rPr>
          <w:rStyle w:val="PleaseReviewParagraphId"/>
          <w:b w:val="off"/>
          <w:i w:val="off"/>
        </w:rPr>
        <w:t>[37]</w:t>
      </w:r>
      <w:r>
        <w:rPr>
          <w:rStyle w:val="FootnoteReference"/>
        </w:rPr>
        <w:footnoteRef/>
      </w:r>
      <w:hyperlink w:history="1" r:id="rId1">
        <w:r>
          <w:rPr>
            <w:rStyle w:val="Hyperlink"/>
          </w:rPr>
          <w:t>https://www.ippc.int/fr/publications/131/</w:t>
        </w:r>
      </w:hyperlink>
      <w:r>
        <w:t xml:space="preserve"> </w:t>
      </w:r>
    </w:p>
  </w:footnote>
  <w:footnote w:id="2">
    <w:p w14:paraId="52E60C82" w14:textId="77777777">
      <w:pPr>
        <w:pStyle w:val="FootnoteText"/>
      </w:pPr>
      <w:r>
        <w:rPr>
          <w:rStyle w:val="PleaseReviewParagraphId"/>
          <w:b w:val="off"/>
          <w:i w:val="off"/>
        </w:rPr>
        <w:t>[39]</w:t>
      </w:r>
      <w:r>
        <w:rPr>
          <w:rStyle w:val="FootnoteReference"/>
        </w:rPr>
        <w:footnoteRef/>
      </w:r>
      <w:hyperlink w:history="1" r:id="rId2">
        <w:r>
          <w:rPr>
            <w:rStyle w:val="Hyperlink"/>
          </w:rPr>
          <w:t>https://www.ippc.int/fr/publications/615/</w:t>
        </w:r>
      </w:hyperlink>
      <w:r>
        <w:t xml:space="preserve"> </w:t>
      </w:r>
    </w:p>
  </w:footnote>
  <w:footnote w:id="3">
    <w:p w14:paraId="5943903F" w14:textId="77777777">
      <w:pPr>
        <w:pStyle w:val="FootnoteText"/>
      </w:pPr>
      <w:r>
        <w:rPr>
          <w:rStyle w:val="PleaseReviewParagraphId"/>
          <w:b w:val="off"/>
          <w:i w:val="off"/>
        </w:rPr>
        <w:t>[41]</w:t>
      </w:r>
      <w:r>
        <w:rPr>
          <w:rStyle w:val="FootnoteReference"/>
        </w:rPr>
        <w:footnoteRef/>
      </w:r>
      <w:hyperlink w:history="1" r:id="rId3">
        <w:r>
          <w:rPr>
            <w:rStyle w:val="Hyperlink"/>
          </w:rPr>
          <w:t>https://www.ippc.int/fr/publications/612/</w:t>
        </w:r>
      </w:hyperlink>
      <w:r>
        <w:t xml:space="preserve"> </w:t>
      </w:r>
    </w:p>
  </w:footnote>
  <w:footnote w:id="4">
    <w:p w14:paraId="26A3C657" w14:textId="77777777">
      <w:pPr>
        <w:pStyle w:val="FootnoteText"/>
      </w:pPr>
      <w:r>
        <w:rPr>
          <w:rStyle w:val="PleaseReviewParagraphId"/>
          <w:b w:val="off"/>
          <w:i w:val="off"/>
        </w:rPr>
        <w:t>[43]</w:t>
      </w:r>
      <w:r>
        <w:rPr>
          <w:rStyle w:val="FootnoteReference"/>
        </w:rPr>
        <w:footnoteRef/>
      </w:r>
      <w:hyperlink w:history="1" r:id="rId4">
        <w:r>
          <w:rPr>
            <w:rStyle w:val="Hyperlink"/>
          </w:rPr>
          <w:t>https://www.ippc.int/fr/publications/606/</w:t>
        </w:r>
      </w:hyperlink>
      <w:r>
        <w:t xml:space="preserve"> </w:t>
      </w:r>
    </w:p>
  </w:footnote>
</w:footnotes>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D5465"/>
    <w:multiLevelType w:val="hybridMultilevel"/>
    <w:tmpl w:val="E042C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C1922"/>
    <w:multiLevelType w:val="multilevel"/>
    <w:tmpl w:val="8E90BF5E"/>
    <w:lvl w:ilvl="0">
      <w:start w:val="1"/>
      <w:numFmt w:val="decimal"/>
      <w:lvlText w:val="%1."/>
      <w:lvlJc w:val="left"/>
      <w:pPr>
        <w:ind w:left="360" w:hanging="360"/>
      </w:pPr>
    </w:lvl>
    <w:lvl w:ilvl="1">
      <w:start w:val="8"/>
      <w:numFmt w:val="bullet"/>
      <w:lvlText w:val="-"/>
      <w:lvlJc w:val="left"/>
      <w:pPr>
        <w:ind w:left="792" w:hanging="432"/>
      </w:pPr>
      <w:rPr>
        <w:rFonts w:ascii="Times New Roman" w:eastAsia="Times"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751786"/>
    <w:multiLevelType w:val="hybridMultilevel"/>
    <w:tmpl w:val="C01A2FAA"/>
    <w:lvl w:ilvl="0" w:tplc="BAEA55C4">
      <w:start w:val="1"/>
      <w:numFmt w:val="decimal"/>
      <w:lvlText w:val="%1)"/>
      <w:lvlJc w:val="left"/>
      <w:pPr>
        <w:ind w:left="927" w:hanging="360"/>
      </w:pPr>
      <w:rPr>
        <w:rFonts w:hint="default"/>
        <w:b w:val="0"/>
        <w:i w:val="0"/>
        <w:color w:val="auto"/>
        <w:sz w:val="22"/>
        <w:lang w:val="en-U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15B7B"/>
    <w:multiLevelType w:val="multilevel"/>
    <w:tmpl w:val="65003B24"/>
    <w:lvl w:ilvl="0">
      <w:start w:val="1"/>
      <w:numFmt w:val="decimal"/>
      <w:lvlText w:val="%1."/>
      <w:lvlJc w:val="left"/>
      <w:pPr>
        <w:ind w:left="360" w:hanging="360"/>
      </w:pPr>
    </w:lvl>
    <w:lvl w:ilvl="1">
      <w:start w:val="8"/>
      <w:numFmt w:val="bullet"/>
      <w:lvlText w:val="-"/>
      <w:lvlJc w:val="left"/>
      <w:pPr>
        <w:ind w:left="792" w:hanging="432"/>
      </w:pPr>
      <w:rPr>
        <w:rFonts w:ascii="Times New Roman" w:eastAsia="Times"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551521"/>
    <w:multiLevelType w:val="multilevel"/>
    <w:tmpl w:val="3D36BE4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737921"/>
    <w:multiLevelType w:val="multilevel"/>
    <w:tmpl w:val="59D6CB6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AA159F8"/>
    <w:multiLevelType w:val="hybridMultilevel"/>
    <w:tmpl w:val="897837FA"/>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F51F48"/>
    <w:multiLevelType w:val="multilevel"/>
    <w:tmpl w:val="8E90BF5E"/>
    <w:lvl w:ilvl="0">
      <w:start w:val="1"/>
      <w:numFmt w:val="decimal"/>
      <w:lvlText w:val="%1."/>
      <w:lvlJc w:val="left"/>
      <w:pPr>
        <w:ind w:left="360" w:hanging="360"/>
      </w:pPr>
    </w:lvl>
    <w:lvl w:ilvl="1">
      <w:start w:val="8"/>
      <w:numFmt w:val="bullet"/>
      <w:lvlText w:val="-"/>
      <w:lvlJc w:val="left"/>
      <w:pPr>
        <w:ind w:left="792" w:hanging="432"/>
      </w:pPr>
      <w:rPr>
        <w:rFonts w:ascii="Times New Roman" w:eastAsia="Times"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B407459"/>
    <w:multiLevelType w:val="multilevel"/>
    <w:tmpl w:val="8E90BF5E"/>
    <w:lvl w:ilvl="0">
      <w:start w:val="1"/>
      <w:numFmt w:val="decimal"/>
      <w:lvlText w:val="%1."/>
      <w:lvlJc w:val="left"/>
      <w:pPr>
        <w:ind w:left="360" w:hanging="360"/>
      </w:pPr>
    </w:lvl>
    <w:lvl w:ilvl="1">
      <w:start w:val="8"/>
      <w:numFmt w:val="bullet"/>
      <w:lvlText w:val="-"/>
      <w:lvlJc w:val="left"/>
      <w:pPr>
        <w:ind w:left="792" w:hanging="432"/>
      </w:pPr>
      <w:rPr>
        <w:rFonts w:ascii="Times New Roman" w:eastAsia="Times"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EE71B0"/>
    <w:multiLevelType w:val="multilevel"/>
    <w:tmpl w:val="30FA2C82"/>
    <w:lvl w:ilvl="0">
      <w:start w:val="1"/>
      <w:numFmt w:val="decimal"/>
      <w:lvlText w:val="%1."/>
      <w:lvlJc w:val="left"/>
      <w:pPr>
        <w:ind w:left="360" w:hanging="360"/>
      </w:pPr>
    </w:lvl>
    <w:lvl w:ilvl="1">
      <w:start w:val="8"/>
      <w:numFmt w:val="bullet"/>
      <w:lvlText w:val="-"/>
      <w:lvlJc w:val="left"/>
      <w:pPr>
        <w:ind w:left="792" w:hanging="432"/>
      </w:pPr>
      <w:rPr>
        <w:rFonts w:ascii="Times New Roman" w:eastAsia="Times"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E390759"/>
    <w:multiLevelType w:val="multilevel"/>
    <w:tmpl w:val="E56CEF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1FE0F8F"/>
    <w:multiLevelType w:val="hybridMultilevel"/>
    <w:tmpl w:val="06E871E4"/>
    <w:styleLink w:val="IPPParagraphnumberedlist"/>
    <w:lvl w:ilvl="0" w:tplc="A86CB788">
      <w:start w:val="1"/>
      <w:numFmt w:val="decimal"/>
      <w:pStyle w:val="IPPParagraphnumbering"/>
      <w:lvlText w:val="[%1]"/>
      <w:lvlJc w:val="left"/>
      <w:pPr>
        <w:tabs>
          <w:tab w:val="num" w:pos="0"/>
        </w:tabs>
        <w:ind w:left="0" w:hanging="482"/>
      </w:pPr>
      <w:rPr>
        <w:rFonts w:ascii="Arial" w:hAnsi="Arial" w:cs="Times New Roman" w:hint="default"/>
        <w:b w:val="0"/>
        <w:i/>
        <w:color w:val="0000FF"/>
        <w:sz w:val="16"/>
      </w:rPr>
    </w:lvl>
    <w:lvl w:ilvl="1" w:tplc="7676032A">
      <w:start w:val="1"/>
      <w:numFmt w:val="none"/>
      <w:lvlRestart w:val="0"/>
      <w:lvlText w:val=""/>
      <w:lvlJc w:val="left"/>
      <w:pPr>
        <w:tabs>
          <w:tab w:val="num" w:pos="0"/>
        </w:tabs>
        <w:ind w:left="0" w:hanging="482"/>
      </w:pPr>
    </w:lvl>
    <w:lvl w:ilvl="2" w:tplc="CAF6BFF4">
      <w:start w:val="1"/>
      <w:numFmt w:val="none"/>
      <w:lvlRestart w:val="0"/>
      <w:lvlText w:val=""/>
      <w:lvlJc w:val="left"/>
      <w:pPr>
        <w:tabs>
          <w:tab w:val="num" w:pos="0"/>
        </w:tabs>
        <w:ind w:left="0" w:hanging="482"/>
      </w:pPr>
    </w:lvl>
    <w:lvl w:ilvl="3" w:tplc="8CBE015C">
      <w:start w:val="1"/>
      <w:numFmt w:val="none"/>
      <w:lvlRestart w:val="0"/>
      <w:lvlText w:val=""/>
      <w:lvlJc w:val="left"/>
      <w:pPr>
        <w:tabs>
          <w:tab w:val="num" w:pos="0"/>
        </w:tabs>
        <w:ind w:left="0" w:hanging="482"/>
      </w:pPr>
    </w:lvl>
    <w:lvl w:ilvl="4" w:tplc="7A7AFE84">
      <w:start w:val="1"/>
      <w:numFmt w:val="none"/>
      <w:lvlRestart w:val="0"/>
      <w:lvlText w:val=""/>
      <w:lvlJc w:val="left"/>
      <w:pPr>
        <w:tabs>
          <w:tab w:val="num" w:pos="0"/>
        </w:tabs>
        <w:ind w:left="0" w:hanging="482"/>
      </w:pPr>
    </w:lvl>
    <w:lvl w:ilvl="5" w:tplc="99329598">
      <w:start w:val="1"/>
      <w:numFmt w:val="none"/>
      <w:lvlRestart w:val="0"/>
      <w:lvlText w:val=""/>
      <w:lvlJc w:val="left"/>
      <w:pPr>
        <w:tabs>
          <w:tab w:val="num" w:pos="0"/>
        </w:tabs>
        <w:ind w:left="0" w:hanging="482"/>
      </w:pPr>
    </w:lvl>
    <w:lvl w:ilvl="6" w:tplc="4E3841D8">
      <w:start w:val="1"/>
      <w:numFmt w:val="none"/>
      <w:lvlRestart w:val="0"/>
      <w:lvlText w:val=""/>
      <w:lvlJc w:val="left"/>
      <w:pPr>
        <w:tabs>
          <w:tab w:val="num" w:pos="0"/>
        </w:tabs>
        <w:ind w:left="0" w:hanging="482"/>
      </w:pPr>
    </w:lvl>
    <w:lvl w:ilvl="7" w:tplc="713223F2">
      <w:start w:val="1"/>
      <w:numFmt w:val="none"/>
      <w:lvlRestart w:val="0"/>
      <w:lvlText w:val=""/>
      <w:lvlJc w:val="left"/>
      <w:pPr>
        <w:tabs>
          <w:tab w:val="num" w:pos="0"/>
        </w:tabs>
        <w:ind w:left="0" w:hanging="482"/>
      </w:pPr>
    </w:lvl>
    <w:lvl w:ilvl="8" w:tplc="6B7ABD60">
      <w:start w:val="1"/>
      <w:numFmt w:val="none"/>
      <w:lvlRestart w:val="0"/>
      <w:lvlText w:val=""/>
      <w:lvlJc w:val="left"/>
      <w:pPr>
        <w:tabs>
          <w:tab w:val="num" w:pos="0"/>
        </w:tabs>
        <w:ind w:left="0" w:hanging="482"/>
      </w:pPr>
    </w:lvl>
  </w:abstractNum>
  <w:abstractNum w:abstractNumId="12" w15:restartNumberingAfterBreak="0">
    <w:nsid w:val="350C53A6"/>
    <w:multiLevelType w:val="hybridMultilevel"/>
    <w:tmpl w:val="8D62701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6550F5"/>
    <w:multiLevelType w:val="hybridMultilevel"/>
    <w:tmpl w:val="28D4A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EA1680"/>
    <w:multiLevelType w:val="multilevel"/>
    <w:tmpl w:val="04E2B10E"/>
    <w:lvl w:ilvl="0">
      <w:start w:val="1"/>
      <w:numFmt w:val="decimal"/>
      <w:lvlText w:val="%1."/>
      <w:lvlJc w:val="left"/>
      <w:pPr>
        <w:ind w:left="360" w:hanging="360"/>
      </w:pPr>
    </w:lvl>
    <w:lvl w:ilvl="1">
      <w:start w:val="8"/>
      <w:numFmt w:val="bullet"/>
      <w:lvlText w:val="-"/>
      <w:lvlJc w:val="left"/>
      <w:pPr>
        <w:ind w:left="792" w:hanging="432"/>
      </w:pPr>
      <w:rPr>
        <w:rFonts w:ascii="Times New Roman" w:eastAsia="Times"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3C76679"/>
    <w:multiLevelType w:val="multilevel"/>
    <w:tmpl w:val="66182956"/>
    <w:lvl w:ilvl="0">
      <w:start w:val="1"/>
      <w:numFmt w:val="decimal"/>
      <w:lvlText w:val="%1."/>
      <w:lvlJc w:val="left"/>
      <w:pPr>
        <w:ind w:left="360" w:hanging="360"/>
      </w:pPr>
    </w:lvl>
    <w:lvl w:ilvl="1">
      <w:start w:val="8"/>
      <w:numFmt w:val="bullet"/>
      <w:lvlText w:val="-"/>
      <w:lvlJc w:val="left"/>
      <w:pPr>
        <w:ind w:left="792" w:hanging="432"/>
      </w:pPr>
      <w:rPr>
        <w:rFonts w:ascii="Times New Roman" w:eastAsia="Times"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A781AAD"/>
    <w:multiLevelType w:val="multilevel"/>
    <w:tmpl w:val="02F0ECC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E8176CF"/>
    <w:multiLevelType w:val="multilevel"/>
    <w:tmpl w:val="8E90BF5E"/>
    <w:lvl w:ilvl="0">
      <w:start w:val="1"/>
      <w:numFmt w:val="decimal"/>
      <w:lvlText w:val="%1."/>
      <w:lvlJc w:val="left"/>
      <w:pPr>
        <w:ind w:left="360" w:hanging="360"/>
      </w:pPr>
    </w:lvl>
    <w:lvl w:ilvl="1">
      <w:start w:val="8"/>
      <w:numFmt w:val="bullet"/>
      <w:lvlText w:val="-"/>
      <w:lvlJc w:val="left"/>
      <w:pPr>
        <w:ind w:left="792" w:hanging="432"/>
      </w:pPr>
      <w:rPr>
        <w:rFonts w:ascii="Times New Roman" w:eastAsia="Times"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19878FD"/>
    <w:multiLevelType w:val="hybridMultilevel"/>
    <w:tmpl w:val="C536463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620823"/>
    <w:multiLevelType w:val="hybridMultilevel"/>
    <w:tmpl w:val="486254EA"/>
    <w:lvl w:ilvl="0" w:tplc="E5163FBA">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583071A8"/>
    <w:multiLevelType w:val="hybridMultilevel"/>
    <w:tmpl w:val="9AF8CA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A58184D"/>
    <w:multiLevelType w:val="multilevel"/>
    <w:tmpl w:val="06985E4E"/>
    <w:lvl w:ilvl="0">
      <w:start w:val="1"/>
      <w:numFmt w:val="decimal"/>
      <w:lvlText w:val="%1."/>
      <w:lvlJc w:val="left"/>
      <w:pPr>
        <w:ind w:left="360" w:hanging="360"/>
      </w:pPr>
    </w:lvl>
    <w:lvl w:ilvl="1">
      <w:start w:val="8"/>
      <w:numFmt w:val="bullet"/>
      <w:lvlText w:val="-"/>
      <w:lvlJc w:val="left"/>
      <w:pPr>
        <w:ind w:left="792" w:hanging="432"/>
      </w:pPr>
      <w:rPr>
        <w:rFonts w:ascii="Times New Roman" w:eastAsia="Times"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C602409"/>
    <w:multiLevelType w:val="multilevel"/>
    <w:tmpl w:val="16FE864A"/>
    <w:lvl w:ilvl="0">
      <w:start w:val="1"/>
      <w:numFmt w:val="decimal"/>
      <w:lvlText w:val="%1."/>
      <w:lvlJc w:val="left"/>
      <w:pPr>
        <w:ind w:left="360" w:hanging="360"/>
      </w:pPr>
    </w:lvl>
    <w:lvl w:ilvl="1">
      <w:start w:val="8"/>
      <w:numFmt w:val="bullet"/>
      <w:lvlText w:val="-"/>
      <w:lvlJc w:val="left"/>
      <w:pPr>
        <w:ind w:left="792" w:hanging="432"/>
      </w:pPr>
      <w:rPr>
        <w:rFonts w:ascii="Times New Roman" w:eastAsia="Times"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0DC3560"/>
    <w:multiLevelType w:val="multilevel"/>
    <w:tmpl w:val="2ECCC8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62AA4FBD"/>
    <w:multiLevelType w:val="multilevel"/>
    <w:tmpl w:val="6A1079E0"/>
    <w:lvl w:ilvl="0">
      <w:start w:val="1"/>
      <w:numFmt w:val="decimal"/>
      <w:lvlText w:val="%1."/>
      <w:lvlJc w:val="left"/>
      <w:pPr>
        <w:ind w:left="360" w:hanging="360"/>
      </w:pPr>
    </w:lvl>
    <w:lvl w:ilvl="1">
      <w:start w:val="8"/>
      <w:numFmt w:val="bullet"/>
      <w:lvlText w:val="-"/>
      <w:lvlJc w:val="left"/>
      <w:pPr>
        <w:ind w:left="792" w:hanging="432"/>
      </w:pPr>
      <w:rPr>
        <w:rFonts w:ascii="Times New Roman" w:eastAsia="Times"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B92703"/>
    <w:multiLevelType w:val="multilevel"/>
    <w:tmpl w:val="557015C4"/>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6A354E39"/>
    <w:multiLevelType w:val="hybridMultilevel"/>
    <w:tmpl w:val="490E3624"/>
    <w:lvl w:ilvl="0" w:tplc="04090001">
      <w:start w:val="1"/>
      <w:numFmt w:val="bullet"/>
      <w:pStyle w:val="IPP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B112B99"/>
    <w:multiLevelType w:val="multilevel"/>
    <w:tmpl w:val="240A1D86"/>
    <w:lvl w:ilvl="0">
      <w:start w:val="1"/>
      <w:numFmt w:val="decimal"/>
      <w:lvlText w:val="%1."/>
      <w:lvlJc w:val="left"/>
      <w:pPr>
        <w:ind w:left="360" w:hanging="360"/>
      </w:pPr>
    </w:lvl>
    <w:lvl w:ilvl="1">
      <w:start w:val="8"/>
      <w:numFmt w:val="bullet"/>
      <w:lvlText w:val="-"/>
      <w:lvlJc w:val="left"/>
      <w:pPr>
        <w:ind w:left="792" w:hanging="432"/>
      </w:pPr>
      <w:rPr>
        <w:rFonts w:ascii="Times New Roman" w:eastAsia="Times"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C2D430C"/>
    <w:multiLevelType w:val="hybridMultilevel"/>
    <w:tmpl w:val="C9A8DD66"/>
    <w:lvl w:ilvl="0" w:tplc="5AC6FAFC">
      <w:start w:val="1"/>
      <w:numFmt w:val="decimal"/>
      <w:lvlText w:val="1. %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9" w15:restartNumberingAfterBreak="0">
    <w:nsid w:val="6D5639F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D71654F"/>
    <w:multiLevelType w:val="multilevel"/>
    <w:tmpl w:val="8E90BF5E"/>
    <w:lvl w:ilvl="0">
      <w:start w:val="1"/>
      <w:numFmt w:val="decimal"/>
      <w:lvlText w:val="%1."/>
      <w:lvlJc w:val="left"/>
      <w:pPr>
        <w:ind w:left="360" w:hanging="360"/>
      </w:pPr>
    </w:lvl>
    <w:lvl w:ilvl="1">
      <w:start w:val="8"/>
      <w:numFmt w:val="bullet"/>
      <w:lvlText w:val="-"/>
      <w:lvlJc w:val="left"/>
      <w:pPr>
        <w:ind w:left="792" w:hanging="432"/>
      </w:pPr>
      <w:rPr>
        <w:rFonts w:ascii="Times New Roman" w:eastAsia="Times"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F170DF0"/>
    <w:multiLevelType w:val="hybridMultilevel"/>
    <w:tmpl w:val="DDAEE39E"/>
    <w:lvl w:ilvl="0" w:tplc="FB32555C">
      <w:start w:val="11"/>
      <w:numFmt w:val="bullet"/>
      <w:lvlText w:val="-"/>
      <w:lvlJc w:val="left"/>
      <w:pPr>
        <w:ind w:left="720" w:hanging="360"/>
      </w:pPr>
      <w:rPr>
        <w:rFonts w:ascii="Calibri" w:eastAsia="Times"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B37E29"/>
    <w:multiLevelType w:val="hybridMultilevel"/>
    <w:tmpl w:val="79D41D44"/>
    <w:lvl w:ilvl="0" w:tplc="092424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8A1A7E"/>
    <w:multiLevelType w:val="multilevel"/>
    <w:tmpl w:val="151670F2"/>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1C272A0"/>
    <w:multiLevelType w:val="multilevel"/>
    <w:tmpl w:val="EE001B68"/>
    <w:lvl w:ilvl="0">
      <w:start w:val="1"/>
      <w:numFmt w:val="decimal"/>
      <w:lvlText w:val="%1."/>
      <w:lvlJc w:val="left"/>
      <w:pPr>
        <w:ind w:left="360" w:hanging="360"/>
      </w:pPr>
    </w:lvl>
    <w:lvl w:ilvl="1">
      <w:start w:val="8"/>
      <w:numFmt w:val="bullet"/>
      <w:lvlText w:val="-"/>
      <w:lvlJc w:val="left"/>
      <w:pPr>
        <w:ind w:left="792" w:hanging="432"/>
      </w:pPr>
      <w:rPr>
        <w:rFonts w:ascii="Times New Roman" w:eastAsia="Times"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20B63D7"/>
    <w:multiLevelType w:val="hybridMultilevel"/>
    <w:tmpl w:val="2758ACF6"/>
    <w:lvl w:ilvl="0" w:tplc="9C32ABD2">
      <w:start w:val="8"/>
      <w:numFmt w:val="bullet"/>
      <w:lvlText w:val="-"/>
      <w:lvlJc w:val="left"/>
      <w:pPr>
        <w:ind w:left="1069" w:hanging="360"/>
      </w:pPr>
      <w:rPr>
        <w:rFonts w:ascii="Times New Roman" w:eastAsia="Times"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6" w15:restartNumberingAfterBreak="0">
    <w:nsid w:val="74855392"/>
    <w:multiLevelType w:val="hybridMultilevel"/>
    <w:tmpl w:val="C3669E04"/>
    <w:lvl w:ilvl="0" w:tplc="A21A33D0">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8F4AFE"/>
    <w:multiLevelType w:val="multilevel"/>
    <w:tmpl w:val="5E28B2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F147593"/>
    <w:multiLevelType w:val="hybridMultilevel"/>
    <w:tmpl w:val="D5DE4448"/>
    <w:lvl w:ilvl="0" w:tplc="DC66E92C">
      <w:start w:val="1"/>
      <w:numFmt w:val="bullet"/>
      <w:lvlText w:val=""/>
      <w:lvlJc w:val="left"/>
      <w:pPr>
        <w:ind w:left="720" w:hanging="360"/>
      </w:pPr>
      <w:rPr>
        <w:rFonts w:ascii="Symbol" w:hAnsi="Symbol" w:hint="default"/>
      </w:rPr>
    </w:lvl>
    <w:lvl w:ilvl="1" w:tplc="0216863C">
      <w:start w:val="1"/>
      <w:numFmt w:val="bullet"/>
      <w:lvlText w:val="o"/>
      <w:lvlJc w:val="left"/>
      <w:pPr>
        <w:ind w:left="1440" w:hanging="360"/>
      </w:pPr>
      <w:rPr>
        <w:rFonts w:ascii="Courier New" w:hAnsi="Courier New" w:hint="default"/>
      </w:rPr>
    </w:lvl>
    <w:lvl w:ilvl="2" w:tplc="47B20440">
      <w:start w:val="1"/>
      <w:numFmt w:val="bullet"/>
      <w:lvlText w:val=""/>
      <w:lvlJc w:val="left"/>
      <w:pPr>
        <w:ind w:left="2160" w:hanging="360"/>
      </w:pPr>
      <w:rPr>
        <w:rFonts w:ascii="Wingdings" w:hAnsi="Wingdings" w:hint="default"/>
      </w:rPr>
    </w:lvl>
    <w:lvl w:ilvl="3" w:tplc="4A6A355C">
      <w:start w:val="1"/>
      <w:numFmt w:val="bullet"/>
      <w:lvlText w:val=""/>
      <w:lvlJc w:val="left"/>
      <w:pPr>
        <w:ind w:left="2880" w:hanging="360"/>
      </w:pPr>
      <w:rPr>
        <w:rFonts w:ascii="Symbol" w:hAnsi="Symbol" w:hint="default"/>
      </w:rPr>
    </w:lvl>
    <w:lvl w:ilvl="4" w:tplc="5E30AE30">
      <w:start w:val="1"/>
      <w:numFmt w:val="bullet"/>
      <w:lvlText w:val="o"/>
      <w:lvlJc w:val="left"/>
      <w:pPr>
        <w:ind w:left="3600" w:hanging="360"/>
      </w:pPr>
      <w:rPr>
        <w:rFonts w:ascii="Courier New" w:hAnsi="Courier New" w:hint="default"/>
      </w:rPr>
    </w:lvl>
    <w:lvl w:ilvl="5" w:tplc="E2825B50">
      <w:start w:val="1"/>
      <w:numFmt w:val="bullet"/>
      <w:lvlText w:val=""/>
      <w:lvlJc w:val="left"/>
      <w:pPr>
        <w:ind w:left="4320" w:hanging="360"/>
      </w:pPr>
      <w:rPr>
        <w:rFonts w:ascii="Wingdings" w:hAnsi="Wingdings" w:hint="default"/>
      </w:rPr>
    </w:lvl>
    <w:lvl w:ilvl="6" w:tplc="74F67ABA">
      <w:start w:val="1"/>
      <w:numFmt w:val="bullet"/>
      <w:lvlText w:val=""/>
      <w:lvlJc w:val="left"/>
      <w:pPr>
        <w:ind w:left="5040" w:hanging="360"/>
      </w:pPr>
      <w:rPr>
        <w:rFonts w:ascii="Symbol" w:hAnsi="Symbol" w:hint="default"/>
      </w:rPr>
    </w:lvl>
    <w:lvl w:ilvl="7" w:tplc="9BB4C92E">
      <w:start w:val="1"/>
      <w:numFmt w:val="bullet"/>
      <w:lvlText w:val="o"/>
      <w:lvlJc w:val="left"/>
      <w:pPr>
        <w:ind w:left="5760" w:hanging="360"/>
      </w:pPr>
      <w:rPr>
        <w:rFonts w:ascii="Courier New" w:hAnsi="Courier New" w:hint="default"/>
      </w:rPr>
    </w:lvl>
    <w:lvl w:ilvl="8" w:tplc="9704E73C">
      <w:start w:val="1"/>
      <w:numFmt w:val="bullet"/>
      <w:lvlText w:val=""/>
      <w:lvlJc w:val="left"/>
      <w:pPr>
        <w:ind w:left="6480" w:hanging="360"/>
      </w:pPr>
      <w:rPr>
        <w:rFonts w:ascii="Wingdings" w:hAnsi="Wingdings" w:hint="default"/>
      </w:rPr>
    </w:lvl>
  </w:abstractNum>
  <w:num w:numId="1">
    <w:abstractNumId w:val="39"/>
  </w:num>
  <w:num w:numId="2">
    <w:abstractNumId w:val="26"/>
  </w:num>
  <w:num w:numId="3">
    <w:abstractNumId w:val="11"/>
  </w:num>
  <w:num w:numId="4">
    <w:abstractNumId w:val="0"/>
  </w:num>
  <w:num w:numId="5">
    <w:abstractNumId w:val="10"/>
  </w:num>
  <w:num w:numId="6">
    <w:abstractNumId w:val="19"/>
  </w:num>
  <w:num w:numId="7">
    <w:abstractNumId w:val="28"/>
  </w:num>
  <w:num w:numId="8">
    <w:abstractNumId w:val="25"/>
  </w:num>
  <w:num w:numId="9">
    <w:abstractNumId w:val="4"/>
  </w:num>
  <w:num w:numId="10">
    <w:abstractNumId w:val="5"/>
  </w:num>
  <w:num w:numId="11">
    <w:abstractNumId w:val="36"/>
  </w:num>
  <w:num w:numId="12">
    <w:abstractNumId w:val="16"/>
  </w:num>
  <w:num w:numId="13">
    <w:abstractNumId w:val="29"/>
  </w:num>
  <w:num w:numId="14">
    <w:abstractNumId w:val="33"/>
  </w:num>
  <w:num w:numId="15">
    <w:abstractNumId w:val="38"/>
  </w:num>
  <w:num w:numId="16">
    <w:abstractNumId w:val="23"/>
  </w:num>
  <w:num w:numId="17">
    <w:abstractNumId w:val="37"/>
  </w:num>
  <w:num w:numId="18">
    <w:abstractNumId w:val="13"/>
  </w:num>
  <w:num w:numId="19">
    <w:abstractNumId w:val="12"/>
  </w:num>
  <w:num w:numId="20">
    <w:abstractNumId w:val="18"/>
  </w:num>
  <w:num w:numId="21">
    <w:abstractNumId w:val="2"/>
  </w:num>
  <w:num w:numId="22">
    <w:abstractNumId w:val="35"/>
  </w:num>
  <w:num w:numId="23">
    <w:abstractNumId w:val="20"/>
  </w:num>
  <w:num w:numId="24">
    <w:abstractNumId w:val="21"/>
  </w:num>
  <w:num w:numId="25">
    <w:abstractNumId w:val="8"/>
  </w:num>
  <w:num w:numId="26">
    <w:abstractNumId w:val="9"/>
  </w:num>
  <w:num w:numId="27">
    <w:abstractNumId w:val="7"/>
  </w:num>
  <w:num w:numId="28">
    <w:abstractNumId w:val="30"/>
  </w:num>
  <w:num w:numId="29">
    <w:abstractNumId w:val="27"/>
  </w:num>
  <w:num w:numId="30">
    <w:abstractNumId w:val="34"/>
  </w:num>
  <w:num w:numId="31">
    <w:abstractNumId w:val="14"/>
  </w:num>
  <w:num w:numId="32">
    <w:abstractNumId w:val="24"/>
  </w:num>
  <w:num w:numId="33">
    <w:abstractNumId w:val="22"/>
  </w:num>
  <w:num w:numId="34">
    <w:abstractNumId w:val="17"/>
  </w:num>
  <w:num w:numId="35">
    <w:abstractNumId w:val="15"/>
  </w:num>
  <w:num w:numId="36">
    <w:abstractNumId w:val="1"/>
  </w:num>
  <w:num w:numId="37">
    <w:abstractNumId w:val="3"/>
  </w:num>
  <w:num w:numId="38">
    <w:abstractNumId w:val="31"/>
  </w:num>
  <w:num w:numId="39">
    <w:abstractNumId w:val="37"/>
  </w:num>
  <w:num w:numId="40">
    <w:abstractNumId w:val="32"/>
  </w:num>
  <w:num w:numId="41">
    <w:abstractNumId w:val="6"/>
  </w:num>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GB" w:vendorID="64" w:dllVersion="6" w:nlCheck="1" w:checkStyle="0"/>
  <w:activeWritingStyle w:appName="MSWord" w:lang="en-CA" w:vendorID="64" w:dllVersion="6" w:nlCheck="1" w:checkStyle="0"/>
  <w:activeWritingStyle w:appName="MSWord" w:lang="en-US" w:vendorID="64" w:dllVersion="6" w:nlCheck="1" w:checkStyle="0"/>
  <w:activeWritingStyle w:appName="MSWord" w:lang="en-GB" w:vendorID="64" w:dllVersion="0" w:nlCheck="1" w:checkStyle="0"/>
  <w:activeWritingStyle w:appName="MSWord" w:lang="en-CA"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EB3"/>
    <w:rsid w:val="0002014C"/>
    <w:rsid w:val="00050CB5"/>
    <w:rsid w:val="000516DE"/>
    <w:rsid w:val="00055D9F"/>
    <w:rsid w:val="00056BD5"/>
    <w:rsid w:val="00071636"/>
    <w:rsid w:val="00085170"/>
    <w:rsid w:val="000A12E6"/>
    <w:rsid w:val="000D074E"/>
    <w:rsid w:val="000F3E15"/>
    <w:rsid w:val="00131AD1"/>
    <w:rsid w:val="0014242A"/>
    <w:rsid w:val="001626D2"/>
    <w:rsid w:val="00163EBE"/>
    <w:rsid w:val="00165912"/>
    <w:rsid w:val="00170F71"/>
    <w:rsid w:val="00181B36"/>
    <w:rsid w:val="001931D1"/>
    <w:rsid w:val="001B3EEB"/>
    <w:rsid w:val="001C42D6"/>
    <w:rsid w:val="001E0092"/>
    <w:rsid w:val="001F052C"/>
    <w:rsid w:val="001F26D4"/>
    <w:rsid w:val="002004B1"/>
    <w:rsid w:val="002052B5"/>
    <w:rsid w:val="00221221"/>
    <w:rsid w:val="002448DF"/>
    <w:rsid w:val="0025369C"/>
    <w:rsid w:val="0026564A"/>
    <w:rsid w:val="00270115"/>
    <w:rsid w:val="00273065"/>
    <w:rsid w:val="00273B32"/>
    <w:rsid w:val="0027483E"/>
    <w:rsid w:val="00281595"/>
    <w:rsid w:val="00284B1C"/>
    <w:rsid w:val="00284EA8"/>
    <w:rsid w:val="002A0DC3"/>
    <w:rsid w:val="002A2DCE"/>
    <w:rsid w:val="002B7AFC"/>
    <w:rsid w:val="002F4B77"/>
    <w:rsid w:val="0036638A"/>
    <w:rsid w:val="003713F0"/>
    <w:rsid w:val="00380016"/>
    <w:rsid w:val="0038389D"/>
    <w:rsid w:val="00392A8B"/>
    <w:rsid w:val="003B0EEC"/>
    <w:rsid w:val="003B6B3E"/>
    <w:rsid w:val="003C4C94"/>
    <w:rsid w:val="003D4BCE"/>
    <w:rsid w:val="003E54CB"/>
    <w:rsid w:val="003E7898"/>
    <w:rsid w:val="003F219A"/>
    <w:rsid w:val="00403DFD"/>
    <w:rsid w:val="004040F7"/>
    <w:rsid w:val="00414C49"/>
    <w:rsid w:val="00423407"/>
    <w:rsid w:val="00424F36"/>
    <w:rsid w:val="00463F1F"/>
    <w:rsid w:val="004673F6"/>
    <w:rsid w:val="0047268C"/>
    <w:rsid w:val="004728FD"/>
    <w:rsid w:val="00474139"/>
    <w:rsid w:val="0047525C"/>
    <w:rsid w:val="00485482"/>
    <w:rsid w:val="004873A5"/>
    <w:rsid w:val="00493993"/>
    <w:rsid w:val="004B5553"/>
    <w:rsid w:val="004B655C"/>
    <w:rsid w:val="004C1527"/>
    <w:rsid w:val="004E4288"/>
    <w:rsid w:val="004F6765"/>
    <w:rsid w:val="00504F37"/>
    <w:rsid w:val="00537861"/>
    <w:rsid w:val="00541088"/>
    <w:rsid w:val="00563104"/>
    <w:rsid w:val="00570E1B"/>
    <w:rsid w:val="005850E1"/>
    <w:rsid w:val="005B462F"/>
    <w:rsid w:val="005E236F"/>
    <w:rsid w:val="005E3B7B"/>
    <w:rsid w:val="00600651"/>
    <w:rsid w:val="0060085D"/>
    <w:rsid w:val="00612B31"/>
    <w:rsid w:val="00637681"/>
    <w:rsid w:val="00640FD2"/>
    <w:rsid w:val="0066064E"/>
    <w:rsid w:val="00660975"/>
    <w:rsid w:val="00693307"/>
    <w:rsid w:val="0069652C"/>
    <w:rsid w:val="006A0655"/>
    <w:rsid w:val="006B20C0"/>
    <w:rsid w:val="006C0B01"/>
    <w:rsid w:val="006D5825"/>
    <w:rsid w:val="00737202"/>
    <w:rsid w:val="0075057C"/>
    <w:rsid w:val="00772423"/>
    <w:rsid w:val="00786EBA"/>
    <w:rsid w:val="00787ADC"/>
    <w:rsid w:val="00792D3F"/>
    <w:rsid w:val="007A1629"/>
    <w:rsid w:val="007A7DDF"/>
    <w:rsid w:val="007C0FEC"/>
    <w:rsid w:val="007C2E5B"/>
    <w:rsid w:val="00811281"/>
    <w:rsid w:val="00813BA8"/>
    <w:rsid w:val="00817981"/>
    <w:rsid w:val="008232FD"/>
    <w:rsid w:val="00832C7A"/>
    <w:rsid w:val="0086703E"/>
    <w:rsid w:val="00893BD9"/>
    <w:rsid w:val="008B26F7"/>
    <w:rsid w:val="008C299C"/>
    <w:rsid w:val="008C66BD"/>
    <w:rsid w:val="008D3F97"/>
    <w:rsid w:val="008E6026"/>
    <w:rsid w:val="009021E6"/>
    <w:rsid w:val="00903949"/>
    <w:rsid w:val="009043AB"/>
    <w:rsid w:val="00915873"/>
    <w:rsid w:val="00923014"/>
    <w:rsid w:val="00942396"/>
    <w:rsid w:val="0097105B"/>
    <w:rsid w:val="00981674"/>
    <w:rsid w:val="009955D2"/>
    <w:rsid w:val="009A215B"/>
    <w:rsid w:val="009C7A64"/>
    <w:rsid w:val="009D3227"/>
    <w:rsid w:val="009D6C02"/>
    <w:rsid w:val="009F5FD5"/>
    <w:rsid w:val="00A20567"/>
    <w:rsid w:val="00A301ED"/>
    <w:rsid w:val="00A314BE"/>
    <w:rsid w:val="00A3655C"/>
    <w:rsid w:val="00A40297"/>
    <w:rsid w:val="00A41960"/>
    <w:rsid w:val="00A41B9A"/>
    <w:rsid w:val="00A51852"/>
    <w:rsid w:val="00A525A4"/>
    <w:rsid w:val="00A5516F"/>
    <w:rsid w:val="00A6022A"/>
    <w:rsid w:val="00A84BC9"/>
    <w:rsid w:val="00AE0340"/>
    <w:rsid w:val="00AF3800"/>
    <w:rsid w:val="00B10B32"/>
    <w:rsid w:val="00B33F78"/>
    <w:rsid w:val="00B5079D"/>
    <w:rsid w:val="00B51051"/>
    <w:rsid w:val="00B54A86"/>
    <w:rsid w:val="00B8698B"/>
    <w:rsid w:val="00B94879"/>
    <w:rsid w:val="00B97DF3"/>
    <w:rsid w:val="00BA393F"/>
    <w:rsid w:val="00BA3F45"/>
    <w:rsid w:val="00BD23B1"/>
    <w:rsid w:val="00BE5561"/>
    <w:rsid w:val="00BF7B54"/>
    <w:rsid w:val="00C01901"/>
    <w:rsid w:val="00C13CFD"/>
    <w:rsid w:val="00C2670C"/>
    <w:rsid w:val="00C31ACE"/>
    <w:rsid w:val="00C444B1"/>
    <w:rsid w:val="00C448AE"/>
    <w:rsid w:val="00CB164E"/>
    <w:rsid w:val="00CB52A4"/>
    <w:rsid w:val="00CC5B1C"/>
    <w:rsid w:val="00CE3F20"/>
    <w:rsid w:val="00D17497"/>
    <w:rsid w:val="00D22EE4"/>
    <w:rsid w:val="00D35686"/>
    <w:rsid w:val="00D36409"/>
    <w:rsid w:val="00D66E67"/>
    <w:rsid w:val="00D77AE4"/>
    <w:rsid w:val="00D92B5B"/>
    <w:rsid w:val="00D95FE0"/>
    <w:rsid w:val="00DA50D7"/>
    <w:rsid w:val="00DC4498"/>
    <w:rsid w:val="00DD1CC5"/>
    <w:rsid w:val="00DE33EC"/>
    <w:rsid w:val="00DE7DBC"/>
    <w:rsid w:val="00DF195B"/>
    <w:rsid w:val="00DF4454"/>
    <w:rsid w:val="00E131C6"/>
    <w:rsid w:val="00E41A1E"/>
    <w:rsid w:val="00E63EB3"/>
    <w:rsid w:val="00E70CB5"/>
    <w:rsid w:val="00E728AB"/>
    <w:rsid w:val="00EC1591"/>
    <w:rsid w:val="00EE187A"/>
    <w:rsid w:val="00F02614"/>
    <w:rsid w:val="00F104F5"/>
    <w:rsid w:val="00F112F9"/>
    <w:rsid w:val="00F11D6C"/>
    <w:rsid w:val="00F14206"/>
    <w:rsid w:val="00F15503"/>
    <w:rsid w:val="00F22649"/>
    <w:rsid w:val="00F351BB"/>
    <w:rsid w:val="00F43116"/>
    <w:rsid w:val="00F51151"/>
    <w:rsid w:val="00F55C58"/>
    <w:rsid w:val="00F61327"/>
    <w:rsid w:val="00F70603"/>
    <w:rsid w:val="00F71821"/>
    <w:rsid w:val="00F74054"/>
    <w:rsid w:val="00F7485E"/>
    <w:rsid w:val="00FC61E8"/>
    <w:rsid w:val="00FD161E"/>
    <w:rsid w:val="00FD4D69"/>
    <w:rsid w:val="39721EDE"/>
    <w:rsid w:val="5727AC04"/>
    <w:rsid w:val="65589332"/>
    <w:rsid w:val="726741B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0EB69"/>
  <w15:docId w15:val="{50023F41-6B97-4128-BBE1-FA02DC39183A}"/>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MS Mincho" w:hAnsi="Calibri" w:cs="Arial"/>
      <w:sz w:val="22"/>
      <w:szCs w:val="22"/>
    </w:rPr>
  </w:style>
  <w:style w:type="paragraph" w:styleId="Heading1">
    <w:name w:val="heading 1"/>
    <w:basedOn w:val="Normal"/>
    <w:next w:val="Normal"/>
    <w:link w:val="Heading1Char"/>
    <w:uiPriority w:val="9"/>
    <w:qFormat/>
    <w:pPr>
      <w:keepNext/>
      <w:keepLines/>
      <w:numPr>
        <w:numId w:val="10"/>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numPr>
        <w:ilvl w:val="1" numString="1.1 "/>
        <w:numId w:val="10"/>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numPr>
        <w:ilvl w:val="2" numString="1.1.1 "/>
        <w:numId w:val="10"/>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pPr>
      <w:keepNext/>
      <w:keepLines/>
      <w:numPr>
        <w:ilvl w:val="3" numString="1.1.1.1 "/>
        <w:numId w:val="10"/>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numPr>
        <w:ilvl w:val="4" numString="1.1.1.1.1 "/>
        <w:numId w:val="10"/>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pPr>
      <w:keepNext/>
      <w:keepLines/>
      <w:numPr>
        <w:ilvl w:val="5" numString="1.1.1.1.1.1 "/>
        <w:numId w:val="10"/>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numString="1.1.1.1.1.1.1 "/>
        <w:numId w:val="10"/>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numPr>
        <w:ilvl w:val="7" numString="1.1.1.1.1.1.1.1 "/>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numPr>
        <w:ilvl w:val="8" numString="1.1.1.1.1.1.1.1.1 "/>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customStyle="1" w:styleId="IPPNormalChar">
    <w:name w:val="IPP Normal Char"/>
    <w:link w:val="IPPNormal"/>
    <w:locked/>
    <w:rPr>
      <w:rFonts w:ascii="Calibri" w:eastAsia="Times" w:hAnsi="Calibri" w:cs="Arial"/>
      <w:sz w:val="22"/>
      <w:szCs w:val="22"/>
    </w:rPr>
  </w:style>
  <w:style w:type="paragraph" w:customStyle="1" w:styleId="IPPNormal">
    <w:name w:val="IPP Normal"/>
    <w:basedOn w:val="Normal"/>
    <w:link w:val="IPPNormalChar"/>
    <w:qFormat/>
    <w:pPr>
      <w:spacing w:after="180"/>
    </w:pPr>
    <w:rPr>
      <w:rFonts w:eastAsia="Times"/>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rPr>
  </w:style>
  <w:style w:type="paragraph" w:customStyle="1" w:styleId="IPPHeading1">
    <w:name w:val="IPP Heading1"/>
    <w:basedOn w:val="IPPNormal"/>
    <w:next w:val="IPPNormal"/>
    <w:qFormat/>
    <w:pPr>
      <w:keepNext/>
      <w:tabs>
        <w:tab w:val="left" w:pos="567"/>
      </w:tabs>
      <w:spacing w:before="240" w:after="120"/>
      <w:ind w:left="567" w:hanging="567"/>
      <w:outlineLvl w:val="1"/>
    </w:pPr>
    <w:rPr>
      <w:b/>
      <w:sz w:val="24"/>
    </w:rPr>
  </w:style>
  <w:style w:type="paragraph" w:customStyle="1" w:styleId="IPPBullet1">
    <w:name w:val="IPP Bullet1"/>
    <w:basedOn w:val="Normal"/>
    <w:qFormat/>
    <w:pPr>
      <w:numPr>
        <w:numId w:val="2"/>
      </w:numPr>
      <w:spacing w:after="60"/>
    </w:pPr>
    <w:rPr>
      <w:rFonts w:eastAsia="Times"/>
    </w:rPr>
  </w:style>
  <w:style w:type="paragraph" w:customStyle="1" w:styleId="IPPAnnexHead">
    <w:name w:val="IPP AnnexHead"/>
    <w:basedOn w:val="IPPNormal"/>
    <w:next w:val="IPPNormal"/>
    <w:qFormat/>
    <w:pPr>
      <w:keepNext/>
      <w:tabs>
        <w:tab w:val="left" w:pos="567"/>
      </w:tabs>
      <w:spacing w:before="120"/>
      <w:outlineLvl w:val="1"/>
    </w:pPr>
    <w:rPr>
      <w:b/>
      <w:sz w:val="24"/>
    </w:rPr>
  </w:style>
  <w:style w:type="paragraph" w:customStyle="1" w:styleId="IPPParagraphnumbering">
    <w:name w:val="IPP Paragraph numbering"/>
    <w:basedOn w:val="IPPNormal"/>
    <w:qFormat/>
    <w:pPr>
      <w:numPr>
        <w:numId w:val="3"/>
      </w:numPr>
      <w:tabs>
        <w:tab w:val="clear" w:pos="0"/>
        <w:tab w:val="num" w:pos="360"/>
      </w:tabs>
      <w:ind w:firstLine="0"/>
    </w:pPr>
  </w:style>
  <w:style w:type="numbering" w:customStyle="1" w:styleId="IPPParagraphnumberedlist">
    <w:name w:val="IPP Paragraph numbered list"/>
    <w:pPr>
      <w:numPr>
        <w:numId w:val="3"/>
      </w:numPr>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rFonts w:ascii="Calibri" w:eastAsia="MS Mincho" w:hAnsi="Calibri" w:cs="Arial"/>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MS Mincho" w:hAnsi="Segoe UI" w:cs="Segoe UI"/>
      <w:sz w:val="18"/>
      <w:szCs w:val="18"/>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paragraph" w:customStyle="1" w:styleId="IPPBullet2">
    <w:name w:val="IPP Bullet2"/>
    <w:basedOn w:val="Normal"/>
    <w:next w:val="Normal"/>
    <w:qFormat/>
    <w:pPr>
      <w:numPr>
        <w:numId w:val="17"/>
      </w:numPr>
      <w:tabs>
        <w:tab w:val="left" w:pos="1134"/>
      </w:tabs>
      <w:spacing w:after="60" w:line="240" w:lineRule="auto"/>
      <w:jc w:val="both"/>
    </w:pPr>
    <w:rPr>
      <w:rFonts w:ascii="Times New Roman" w:eastAsia="Times" w:hAnsi="Times New Roman" w:cstheme="minorBidi"/>
      <w:szCs w:val="24"/>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MS Mincho" w:hAnsi="Calibri" w:cs="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MS Mincho" w:hAnsi="Calibri" w:cs="Arial"/>
      <w:b/>
      <w:bCs/>
    </w:rPr>
  </w:style>
  <w:style w:type="character" w:customStyle="1" w:styleId="PleaseReviewParagraphId">
    <w:name w:val="PleaseReviewParagraphId"/>
    <w:basedOn w:val="DefaultParagraphFont"/>
    <w:rPr>
      <w:rFonts w:ascii="Arial" w:hAnsi="Arial" w:cs="Arial" w:hint="default"/>
      <w:b w:val="0"/>
      <w:bCs w:val="0"/>
      <w:i w:val="0"/>
      <w:iCs w:val="0"/>
      <w:strike w:val="0"/>
      <w:dstrike w:val="0"/>
      <w:color w:val="000080"/>
      <w:sz w:val="16"/>
      <w:u w:val="none"/>
      <w:effect w:val="none"/>
    </w:rPr>
  </w:style>
  <w:style w:type="paragraph" w:styleId="Revision">
    <w:name w:val="Revision"/>
    <w:hidden/>
    <w:uiPriority w:val="99"/>
    <w:semiHidden/>
    <w:rPr>
      <w:rFonts w:ascii="Calibri" w:eastAsia="MS Mincho" w:hAnsi="Calibri" w:cs="Arial"/>
      <w:sz w:val="22"/>
      <w:szCs w:val="22"/>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904335694">
      <w:bodyDiv w:val="1"/>
      <w:marLeft w:val="0"/>
      <w:marRight w:val="0"/>
      <w:marTop w:val="0"/>
      <w:marBottom w:val="0"/>
      <w:divBdr>
        <w:top w:val="none" w:sz="0" w:space="0" w:color="auto"/>
        <w:left w:val="none" w:sz="0" w:space="0" w:color="auto"/>
        <w:bottom w:val="none" w:sz="0" w:space="0" w:color="auto"/>
        <w:right w:val="none" w:sz="0" w:space="0" w:color="auto"/>
      </w:divBdr>
    </w:div>
    <w:div w:id="1170561262">
      <w:bodyDiv w:val="1"/>
      <w:marLeft w:val="0"/>
      <w:marRight w:val="0"/>
      <w:marTop w:val="0"/>
      <w:marBottom w:val="0"/>
      <w:divBdr>
        <w:top w:val="none" w:sz="0" w:space="0" w:color="auto"/>
        <w:left w:val="none" w:sz="0" w:space="0" w:color="auto"/>
        <w:bottom w:val="none" w:sz="0" w:space="0" w:color="auto"/>
        <w:right w:val="none" w:sz="0" w:space="0" w:color="auto"/>
      </w:divBdr>
    </w:div>
    <w:div w:id="203803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www.ippc.int/fr/publications/86051/" TargetMode="External" Id="rId8" /><Relationship Type="http://schemas.openxmlformats.org/officeDocument/2006/relationships/hyperlink" Target="https://www.ippc.int/fr/countries/reportingsystem-summary/all/"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ippc.int/fr/e-learning/" TargetMode="External" Id="rId12" /><Relationship Type="http://schemas.microsoft.com/office/2016/09/relationships/commentsIds" Target="commentsIds.xml" Id="rId17" /><Relationship Type="http://schemas.openxmlformats.org/officeDocument/2006/relationships/numbering" Target="numbering.xml" Id="rId2" /><Relationship Type="http://schemas.microsoft.com/office/2018/08/relationships/commentsExtensible" Target="commentsExtensi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ippc.int/fr/publications/80405/"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https://www.ippc.int/en/irss/activities/7/" TargetMode="External" Id="rId10" /><Relationship Type="http://schemas.openxmlformats.org/officeDocument/2006/relationships/settings" Target="settings.xml" Id="rId4" /><Relationship Type="http://schemas.openxmlformats.org/officeDocument/2006/relationships/hyperlink" Target="https://www.ippc.int/fr/core-activities/capacity-development/symposia/symposium-on-pfas-and-surveillance/" TargetMode="External" Id="rId9" /><Relationship Type="http://schemas.openxmlformats.org/officeDocument/2006/relationships/fontTable" Target="fontTable.xml" Id="rId14" /></Relationships>
</file>

<file path=word/_rels/footnotes.xml.rels>&#65279;<?xml version="1.0" encoding="utf-8"?><Relationships xmlns="http://schemas.openxmlformats.org/package/2006/relationships"><Relationship Type="http://schemas.openxmlformats.org/officeDocument/2006/relationships/hyperlink" Target="https://www.ippc.int/fr/publications/612/" TargetMode="External" Id="rId3" /><Relationship Type="http://schemas.openxmlformats.org/officeDocument/2006/relationships/hyperlink" Target="https://www.ippc.int/fr/publications/615/" TargetMode="External" Id="rId2" /><Relationship Type="http://schemas.openxmlformats.org/officeDocument/2006/relationships/hyperlink" Target="https://www.ippc.int/fr/publications/131/" TargetMode="External" Id="rId1" /><Relationship Type="http://schemas.openxmlformats.org/officeDocument/2006/relationships/hyperlink" Target="https://www.ippc.int/fr/publications/606/" TargetMode="Externa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2C6A72A4-D19F-4BCC-89D4-1F73B5FD3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1365</Words>
  <Characters>7784</Characters>
  <Application>Microsoft Office Word</Application>
  <DocSecurity>0</DocSecurity>
  <Lines>64</Lines>
  <Paragraphs>18</Paragraphs>
  <ScaleCrop>false</ScaleCrop>
  <Company>AAFC-AAC</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Barbara</dc:creator>
  <cp:keywords/>
  <dc:description/>
  <cp:lastModifiedBy>Czerwien, Ewa (NSP)</cp:lastModifiedBy>
  <cp:revision>5</cp:revision>
  <dcterms:created xsi:type="dcterms:W3CDTF">2021-06-21T14:23:00Z</dcterms:created>
  <dcterms:modified xsi:type="dcterms:W3CDTF">2021-06-30T14:30:00Z</dcterms:modified>
</cp:coreProperties>
</file>