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Contingency planning, Guide (2019-012). Document title: 2021_ICD_DraftSpecification_GuideContingencyPlanning (2019-012)_FR.docx]</w:t>
      </w:r>
    </w:p>
    <w:p w14:paraId="174ECAE5" w14:textId="3CD9D3B2">
      <w:pPr>
        <w:keepNext/>
        <w:spacing w:before="240" w:after="120" w:line="276" w:lineRule="auto"/>
        <w:outlineLvl w:val="1"/>
        <w:rPr>
          <w:rFonts w:ascii="Times New Roman" w:hAnsi="Times New Roman" w:eastAsia="MS Mincho" w:cs="Times New Roman"/>
          <w:b/>
          <w:bCs/>
          <w:sz w:val="28"/>
          <w:szCs w:val="28"/>
        </w:rPr>
      </w:pPr>
      <w:r>
        <w:rPr>
          <w:rStyle w:val="PleaseReviewParagraphId"/>
          <w:b w:val="off"/>
          <w:i w:val="off"/>
        </w:rPr>
        <w:t>[1]</w:t>
      </w:r>
      <w:r>
        <w:rPr>
          <w:rFonts w:ascii="Times New Roman" w:hAnsi="Times New Roman"/>
          <w:b/>
          <w:bCs/>
          <w:sz w:val="28"/>
          <w:szCs w:val="28"/>
        </w:rPr>
        <w:t>Projet de spécification relative au Guide pour la planification des interventions d’urgence</w:t>
      </w:r>
    </w:p>
    <w:p w14:paraId="44CA695D" w14:textId="57CC4676">
      <w:pPr>
        <w:spacing w:before="60" w:after="60" w:line="276" w:lineRule="auto"/>
        <w:rPr>
          <w:rFonts w:ascii="Times New Roman" w:hAnsi="Times New Roman" w:eastAsia="Times" w:cs="Times New Roman"/>
          <w:b/>
          <w:bCs/>
        </w:rPr>
      </w:pPr>
      <w:r>
        <w:rPr>
          <w:rStyle w:val="PleaseReviewParagraphId"/>
          <w:b w:val="off"/>
          <w:i w:val="off"/>
        </w:rPr>
        <w:t>[2]</w:t>
      </w:r>
      <w:r>
        <w:rPr>
          <w:rFonts w:ascii="Times New Roman" w:hAnsi="Times New Roman"/>
          <w:b/>
          <w:bCs/>
        </w:rPr>
        <w:t>État d’avancement du document</w:t>
      </w:r>
    </w:p>
    <w:tbl>
      <w:tblPr>
        <w:tblW w:w="0" w:type="auto"/>
        <w:tblLayout w:type="fixed"/>
        <w:tblLook w:val="00A0" w:firstRow="1" w:lastRow="0" w:firstColumn="1" w:lastColumn="0" w:noHBand="0" w:noVBand="0"/>
      </w:tblPr>
      <w:tblGrid>
        <w:gridCol w:w="2265"/>
        <w:gridCol w:w="6735"/>
      </w:tblGrid>
      <w:tr w14:paraId="58A972A5"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7522E6DA" w14:textId="7722B540">
            <w:pPr>
              <w:spacing w:before="60" w:after="60" w:line="276" w:lineRule="auto"/>
              <w:rPr>
                <w:rFonts w:ascii="Arial" w:hAnsi="Arial" w:eastAsia="Arial" w:cs="Arial"/>
                <w:sz w:val="18"/>
                <w:szCs w:val="18"/>
              </w:rPr>
            </w:pPr>
            <w:r>
              <w:rPr>
                <w:rStyle w:val="PleaseReviewParagraphId"/>
                <w:b w:val="off"/>
                <w:i w:val="off"/>
              </w:rPr>
              <w:t>[3]</w:t>
            </w:r>
            <w:r>
              <w:rPr>
                <w:rFonts w:ascii="Arial" w:hAnsi="Arial" w:eastAsia="Arial" w:cs="Arial"/>
                <w:sz w:val="18"/>
                <w:szCs w:val="18"/>
                <w:lang w:val="en-CA"/>
              </w:rPr>
              <w:t>This status box is not an official part of the Guide and will be modified by the IPPC Secretariat</w:t>
            </w:r>
          </w:p>
        </w:tc>
      </w:tr>
      <w:tr w14:paraId="5EC88F78"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40B415E4" w14:textId="3D5DFE18">
            <w:pPr>
              <w:spacing w:before="60" w:after="60" w:line="276" w:lineRule="auto"/>
              <w:rPr>
                <w:rFonts w:ascii="Arial" w:hAnsi="Arial" w:eastAsia="Arial" w:cs="Arial"/>
                <w:sz w:val="18"/>
                <w:szCs w:val="18"/>
              </w:rPr>
            </w:pPr>
            <w:r>
              <w:rPr>
                <w:rStyle w:val="PleaseReviewParagraphId"/>
                <w:b w:val="off"/>
                <w:i w:val="off"/>
              </w:rPr>
              <w:t>[4]</w:t>
            </w:r>
            <w:r>
              <w:rPr>
                <w:rFonts w:ascii="Arial" w:hAnsi="Arial" w:eastAsia="Arial" w:cs="Arial"/>
                <w:b/>
                <w:bCs/>
                <w:sz w:val="18"/>
                <w:szCs w:val="18"/>
                <w:lang w:val="en-CA"/>
              </w:rPr>
              <w:t>Topic number</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062B0A67" w14:textId="78B0F240">
            <w:pPr>
              <w:spacing w:before="60" w:after="60" w:line="276" w:lineRule="auto"/>
              <w:rPr>
                <w:rFonts w:ascii="Arial" w:hAnsi="Arial" w:eastAsia="Arial" w:cs="Arial"/>
                <w:sz w:val="18"/>
                <w:szCs w:val="18"/>
              </w:rPr>
            </w:pPr>
            <w:r>
              <w:rPr>
                <w:rStyle w:val="PleaseReviewParagraphId"/>
                <w:b w:val="off"/>
                <w:i w:val="off"/>
              </w:rPr>
              <w:t>[5]</w:t>
            </w:r>
            <w:r>
              <w:rPr>
                <w:rFonts w:ascii="Arial" w:hAnsi="Arial" w:eastAsia="Arial" w:cs="Arial"/>
                <w:sz w:val="18"/>
                <w:szCs w:val="18"/>
                <w:lang w:val="en-CA"/>
              </w:rPr>
              <w:t>2019-012</w:t>
            </w:r>
          </w:p>
        </w:tc>
      </w:tr>
      <w:tr w14:paraId="17F45A23"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B2311AF" w14:textId="199E28DB">
            <w:pPr>
              <w:spacing w:before="60" w:after="60" w:line="276" w:lineRule="auto"/>
              <w:rPr>
                <w:rFonts w:ascii="Arial" w:hAnsi="Arial" w:eastAsia="Arial" w:cs="Arial"/>
                <w:sz w:val="18"/>
                <w:szCs w:val="18"/>
              </w:rPr>
            </w:pPr>
            <w:r>
              <w:rPr>
                <w:rStyle w:val="PleaseReviewParagraphId"/>
                <w:b w:val="off"/>
                <w:i w:val="off"/>
              </w:rPr>
              <w:t>[6]</w:t>
            </w:r>
            <w:r>
              <w:rPr>
                <w:rFonts w:ascii="Arial" w:hAnsi="Arial" w:eastAsia="Arial" w:cs="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7601BD46" w14:textId="6DF8EE61">
            <w:pPr>
              <w:spacing w:before="60" w:after="60" w:line="276" w:lineRule="auto"/>
              <w:rPr>
                <w:rFonts w:ascii="Arial" w:hAnsi="Arial" w:eastAsia="Arial" w:cs="Arial"/>
                <w:sz w:val="18"/>
                <w:szCs w:val="18"/>
              </w:rPr>
            </w:pPr>
            <w:r>
              <w:rPr>
                <w:rStyle w:val="PleaseReviewParagraphId"/>
                <w:b w:val="off"/>
                <w:i w:val="off"/>
              </w:rPr>
              <w:t>[7]</w:t>
            </w:r>
            <w:r>
              <w:rPr>
                <w:rFonts w:ascii="Arial" w:hAnsi="Arial" w:eastAsia="Arial" w:cs="Arial"/>
                <w:sz w:val="18"/>
                <w:szCs w:val="18"/>
                <w:lang w:val="en-CA"/>
              </w:rPr>
              <w:t>Guide on Contingency Planning</w:t>
            </w:r>
          </w:p>
        </w:tc>
      </w:tr>
      <w:tr w14:paraId="082E5383"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5908F4D" w14:textId="547D4536">
            <w:pPr>
              <w:spacing w:before="60" w:after="60" w:line="276" w:lineRule="auto"/>
              <w:rPr>
                <w:rFonts w:ascii="Arial" w:hAnsi="Arial" w:eastAsia="Arial" w:cs="Arial"/>
                <w:sz w:val="18"/>
                <w:szCs w:val="18"/>
              </w:rPr>
            </w:pPr>
            <w:r>
              <w:rPr>
                <w:rStyle w:val="PleaseReviewParagraphId"/>
                <w:b w:val="off"/>
                <w:i w:val="off"/>
              </w:rPr>
              <w:t>[8]</w:t>
            </w:r>
            <w:r>
              <w:rPr>
                <w:rFonts w:ascii="Arial" w:hAnsi="Arial" w:eastAsia="Arial" w:cs="Arial"/>
                <w:b/>
                <w:bCs/>
                <w:sz w:val="18"/>
                <w:szCs w:val="18"/>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1A77CCD2" w14:textId="6F658464">
            <w:pPr>
              <w:spacing w:before="60" w:after="60" w:line="276" w:lineRule="auto"/>
              <w:rPr>
                <w:rFonts w:ascii="Arial" w:hAnsi="Arial" w:eastAsia="Arial" w:cs="Arial"/>
                <w:sz w:val="18"/>
                <w:szCs w:val="18"/>
              </w:rPr>
            </w:pPr>
            <w:r>
              <w:rPr>
                <w:rStyle w:val="PleaseReviewParagraphId"/>
                <w:b w:val="off"/>
                <w:i w:val="off"/>
              </w:rPr>
              <w:t>[9]</w:t>
            </w:r>
            <w:r>
              <w:rPr>
                <w:rFonts w:ascii="Arial" w:hAnsi="Arial" w:eastAsia="Arial" w:cs="Arial"/>
                <w:sz w:val="18"/>
                <w:szCs w:val="18"/>
                <w:lang w:val="en-CA"/>
              </w:rPr>
              <w:t>IPPC Guide</w:t>
            </w:r>
          </w:p>
        </w:tc>
      </w:tr>
      <w:tr w14:paraId="0D823925"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E3C571D" w14:textId="4F649DF4">
            <w:pPr>
              <w:spacing w:before="60" w:after="60" w:line="276" w:lineRule="auto"/>
              <w:rPr>
                <w:rFonts w:ascii="Arial" w:hAnsi="Arial" w:eastAsia="Arial" w:cs="Arial"/>
                <w:sz w:val="18"/>
                <w:szCs w:val="18"/>
              </w:rPr>
            </w:pPr>
            <w:r>
              <w:rPr>
                <w:rStyle w:val="PleaseReviewParagraphId"/>
                <w:b w:val="off"/>
                <w:i w:val="off"/>
              </w:rPr>
              <w:t>[10]</w:t>
            </w:r>
            <w:r>
              <w:rPr>
                <w:rFonts w:ascii="Arial" w:hAnsi="Arial" w:eastAsia="Arial" w:cs="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22CA554C" w14:textId="3F9D01F0">
            <w:pPr>
              <w:spacing w:before="60" w:after="60" w:line="276" w:lineRule="auto"/>
              <w:rPr>
                <w:rFonts w:ascii="Arial" w:hAnsi="Arial" w:eastAsia="Arial" w:cs="Arial"/>
                <w:sz w:val="18"/>
                <w:szCs w:val="18"/>
              </w:rPr>
            </w:pPr>
            <w:r>
              <w:rPr>
                <w:rStyle w:val="PleaseReviewParagraphId"/>
                <w:b w:val="off"/>
                <w:i w:val="off"/>
              </w:rPr>
              <w:t>[11]</w:t>
            </w:r>
            <w:r>
              <w:rPr>
                <w:rFonts w:ascii="Arial" w:hAnsi="Arial" w:eastAsia="Arial" w:cs="Arial"/>
                <w:sz w:val="18"/>
                <w:szCs w:val="18"/>
                <w:lang w:val="en-CA"/>
              </w:rPr>
              <w:t>2021-04-15</w:t>
            </w:r>
          </w:p>
        </w:tc>
      </w:tr>
      <w:tr w14:paraId="427F6E90"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B4A9319" w14:textId="7C451F9D">
            <w:pPr>
              <w:spacing w:before="60" w:after="60" w:line="276" w:lineRule="auto"/>
              <w:rPr>
                <w:rFonts w:ascii="Arial" w:hAnsi="Arial" w:eastAsia="Arial" w:cs="Arial"/>
                <w:sz w:val="18"/>
                <w:szCs w:val="18"/>
              </w:rPr>
            </w:pPr>
            <w:r>
              <w:rPr>
                <w:rStyle w:val="PleaseReviewParagraphId"/>
                <w:b w:val="off"/>
                <w:i w:val="off"/>
              </w:rPr>
              <w:t>[12]</w:t>
            </w:r>
            <w:r>
              <w:rPr>
                <w:rFonts w:ascii="Arial" w:hAnsi="Arial" w:eastAsia="Arial" w:cs="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5391D1C7" w14:textId="06F7655E">
            <w:pPr>
              <w:spacing w:before="60" w:after="60" w:line="276" w:lineRule="auto"/>
              <w:rPr>
                <w:rFonts w:ascii="Arial" w:hAnsi="Arial" w:eastAsia="Arial" w:cs="Arial"/>
                <w:sz w:val="18"/>
                <w:szCs w:val="18"/>
              </w:rPr>
            </w:pPr>
            <w:r>
              <w:rPr>
                <w:rStyle w:val="PleaseReviewParagraphId"/>
                <w:b w:val="off"/>
                <w:i w:val="off"/>
              </w:rPr>
              <w:t>[13]</w:t>
            </w:r>
            <w:r>
              <w:rPr>
                <w:rFonts w:ascii="Arial" w:hAnsi="Arial" w:eastAsia="Arial" w:cs="Arial"/>
                <w:sz w:val="18"/>
                <w:szCs w:val="18"/>
                <w:lang w:val="en-CA"/>
              </w:rPr>
              <w:t>Draft Specification</w:t>
            </w:r>
          </w:p>
        </w:tc>
      </w:tr>
      <w:tr w14:paraId="68C6354E"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E578214" w14:textId="40B2B489">
            <w:pPr>
              <w:spacing w:before="60" w:after="60" w:line="276" w:lineRule="auto"/>
              <w:rPr>
                <w:rFonts w:ascii="Arial" w:hAnsi="Arial" w:eastAsia="Arial" w:cs="Arial"/>
                <w:sz w:val="18"/>
                <w:szCs w:val="18"/>
              </w:rPr>
            </w:pPr>
            <w:r>
              <w:rPr>
                <w:rStyle w:val="PleaseReviewParagraphId"/>
                <w:b w:val="off"/>
                <w:i w:val="off"/>
              </w:rPr>
              <w:t>[14]</w:t>
            </w:r>
            <w:r>
              <w:rPr>
                <w:rFonts w:ascii="Arial" w:hAnsi="Arial" w:eastAsia="Arial" w:cs="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06BEDDB3" w14:textId="55B9EF98">
            <w:pPr>
              <w:spacing w:after="60" w:line="276" w:lineRule="auto"/>
              <w:rPr>
                <w:rFonts w:ascii="Arial" w:hAnsi="Arial" w:eastAsia="Arial" w:cs="Arial"/>
                <w:sz w:val="18"/>
                <w:szCs w:val="18"/>
              </w:rPr>
            </w:pPr>
            <w:r>
              <w:rPr>
                <w:rStyle w:val="PleaseReviewParagraphId"/>
                <w:b w:val="off"/>
                <w:i w:val="off"/>
              </w:rPr>
              <w:t>[15]</w:t>
            </w:r>
            <w:r>
              <w:rPr>
                <w:rFonts w:ascii="Arial" w:hAnsi="Arial" w:eastAsia="Arial" w:cs="Arial"/>
                <w:b/>
                <w:bCs/>
                <w:sz w:val="18"/>
                <w:szCs w:val="18"/>
                <w:lang w:val="en-CA"/>
              </w:rPr>
              <w:t>2019-11:</w:t>
            </w:r>
            <w:r>
              <w:rPr>
                <w:rFonts w:ascii="Arial" w:hAnsi="Arial" w:eastAsia="Arial" w:cs="Arial"/>
                <w:sz w:val="18"/>
                <w:szCs w:val="18"/>
                <w:lang w:val="en-CA"/>
              </w:rPr>
              <w:t xml:space="preserve"> Implementation and Capacity Development Committee (IC) recommends adding this topic to the  List of Implementation and Capacity Development (ICD) Topics; priority 1</w:t>
            </w:r>
          </w:p>
          <w:p w14:paraId="62B253D8" w14:textId="4AC25515">
            <w:pPr>
              <w:spacing w:after="60" w:line="276" w:lineRule="auto"/>
              <w:rPr>
                <w:rFonts w:ascii="Arial" w:hAnsi="Arial" w:eastAsia="Arial" w:cs="Arial"/>
                <w:sz w:val="18"/>
                <w:szCs w:val="18"/>
              </w:rPr>
            </w:pPr>
            <w:r>
              <w:rPr>
                <w:rStyle w:val="PleaseReviewParagraphId"/>
                <w:b w:val="off"/>
                <w:i w:val="off"/>
              </w:rPr>
              <w:t>[16]</w:t>
            </w:r>
            <w:r>
              <w:rPr>
                <w:rFonts w:ascii="Arial" w:hAnsi="Arial" w:eastAsia="Arial" w:cs="Arial"/>
                <w:b/>
                <w:bCs/>
                <w:sz w:val="18"/>
                <w:szCs w:val="18"/>
                <w:lang w:val="en-CA"/>
              </w:rPr>
              <w:t>2020-11:</w:t>
            </w:r>
            <w:r>
              <w:rPr>
                <w:rFonts w:ascii="Arial" w:hAnsi="Arial" w:eastAsia="Arial" w:cs="Arial"/>
                <w:sz w:val="18"/>
                <w:szCs w:val="18"/>
                <w:lang w:val="en-CA"/>
              </w:rPr>
              <w:t xml:space="preserve"> IC lead identified (Olga LAVRENTJEVA)</w:t>
            </w:r>
          </w:p>
          <w:p w14:paraId="20CA7D20" w14:textId="735D6D99">
            <w:pPr>
              <w:spacing w:after="60" w:line="276" w:lineRule="auto"/>
              <w:rPr>
                <w:rFonts w:ascii="Arial" w:hAnsi="Arial" w:eastAsia="Arial" w:cs="Arial"/>
                <w:sz w:val="18"/>
                <w:szCs w:val="18"/>
              </w:rPr>
            </w:pPr>
            <w:r>
              <w:rPr>
                <w:rStyle w:val="PleaseReviewParagraphId"/>
                <w:b w:val="off"/>
                <w:i w:val="off"/>
              </w:rPr>
              <w:t>[17]</w:t>
            </w:r>
            <w:r>
              <w:rPr>
                <w:rFonts w:ascii="Arial" w:hAnsi="Arial" w:eastAsia="Arial" w:cs="Arial"/>
                <w:b/>
                <w:bCs/>
                <w:sz w:val="18"/>
                <w:szCs w:val="18"/>
                <w:lang w:val="en-CA"/>
              </w:rPr>
              <w:t>2021-03:</w:t>
            </w:r>
            <w:r>
              <w:rPr>
                <w:rFonts w:ascii="Arial" w:hAnsi="Arial" w:eastAsia="Arial" w:cs="Arial"/>
                <w:sz w:val="18"/>
                <w:szCs w:val="18"/>
                <w:lang w:val="en-CA"/>
              </w:rPr>
              <w:t xml:space="preserve"> CPM-15 added this topic to List ICD Topics; priority 1</w:t>
            </w:r>
          </w:p>
          <w:p w14:paraId="68F1586F" w14:textId="0FCBC164">
            <w:pPr>
              <w:spacing w:after="60" w:line="276" w:lineRule="auto"/>
              <w:rPr>
                <w:rFonts w:ascii="Arial" w:hAnsi="Arial" w:eastAsia="Arial" w:cs="Arial"/>
                <w:sz w:val="18"/>
                <w:szCs w:val="18"/>
              </w:rPr>
            </w:pPr>
            <w:r>
              <w:rPr>
                <w:rStyle w:val="PleaseReviewParagraphId"/>
                <w:b w:val="off"/>
                <w:i w:val="off"/>
              </w:rPr>
              <w:t>[18]</w:t>
            </w:r>
            <w:r>
              <w:rPr>
                <w:rFonts w:ascii="Arial" w:hAnsi="Arial" w:eastAsia="Arial" w:cs="Arial"/>
                <w:b/>
                <w:bCs/>
                <w:sz w:val="18"/>
                <w:szCs w:val="18"/>
                <w:lang w:val="en-CA"/>
              </w:rPr>
              <w:t>2021-04:</w:t>
            </w:r>
            <w:r>
              <w:rPr>
                <w:rFonts w:ascii="Arial" w:hAnsi="Arial" w:eastAsia="Arial" w:cs="Arial"/>
                <w:sz w:val="18"/>
                <w:szCs w:val="18"/>
                <w:lang w:val="en-CA"/>
              </w:rPr>
              <w:t xml:space="preserve"> IC review of draft Specification </w:t>
            </w:r>
          </w:p>
        </w:tc>
      </w:tr>
      <w:tr w14:paraId="2EA46A08"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DC4BE5A" w14:textId="01E496EB">
            <w:pPr>
              <w:spacing w:before="60" w:after="60" w:line="276" w:lineRule="auto"/>
              <w:rPr>
                <w:rFonts w:ascii="Arial" w:hAnsi="Arial" w:eastAsia="Arial" w:cs="Arial"/>
                <w:sz w:val="18"/>
                <w:szCs w:val="18"/>
              </w:rPr>
            </w:pPr>
            <w:r>
              <w:rPr>
                <w:rStyle w:val="PleaseReviewParagraphId"/>
                <w:b w:val="off"/>
                <w:i w:val="off"/>
              </w:rPr>
              <w:t>[19]</w:t>
            </w:r>
            <w:r>
              <w:rPr>
                <w:rFonts w:ascii="Arial" w:hAnsi="Arial" w:eastAsia="Arial" w:cs="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4C4FA015" w14:textId="04B59BF5">
            <w:pPr>
              <w:spacing w:before="60" w:after="60" w:line="276" w:lineRule="auto"/>
              <w:rPr>
                <w:rFonts w:ascii="Arial" w:hAnsi="Arial" w:eastAsia="Arial" w:cs="Arial"/>
                <w:sz w:val="18"/>
                <w:szCs w:val="18"/>
              </w:rPr>
            </w:pPr>
            <w:r>
              <w:rPr>
                <w:rStyle w:val="PleaseReviewParagraphId"/>
                <w:b w:val="off"/>
                <w:i w:val="off"/>
              </w:rPr>
              <w:t>[20]</w:t>
            </w:r>
            <w:r>
              <w:rPr>
                <w:rFonts w:ascii="Arial" w:hAnsi="Arial" w:eastAsia="Arial" w:cs="Arial"/>
                <w:b/>
                <w:bCs/>
                <w:sz w:val="18"/>
                <w:szCs w:val="18"/>
                <w:lang w:val="en-CA"/>
              </w:rPr>
              <w:t>2020</w:t>
            </w:r>
            <w:r>
              <w:rPr>
                <w:rFonts w:ascii="Arial" w:hAnsi="Arial" w:eastAsia="Arial" w:cs="Arial"/>
                <w:b/>
                <w:bCs/>
                <w:color w:val="000000" w:themeColor="text1"/>
                <w:sz w:val="18"/>
                <w:szCs w:val="18"/>
                <w:lang w:val="en-CA"/>
              </w:rPr>
              <w:t>-11:</w:t>
            </w:r>
            <w:r>
              <w:rPr>
                <w:rFonts w:ascii="Arial" w:hAnsi="Arial" w:eastAsia="Arial" w:cs="Arial"/>
                <w:color w:val="000000" w:themeColor="text1"/>
                <w:sz w:val="18"/>
                <w:szCs w:val="18"/>
                <w:lang w:val="en-CA"/>
              </w:rPr>
              <w:t xml:space="preserve">  </w:t>
            </w:r>
            <w:r>
              <w:rPr>
                <w:rFonts w:ascii="Arial" w:hAnsi="Arial" w:eastAsia="Arial" w:cs="Arial"/>
                <w:sz w:val="18"/>
                <w:szCs w:val="18"/>
                <w:lang w:val="en-CA"/>
              </w:rPr>
              <w:t xml:space="preserve"> Olga LAVRENTJEVA</w:t>
            </w:r>
          </w:p>
        </w:tc>
      </w:tr>
      <w:tr w14:paraId="01ED4F90"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F15D48A" w14:textId="02C08FA5">
            <w:pPr>
              <w:spacing w:before="60" w:after="60" w:line="276" w:lineRule="auto"/>
              <w:rPr>
                <w:rFonts w:ascii="Arial" w:hAnsi="Arial" w:eastAsia="Arial" w:cs="Arial"/>
                <w:sz w:val="18"/>
                <w:szCs w:val="18"/>
              </w:rPr>
            </w:pPr>
            <w:r>
              <w:rPr>
                <w:rStyle w:val="PleaseReviewParagraphId"/>
                <w:b w:val="off"/>
                <w:i w:val="off"/>
              </w:rPr>
              <w:t>[21]</w:t>
            </w:r>
            <w:r>
              <w:rPr>
                <w:rFonts w:ascii="Arial" w:hAnsi="Arial" w:eastAsia="Arial" w:cs="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4DC2B3D6" w14:textId="5932BAEC">
            <w:pPr>
              <w:spacing w:before="60" w:after="60" w:line="276" w:lineRule="auto"/>
              <w:rPr>
                <w:rFonts w:ascii="Arial" w:hAnsi="Arial" w:eastAsia="Arial" w:cs="Arial"/>
                <w:sz w:val="18"/>
                <w:szCs w:val="18"/>
              </w:rPr>
            </w:pPr>
            <w:r>
              <w:rPr>
                <w:rStyle w:val="PleaseReviewParagraphId"/>
                <w:b w:val="off"/>
                <w:i w:val="off"/>
              </w:rPr>
              <w:t>[22]</w:t>
            </w:r>
            <w:r>
              <w:rPr>
                <w:rFonts w:ascii="Arial" w:hAnsi="Arial" w:eastAsia="Arial" w:cs="Arial"/>
                <w:b/>
                <w:bCs/>
                <w:sz w:val="18"/>
                <w:szCs w:val="18"/>
                <w:lang w:val="en-CA"/>
              </w:rPr>
              <w:t>2021-02</w:t>
            </w:r>
            <w:r>
              <w:rPr>
                <w:rFonts w:ascii="Arial" w:hAnsi="Arial" w:eastAsia="Arial" w:cs="Arial"/>
                <w:sz w:val="18"/>
                <w:szCs w:val="18"/>
                <w:lang w:val="en-CA"/>
              </w:rPr>
              <w:t>: Sarah BRUNEL</w:t>
            </w:r>
          </w:p>
        </w:tc>
      </w:tr>
      <w:tr w14:paraId="00CAA460"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B6B6B16" w14:textId="115FA279">
            <w:pPr>
              <w:spacing w:before="60" w:after="60" w:line="276" w:lineRule="auto"/>
              <w:rPr>
                <w:rFonts w:ascii="Arial" w:hAnsi="Arial" w:eastAsia="Arial" w:cs="Arial"/>
                <w:sz w:val="18"/>
                <w:szCs w:val="18"/>
              </w:rPr>
            </w:pPr>
            <w:r>
              <w:rPr>
                <w:rStyle w:val="PleaseReviewParagraphId"/>
                <w:b w:val="off"/>
                <w:i w:val="off"/>
              </w:rPr>
              <w:t>[23]</w:t>
            </w:r>
            <w:r>
              <w:rPr>
                <w:rFonts w:ascii="Arial" w:hAnsi="Arial" w:eastAsia="Arial" w:cs="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75012A85" w14:textId="2A94D5AA">
            <w:pPr>
              <w:spacing w:before="60" w:after="60" w:line="276" w:lineRule="auto"/>
              <w:rPr>
                <w:rFonts w:ascii="Arial" w:hAnsi="Arial" w:eastAsia="Arial" w:cs="Arial"/>
                <w:sz w:val="18"/>
                <w:szCs w:val="18"/>
              </w:rPr>
            </w:pPr>
            <w:r>
              <w:rPr>
                <w:rStyle w:val="PleaseReviewParagraphId"/>
                <w:b w:val="off"/>
                <w:i w:val="off"/>
              </w:rPr>
              <w:t>[24]</w:t>
            </w:r>
          </w:p>
        </w:tc>
      </w:tr>
      <w:tr w14:paraId="5972AAB0"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0E3CECE1" w14:textId="461DEE0A">
            <w:pPr>
              <w:spacing w:before="60" w:after="60" w:line="276" w:lineRule="auto"/>
              <w:rPr>
                <w:rFonts w:ascii="Arial" w:hAnsi="Arial" w:eastAsia="Arial" w:cs="Arial"/>
                <w:sz w:val="18"/>
                <w:szCs w:val="18"/>
              </w:rPr>
            </w:pPr>
            <w:r>
              <w:rPr>
                <w:rStyle w:val="PleaseReviewParagraphId"/>
                <w:b w:val="off"/>
                <w:i w:val="off"/>
              </w:rPr>
              <w:t>[25]</w:t>
            </w:r>
            <w:r>
              <w:rPr>
                <w:rFonts w:ascii="Arial" w:hAnsi="Arial" w:eastAsia="Arial" w:cs="Arial"/>
                <w:b/>
                <w:bCs/>
                <w:sz w:val="18"/>
                <w:szCs w:val="18"/>
                <w:lang w:val="en-CA"/>
              </w:rPr>
              <w:t>Notes</w:t>
            </w:r>
          </w:p>
        </w:tc>
        <w:tc>
          <w:tcPr>
            <w:tcW w:w="6735" w:type="dxa"/>
            <w:tcBorders>
              <w:bottom w:val="single" w:color="auto" w:sz="6" w:space="0"/>
              <w:right w:val="single" w:color="7F7F7F" w:themeColor="text1" w:themeTint="80" w:sz="6" w:space="0"/>
            </w:tcBorders>
          </w:tcPr>
          <w:p w14:paraId="79624927" w14:textId="2593BA84">
            <w:pPr>
              <w:spacing w:after="180" w:line="276" w:lineRule="auto"/>
              <w:rPr>
                <w:rFonts w:ascii="Arial" w:hAnsi="Arial" w:eastAsia="Arial" w:cs="Arial"/>
                <w:sz w:val="18"/>
                <w:szCs w:val="18"/>
              </w:rPr>
            </w:pPr>
            <w:r>
              <w:rPr>
                <w:rStyle w:val="PleaseReviewParagraphId"/>
                <w:b w:val="off"/>
                <w:i w:val="off"/>
              </w:rPr>
              <w:t>[26]</w:t>
            </w:r>
          </w:p>
        </w:tc>
      </w:tr>
    </w:tbl>
    <w:p w14:paraId="220CD80A" w14:textId="77777777">
      <w:pPr>
        <w:spacing w:after="0" w:line="240" w:lineRule="auto"/>
        <w:rPr>
          <w:rFonts w:ascii="Times New Roman" w:hAnsi="Times New Roman" w:eastAsia="MS Mincho" w:cs="Times New Roman"/>
          <w:bCs/>
          <w:iCs/>
        </w:rPr>
      </w:pPr>
      <w:r>
        <w:rPr>
          <w:rStyle w:val="PleaseReviewParagraphId"/>
          <w:b w:val="off"/>
          <w:i w:val="off"/>
        </w:rPr>
        <w:t>[27]</w:t>
      </w:r>
      <w:r>
        <w:br w:type="page"/>
      </w:r>
    </w:p>
    <w:p w14:paraId="61C8B765" w14:textId="00B35C07">
      <w:pPr>
        <w:keepNext/>
        <w:tabs>
          <w:tab w:val="left" w:pos="567"/>
        </w:tabs>
        <w:spacing w:before="240" w:after="120" w:line="276" w:lineRule="auto"/>
        <w:ind w:left="567" w:hanging="567"/>
        <w:outlineLvl w:val="1"/>
        <w:rPr>
          <w:rFonts w:ascii="Times New Roman" w:hAnsi="Times New Roman" w:eastAsia="Times" w:cs="Times New Roman"/>
          <w:b/>
          <w:szCs w:val="24"/>
        </w:rPr>
      </w:pPr>
      <w:r>
        <w:rPr>
          <w:rStyle w:val="PleaseReviewParagraphId"/>
          <w:b w:val="off"/>
          <w:i w:val="off"/>
        </w:rPr>
        <w:t>[28]</w:t>
      </w:r>
      <w:r>
        <w:rPr>
          <w:rFonts w:ascii="Times New Roman" w:hAnsi="Times New Roman"/>
          <w:b/>
        </w:rPr>
        <w:lastRenderedPageBreak/>
        <w:t>1. Titre</w:t>
      </w:r>
    </w:p>
    <w:p w14:paraId="6C308DA2" w14:textId="785A9A15">
      <w:pPr>
        <w:keepNext/>
        <w:tabs>
          <w:tab w:val="left" w:pos="567"/>
        </w:tabs>
        <w:spacing w:before="240" w:after="120" w:line="276" w:lineRule="auto"/>
        <w:ind w:left="567" w:hanging="567"/>
        <w:outlineLvl w:val="1"/>
        <w:rPr>
          <w:rFonts w:ascii="Times New Roman" w:hAnsi="Times New Roman" w:eastAsia="MS Mincho" w:cs="Times New Roman"/>
        </w:rPr>
      </w:pPr>
      <w:r>
        <w:rPr>
          <w:rStyle w:val="PleaseReviewParagraphId"/>
          <w:b w:val="off"/>
          <w:i w:val="off"/>
        </w:rPr>
        <w:t>[29]</w:t>
      </w:r>
      <w:r>
        <w:rPr>
          <w:rFonts w:ascii="Calibri" w:hAnsi="Calibri"/>
          <w:b/>
          <w:sz w:val="24"/>
        </w:rPr>
        <w:t xml:space="preserve"> </w:t>
      </w:r>
      <w:r>
        <w:rPr>
          <w:rFonts w:ascii="Times New Roman" w:hAnsi="Times New Roman"/>
        </w:rPr>
        <w:t>Guide pour la planification des interventions d’urgence (2019-012)</w:t>
      </w:r>
    </w:p>
    <w:p w14:paraId="1DB667EE" w14:textId="5A8C0774">
      <w:pPr>
        <w:keepNext/>
        <w:tabs>
          <w:tab w:val="left" w:pos="567"/>
        </w:tabs>
        <w:spacing w:before="240" w:after="120" w:line="276" w:lineRule="auto"/>
        <w:ind w:left="567" w:hanging="567"/>
        <w:outlineLvl w:val="1"/>
        <w:rPr>
          <w:rFonts w:ascii="Times New Roman" w:hAnsi="Times New Roman" w:eastAsia="Times" w:cs="Times New Roman"/>
          <w:szCs w:val="24"/>
        </w:rPr>
      </w:pPr>
      <w:r>
        <w:rPr>
          <w:rStyle w:val="PleaseReviewParagraphId"/>
          <w:b w:val="off"/>
          <w:i w:val="off"/>
        </w:rPr>
        <w:t>[30]</w:t>
      </w:r>
      <w:r>
        <w:rPr>
          <w:rFonts w:ascii="Times New Roman" w:hAnsi="Times New Roman"/>
          <w:b/>
        </w:rPr>
        <w:t>2. Type de ressource nécessaire à la mise en œuvre</w:t>
      </w:r>
    </w:p>
    <w:p w14:paraId="79BDD479" w14:textId="46A11B69">
      <w:pPr>
        <w:tabs>
          <w:tab w:val="left" w:pos="720"/>
        </w:tabs>
        <w:spacing w:after="180" w:line="276" w:lineRule="auto"/>
        <w:rPr>
          <w:rFonts w:ascii="Times New Roman" w:hAnsi="Times New Roman" w:eastAsia="MS Mincho" w:cs="Times New Roman"/>
        </w:rPr>
      </w:pPr>
      <w:r>
        <w:rPr>
          <w:rStyle w:val="PleaseReviewParagraphId"/>
          <w:b w:val="off"/>
          <w:i w:val="off"/>
        </w:rPr>
        <w:t>[31]</w:t>
      </w:r>
      <w:r>
        <w:rPr>
          <w:rFonts w:ascii="Times New Roman" w:hAnsi="Times New Roman"/>
        </w:rPr>
        <w:t>Guide de la CIPV</w:t>
      </w:r>
    </w:p>
    <w:p w14:paraId="028D1CF2" w14:textId="77777777">
      <w:pPr>
        <w:keepNext/>
        <w:tabs>
          <w:tab w:val="left" w:pos="567"/>
        </w:tabs>
        <w:spacing w:before="240" w:after="120" w:line="276" w:lineRule="auto"/>
        <w:ind w:left="567" w:hanging="567"/>
        <w:outlineLvl w:val="1"/>
        <w:rPr>
          <w:rFonts w:ascii="Times New Roman" w:hAnsi="Times New Roman" w:eastAsia="Times" w:cs="Times New Roman"/>
          <w:szCs w:val="24"/>
        </w:rPr>
      </w:pPr>
      <w:r>
        <w:rPr>
          <w:rStyle w:val="PleaseReviewParagraphId"/>
          <w:b w:val="off"/>
          <w:i w:val="off"/>
        </w:rPr>
        <w:t>[32]</w:t>
      </w:r>
      <w:r>
        <w:rPr>
          <w:rFonts w:ascii="Times New Roman" w:hAnsi="Times New Roman"/>
          <w:b/>
        </w:rPr>
        <w:t>3. Articles de la Convention, NIMP et recommandations de la CMP sur lesquels porte la ressource proposée</w:t>
      </w:r>
    </w:p>
    <w:p w14:paraId="7A9C3478" w14:textId="77777777">
      <w:pPr>
        <w:spacing w:after="180" w:line="276" w:lineRule="auto"/>
        <w:rPr>
          <w:rFonts w:ascii="Times New Roman" w:hAnsi="Times New Roman" w:eastAsia="MS Mincho" w:cs="Times New Roman"/>
          <w:bCs/>
          <w:iCs/>
        </w:rPr>
      </w:pPr>
      <w:r>
        <w:rPr>
          <w:rStyle w:val="PleaseReviewParagraphId"/>
          <w:b w:val="off"/>
          <w:i w:val="off"/>
        </w:rPr>
        <w:t>[33]</w:t>
      </w:r>
      <w:r>
        <w:rPr>
          <w:rFonts w:ascii="Times New Roman" w:hAnsi="Times New Roman"/>
        </w:rPr>
        <w:t>Convention internationale pour la protection des végétaux</w:t>
      </w:r>
      <w:r>
        <w:rPr>
          <w:rFonts w:ascii="Times New Roman" w:hAnsi="Times New Roman" w:eastAsia="MS Mincho" w:cs="Times New Roman"/>
          <w:bCs/>
          <w:iCs/>
          <w:color w:val="0000FF"/>
          <w:u w:val="single"/>
          <w:vertAlign w:val="superscript"/>
        </w:rPr>
        <w:footnoteReference w:id="1"/>
      </w:r>
      <w:r>
        <w:rPr>
          <w:rFonts w:ascii="Times New Roman" w:hAnsi="Times New Roman"/>
        </w:rPr>
        <w:t xml:space="preserve"> (article IV. 2 e). </w:t>
      </w:r>
    </w:p>
    <w:p w14:paraId="5595E784" w14:textId="1FE126BE">
      <w:pPr>
        <w:spacing w:after="120" w:line="276" w:lineRule="auto"/>
        <w:rPr>
          <w:rFonts w:ascii="Times New Roman" w:hAnsi="Times New Roman" w:eastAsia="Times" w:cs="Times New Roman"/>
        </w:rPr>
      </w:pPr>
      <w:r>
        <w:rPr>
          <w:rStyle w:val="PleaseReviewParagraphId"/>
          <w:b w:val="off"/>
          <w:i w:val="off"/>
        </w:rPr>
        <w:t>[35]</w:t>
      </w:r>
      <w:r>
        <w:rPr>
          <w:rFonts w:ascii="Times New Roman" w:hAnsi="Times New Roman"/>
        </w:rPr>
        <w:t>NIMP 4: Exigences pour l’établissement de zones indemnes</w:t>
      </w:r>
      <w:r>
        <w:rPr>
          <w:rFonts w:ascii="Times New Roman" w:hAnsi="Times New Roman" w:eastAsia="Times" w:cs="Times New Roman"/>
          <w:vertAlign w:val="superscript"/>
        </w:rPr>
        <w:footnoteReference w:id="2"/>
      </w:r>
    </w:p>
    <w:p w14:paraId="72DF9089" w14:textId="77777777">
      <w:pPr>
        <w:shd w:val="clear" w:color="auto" w:fill="FFFFFF"/>
        <w:spacing w:after="120" w:line="240" w:lineRule="auto"/>
        <w:rPr>
          <w:rFonts w:ascii="Times New Roman" w:hAnsi="Times New Roman" w:eastAsia="Times New Roman" w:cs="Times New Roman"/>
          <w:color w:val="1B1E24"/>
        </w:rPr>
      </w:pPr>
      <w:r>
        <w:rPr>
          <w:rStyle w:val="PleaseReviewParagraphId"/>
          <w:b w:val="off"/>
          <w:i w:val="off"/>
        </w:rPr>
        <w:t>[37]</w:t>
      </w:r>
      <w:hyperlink w:history="1" r:id="rId7">
        <w:r>
          <w:rPr>
            <w:rFonts w:ascii="Times New Roman" w:hAnsi="Times New Roman"/>
          </w:rPr>
          <w:t xml:space="preserve">NIMP 6: </w:t>
        </w:r>
      </w:hyperlink>
      <w:r>
        <w:rPr>
          <w:rFonts w:ascii="Times New Roman" w:hAnsi="Times New Roman"/>
        </w:rPr>
        <w:t>Surveillance</w:t>
      </w:r>
      <w:r>
        <w:rPr>
          <w:rFonts w:ascii="Times New Roman" w:hAnsi="Times New Roman" w:eastAsia="Times" w:cs="Times New Roman"/>
          <w:vertAlign w:val="superscript"/>
        </w:rPr>
        <w:footnoteReference w:id="3"/>
      </w:r>
      <w:r>
        <w:rPr>
          <w:rFonts w:ascii="Times New Roman" w:hAnsi="Times New Roman"/>
          <w:color w:val="1B1E24"/>
        </w:rPr>
        <w:t xml:space="preserve"> </w:t>
      </w:r>
    </w:p>
    <w:p w14:paraId="05B8D2F5" w14:textId="355439EB">
      <w:pPr>
        <w:spacing w:after="120" w:line="276" w:lineRule="auto"/>
        <w:rPr>
          <w:rFonts w:ascii="Times New Roman" w:hAnsi="Times New Roman" w:eastAsia="Times" w:cs="Times New Roman"/>
        </w:rPr>
      </w:pPr>
      <w:r>
        <w:rPr>
          <w:rStyle w:val="PleaseReviewParagraphId"/>
          <w:b w:val="off"/>
          <w:i w:val="off"/>
        </w:rPr>
        <w:t>[39]</w:t>
      </w:r>
      <w:r>
        <w:rPr>
          <w:rFonts w:ascii="Times New Roman" w:hAnsi="Times New Roman"/>
        </w:rPr>
        <w:t>NIMP 8: Détermination de la situation d’un organisme nuisible dans une zone</w:t>
      </w:r>
      <w:r>
        <w:rPr>
          <w:rFonts w:ascii="Times New Roman" w:hAnsi="Times New Roman" w:eastAsia="Times" w:cs="Times New Roman"/>
          <w:vertAlign w:val="superscript"/>
        </w:rPr>
        <w:footnoteReference w:id="4"/>
      </w:r>
      <w:r>
        <w:rPr>
          <w:rFonts w:ascii="Times New Roman" w:hAnsi="Times New Roman"/>
        </w:rPr>
        <w:t xml:space="preserve"> </w:t>
      </w:r>
    </w:p>
    <w:p w14:paraId="1E81A5CC" w14:textId="2E05684E">
      <w:pPr>
        <w:spacing w:after="120" w:line="276" w:lineRule="auto"/>
        <w:rPr>
          <w:rFonts w:ascii="Times New Roman" w:hAnsi="Times New Roman" w:eastAsia="Times" w:cs="Times New Roman"/>
        </w:rPr>
      </w:pPr>
      <w:r>
        <w:rPr>
          <w:rStyle w:val="PleaseReviewParagraphId"/>
          <w:b w:val="off"/>
          <w:i w:val="off"/>
        </w:rPr>
        <w:t>[41]</w:t>
      </w:r>
      <w:r>
        <w:rPr>
          <w:rFonts w:ascii="Times New Roman" w:hAnsi="Times New Roman"/>
        </w:rPr>
        <w:t>NIMP 9: Directives pour les programmes d’éradication des organismes nuisibles</w:t>
      </w:r>
      <w:r>
        <w:rPr>
          <w:rFonts w:ascii="Times New Roman" w:hAnsi="Times New Roman" w:eastAsia="Times" w:cs="Times New Roman"/>
          <w:vertAlign w:val="superscript"/>
        </w:rPr>
        <w:footnoteReference w:id="5"/>
      </w:r>
      <w:r>
        <w:rPr>
          <w:rFonts w:ascii="Times New Roman" w:hAnsi="Times New Roman"/>
        </w:rPr>
        <w:t xml:space="preserve"> </w:t>
      </w:r>
    </w:p>
    <w:p w14:paraId="6EC23DB3" w14:textId="52A45FA8">
      <w:pPr>
        <w:spacing w:after="120" w:line="276" w:lineRule="auto"/>
        <w:rPr>
          <w:rFonts w:ascii="Times New Roman" w:hAnsi="Times New Roman" w:eastAsia="Times" w:cs="Times New Roman"/>
        </w:rPr>
      </w:pPr>
      <w:r>
        <w:rPr>
          <w:rStyle w:val="PleaseReviewParagraphId"/>
          <w:b w:val="off"/>
          <w:i w:val="off"/>
        </w:rPr>
        <w:t>[43]</w:t>
      </w:r>
      <w:r>
        <w:rPr>
          <w:rFonts w:ascii="Times New Roman" w:hAnsi="Times New Roman"/>
        </w:rPr>
        <w:t>NIMP 10: Exigences pour l’établissement de lieux et sites de production exempts d’organismes nuisibles</w:t>
      </w:r>
      <w:r>
        <w:rPr>
          <w:rFonts w:ascii="Times New Roman" w:hAnsi="Times New Roman" w:eastAsia="Times" w:cs="Times New Roman"/>
          <w:vertAlign w:val="superscript"/>
        </w:rPr>
        <w:footnoteReference w:id="6"/>
      </w:r>
      <w:r>
        <w:rPr>
          <w:rFonts w:ascii="Times New Roman" w:hAnsi="Times New Roman"/>
        </w:rPr>
        <w:t xml:space="preserve"> </w:t>
      </w:r>
    </w:p>
    <w:p w14:paraId="2CC5FDE1" w14:textId="3E725AE3">
      <w:pPr>
        <w:spacing w:after="120" w:line="276" w:lineRule="auto"/>
        <w:rPr>
          <w:rFonts w:ascii="Times New Roman" w:hAnsi="Times New Roman" w:eastAsia="Times" w:cs="Times New Roman"/>
        </w:rPr>
      </w:pPr>
      <w:r>
        <w:rPr>
          <w:rStyle w:val="PleaseReviewParagraphId"/>
          <w:b w:val="off"/>
          <w:i w:val="off"/>
        </w:rPr>
        <w:t>[45]</w:t>
      </w:r>
      <w:r>
        <w:rPr>
          <w:rFonts w:ascii="Times New Roman" w:hAnsi="Times New Roman"/>
        </w:rPr>
        <w:t>NIMP 14: L’utilisation de mesures intégrées dans une approche systémique de gestion du risque phytosanitaire</w:t>
      </w:r>
      <w:r>
        <w:rPr>
          <w:rFonts w:ascii="Times New Roman" w:hAnsi="Times New Roman" w:eastAsia="Times" w:cs="Times New Roman"/>
          <w:vertAlign w:val="superscript"/>
        </w:rPr>
        <w:footnoteReference w:id="7"/>
      </w:r>
      <w:r>
        <w:rPr>
          <w:rFonts w:ascii="Times New Roman" w:hAnsi="Times New Roman"/>
        </w:rPr>
        <w:t xml:space="preserve"> </w:t>
      </w:r>
    </w:p>
    <w:p w14:paraId="42A97256" w14:textId="08EF21CA">
      <w:pPr>
        <w:spacing w:after="120" w:line="276" w:lineRule="auto"/>
        <w:rPr>
          <w:rFonts w:ascii="Times New Roman" w:hAnsi="Times New Roman" w:eastAsia="Times" w:cs="Times New Roman"/>
        </w:rPr>
      </w:pPr>
      <w:r>
        <w:rPr>
          <w:rStyle w:val="PleaseReviewParagraphId"/>
          <w:b w:val="off"/>
          <w:i w:val="off"/>
        </w:rPr>
        <w:t>[47]</w:t>
      </w:r>
      <w:r>
        <w:rPr>
          <w:rFonts w:ascii="Times New Roman" w:hAnsi="Times New Roman"/>
        </w:rPr>
        <w:t>NIMP 17: Signalement d’organismes nuisibles</w:t>
      </w:r>
      <w:r>
        <w:rPr>
          <w:rFonts w:ascii="Times New Roman" w:hAnsi="Times New Roman" w:eastAsia="Times" w:cs="Times New Roman"/>
          <w:vertAlign w:val="superscript"/>
        </w:rPr>
        <w:footnoteReference w:id="8"/>
      </w:r>
    </w:p>
    <w:p w14:paraId="79941FA9" w14:textId="1D93F2A2">
      <w:pPr>
        <w:spacing w:after="120" w:line="276" w:lineRule="auto"/>
        <w:rPr>
          <w:rFonts w:ascii="Times New Roman" w:hAnsi="Times New Roman" w:eastAsia="Times" w:cs="Times New Roman"/>
        </w:rPr>
      </w:pPr>
      <w:r>
        <w:rPr>
          <w:rStyle w:val="PleaseReviewParagraphId"/>
          <w:b w:val="off"/>
          <w:i w:val="off"/>
        </w:rPr>
        <w:t>[49]</w:t>
      </w:r>
      <w:r>
        <w:rPr>
          <w:rFonts w:ascii="Times New Roman" w:hAnsi="Times New Roman"/>
        </w:rPr>
        <w:t>NIMP 22: Exigences pour l’établissement de zones à faible prévalence d’organismes nuisibles</w:t>
      </w:r>
      <w:r>
        <w:rPr>
          <w:rFonts w:ascii="Times New Roman" w:hAnsi="Times New Roman" w:eastAsia="Times" w:cs="Times New Roman"/>
          <w:vertAlign w:val="superscript"/>
        </w:rPr>
        <w:footnoteReference w:id="9"/>
      </w:r>
    </w:p>
    <w:p w14:paraId="428F8F1B" w14:textId="761E0AE3">
      <w:pPr>
        <w:spacing w:after="120" w:line="276" w:lineRule="auto"/>
        <w:rPr>
          <w:rFonts w:ascii="Times New Roman" w:hAnsi="Times New Roman" w:eastAsia="Times" w:cs="Times New Roman"/>
        </w:rPr>
      </w:pPr>
      <w:r>
        <w:rPr>
          <w:rStyle w:val="PleaseReviewParagraphId"/>
          <w:b w:val="off"/>
          <w:i w:val="off"/>
        </w:rPr>
        <w:t>[51]</w:t>
      </w:r>
      <w:r>
        <w:rPr>
          <w:rFonts w:ascii="Times New Roman" w:hAnsi="Times New Roman"/>
        </w:rPr>
        <w:t>NIMP 27: Protocoles de diagnostic pour les organismes nuisibles réglementés</w:t>
      </w:r>
      <w:r>
        <w:rPr>
          <w:rFonts w:ascii="Times New Roman" w:hAnsi="Times New Roman" w:eastAsia="Times" w:cs="Times New Roman"/>
          <w:vertAlign w:val="superscript"/>
        </w:rPr>
        <w:footnoteReference w:id="10"/>
      </w:r>
    </w:p>
    <w:p w14:paraId="1871CA44" w14:textId="76C4AD2F">
      <w:pPr>
        <w:keepNext/>
        <w:tabs>
          <w:tab w:val="left" w:pos="567"/>
        </w:tabs>
        <w:spacing w:before="240" w:after="120" w:line="276" w:lineRule="auto"/>
        <w:ind w:left="567" w:hanging="567"/>
        <w:outlineLvl w:val="1"/>
        <w:rPr>
          <w:rFonts w:ascii="Times New Roman" w:hAnsi="Times New Roman" w:eastAsia="MS Mincho" w:cs="Times New Roman"/>
          <w:bCs/>
          <w:iCs/>
        </w:rPr>
      </w:pPr>
      <w:r>
        <w:rPr>
          <w:rStyle w:val="PleaseReviewParagraphId"/>
          <w:b w:val="off"/>
          <w:i w:val="off"/>
        </w:rPr>
        <w:t>[53]</w:t>
      </w:r>
      <w:r>
        <w:rPr>
          <w:rFonts w:ascii="Times New Roman" w:hAnsi="Times New Roman"/>
          <w:b/>
        </w:rPr>
        <w:t>4</w:t>
      </w:r>
      <w:r>
        <w:rPr>
          <w:rFonts w:ascii="Times New Roman" w:hAnsi="Times New Roman"/>
          <w:b/>
          <w:bCs/>
        </w:rPr>
        <w:t>.</w:t>
      </w:r>
      <w:r>
        <w:rPr>
          <w:rFonts w:ascii="Times New Roman" w:hAnsi="Times New Roman"/>
          <w:b/>
        </w:rPr>
        <w:t xml:space="preserve"> Champ d’application </w:t>
      </w:r>
    </w:p>
    <w:p w14:paraId="606942CE" w14:textId="11999F67">
      <w:pPr>
        <w:keepNext/>
        <w:spacing w:before="240" w:after="120" w:line="276" w:lineRule="auto"/>
        <w:jc w:val="both"/>
        <w:outlineLvl w:val="1"/>
        <w:rPr>
          <w:rFonts w:ascii="Times New Roman" w:hAnsi="Times New Roman" w:eastAsia="MS Mincho" w:cs="Times New Roman"/>
        </w:rPr>
      </w:pPr>
      <w:r>
        <w:rPr>
          <w:rStyle w:val="PleaseReviewParagraphId"/>
          <w:b w:val="off"/>
          <w:i w:val="off"/>
        </w:rPr>
        <w:t>[54]</w:t>
      </w:r>
      <w:r>
        <w:rPr>
          <w:rFonts w:ascii="Times New Roman" w:hAnsi="Times New Roman"/>
        </w:rPr>
        <w:t xml:space="preserve">Le guide a pour objectif de présenter aux organisations nationales de la protection des végétaux (ONPV) et aux institutions concernées des ressources et des expériences de mise en œuvre aux fins de l’élaboration et de l’application de plans d’intervention d’urgence efficaces permettant de lutter contre les incursions et/ou </w:t>
        <w:lastRenderedPageBreak/>
        <w:t xml:space="preserve">l’apparition de foyers d’organismes de quarantaine. Ces orientations devraient également être en grande partie applicables à la lutte contre d’autres organismes nuisibles ayant une importance économique. </w:t>
      </w:r>
    </w:p>
    <w:p w14:paraId="4134CA34" w14:textId="77777777">
      <w:pPr>
        <w:keepNext/>
        <w:spacing w:before="240" w:after="120" w:line="276" w:lineRule="auto"/>
        <w:outlineLvl w:val="1"/>
        <w:rPr>
          <w:rFonts w:ascii="Times New Roman" w:hAnsi="Times New Roman" w:eastAsia="MS Mincho" w:cs="Times New Roman"/>
          <w:b/>
        </w:rPr>
      </w:pPr>
      <w:r>
        <w:rPr>
          <w:rStyle w:val="PleaseReviewParagraphId"/>
          <w:b w:val="off"/>
          <w:i w:val="off"/>
        </w:rPr>
        <w:t>[55]</w:t>
      </w:r>
      <w:r>
        <w:rPr>
          <w:rFonts w:ascii="Times New Roman" w:hAnsi="Times New Roman"/>
          <w:b/>
        </w:rPr>
        <w:t>5</w:t>
      </w:r>
      <w:r>
        <w:rPr>
          <w:rFonts w:ascii="Times New Roman" w:hAnsi="Times New Roman"/>
          <w:b/>
          <w:bCs/>
        </w:rPr>
        <w:t>.</w:t>
      </w:r>
      <w:r>
        <w:rPr>
          <w:rFonts w:ascii="Times New Roman" w:hAnsi="Times New Roman"/>
          <w:b/>
        </w:rPr>
        <w:t xml:space="preserve"> Objet </w:t>
      </w:r>
    </w:p>
    <w:p w14:paraId="3F464BC9" w14:textId="525A50C1">
      <w:pPr>
        <w:keepNext/>
        <w:spacing w:before="240" w:after="120" w:line="276" w:lineRule="auto"/>
        <w:jc w:val="both"/>
        <w:outlineLvl w:val="1"/>
        <w:rPr>
          <w:rFonts w:ascii="Times New Roman" w:hAnsi="Times New Roman" w:eastAsia="MS Mincho" w:cs="Times New Roman"/>
        </w:rPr>
      </w:pPr>
      <w:r>
        <w:rPr>
          <w:rStyle w:val="PleaseReviewParagraphId"/>
          <w:b w:val="off"/>
          <w:i w:val="off"/>
        </w:rPr>
        <w:t>[56]</w:t>
      </w:r>
      <w:r>
        <w:rPr>
          <w:rFonts w:ascii="Times New Roman" w:hAnsi="Times New Roman"/>
        </w:rPr>
        <w:t xml:space="preserve">Aux termes de la CIPV, l’ONPV est responsable de la protection des zones menacées ainsi que de la désignation, du maintien et de la surveillance de zones indemnes et de zones à faible prévalence d’organismes nuisibles (article IV 2, e). </w:t>
      </w:r>
    </w:p>
    <w:p w14:paraId="628F715F" w14:textId="0D14C70D">
      <w:pPr>
        <w:keepNext/>
        <w:spacing w:before="240" w:after="120" w:line="276" w:lineRule="auto"/>
        <w:jc w:val="both"/>
        <w:outlineLvl w:val="1"/>
        <w:rPr>
          <w:rFonts w:ascii="Times New Roman" w:hAnsi="Times New Roman" w:eastAsia="MS Mincho" w:cs="Times New Roman"/>
        </w:rPr>
      </w:pPr>
      <w:r>
        <w:rPr>
          <w:rStyle w:val="PleaseReviewParagraphId"/>
          <w:b w:val="off"/>
          <w:i w:val="off"/>
        </w:rPr>
        <w:t>[57]</w:t>
      </w:r>
      <w:r>
        <w:rPr>
          <w:rFonts w:ascii="Times New Roman" w:hAnsi="Times New Roman"/>
        </w:rPr>
        <w:t>De nombreuses ONPV et ORPV élaborent des plans d’intervention d’urgence pour lutter contre les incursions d’organismes nuisibles et l’apparition de foyers d’organismes nuisibles. Cependant, il n’existe à l’heure actuelle aucune ressource nécessaire à la mise en œuvre de la CIPV qui permette de fournir des orientations aux parties contractantes et aux parties prenantes concernées en ce qui concerne l’établissement de plans d’intervention d’urgence. Les «interventions d’urgence et leur planification» sont considérées comme prioritaires au titre du Cadre relatif aux normes et à la mise en œuvre de 2018. La nécessité de disposer de lignes directrices pour l’élaboration de plans d’intervention d’urgence y est également évoquée.</w:t>
      </w:r>
      <w:r>
        <w:rPr>
          <w:rFonts w:ascii="Calibri" w:hAnsi="Calibri"/>
          <w:b/>
          <w:sz w:val="24"/>
        </w:rPr>
        <w:t xml:space="preserve"> </w:t>
      </w:r>
      <w:r>
        <w:rPr>
          <w:rFonts w:ascii="Times New Roman" w:hAnsi="Times New Roman"/>
        </w:rPr>
        <w:t>Par ailleurs, dans le Cadre stratégique pour 2020-2030, la CIPV considère l’élaboration d’un guide et d’autres outils destinés à la planification d’urgence comme étant prioritaire pour la mise en place de «systèmes d’alerte et d’intervention en cas d’apparition de foyers d’organismes nuisibles».</w:t>
      </w:r>
    </w:p>
    <w:p w14:paraId="33FD40A6" w14:textId="756AE235">
      <w:pPr>
        <w:keepNext/>
        <w:tabs>
          <w:tab w:val="left" w:pos="567"/>
        </w:tabs>
        <w:spacing w:before="240" w:after="120" w:line="276" w:lineRule="auto"/>
        <w:jc w:val="both"/>
        <w:outlineLvl w:val="1"/>
        <w:rPr>
          <w:rFonts w:ascii="Times New Roman" w:hAnsi="Times New Roman" w:eastAsia="MS Mincho" w:cs="Times New Roman"/>
        </w:rPr>
      </w:pPr>
      <w:r>
        <w:rPr>
          <w:rStyle w:val="PleaseReviewParagraphId"/>
          <w:b w:val="off"/>
          <w:i w:val="off"/>
        </w:rPr>
        <w:t>[58]</w:t>
      </w:r>
      <w:r>
        <w:rPr>
          <w:rFonts w:ascii="Times New Roman" w:hAnsi="Times New Roman"/>
        </w:rPr>
        <w:t>Le guide pour la planification des interventions d’urgence a pour objectif de présenter un aperçu général harmonisé de ce que les ONPV et les ORPV doivent faire, en collaboration avec les parties prenantes concernées, pour mettre en évidence, éradiquer, contenir ou gérer une incursion d’organismes nuisibles ou l’apparition d’un foyer d’organismes nuisibles.</w:t>
      </w:r>
    </w:p>
    <w:p w14:paraId="15A5F2CE" w14:textId="07F41A8E">
      <w:pPr>
        <w:keepNext/>
        <w:tabs>
          <w:tab w:val="left" w:pos="567"/>
        </w:tabs>
        <w:spacing w:before="240" w:after="120" w:line="276" w:lineRule="auto"/>
        <w:ind w:left="567" w:hanging="567"/>
        <w:outlineLvl w:val="1"/>
        <w:rPr>
          <w:rFonts w:ascii="Times New Roman" w:hAnsi="Times New Roman" w:eastAsia="Times" w:cs="Times New Roman"/>
          <w:b/>
        </w:rPr>
      </w:pPr>
      <w:r>
        <w:rPr>
          <w:rStyle w:val="PleaseReviewParagraphId"/>
          <w:b w:val="off"/>
          <w:i w:val="off"/>
        </w:rPr>
        <w:t>[59]</w:t>
      </w:r>
      <w:r>
        <w:rPr>
          <w:rFonts w:ascii="Times New Roman" w:hAnsi="Times New Roman"/>
          <w:b/>
        </w:rPr>
        <w:t>6</w:t>
      </w:r>
      <w:r>
        <w:rPr>
          <w:rFonts w:ascii="Times New Roman" w:hAnsi="Times New Roman"/>
          <w:b/>
          <w:bCs/>
        </w:rPr>
        <w:t>.</w:t>
      </w:r>
      <w:r>
        <w:rPr>
          <w:rFonts w:ascii="Times New Roman" w:hAnsi="Times New Roman"/>
          <w:b/>
        </w:rPr>
        <w:t xml:space="preserve"> Contenu de la ressource proposée pour la mise en œuvre </w:t>
      </w:r>
    </w:p>
    <w:p w14:paraId="1A607BCA" w14:textId="77777777">
      <w:pPr>
        <w:spacing w:after="180" w:line="276" w:lineRule="auto"/>
        <w:rPr>
          <w:rFonts w:ascii="Times New Roman" w:hAnsi="Times New Roman" w:eastAsia="Times" w:cs="Times New Roman"/>
        </w:rPr>
      </w:pPr>
      <w:r>
        <w:rPr>
          <w:rStyle w:val="PleaseReviewParagraphId"/>
          <w:b w:val="off"/>
          <w:i w:val="off"/>
        </w:rPr>
        <w:t>[60]</w:t>
      </w:r>
      <w:r>
        <w:rPr>
          <w:rFonts w:ascii="Times New Roman" w:hAnsi="Times New Roman"/>
        </w:rPr>
        <w:t>Tâches proposées pour le groupe de travail:</w:t>
      </w:r>
    </w:p>
    <w:p w14:paraId="0279BBA5" w14:textId="37C1310E">
      <w:pPr>
        <w:numPr>
          <w:ilvl w:val="0"/>
          <w:numId w:val="4"/>
        </w:numPr>
        <w:spacing w:after="120" w:line="276" w:lineRule="auto"/>
        <w:jc w:val="both"/>
        <w:rPr>
          <w:rFonts w:ascii="Times New Roman" w:hAnsi="Times New Roman" w:eastAsia="Times" w:cs="Times New Roman"/>
        </w:rPr>
      </w:pPr>
      <w:r>
        <w:rPr>
          <w:rStyle w:val="PleaseReviewParagraphId"/>
          <w:b w:val="off"/>
          <w:i w:val="off"/>
        </w:rPr>
        <w:t>[61]</w:t>
      </w:r>
      <w:r>
        <w:rPr>
          <w:rFonts w:ascii="Times New Roman" w:hAnsi="Times New Roman"/>
        </w:rPr>
        <w:t>Décrire la portée et les éléments essentiels des plans d’urgence et déterminer les termes et définitions pertinents.</w:t>
      </w:r>
    </w:p>
    <w:p w14:paraId="7B5D16C0" w14:textId="3EF2EC14">
      <w:pPr>
        <w:numPr>
          <w:ilvl w:val="0"/>
          <w:numId w:val="4"/>
        </w:numPr>
        <w:spacing w:after="120" w:line="276" w:lineRule="auto"/>
        <w:jc w:val="both"/>
        <w:rPr>
          <w:rFonts w:ascii="Times New Roman" w:hAnsi="Times New Roman" w:eastAsia="Times" w:cs="Times New Roman"/>
        </w:rPr>
      </w:pPr>
      <w:r>
        <w:rPr>
          <w:rStyle w:val="PleaseReviewParagraphId"/>
          <w:b w:val="off"/>
          <w:i w:val="off"/>
        </w:rPr>
        <w:t>[62]</w:t>
      </w:r>
      <w:r>
        <w:rPr>
          <w:rFonts w:ascii="Times New Roman" w:hAnsi="Times New Roman"/>
        </w:rPr>
        <w:t xml:space="preserve">Décrire les mesures qu’il est recommandé aux ONPV de prendre pour se préparer aux urgences phytosanitaires, pour les prévenir, pour les détecter et pour intervenir de manière efficace lorsqu’elles se produisent. </w:t>
      </w:r>
    </w:p>
    <w:p w14:paraId="729DA83F" w14:textId="0E6B5B34">
      <w:pPr>
        <w:pStyle w:val="ListParagraph"/>
        <w:numPr>
          <w:ilvl w:val="0"/>
          <w:numId w:val="4"/>
        </w:numPr>
        <w:jc w:val="both"/>
        <w:rPr>
          <w:rFonts w:ascii="Times New Roman" w:hAnsi="Times New Roman" w:eastAsia="Times" w:cs="Times New Roman"/>
        </w:rPr>
      </w:pPr>
      <w:r>
        <w:rPr>
          <w:rStyle w:val="PleaseReviewParagraphId"/>
          <w:b w:val="off"/>
          <w:i w:val="off"/>
        </w:rPr>
        <w:t>[63]</w:t>
      </w:r>
      <w:r>
        <w:rPr>
          <w:rFonts w:ascii="Times New Roman" w:hAnsi="Times New Roman"/>
        </w:rPr>
        <w:t>Décrire les rôles et les responsabilités des parties prenantes concernées et mettre en évidence l’importance de la collaboration avec les parties prenantes aux fins de l’élaboration et de la mise en œuvre de plans d’intervention d’urgence efficaces.</w:t>
      </w:r>
    </w:p>
    <w:p w14:paraId="381AA01A" w14:textId="19437FB2">
      <w:pPr>
        <w:numPr>
          <w:ilvl w:val="0"/>
          <w:numId w:val="4"/>
        </w:numPr>
        <w:spacing w:after="120" w:line="276" w:lineRule="auto"/>
        <w:jc w:val="both"/>
        <w:rPr>
          <w:rFonts w:ascii="Times New Roman" w:hAnsi="Times New Roman" w:eastAsia="Times" w:cs="Times New Roman"/>
        </w:rPr>
      </w:pPr>
      <w:r>
        <w:rPr>
          <w:rStyle w:val="PleaseReviewParagraphId"/>
          <w:b w:val="off"/>
          <w:i w:val="off"/>
        </w:rPr>
        <w:t>[64]</w:t>
      </w:r>
      <w:r>
        <w:rPr>
          <w:rFonts w:ascii="Times New Roman" w:hAnsi="Times New Roman"/>
        </w:rPr>
        <w:t>Décrire les opérations et les structures de gouvernance nécessaires pour lutter de manière efficace contre les incursions d’organismes nuisibles ou l’apparition de foyers d’organismes nuisibles.</w:t>
      </w:r>
    </w:p>
    <w:p w14:paraId="7EB82F6D" w14:textId="3A3A3B82">
      <w:pPr>
        <w:numPr>
          <w:ilvl w:val="0"/>
          <w:numId w:val="4"/>
        </w:numPr>
        <w:spacing w:after="120" w:line="276" w:lineRule="auto"/>
        <w:jc w:val="both"/>
        <w:rPr>
          <w:rFonts w:ascii="Times New Roman" w:hAnsi="Times New Roman" w:eastAsia="Times" w:cs="Times New Roman"/>
        </w:rPr>
      </w:pPr>
      <w:r>
        <w:rPr>
          <w:rStyle w:val="PleaseReviewParagraphId"/>
          <w:b w:val="off"/>
          <w:i w:val="off"/>
        </w:rPr>
        <w:t>[65]</w:t>
      </w:r>
      <w:r>
        <w:rPr>
          <w:rFonts w:ascii="Times New Roman" w:hAnsi="Times New Roman"/>
        </w:rPr>
        <w:t>Tenir compte des exigences des législations nationales à l’appui des interventions d’urgence et de leur planification.</w:t>
      </w:r>
    </w:p>
    <w:p w14:paraId="7B006F04" w14:textId="7A12F01B">
      <w:pPr>
        <w:numPr>
          <w:ilvl w:val="0"/>
          <w:numId w:val="4"/>
        </w:numPr>
        <w:spacing w:after="120" w:line="276" w:lineRule="auto"/>
        <w:jc w:val="both"/>
        <w:rPr>
          <w:rFonts w:ascii="Times New Roman" w:hAnsi="Times New Roman" w:eastAsia="Times" w:cs="Times New Roman"/>
        </w:rPr>
      </w:pPr>
      <w:r>
        <w:rPr>
          <w:rStyle w:val="PleaseReviewParagraphId"/>
          <w:b w:val="off"/>
          <w:i w:val="off"/>
        </w:rPr>
        <w:t>[66]</w:t>
      </w:r>
      <w:r>
        <w:rPr>
          <w:rFonts w:ascii="Times New Roman" w:hAnsi="Times New Roman"/>
        </w:rPr>
        <w:t>Fournir des orientations ou des pratiques optimales en matière de communication sur les risques associés aux interventions d’urgence et à leur planification.</w:t>
      </w:r>
    </w:p>
    <w:p w14:paraId="5AAFE78F" w14:textId="5CCD088F">
      <w:pPr>
        <w:numPr>
          <w:ilvl w:val="0"/>
          <w:numId w:val="4"/>
        </w:numPr>
        <w:spacing w:after="120" w:line="276" w:lineRule="auto"/>
        <w:jc w:val="both"/>
        <w:rPr>
          <w:rFonts w:ascii="Times New Roman" w:hAnsi="Times New Roman" w:eastAsia="Times" w:cs="Times New Roman"/>
        </w:rPr>
      </w:pPr>
      <w:r>
        <w:rPr>
          <w:rStyle w:val="PleaseReviewParagraphId"/>
          <w:b w:val="off"/>
          <w:i w:val="off"/>
        </w:rPr>
        <w:t>[67]</w:t>
      </w:r>
      <w:r>
        <w:rPr>
          <w:rFonts w:ascii="Times New Roman" w:hAnsi="Times New Roman"/>
        </w:rPr>
        <w:lastRenderedPageBreak/>
        <w:t xml:space="preserve">Présenter des études de cas et des exemples nationaux et régionaux pour les différents types d’organismes nuisibles (insectes, champignons, bactéries, virus) afin de compléter les informations contenues dans le guide. </w:t>
      </w:r>
    </w:p>
    <w:p w14:paraId="2C7FF2EC" w14:textId="7D0B4929">
      <w:pPr>
        <w:numPr>
          <w:ilvl w:val="0"/>
          <w:numId w:val="4"/>
        </w:numPr>
        <w:spacing w:after="120" w:line="276" w:lineRule="auto"/>
        <w:jc w:val="both"/>
        <w:rPr>
          <w:rFonts w:ascii="Times New Roman" w:hAnsi="Times New Roman" w:eastAsia="Times" w:cs="Times New Roman"/>
        </w:rPr>
      </w:pPr>
      <w:r>
        <w:rPr>
          <w:rStyle w:val="PleaseReviewParagraphId"/>
          <w:b w:val="off"/>
          <w:i w:val="off"/>
        </w:rPr>
        <w:t>[68]</w:t>
      </w:r>
      <w:r>
        <w:rPr>
          <w:rFonts w:ascii="Times New Roman" w:hAnsi="Times New Roman"/>
        </w:rPr>
        <w:t>Proposer des sources possibles de financement destinées à aider les ONPV et les ORPV à préparer des plans d’urgence et à renforcer leurs capacités à intervenir en situation d’urgence, à inclure dans le guide.</w:t>
      </w:r>
    </w:p>
    <w:p w14:paraId="4D690B96" w14:textId="2D654226">
      <w:pPr>
        <w:numPr>
          <w:ilvl w:val="0"/>
          <w:numId w:val="4"/>
        </w:numPr>
        <w:spacing w:after="120" w:line="276" w:lineRule="auto"/>
        <w:jc w:val="both"/>
        <w:rPr>
          <w:rFonts w:ascii="Times New Roman" w:hAnsi="Times New Roman" w:eastAsia="Times" w:cs="Times New Roman"/>
        </w:rPr>
      </w:pPr>
      <w:r>
        <w:rPr>
          <w:rStyle w:val="PleaseReviewParagraphId"/>
          <w:b w:val="off"/>
          <w:i w:val="off"/>
        </w:rPr>
        <w:t>[69]</w:t>
      </w:r>
      <w:r>
        <w:rPr>
          <w:rFonts w:ascii="Times New Roman" w:hAnsi="Times New Roman"/>
        </w:rPr>
        <w:t>Décrire les éléments essentiels d’un programme de formation et fournir des orientations sur la mise au point d’exercices de simulation en tant que moyens de renforcer les capacités du personnel opérationnel des ONPV.</w:t>
      </w:r>
    </w:p>
    <w:p w14:paraId="089FD58F" w14:textId="1470A8C8">
      <w:pPr>
        <w:numPr>
          <w:ilvl w:val="0"/>
          <w:numId w:val="4"/>
        </w:numPr>
        <w:spacing w:after="120" w:line="276" w:lineRule="auto"/>
        <w:jc w:val="both"/>
        <w:rPr>
          <w:rFonts w:ascii="Times New Roman" w:hAnsi="Times New Roman" w:eastAsia="Times" w:cs="Times New Roman"/>
        </w:rPr>
      </w:pPr>
      <w:r>
        <w:rPr>
          <w:rStyle w:val="PleaseReviewParagraphId"/>
          <w:b w:val="off"/>
          <w:i w:val="off"/>
        </w:rPr>
        <w:t>[70]</w:t>
      </w:r>
      <w:r>
        <w:rPr>
          <w:rFonts w:ascii="Times New Roman" w:hAnsi="Times New Roman"/>
        </w:rPr>
        <w:t xml:space="preserve">Décrire le rôle de l’apprentissage continu, du suivi et de l’évaluation dans l’amélioration des interventions d’urgence et leur planification. </w:t>
      </w:r>
    </w:p>
    <w:p w14:paraId="76D07695" w14:textId="77777777">
      <w:pPr>
        <w:numPr>
          <w:ilvl w:val="0"/>
          <w:numId w:val="4"/>
        </w:numPr>
        <w:spacing w:after="120" w:line="276" w:lineRule="auto"/>
        <w:jc w:val="both"/>
        <w:rPr>
          <w:rFonts w:ascii="Times New Roman" w:hAnsi="Times New Roman" w:eastAsia="Times" w:cs="Times New Roman"/>
        </w:rPr>
      </w:pPr>
      <w:r>
        <w:rPr>
          <w:rStyle w:val="PleaseReviewParagraphId"/>
          <w:b w:val="off"/>
          <w:i w:val="off"/>
        </w:rPr>
        <w:t>[71]</w:t>
      </w:r>
      <w:r>
        <w:rPr>
          <w:rFonts w:ascii="Times New Roman" w:hAnsi="Times New Roman"/>
        </w:rPr>
        <w:t>Déterminer les ressources techniques existantes et pertinentes qui pourraient être présentées sur le Portail phytosanitaire international.</w:t>
      </w:r>
    </w:p>
    <w:p w14:paraId="5BBF370A" w14:textId="77777777">
      <w:pPr>
        <w:keepNext/>
        <w:tabs>
          <w:tab w:val="left" w:pos="567"/>
        </w:tabs>
        <w:spacing w:before="240" w:after="120" w:line="276" w:lineRule="auto"/>
        <w:ind w:left="567" w:hanging="567"/>
        <w:outlineLvl w:val="1"/>
        <w:rPr>
          <w:rFonts w:ascii="Times New Roman" w:hAnsi="Times New Roman" w:eastAsia="MS Mincho" w:cs="Times New Roman"/>
          <w:b/>
          <w:bCs/>
        </w:rPr>
      </w:pPr>
      <w:r>
        <w:rPr>
          <w:rStyle w:val="PleaseReviewParagraphId"/>
          <w:b w:val="off"/>
          <w:i w:val="off"/>
        </w:rPr>
        <w:t>[72]</w:t>
      </w:r>
      <w:r>
        <w:rPr>
          <w:rFonts w:ascii="Times New Roman" w:hAnsi="Times New Roman"/>
          <w:b/>
        </w:rPr>
        <w:t>7</w:t>
      </w:r>
      <w:r>
        <w:rPr>
          <w:rFonts w:ascii="Times New Roman" w:hAnsi="Times New Roman"/>
          <w:b/>
          <w:bCs/>
        </w:rPr>
        <w:t>.</w:t>
      </w:r>
      <w:r>
        <w:rPr>
          <w:rFonts w:ascii="Times New Roman" w:hAnsi="Times New Roman"/>
          <w:b/>
        </w:rPr>
        <w:t xml:space="preserve"> Références et documents complémentaires</w:t>
      </w:r>
    </w:p>
    <w:p w14:paraId="4FBB46F2" w14:textId="545F222C">
      <w:pPr>
        <w:spacing w:before="240" w:after="0" w:line="240" w:lineRule="auto"/>
        <w:jc w:val="both"/>
        <w:rPr>
          <w:rFonts w:ascii="Times New Roman" w:hAnsi="Times New Roman" w:eastAsia="Times" w:cs="Times New Roman"/>
        </w:rPr>
      </w:pPr>
      <w:r>
        <w:rPr>
          <w:rStyle w:val="PleaseReviewParagraphId"/>
          <w:b w:val="off"/>
          <w:i w:val="off"/>
        </w:rPr>
        <w:t>[73]</w:t>
      </w:r>
      <w:r>
        <w:rPr>
          <w:rFonts w:ascii="Times New Roman" w:hAnsi="Times New Roman"/>
        </w:rPr>
        <w:t xml:space="preserve">CIPV. 2021. Prevention, preparedness and response guidelines for </w:t>
      </w:r>
      <w:r>
        <w:rPr>
          <w:rFonts w:ascii="Times New Roman" w:hAnsi="Times New Roman"/>
          <w:i/>
        </w:rPr>
        <w:t>Spodoptera frugiperda</w:t>
      </w:r>
      <w:r>
        <w:rPr>
          <w:rFonts w:ascii="Times New Roman" w:hAnsi="Times New Roman"/>
        </w:rPr>
        <w:t>.</w:t>
      </w:r>
    </w:p>
    <w:p w14:paraId="5E9D90C6" w14:textId="77777777">
      <w:pPr>
        <w:spacing w:before="240" w:after="0" w:line="240" w:lineRule="auto"/>
        <w:jc w:val="both"/>
        <w:rPr>
          <w:rFonts w:ascii="Times New Roman" w:hAnsi="Times New Roman" w:eastAsia="Calibri" w:cs="Times New Roman"/>
          <w:color w:val="3366FF"/>
          <w:u w:val="single"/>
        </w:rPr>
      </w:pPr>
      <w:r>
        <w:rPr>
          <w:rStyle w:val="PleaseReviewParagraphId"/>
          <w:b w:val="off"/>
          <w:i w:val="off"/>
        </w:rPr>
        <w:t>[74]</w:t>
      </w:r>
      <w:r>
        <w:rPr>
          <w:rFonts w:ascii="Times New Roman" w:hAnsi="Times New Roman" w:cs="Times New Roman"/>
        </w:rPr>
        <w:t xml:space="preserve">OIRSA containment plans for plant pests. </w:t>
      </w:r>
      <w:hyperlink w:history="1" r:id="rId8">
        <w:r>
          <w:rPr>
            <w:rFonts w:ascii="Times New Roman" w:hAnsi="Times New Roman" w:cs="Times New Roman"/>
            <w:color w:val="3366FF"/>
            <w:u w:val="single"/>
          </w:rPr>
          <w:t>https://www.oirsa.org/informacion.aspx?id=20</w:t>
        </w:r>
      </w:hyperlink>
    </w:p>
    <w:p w14:paraId="46AB8386" w14:textId="28F8827F">
      <w:pPr>
        <w:spacing w:before="240" w:after="0" w:line="240" w:lineRule="auto"/>
        <w:jc w:val="both"/>
        <w:rPr>
          <w:rFonts w:ascii="Times New Roman" w:hAnsi="Times New Roman" w:eastAsia="Times" w:cs="Times New Roman"/>
        </w:rPr>
      </w:pPr>
      <w:r>
        <w:rPr>
          <w:rStyle w:val="PleaseReviewParagraphId"/>
          <w:b w:val="off"/>
          <w:i w:val="off"/>
        </w:rPr>
        <w:t>[75]</w:t>
      </w:r>
      <w:r>
        <w:rPr>
          <w:rFonts w:ascii="Times New Roman" w:hAnsi="Times New Roman" w:cs="Times New Roman"/>
        </w:rPr>
        <w:t xml:space="preserve">FAO. 2021. Good emergency management practice: The essentials – A guide to preparing for animal health emergencies. Publié sous la direction de François Gary, Mathilde Clauss, Etienne Bonbon, Lee Myers. FAO Animal Production and Health Manual No. 25. Rome. </w:t>
      </w:r>
      <w:hyperlink w:history="1" r:id="rId9">
        <w:r>
          <w:rPr>
            <w:rFonts w:ascii="Times New Roman" w:hAnsi="Times New Roman" w:cs="Times New Roman"/>
            <w:color w:val="3366FF"/>
            <w:u w:val="single"/>
          </w:rPr>
          <w:t>https://doi.org/10.4060/cb3833en</w:t>
        </w:r>
      </w:hyperlink>
      <w:r>
        <w:rPr>
          <w:rFonts w:ascii="Times New Roman" w:hAnsi="Times New Roman" w:cs="Times New Roman"/>
        </w:rPr>
        <w:t xml:space="preserve"> </w:t>
      </w:r>
    </w:p>
    <w:p w14:paraId="6EE66BFC" w14:textId="61F1F2DD">
      <w:pPr>
        <w:spacing w:before="240" w:after="0" w:line="240" w:lineRule="auto"/>
        <w:jc w:val="both"/>
        <w:rPr>
          <w:rFonts w:ascii="Times New Roman" w:hAnsi="Times New Roman" w:eastAsia="Calibri" w:cs="Times New Roman"/>
          <w:color w:val="3366FF"/>
          <w:u w:val="single"/>
        </w:rPr>
      </w:pPr>
      <w:r>
        <w:rPr>
          <w:rStyle w:val="PleaseReviewParagraphId"/>
          <w:b w:val="off"/>
          <w:i w:val="off"/>
        </w:rPr>
        <w:t>[76]</w:t>
      </w:r>
      <w:r>
        <w:rPr>
          <w:rFonts w:ascii="Times New Roman" w:hAnsi="Times New Roman" w:cs="Times New Roman"/>
        </w:rPr>
        <w:t xml:space="preserve">Normes régionales de l’OEPP – Norme PM9 relative aux procédures pour les systèmes de contrôle nationaux </w:t>
      </w:r>
      <w:hyperlink w:history="1" r:id="rId10">
        <w:r>
          <w:rPr>
            <w:rFonts w:ascii="Times New Roman" w:hAnsi="Times New Roman" w:cs="Times New Roman"/>
            <w:color w:val="3366FF"/>
            <w:u w:val="single"/>
          </w:rPr>
          <w:t>https://www.eppo.int/RESOURCES/eppo_standards/pm9_control_systems</w:t>
        </w:r>
      </w:hyperlink>
    </w:p>
    <w:p w14:paraId="0875C885" w14:textId="77777777">
      <w:pPr>
        <w:keepNext/>
        <w:tabs>
          <w:tab w:val="left" w:pos="0"/>
        </w:tabs>
        <w:spacing w:before="240" w:after="0" w:line="240" w:lineRule="auto"/>
        <w:jc w:val="both"/>
        <w:rPr>
          <w:rFonts w:ascii="Times New Roman" w:hAnsi="Times New Roman" w:eastAsia="Calibri" w:cs="Times New Roman"/>
          <w:color w:val="3366FF"/>
          <w:u w:val="single"/>
        </w:rPr>
      </w:pPr>
      <w:r>
        <w:rPr>
          <w:rStyle w:val="PleaseReviewParagraphId"/>
          <w:b w:val="off"/>
          <w:i w:val="off"/>
        </w:rPr>
        <w:t>[77]</w:t>
      </w:r>
      <w:r>
        <w:rPr>
          <w:rFonts w:ascii="Times New Roman" w:hAnsi="Times New Roman"/>
        </w:rPr>
        <w:t>Plant Health Australia Contingency Planning</w:t>
      </w:r>
      <w:r>
        <w:rPr>
          <w:rFonts w:ascii="Times New Roman" w:hAnsi="Times New Roman"/>
          <w:b/>
        </w:rPr>
        <w:t xml:space="preserve"> </w:t>
      </w:r>
      <w:hyperlink w:history="1" r:id="rId11">
        <w:r>
          <w:rPr>
            <w:rFonts w:ascii="Times New Roman" w:hAnsi="Times New Roman"/>
            <w:color w:val="3366FF"/>
            <w:u w:val="single"/>
          </w:rPr>
          <w:t>https://www.planthealthaustralia.com.au/biosecurity/risk-mitigation/contingency-planning/</w:t>
        </w:r>
      </w:hyperlink>
    </w:p>
    <w:p w14:paraId="20BA0F27" w14:textId="77777777">
      <w:pPr>
        <w:keepNext/>
        <w:tabs>
          <w:tab w:val="left" w:pos="0"/>
        </w:tabs>
        <w:spacing w:before="240" w:line="240" w:lineRule="auto"/>
        <w:jc w:val="both"/>
        <w:rPr>
          <w:rFonts w:ascii="Times New Roman" w:hAnsi="Times New Roman" w:eastAsia="Calibri" w:cs="Times New Roman"/>
          <w:color w:val="3366FF"/>
          <w:u w:val="single"/>
        </w:rPr>
      </w:pPr>
      <w:r>
        <w:rPr>
          <w:rStyle w:val="PleaseReviewParagraphId"/>
          <w:b w:val="off"/>
          <w:i w:val="off"/>
        </w:rPr>
        <w:t>[78]</w:t>
      </w:r>
      <w:r>
        <w:rPr>
          <w:rFonts w:ascii="Times New Roman" w:hAnsi="Times New Roman"/>
        </w:rPr>
        <w:t xml:space="preserve">UK Department for Environment, Food and Rural Affairs – Contingency planning </w:t>
      </w:r>
      <w:hyperlink w:history="1" r:id="rId12">
        <w:r>
          <w:rPr>
            <w:rFonts w:ascii="Times New Roman" w:hAnsi="Times New Roman"/>
            <w:color w:val="3366FF"/>
            <w:u w:val="single"/>
          </w:rPr>
          <w:t>https://planthealthportal.defra.gov.uk/pests-and-diseases/contingency-planning/</w:t>
        </w:r>
      </w:hyperlink>
    </w:p>
    <w:p w14:paraId="3A7F7A67" w14:textId="180D315A">
      <w:pPr>
        <w:keepNext/>
        <w:spacing w:before="60" w:line="240" w:lineRule="auto"/>
        <w:jc w:val="both"/>
        <w:rPr>
          <w:rFonts w:ascii="Times New Roman" w:hAnsi="Times New Roman" w:eastAsia="Calibri" w:cs="Times New Roman"/>
        </w:rPr>
      </w:pPr>
      <w:r>
        <w:rPr>
          <w:rStyle w:val="PleaseReviewParagraphId"/>
          <w:b w:val="off"/>
          <w:i w:val="off"/>
        </w:rPr>
        <w:t>[79]</w:t>
      </w:r>
      <w:r>
        <w:rPr>
          <w:rFonts w:ascii="Times New Roman" w:hAnsi="Times New Roman"/>
        </w:rPr>
        <w:t xml:space="preserve">Communauté du Pacifique – The Regional Biosecurity Operating Procedures </w:t>
      </w:r>
      <w:hyperlink r:id="rId13">
        <w:r>
          <w:rPr>
            <w:rFonts w:ascii="Times New Roman" w:hAnsi="Times New Roman"/>
            <w:color w:val="3366FF"/>
            <w:u w:val="single"/>
          </w:rPr>
          <w:t>http://bif.lrd.spc.int/plant-biosecurity/internal-quarantine/procedures/contingency-planning-and-emergency-response/</w:t>
        </w:r>
      </w:hyperlink>
    </w:p>
    <w:p w14:paraId="35B2C34D" w14:textId="1DFECA18">
      <w:pPr>
        <w:keepNext/>
        <w:spacing w:before="60" w:after="60" w:line="276" w:lineRule="auto"/>
        <w:jc w:val="both"/>
        <w:rPr>
          <w:rFonts w:ascii="Times New Roman" w:hAnsi="Times New Roman" w:eastAsia="Calibri" w:cs="Times New Roman"/>
        </w:rPr>
      </w:pPr>
      <w:r>
        <w:rPr>
          <w:rStyle w:val="PleaseReviewParagraphId"/>
          <w:b w:val="off"/>
          <w:i w:val="off"/>
        </w:rPr>
        <w:t>[80]</w:t>
      </w:r>
      <w:r>
        <w:rPr>
          <w:rFonts w:ascii="Times New Roman" w:hAnsi="Times New Roman"/>
        </w:rPr>
        <w:t xml:space="preserve">Defra, (2017). Generic contingency plan for plant and bee health in England. </w:t>
      </w:r>
      <w:hyperlink r:id="rId14">
        <w:r>
          <w:rPr>
            <w:rFonts w:ascii="Times New Roman" w:hAnsi="Times New Roman"/>
            <w:color w:val="3366FF"/>
            <w:u w:val="single"/>
          </w:rPr>
          <w:t>https://assets.publishing.service.gov.uk/government/uploads/system/uploads/attachment_data/file/593508/generic-contingency-plan-plant-bee-health-england.pdf</w:t>
        </w:r>
      </w:hyperlink>
      <w:r>
        <w:rPr>
          <w:rFonts w:ascii="Times New Roman" w:hAnsi="Times New Roman"/>
        </w:rPr>
        <w:t xml:space="preserve"> </w:t>
      </w:r>
    </w:p>
    <w:p w14:paraId="2EDE93D6" w14:textId="5A32A4EC">
      <w:pPr>
        <w:keepNext/>
        <w:tabs>
          <w:tab w:val="left" w:pos="0"/>
        </w:tabs>
        <w:spacing w:before="60" w:after="60" w:line="276" w:lineRule="auto"/>
        <w:jc w:val="both"/>
        <w:rPr>
          <w:rFonts w:ascii="Times New Roman" w:hAnsi="Times New Roman" w:eastAsia="MS Mincho" w:cs="Times New Roman"/>
          <w:bCs/>
          <w:iCs/>
        </w:rPr>
      </w:pPr>
      <w:r>
        <w:rPr>
          <w:rStyle w:val="PleaseReviewParagraphId"/>
          <w:b w:val="off"/>
          <w:i w:val="off"/>
        </w:rPr>
        <w:t>[81]</w:t>
      </w:r>
      <w:r>
        <w:rPr>
          <w:rFonts w:ascii="Times New Roman" w:hAnsi="Times New Roman"/>
        </w:rPr>
        <w:t xml:space="preserve">Merriman, P. et McKirdy, S., (2005). Plant Health Australia – Technical Guidelines for the Development of Pest Specific Response Plans. </w:t>
      </w:r>
      <w:hyperlink w:history="1" r:id="rId15">
        <w:r>
          <w:rPr>
            <w:rFonts w:ascii="Times New Roman" w:hAnsi="Times New Roman"/>
            <w:iCs/>
            <w:color w:val="3366FF"/>
            <w:u w:val="single"/>
          </w:rPr>
          <w:t>https://www.planthealthaustralia.com.au/wp-content/uploads/2012/11/Technical-Guidelines-for-Development-of-Pest-Specific-Response-Plans.pdf</w:t>
        </w:r>
      </w:hyperlink>
      <w:r>
        <w:rPr>
          <w:rFonts w:ascii="Times New Roman" w:hAnsi="Times New Roman"/>
        </w:rPr>
        <w:t xml:space="preserve"> </w:t>
      </w:r>
    </w:p>
    <w:p w14:paraId="30FB34F8" w14:textId="64AE1AD8">
      <w:pPr>
        <w:keepNext/>
        <w:spacing w:before="60" w:after="60" w:line="276" w:lineRule="auto"/>
        <w:jc w:val="both"/>
        <w:rPr>
          <w:rFonts w:ascii="Times New Roman" w:hAnsi="Times New Roman" w:eastAsia="Times" w:cs="Times New Roman"/>
        </w:rPr>
      </w:pPr>
      <w:r>
        <w:rPr>
          <w:rStyle w:val="PleaseReviewParagraphId"/>
          <w:b w:val="off"/>
          <w:i w:val="off"/>
        </w:rPr>
        <w:t>[82]</w:t>
      </w:r>
      <w:r>
        <w:rPr>
          <w:rFonts w:ascii="Times New Roman" w:hAnsi="Times New Roman"/>
        </w:rPr>
        <w:t xml:space="preserve">Département de l’agriculture des États-Unis – Emergency Response Manual </w:t>
      </w:r>
    </w:p>
    <w:p w14:paraId="133F7CE8" w14:textId="504D8C80">
      <w:pPr>
        <w:spacing w:before="60" w:after="60" w:line="276" w:lineRule="auto"/>
        <w:jc w:val="both"/>
        <w:rPr>
          <w:rFonts w:ascii="Times New Roman" w:hAnsi="Times New Roman" w:eastAsia="Times" w:cs="Times New Roman"/>
        </w:rPr>
      </w:pPr>
      <w:r>
        <w:rPr>
          <w:rStyle w:val="PleaseReviewParagraphId"/>
          <w:b w:val="off"/>
          <w:i w:val="off"/>
        </w:rPr>
        <w:t>[83]</w:t>
      </w:r>
      <w:hyperlink w:history="1" r:id="rId16">
        <w:r>
          <w:rPr>
            <w:rStyle w:val="Hyperlink"/>
            <w:rFonts w:ascii="Times New Roman" w:hAnsi="Times New Roman"/>
          </w:rPr>
          <w:t>https://www.aphis.usda.gov/import_export/plants/manuals/emergency/downloads/epm.pdf</w:t>
        </w:r>
      </w:hyperlink>
      <w:r>
        <w:rPr>
          <w:rFonts w:ascii="Times New Roman" w:hAnsi="Times New Roman"/>
        </w:rPr>
        <w:t xml:space="preserve"> </w:t>
      </w:r>
    </w:p>
    <w:p w14:paraId="1F620E04" w14:textId="77777777">
      <w:pPr>
        <w:keepNext/>
        <w:tabs>
          <w:tab w:val="left" w:pos="567"/>
        </w:tabs>
        <w:spacing w:before="240" w:after="120" w:line="276" w:lineRule="auto"/>
        <w:ind w:left="567" w:hanging="567"/>
        <w:outlineLvl w:val="1"/>
        <w:rPr>
          <w:rFonts w:ascii="Times New Roman" w:hAnsi="Times New Roman" w:eastAsia="Times" w:cs="Times New Roman"/>
          <w:b/>
        </w:rPr>
      </w:pPr>
      <w:r>
        <w:rPr>
          <w:rStyle w:val="PleaseReviewParagraphId"/>
          <w:b w:val="off"/>
          <w:i w:val="off"/>
        </w:rPr>
        <w:t>[84]</w:t>
      </w:r>
      <w:r>
        <w:rPr>
          <w:rFonts w:ascii="Times New Roman" w:hAnsi="Times New Roman"/>
          <w:b/>
        </w:rPr>
        <w:lastRenderedPageBreak/>
        <w:t>8</w:t>
      </w:r>
      <w:r>
        <w:rPr>
          <w:rFonts w:ascii="Times New Roman" w:hAnsi="Times New Roman"/>
          <w:b/>
          <w:bCs/>
        </w:rPr>
        <w:t>.</w:t>
      </w:r>
      <w:r>
        <w:rPr>
          <w:rFonts w:ascii="Times New Roman" w:hAnsi="Times New Roman"/>
          <w:b/>
        </w:rPr>
        <w:t xml:space="preserve"> Contributions financières et en nature  </w:t>
      </w:r>
    </w:p>
    <w:p w14:paraId="0FC072F7" w14:textId="543A6A01">
      <w:pPr>
        <w:spacing w:after="0" w:line="240" w:lineRule="auto"/>
        <w:jc w:val="both"/>
        <w:textAlignment w:val="baseline"/>
        <w:rPr>
          <w:rFonts w:ascii="Times New Roman" w:hAnsi="Times New Roman" w:eastAsia="Times New Roman" w:cs="Times New Roman"/>
        </w:rPr>
      </w:pPr>
      <w:r>
        <w:rPr>
          <w:rStyle w:val="PleaseReviewParagraphId"/>
          <w:b w:val="off"/>
          <w:i w:val="off"/>
        </w:rPr>
        <w:t>[85]</w:t>
      </w:r>
      <w:r>
        <w:rPr>
          <w:rFonts w:ascii="Times New Roman" w:hAnsi="Times New Roman"/>
        </w:rPr>
        <w:t>Le présent guide sera élaboré dans le cadre de l’appui apporté par la FAO au programme de facilitation des échanges (GCP/INT/387/COM) du « Marché commun de l’Afrique orientale et australe (COMESA) ». </w:t>
      </w:r>
    </w:p>
    <w:p w14:paraId="615A7457" w14:textId="2B6163C3">
      <w:pPr>
        <w:keepNext/>
        <w:tabs>
          <w:tab w:val="left" w:pos="567"/>
        </w:tabs>
        <w:spacing w:before="240" w:after="120" w:line="276" w:lineRule="auto"/>
        <w:ind w:left="567" w:hanging="567"/>
        <w:outlineLvl w:val="1"/>
        <w:rPr>
          <w:rFonts w:ascii="Times New Roman" w:hAnsi="Times New Roman" w:eastAsia="Times" w:cs="Times New Roman"/>
          <w:b/>
          <w:i/>
          <w:iCs/>
        </w:rPr>
      </w:pPr>
      <w:r>
        <w:rPr>
          <w:rStyle w:val="PleaseReviewParagraphId"/>
          <w:b w:val="off"/>
          <w:i w:val="off"/>
        </w:rPr>
        <w:t>[86]</w:t>
      </w:r>
      <w:r>
        <w:rPr>
          <w:rFonts w:ascii="Times New Roman" w:hAnsi="Times New Roman"/>
          <w:b/>
        </w:rPr>
        <w:t>9</w:t>
      </w:r>
      <w:r>
        <w:rPr>
          <w:rFonts w:ascii="Times New Roman" w:hAnsi="Times New Roman"/>
          <w:b/>
          <w:bCs/>
        </w:rPr>
        <w:t>.</w:t>
      </w:r>
      <w:r>
        <w:rPr>
          <w:rFonts w:ascii="Times New Roman" w:hAnsi="Times New Roman"/>
          <w:b/>
        </w:rPr>
        <w:t xml:space="preserve"> Critères de sélection des spécialistes du groupe de travail </w:t>
      </w:r>
    </w:p>
    <w:p w14:paraId="5DBFDBAC" w14:textId="6EE8CC86">
      <w:pPr>
        <w:spacing w:after="180" w:line="276" w:lineRule="auto"/>
        <w:jc w:val="both"/>
        <w:rPr>
          <w:rFonts w:ascii="Times New Roman" w:hAnsi="Times New Roman" w:eastAsia="Times" w:cs="Times New Roman"/>
        </w:rPr>
      </w:pPr>
      <w:r>
        <w:rPr>
          <w:rStyle w:val="PleaseReviewParagraphId"/>
          <w:b w:val="off"/>
          <w:i w:val="off"/>
        </w:rPr>
        <w:t>[87]</w:t>
      </w:r>
      <w:r>
        <w:rPr>
          <w:rFonts w:ascii="Times New Roman" w:hAnsi="Times New Roman"/>
        </w:rPr>
        <w:t xml:space="preserve">Il est souhaitable de constituer un groupe de travail chargé de contribuer à l’élaboration de ce guide et qui soit composé de spécialistes dotés d’une expertise technique et pratique pertinente dans le domaine. La composition de ce groupe de travail devrait tenir compte de la représentation géographique des pays en développement et des pays développés afin de veiller à ce que la documentation élaborée soit applicable à l’échelle mondiale. Elle devrait également assurer une représentation équilibrée des hommes et des femmes. </w:t>
      </w:r>
    </w:p>
    <w:p w14:paraId="662E25A3" w14:textId="0A00DA35">
      <w:pPr>
        <w:spacing w:after="180" w:line="276" w:lineRule="auto"/>
        <w:jc w:val="both"/>
        <w:rPr>
          <w:rFonts w:ascii="Times New Roman" w:hAnsi="Times New Roman" w:eastAsia="Times" w:cs="Times New Roman"/>
        </w:rPr>
      </w:pPr>
      <w:r>
        <w:rPr>
          <w:rStyle w:val="PleaseReviewParagraphId"/>
          <w:b w:val="off"/>
          <w:i w:val="off"/>
        </w:rPr>
        <w:t>[88]</w:t>
      </w:r>
      <w:r>
        <w:rPr>
          <w:rFonts w:ascii="Times New Roman" w:hAnsi="Times New Roman"/>
        </w:rPr>
        <w:t>Les membres du groupe de travail devraient être sélectionnés en fonction des critères qui suivent:</w:t>
      </w:r>
    </w:p>
    <w:p w14:paraId="1366DDF8" w14:textId="77777777">
      <w:pPr>
        <w:numPr>
          <w:ilvl w:val="0"/>
          <w:numId w:val="2"/>
        </w:numPr>
        <w:tabs>
          <w:tab w:val="left" w:pos="1134"/>
        </w:tabs>
        <w:spacing w:after="60" w:line="240" w:lineRule="auto"/>
        <w:ind w:left="709"/>
        <w:jc w:val="both"/>
        <w:rPr>
          <w:rFonts w:ascii="Times New Roman" w:hAnsi="Times New Roman" w:eastAsia="Times" w:cs="Times New Roman"/>
          <w:szCs w:val="24"/>
        </w:rPr>
      </w:pPr>
      <w:r>
        <w:rPr>
          <w:rStyle w:val="PleaseReviewParagraphId"/>
          <w:b w:val="off"/>
          <w:i w:val="off"/>
        </w:rPr>
        <w:t>[89]</w:t>
      </w:r>
      <w:r>
        <w:rPr>
          <w:rFonts w:ascii="Times New Roman" w:hAnsi="Times New Roman"/>
        </w:rPr>
        <w:t>Compétences et connaissances pratiques dans un ou plusieurs des domaines suivants:</w:t>
      </w:r>
    </w:p>
    <w:p w14:paraId="70B312BA" w14:textId="040405D6">
      <w:pPr>
        <w:numPr>
          <w:ilvl w:val="0"/>
          <w:numId w:val="3"/>
        </w:numPr>
        <w:spacing w:after="200" w:line="276" w:lineRule="auto"/>
        <w:contextualSpacing/>
        <w:rPr>
          <w:rFonts w:ascii="Times New Roman" w:hAnsi="Times New Roman" w:eastAsia="MS Mincho" w:cs="Times New Roman"/>
        </w:rPr>
      </w:pPr>
      <w:r>
        <w:rPr>
          <w:rStyle w:val="PleaseReviewParagraphId"/>
          <w:b w:val="off"/>
          <w:i w:val="off"/>
        </w:rPr>
        <w:t>[90]</w:t>
      </w:r>
      <w:r>
        <w:rPr>
          <w:rFonts w:ascii="Times New Roman" w:hAnsi="Times New Roman"/>
        </w:rPr>
        <w:t>Élaboration et mise en œuvre d’interventions d’urgence et de leur planification.</w:t>
      </w:r>
    </w:p>
    <w:p w14:paraId="6C5E4151" w14:textId="79EB4E74">
      <w:pPr>
        <w:numPr>
          <w:ilvl w:val="0"/>
          <w:numId w:val="3"/>
        </w:numPr>
        <w:spacing w:after="200" w:line="276" w:lineRule="auto"/>
        <w:contextualSpacing/>
        <w:rPr>
          <w:rFonts w:ascii="Times New Roman" w:hAnsi="Times New Roman" w:eastAsia="MS Mincho" w:cs="Times New Roman"/>
        </w:rPr>
      </w:pPr>
      <w:r>
        <w:rPr>
          <w:rStyle w:val="PleaseReviewParagraphId"/>
          <w:b w:val="off"/>
          <w:i w:val="off"/>
        </w:rPr>
        <w:t>[91]</w:t>
      </w:r>
      <w:r>
        <w:rPr>
          <w:rFonts w:ascii="Times New Roman" w:hAnsi="Times New Roman"/>
        </w:rPr>
        <w:t xml:space="preserve">Réalisation d’activités de surveillance des organismes nuisibles. </w:t>
      </w:r>
    </w:p>
    <w:p w14:paraId="3DEAC4C9" w14:textId="1865636A">
      <w:pPr>
        <w:numPr>
          <w:ilvl w:val="0"/>
          <w:numId w:val="3"/>
        </w:numPr>
        <w:spacing w:after="200" w:line="276" w:lineRule="auto"/>
        <w:contextualSpacing/>
        <w:rPr>
          <w:rFonts w:ascii="Times New Roman" w:hAnsi="Times New Roman" w:eastAsia="MS Mincho" w:cs="Times New Roman"/>
        </w:rPr>
      </w:pPr>
      <w:r>
        <w:rPr>
          <w:rStyle w:val="PleaseReviewParagraphId"/>
          <w:b w:val="off"/>
          <w:i w:val="off"/>
        </w:rPr>
        <w:t>[92]</w:t>
      </w:r>
      <w:r>
        <w:rPr>
          <w:rFonts w:ascii="Times New Roman" w:hAnsi="Times New Roman"/>
        </w:rPr>
        <w:t>Diagnose d’organismes nuisibles.</w:t>
      </w:r>
    </w:p>
    <w:p w14:paraId="728C2A62" w14:textId="155563D4">
      <w:pPr>
        <w:numPr>
          <w:ilvl w:val="0"/>
          <w:numId w:val="3"/>
        </w:numPr>
        <w:spacing w:after="200" w:line="276" w:lineRule="auto"/>
        <w:contextualSpacing/>
        <w:rPr>
          <w:rFonts w:ascii="Times New Roman" w:hAnsi="Times New Roman" w:eastAsia="MS Mincho" w:cs="Times New Roman"/>
        </w:rPr>
      </w:pPr>
      <w:r>
        <w:rPr>
          <w:rStyle w:val="PleaseReviewParagraphId"/>
          <w:b w:val="off"/>
          <w:i w:val="off"/>
        </w:rPr>
        <w:t>[93]</w:t>
      </w:r>
      <w:r>
        <w:rPr>
          <w:rFonts w:ascii="Times New Roman" w:hAnsi="Times New Roman"/>
        </w:rPr>
        <w:t>Stratégies d’éradication des organismes nuisibles.</w:t>
      </w:r>
    </w:p>
    <w:p w14:paraId="62451E52" w14:textId="22331C2C">
      <w:pPr>
        <w:numPr>
          <w:ilvl w:val="0"/>
          <w:numId w:val="3"/>
        </w:numPr>
        <w:spacing w:after="0" w:line="276" w:lineRule="auto"/>
        <w:rPr>
          <w:rFonts w:eastAsiaTheme="minorEastAsia"/>
        </w:rPr>
      </w:pPr>
      <w:r>
        <w:rPr>
          <w:rStyle w:val="PleaseReviewParagraphId"/>
          <w:b w:val="off"/>
          <w:i w:val="off"/>
        </w:rPr>
        <w:t>[94]</w:t>
      </w:r>
      <w:r>
        <w:rPr>
          <w:rFonts w:ascii="Times New Roman" w:hAnsi="Times New Roman"/>
        </w:rPr>
        <w:t>Exercices de simulation relatifs aux organismes nuisibles.</w:t>
      </w:r>
    </w:p>
    <w:p w14:paraId="29E3B889" w14:textId="45F98371">
      <w:pPr>
        <w:numPr>
          <w:ilvl w:val="0"/>
          <w:numId w:val="3"/>
        </w:numPr>
        <w:spacing w:after="0" w:line="276" w:lineRule="auto"/>
        <w:rPr>
          <w:rFonts w:eastAsiaTheme="minorEastAsia"/>
        </w:rPr>
      </w:pPr>
      <w:r>
        <w:rPr>
          <w:rStyle w:val="PleaseReviewParagraphId"/>
          <w:b w:val="off"/>
          <w:i w:val="off"/>
        </w:rPr>
        <w:t>[95]</w:t>
      </w:r>
      <w:r>
        <w:rPr>
          <w:rFonts w:ascii="Times New Roman" w:hAnsi="Times New Roman"/>
        </w:rPr>
        <w:t>Communication sur les risques.</w:t>
      </w:r>
    </w:p>
    <w:p w14:paraId="50128B4A" w14:textId="280346E3">
      <w:pPr>
        <w:numPr>
          <w:ilvl w:val="0"/>
          <w:numId w:val="2"/>
        </w:numPr>
        <w:tabs>
          <w:tab w:val="left" w:pos="1134"/>
        </w:tabs>
        <w:spacing w:after="60" w:line="240" w:lineRule="auto"/>
        <w:ind w:left="709"/>
        <w:jc w:val="both"/>
        <w:rPr>
          <w:rFonts w:ascii="Times New Roman" w:hAnsi="Times New Roman" w:eastAsia="Times" w:cs="Times New Roman"/>
          <w:szCs w:val="24"/>
        </w:rPr>
      </w:pPr>
      <w:r>
        <w:rPr>
          <w:rStyle w:val="PleaseReviewParagraphId"/>
          <w:b w:val="off"/>
          <w:i w:val="off"/>
        </w:rPr>
        <w:t>[96]</w:t>
      </w:r>
      <w:r>
        <w:rPr>
          <w:rFonts w:ascii="Times New Roman" w:hAnsi="Times New Roman"/>
        </w:rPr>
        <w:t xml:space="preserve">Connaissance des systèmes phytosanitaires nationaux, régionaux et mondiaux. </w:t>
      </w:r>
    </w:p>
    <w:sectPr>
      <w:pgSz w:w="12240" w:h="15840"/>
      <w:pgMar w:top="1440" w:right="1440" w:bottom="1440" w:left="1440" w:header="720" w:footer="720" w:gutter="0"/>
      <w:cols w:space="720"/>
      <w:docGrid w:linePitch="360"/>
    </w:sectPr>
  </w:body>
</w:document>
</file>

<file path=word/commentsIds.xml><?xml version="1.0" encoding="utf-8"?>
<w16cid:commentsIds xmlns:w16cid="http://schemas.microsoft.com/office/word/2016/wordml/cid" xmlns:mc="http://schemas.openxmlformats.org/markup-compatibility/2006" mc:Ignorable="w16cid"/>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DAA5" w14:textId="77777777">
      <w:pPr>
        <w:spacing w:after="0" w:line="240" w:lineRule="auto"/>
      </w:pPr>
      <w:r>
        <w:rPr>
          <w:rStyle w:val="PleaseReviewParagraphId"/>
          <w:b w:val="off"/>
          <w:i w:val="off"/>
        </w:rPr>
        <w:t>[]</w:t>
      </w:r>
      <w:r>
        <w:separator/>
      </w:r>
    </w:p>
  </w:endnote>
  <w:endnote w:type="continuationSeparator" w:id="0">
    <w:p w14:paraId="0BE863CC"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BC6C" w14:textId="77777777">
      <w:pPr>
        <w:spacing w:after="0" w:line="240" w:lineRule="auto"/>
      </w:pPr>
      <w:r>
        <w:rPr>
          <w:rStyle w:val="PleaseReviewParagraphId"/>
          <w:b w:val="off"/>
          <w:i w:val="off"/>
        </w:rPr>
        <w:t>[]</w:t>
      </w:r>
      <w:r>
        <w:separator/>
      </w:r>
    </w:p>
  </w:footnote>
  <w:footnote w:type="continuationSeparator" w:id="0">
    <w:p w14:paraId="0AB6A14E" w14:textId="77777777">
      <w:pPr>
        <w:spacing w:after="0" w:line="240" w:lineRule="auto"/>
      </w:pPr>
      <w:r>
        <w:rPr>
          <w:rStyle w:val="PleaseReviewParagraphId"/>
          <w:b w:val="off"/>
          <w:i w:val="off"/>
        </w:rPr>
        <w:t>[]</w:t>
      </w:r>
      <w:r>
        <w:continuationSeparator/>
      </w:r>
    </w:p>
  </w:footnote>
  <w:footnote w:id="1">
    <w:p w14:paraId="72768513" w14:textId="77777777">
      <w:pPr>
        <w:pStyle w:val="FootnoteText"/>
      </w:pPr>
      <w:r>
        <w:rPr>
          <w:rStyle w:val="PleaseReviewParagraphId"/>
          <w:b w:val="off"/>
          <w:i w:val="off"/>
        </w:rPr>
        <w:t>[34]</w:t>
      </w:r>
      <w:r>
        <w:rPr>
          <w:rStyle w:val="FootnoteReference"/>
        </w:rPr>
        <w:footnoteRef/>
      </w:r>
      <w:hyperlink w:history="1" r:id="rId1">
        <w:r>
          <w:rPr>
            <w:rStyle w:val="Hyperlink1"/>
          </w:rPr>
          <w:t>https://www.ippc.int/fr/publications/131/</w:t>
        </w:r>
      </w:hyperlink>
      <w:r>
        <w:t xml:space="preserve"> </w:t>
      </w:r>
    </w:p>
  </w:footnote>
  <w:footnote w:id="2">
    <w:p w14:paraId="47DC1905" w14:textId="77777777">
      <w:pPr>
        <w:pStyle w:val="FootnoteText"/>
        <w:rPr>
          <w:u w:val="single"/>
        </w:rPr>
      </w:pPr>
      <w:r>
        <w:rPr>
          <w:rStyle w:val="PleaseReviewParagraphId"/>
          <w:b w:val="off"/>
          <w:i w:val="off"/>
        </w:rPr>
        <w:t>[36]</w:t>
      </w:r>
      <w:r>
        <w:rPr>
          <w:rStyle w:val="FootnoteReference"/>
        </w:rPr>
        <w:footnoteRef/>
      </w:r>
      <w:hyperlink w:history="1" r:id="rId2">
        <w:r>
          <w:rPr>
            <w:rStyle w:val="Hyperlink1"/>
          </w:rPr>
          <w:t>https://www.ippc.int/fr/publications/614/</w:t>
        </w:r>
      </w:hyperlink>
      <w:r>
        <w:rPr>
          <w:u w:val="single"/>
        </w:rPr>
        <w:t xml:space="preserve"> </w:t>
      </w:r>
    </w:p>
  </w:footnote>
  <w:footnote w:id="3">
    <w:p w14:paraId="61B8BD0A" w14:textId="77777777">
      <w:pPr>
        <w:pStyle w:val="FootnoteText"/>
      </w:pPr>
      <w:r>
        <w:rPr>
          <w:rStyle w:val="PleaseReviewParagraphId"/>
          <w:b w:val="off"/>
          <w:i w:val="off"/>
        </w:rPr>
        <w:t>[38]</w:t>
      </w:r>
      <w:r>
        <w:rPr>
          <w:rStyle w:val="FootnoteReference"/>
          <w:u w:val="single"/>
        </w:rPr>
        <w:footnoteRef/>
      </w:r>
      <w:r>
        <w:rPr>
          <w:u w:val="single"/>
        </w:rPr>
        <w:t xml:space="preserve"> </w:t>
      </w:r>
      <w:hyperlink w:history="1" r:id="rId3">
        <w:r>
          <w:rPr>
            <w:rStyle w:val="Hyperlink1"/>
          </w:rPr>
          <w:t>https://www.ippc.int/fr/publications/615/</w:t>
        </w:r>
      </w:hyperlink>
      <w:r>
        <w:t xml:space="preserve"> </w:t>
      </w:r>
    </w:p>
  </w:footnote>
  <w:footnote w:id="4">
    <w:p w14:paraId="07391BE0" w14:textId="77777777">
      <w:pPr>
        <w:pStyle w:val="FootnoteText"/>
      </w:pPr>
      <w:r>
        <w:rPr>
          <w:rStyle w:val="PleaseReviewParagraphId"/>
          <w:b w:val="off"/>
          <w:i w:val="off"/>
        </w:rPr>
        <w:t>[40]</w:t>
      </w:r>
      <w:r>
        <w:rPr>
          <w:rStyle w:val="FootnoteReference"/>
        </w:rPr>
        <w:footnoteRef/>
      </w:r>
      <w:hyperlink w:history="1" r:id="rId4">
        <w:r>
          <w:rPr>
            <w:rStyle w:val="Hyperlink1"/>
          </w:rPr>
          <w:t>https://www.ippc.int/fr/publications/612/</w:t>
        </w:r>
      </w:hyperlink>
      <w:r>
        <w:t xml:space="preserve"> </w:t>
      </w:r>
    </w:p>
  </w:footnote>
  <w:footnote w:id="5">
    <w:p w14:paraId="34EF21CA" w14:textId="77777777">
      <w:pPr>
        <w:pStyle w:val="FootnoteText"/>
      </w:pPr>
      <w:r>
        <w:rPr>
          <w:rStyle w:val="PleaseReviewParagraphId"/>
          <w:b w:val="off"/>
          <w:i w:val="off"/>
        </w:rPr>
        <w:t>[42]</w:t>
      </w:r>
      <w:r>
        <w:rPr>
          <w:rStyle w:val="FootnoteReference"/>
        </w:rPr>
        <w:footnoteRef/>
      </w:r>
      <w:hyperlink w:history="1" r:id="rId5">
        <w:r>
          <w:rPr>
            <w:rStyle w:val="Hyperlink1"/>
          </w:rPr>
          <w:t>https://www.ippc.int/fr/publications/611/</w:t>
        </w:r>
      </w:hyperlink>
      <w:r>
        <w:t xml:space="preserve"> </w:t>
      </w:r>
    </w:p>
  </w:footnote>
  <w:footnote w:id="6">
    <w:p w14:paraId="54F00BD0" w14:textId="77777777">
      <w:pPr>
        <w:pStyle w:val="FootnoteText"/>
      </w:pPr>
      <w:r>
        <w:rPr>
          <w:rStyle w:val="PleaseReviewParagraphId"/>
          <w:b w:val="off"/>
          <w:i w:val="off"/>
        </w:rPr>
        <w:t>[44]</w:t>
      </w:r>
      <w:r>
        <w:rPr>
          <w:rStyle w:val="FootnoteReference"/>
        </w:rPr>
        <w:footnoteRef/>
      </w:r>
      <w:hyperlink w:history="1" r:id="rId6">
        <w:r>
          <w:rPr>
            <w:rStyle w:val="Hyperlink1"/>
          </w:rPr>
          <w:t>https://www.ippc.int/fr/publications/610/</w:t>
        </w:r>
      </w:hyperlink>
      <w:r>
        <w:t xml:space="preserve"> </w:t>
      </w:r>
    </w:p>
  </w:footnote>
  <w:footnote w:id="7">
    <w:p w14:paraId="180204B4" w14:textId="77777777">
      <w:pPr>
        <w:pStyle w:val="FootnoteText"/>
      </w:pPr>
      <w:r>
        <w:rPr>
          <w:rStyle w:val="PleaseReviewParagraphId"/>
          <w:b w:val="off"/>
          <w:i w:val="off"/>
        </w:rPr>
        <w:t>[46]</w:t>
      </w:r>
      <w:r>
        <w:rPr>
          <w:rStyle w:val="FootnoteReference"/>
        </w:rPr>
        <w:footnoteRef/>
      </w:r>
      <w:hyperlink w:history="1" r:id="rId7">
        <w:r>
          <w:rPr>
            <w:rStyle w:val="Hyperlink1"/>
          </w:rPr>
          <w:t>https://www.ippc.int/fr/publications/607/</w:t>
        </w:r>
      </w:hyperlink>
      <w:r>
        <w:t xml:space="preserve"> </w:t>
      </w:r>
    </w:p>
  </w:footnote>
  <w:footnote w:id="8">
    <w:p w14:paraId="207B3493" w14:textId="77777777">
      <w:pPr>
        <w:pStyle w:val="FootnoteText"/>
      </w:pPr>
      <w:r>
        <w:rPr>
          <w:rStyle w:val="PleaseReviewParagraphId"/>
          <w:b w:val="off"/>
          <w:i w:val="off"/>
        </w:rPr>
        <w:t>[48]</w:t>
      </w:r>
      <w:r>
        <w:rPr>
          <w:rStyle w:val="FootnoteReference"/>
        </w:rPr>
        <w:footnoteRef/>
      </w:r>
      <w:hyperlink w:history="1" r:id="rId8">
        <w:r>
          <w:rPr>
            <w:rStyle w:val="Hyperlink1"/>
          </w:rPr>
          <w:t>https://www.ippc.int/fr/publications/606/</w:t>
        </w:r>
      </w:hyperlink>
      <w:r>
        <w:t xml:space="preserve"> </w:t>
      </w:r>
    </w:p>
  </w:footnote>
  <w:footnote w:id="9">
    <w:p w14:paraId="319CB44F" w14:textId="77777777">
      <w:pPr>
        <w:pStyle w:val="FootnoteText"/>
      </w:pPr>
      <w:r>
        <w:rPr>
          <w:rStyle w:val="PleaseReviewParagraphId"/>
          <w:b w:val="off"/>
          <w:i w:val="off"/>
        </w:rPr>
        <w:t>[50]</w:t>
      </w:r>
      <w:r>
        <w:rPr>
          <w:rStyle w:val="FootnoteReference"/>
        </w:rPr>
        <w:footnoteRef/>
      </w:r>
      <w:hyperlink w:history="1" r:id="rId9">
        <w:r>
          <w:rPr>
            <w:rStyle w:val="Hyperlink1"/>
          </w:rPr>
          <w:t>https://www.ippc.int/fr/publications/599/</w:t>
        </w:r>
      </w:hyperlink>
      <w:r>
        <w:t xml:space="preserve"> </w:t>
      </w:r>
    </w:p>
  </w:footnote>
  <w:footnote w:id="10">
    <w:p w14:paraId="63BE0A6C" w14:textId="77777777">
      <w:pPr>
        <w:pStyle w:val="FootnoteText"/>
        <w:rPr>
          <w:u w:val="single"/>
        </w:rPr>
      </w:pPr>
      <w:r>
        <w:rPr>
          <w:rStyle w:val="PleaseReviewParagraphId"/>
          <w:b w:val="off"/>
          <w:i w:val="off"/>
        </w:rPr>
        <w:t>[52]</w:t>
      </w:r>
      <w:r>
        <w:rPr>
          <w:rStyle w:val="FootnoteReference"/>
        </w:rPr>
        <w:footnoteRef/>
      </w:r>
      <w:hyperlink w:history="1" r:id="rId10">
        <w:r>
          <w:rPr>
            <w:rStyle w:val="Hyperlink1"/>
          </w:rPr>
          <w:t>https://www.ippc.int/fr/publications/593/</w:t>
        </w:r>
      </w:hyperlink>
      <w:r>
        <w:rPr>
          <w:u w:val="single"/>
        </w:rP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786"/>
    <w:multiLevelType w:val="hybridMultilevel"/>
    <w:tmpl w:val="CC5A1ACE"/>
    <w:lvl w:ilvl="0" w:tplc="055C1C6C">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7901"/>
    <w:multiLevelType w:val="hybridMultilevel"/>
    <w:tmpl w:val="F008F69C"/>
    <w:lvl w:ilvl="0" w:tplc="1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0B63D7"/>
    <w:multiLevelType w:val="hybridMultilevel"/>
    <w:tmpl w:val="2758ACF6"/>
    <w:lvl w:ilvl="0" w:tplc="FFFFFFFF">
      <w:start w:val="1"/>
      <w:numFmt w:val="bullet"/>
      <w:lvlText w:val="-"/>
      <w:lvlJc w:val="left"/>
      <w:pPr>
        <w:ind w:left="1069" w:hanging="360"/>
      </w:pPr>
      <w:rPr>
        <w:rFonts w:ascii="Times New Roman" w:hAnsi="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9F"/>
    <w:rsid w:val="00005717"/>
    <w:rsid w:val="001203C4"/>
    <w:rsid w:val="00223AE8"/>
    <w:rsid w:val="0026723A"/>
    <w:rsid w:val="00282D0D"/>
    <w:rsid w:val="002C32D0"/>
    <w:rsid w:val="002F1DFB"/>
    <w:rsid w:val="00306CD4"/>
    <w:rsid w:val="003318C8"/>
    <w:rsid w:val="0035385E"/>
    <w:rsid w:val="003F10CB"/>
    <w:rsid w:val="0040076C"/>
    <w:rsid w:val="004118DD"/>
    <w:rsid w:val="00430057"/>
    <w:rsid w:val="00433C5D"/>
    <w:rsid w:val="00492A7D"/>
    <w:rsid w:val="004D2951"/>
    <w:rsid w:val="005066F9"/>
    <w:rsid w:val="005C5F5A"/>
    <w:rsid w:val="005F4BB7"/>
    <w:rsid w:val="0064084B"/>
    <w:rsid w:val="00651B65"/>
    <w:rsid w:val="0065642C"/>
    <w:rsid w:val="00696894"/>
    <w:rsid w:val="006D06D7"/>
    <w:rsid w:val="007F3E9D"/>
    <w:rsid w:val="0080470D"/>
    <w:rsid w:val="008120F3"/>
    <w:rsid w:val="00843C05"/>
    <w:rsid w:val="00872609"/>
    <w:rsid w:val="008E4D64"/>
    <w:rsid w:val="00920E9D"/>
    <w:rsid w:val="00990691"/>
    <w:rsid w:val="009B2F87"/>
    <w:rsid w:val="009B4A9F"/>
    <w:rsid w:val="00A032F6"/>
    <w:rsid w:val="00A17971"/>
    <w:rsid w:val="00A91FA4"/>
    <w:rsid w:val="00AE7F69"/>
    <w:rsid w:val="00B16DEE"/>
    <w:rsid w:val="00C249F5"/>
    <w:rsid w:val="00C378F8"/>
    <w:rsid w:val="00D25FF5"/>
    <w:rsid w:val="00D643EA"/>
    <w:rsid w:val="00DA1D4B"/>
    <w:rsid w:val="00E179A0"/>
    <w:rsid w:val="00E8526F"/>
    <w:rsid w:val="00E861BB"/>
    <w:rsid w:val="00E870E6"/>
    <w:rsid w:val="00EF58E2"/>
    <w:rsid w:val="10F7D3D9"/>
    <w:rsid w:val="1ECEDD5C"/>
    <w:rsid w:val="27C30DA1"/>
    <w:rsid w:val="39C63248"/>
    <w:rsid w:val="5FB80DA8"/>
    <w:rsid w:val="720F6477"/>
    <w:rsid w:val="768360A9"/>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6AD0"/>
  <w15:chartTrackingRefBased/>
  <w15:docId w15:val="{9C958DF3-AAD0-419A-B653-EFE3172310E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Pr>
      <w:color w:val="0563C1"/>
      <w:u w:val="single"/>
    </w:rPr>
  </w:style>
  <w:style w:type="paragraph" w:styleId="FootnoteText">
    <w:name w:val="footnote text"/>
    <w:basedOn w:val="Normal"/>
    <w:link w:val="FootnoteTextChar"/>
    <w:uiPriority w:val="99"/>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fr-FR" w:eastAsia="ja-JP"/>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oirsa.org/informacion.aspx?id=20" TargetMode="External" Id="rId8" /><Relationship Type="http://schemas.openxmlformats.org/officeDocument/2006/relationships/hyperlink" Target="http://bif.lrd.spc.int/plant-biosecurity/internal-quarantine/procedures/contingency-planning-and-emergency-response/"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ippc.int/fr/publications/588/" TargetMode="External" Id="rId7" /><Relationship Type="http://schemas.openxmlformats.org/officeDocument/2006/relationships/hyperlink" Target="https://planthealthportal.defra.gov.uk/pests-and-diseases/contingency-planning/"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aphis.usda.gov/import_export/plants/manuals/emergency/downloads/epm.pdf"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lanthealthaustralia.com.au/biosecurity/risk-mitigation/contingency-planning/" TargetMode="External" Id="rId11" /><Relationship Type="http://schemas.openxmlformats.org/officeDocument/2006/relationships/footnotes" Target="footnotes.xml" Id="rId5" /><Relationship Type="http://schemas.openxmlformats.org/officeDocument/2006/relationships/hyperlink" Target="https://www.planthealthaustralia.com.au/wp-content/uploads/2012/11/Technical-Guidelines-for-Development-of-Pest-Specific-Response-Plans.pdf" TargetMode="External" Id="rId15" /><Relationship Type="http://schemas.openxmlformats.org/officeDocument/2006/relationships/hyperlink" Target="https://www.eppo.int/RESOURCES/eppo_standards/pm9_control_systems" TargetMode="External" Id="rId10" /><Relationship Type="http://schemas.openxmlformats.org/officeDocument/2006/relationships/webSettings" Target="webSettings.xml" Id="rId4" /><Relationship Type="http://schemas.openxmlformats.org/officeDocument/2006/relationships/hyperlink" Target="https://doi.org/10.4060/cb3833en" TargetMode="External" Id="rId9" /><Relationship Type="http://schemas.openxmlformats.org/officeDocument/2006/relationships/hyperlink" Target="https://assets.publishing.service.gov.uk/government/uploads/system/uploads/attachment_data/file/593508/generic-contingency-plan-plant-bee-health-england.pdf" TargetMode="External" Id="rId14" /><Relationship Type="http://schemas.microsoft.com/office/2016/09/relationships/commentsIds" Target="commentsIds.xml" Id="rId22" /></Relationships>
</file>

<file path=word/_rels/footnotes.xml.rels>&#65279;<?xml version="1.0" encoding="utf-8"?><Relationships xmlns="http://schemas.openxmlformats.org/package/2006/relationships"><Relationship Type="http://schemas.openxmlformats.org/officeDocument/2006/relationships/hyperlink" Target="https://www.ippc.int/fr/publications/606/" TargetMode="External" Id="rId8" /><Relationship Type="http://schemas.openxmlformats.org/officeDocument/2006/relationships/hyperlink" Target="https://www.ippc.int/fr/publications/615/" TargetMode="External" Id="rId3" /><Relationship Type="http://schemas.openxmlformats.org/officeDocument/2006/relationships/hyperlink" Target="https://www.ippc.int/fr/publications/607/" TargetMode="External" Id="rId7" /><Relationship Type="http://schemas.openxmlformats.org/officeDocument/2006/relationships/hyperlink" Target="https://www.ippc.int/fr/publications/614/" TargetMode="External" Id="rId2" /><Relationship Type="http://schemas.openxmlformats.org/officeDocument/2006/relationships/hyperlink" Target="https://www.ippc.int/fr/publications/131/" TargetMode="External" Id="rId1" /><Relationship Type="http://schemas.openxmlformats.org/officeDocument/2006/relationships/hyperlink" Target="https://www.ippc.int/fr/publications/610/" TargetMode="External" Id="rId6" /><Relationship Type="http://schemas.openxmlformats.org/officeDocument/2006/relationships/hyperlink" Target="https://www.ippc.int/fr/publications/611/" TargetMode="External" Id="rId5" /><Relationship Type="http://schemas.openxmlformats.org/officeDocument/2006/relationships/hyperlink" Target="https://www.ippc.int/fr/publications/593/" TargetMode="External" Id="rId10" /><Relationship Type="http://schemas.openxmlformats.org/officeDocument/2006/relationships/hyperlink" Target="https://www.ippc.int/fr/publications/612/" TargetMode="External" Id="rId4" /><Relationship Type="http://schemas.openxmlformats.org/officeDocument/2006/relationships/hyperlink" Target="https://www.ippc.int/fr/publications/5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Chiluba Mwape</dc:creator>
  <cp:keywords/>
  <dc:description/>
  <cp:lastModifiedBy>Czerwien, Ewa (NSP)</cp:lastModifiedBy>
  <cp:revision>6</cp:revision>
  <dcterms:created xsi:type="dcterms:W3CDTF">2021-06-25T13:46:00Z</dcterms:created>
  <dcterms:modified xsi:type="dcterms:W3CDTF">2021-06-30T21:11:00Z</dcterms:modified>
</cp:coreProperties>
</file>