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Annex International movement of mango (Mangifera indica) fruit to ISPM 46. Document title: 2021-011_DraftSpec_Annex-ISPM46_Mango_Fr_2022-06-30.docx]</w:t>
      </w:r>
    </w:p>
    <w:p w14:paraId="26B9932E" w14:textId="679218B4">
      <w:pPr>
        <w:spacing w:before="120"/>
        <w:rPr>
          <w:b/>
          <w:bCs/>
        </w:rPr>
      </w:pPr>
      <w:r>
        <w:rPr>
          <w:rStyle w:val="PleaseReviewParagraphId"/>
          <w:b w:val="off"/>
          <w:i w:val="off"/>
        </w:rPr>
        <w:t>[1]</w:t>
      </w:r>
      <w:r>
        <w:rPr>
          <w:b/>
        </w:rPr>
        <w:t xml:space="preserve">PROJET DE SPÉCIFICATION POUR UNE NIMP: Annexe </w:t>
      </w:r>
      <w:r>
        <w:rPr>
          <w:b/>
          <w:i/>
        </w:rPr>
        <w:t>Déplacements internationaux de mangues (</w:t>
      </w:r>
      <w:r>
        <w:rPr>
          <w:b/>
        </w:rPr>
        <w:t>Mangifera indica</w:t>
      </w:r>
      <w:r>
        <w:rPr>
          <w:b/>
          <w:i/>
        </w:rPr>
        <w:t>)</w:t>
      </w:r>
      <w:r>
        <w:rPr>
          <w:b/>
        </w:rPr>
        <w:t xml:space="preserve"> (2021‑011) à la NIMP 46</w:t>
      </w:r>
    </w:p>
    <w:p w14:paraId="71F78F58" w14:textId="76601D52">
      <w:pPr>
        <w:pStyle w:val="IPPSubheadSpace"/>
      </w:pPr>
      <w:r>
        <w:rPr>
          <w:rStyle w:val="PleaseReviewParagraphId"/>
          <w:b w:val="off"/>
          <w:i w:val="off"/>
        </w:rPr>
        <w:t>[2]</w:t>
      </w:r>
      <w: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821DB4D" w14:textId="77777777">
        <w:trPr>
          <w:trHeight w:val="286"/>
        </w:trPr>
        <w:tc>
          <w:tcPr>
            <w:tcW w:w="9039" w:type="dxa"/>
            <w:gridSpan w:val="2"/>
          </w:tcPr>
          <w:p w14:paraId="41432651" w14:textId="3B3B2CED">
            <w:pPr>
              <w:pStyle w:val="IPPArialTable"/>
              <w:spacing w:before="0" w:after="0"/>
              <w:rPr>
                <w:szCs w:val="18"/>
              </w:rPr>
            </w:pPr>
            <w:r>
              <w:rPr>
                <w:rStyle w:val="PleaseReviewParagraphId"/>
                <w:b w:val="off"/>
                <w:i w:val="off"/>
              </w:rPr>
              <w:t>[3]</w:t>
            </w:r>
            <w:r>
              <w:t>Cet encadré ne fait pas officiellement partie de la spécification et sera modifié par le Secrétariat de la CIPV après l’approbation.</w:t>
            </w:r>
          </w:p>
        </w:tc>
      </w:tr>
      <w:tr w14:paraId="207A5F53" w14:textId="77777777">
        <w:trPr>
          <w:trHeight w:val="286"/>
        </w:trPr>
        <w:tc>
          <w:tcPr>
            <w:tcW w:w="2273" w:type="dxa"/>
          </w:tcPr>
          <w:p w14:paraId="55E6E5B3" w14:textId="77777777">
            <w:pPr>
              <w:pStyle w:val="IPPArialTable"/>
              <w:spacing w:before="0" w:after="0"/>
              <w:rPr>
                <w:b/>
                <w:bCs/>
                <w:szCs w:val="18"/>
              </w:rPr>
            </w:pPr>
            <w:r>
              <w:rPr>
                <w:rStyle w:val="PleaseReviewParagraphId"/>
                <w:b w:val="off"/>
                <w:i w:val="off"/>
              </w:rPr>
              <w:t>[4]</w:t>
            </w:r>
            <w:r>
              <w:rPr>
                <w:b/>
              </w:rPr>
              <w:t>Date du présent document</w:t>
            </w:r>
          </w:p>
        </w:tc>
        <w:tc>
          <w:tcPr>
            <w:tcW w:w="6766" w:type="dxa"/>
          </w:tcPr>
          <w:p w14:paraId="1606DDDF" w14:textId="1BD862EC">
            <w:pPr>
              <w:pStyle w:val="IPPArialTable"/>
              <w:spacing w:before="0" w:after="0"/>
              <w:rPr>
                <w:szCs w:val="18"/>
              </w:rPr>
            </w:pPr>
            <w:r>
              <w:rPr>
                <w:rStyle w:val="PleaseReviewParagraphId"/>
                <w:b w:val="off"/>
                <w:i w:val="off"/>
              </w:rPr>
              <w:t>[5]</w:t>
            </w:r>
            <w:r>
              <w:t>2022-05-09</w:t>
            </w:r>
          </w:p>
        </w:tc>
      </w:tr>
      <w:tr w14:paraId="59F3C2F0" w14:textId="77777777">
        <w:trPr>
          <w:trHeight w:val="59"/>
        </w:trPr>
        <w:tc>
          <w:tcPr>
            <w:tcW w:w="2273" w:type="dxa"/>
          </w:tcPr>
          <w:p w14:paraId="11A7A62F" w14:textId="77777777">
            <w:pPr>
              <w:pStyle w:val="IPPArialTable"/>
              <w:spacing w:before="0" w:after="0"/>
              <w:rPr>
                <w:b/>
                <w:bCs/>
                <w:szCs w:val="18"/>
              </w:rPr>
            </w:pPr>
            <w:r>
              <w:rPr>
                <w:rStyle w:val="PleaseReviewParagraphId"/>
                <w:b w:val="off"/>
                <w:i w:val="off"/>
              </w:rPr>
              <w:t>[6]</w:t>
            </w:r>
            <w:r>
              <w:rPr>
                <w:b/>
              </w:rPr>
              <w:t>Catégorie du document</w:t>
            </w:r>
          </w:p>
        </w:tc>
        <w:tc>
          <w:tcPr>
            <w:tcW w:w="6766" w:type="dxa"/>
          </w:tcPr>
          <w:p w14:paraId="679F00EF" w14:textId="6794AC86">
            <w:pPr>
              <w:pStyle w:val="IPPArialTable"/>
              <w:spacing w:before="0" w:after="0"/>
              <w:rPr>
                <w:szCs w:val="18"/>
              </w:rPr>
            </w:pPr>
            <w:r>
              <w:rPr>
                <w:rStyle w:val="PleaseReviewParagraphId"/>
                <w:b w:val="off"/>
                <w:i w:val="off"/>
              </w:rPr>
              <w:t>[7]</w:t>
            </w:r>
            <w:r>
              <w:t>Projet de spécification pour une annexe à une NIMP</w:t>
            </w:r>
          </w:p>
        </w:tc>
      </w:tr>
      <w:tr w14:paraId="43F7E2B1" w14:textId="77777777">
        <w:trPr>
          <w:trHeight w:val="299"/>
        </w:trPr>
        <w:tc>
          <w:tcPr>
            <w:tcW w:w="2273" w:type="dxa"/>
          </w:tcPr>
          <w:p w14:paraId="778A6386" w14:textId="77777777">
            <w:pPr>
              <w:pStyle w:val="IPPArialTable"/>
              <w:spacing w:before="0" w:after="0"/>
              <w:rPr>
                <w:b/>
                <w:bCs/>
                <w:szCs w:val="18"/>
              </w:rPr>
            </w:pPr>
            <w:r>
              <w:rPr>
                <w:rStyle w:val="PleaseReviewParagraphId"/>
                <w:b w:val="off"/>
                <w:i w:val="off"/>
              </w:rPr>
              <w:t>[8]</w:t>
            </w:r>
            <w:r>
              <w:rPr>
                <w:b/>
              </w:rPr>
              <w:t>Étape de la préparation du document</w:t>
            </w:r>
          </w:p>
        </w:tc>
        <w:tc>
          <w:tcPr>
            <w:tcW w:w="6766" w:type="dxa"/>
          </w:tcPr>
          <w:p w14:paraId="131912EE" w14:textId="6ACAA11B">
            <w:pPr>
              <w:pStyle w:val="IPPArialTable"/>
              <w:spacing w:before="0" w:after="0"/>
              <w:rPr>
                <w:szCs w:val="18"/>
              </w:rPr>
            </w:pPr>
            <w:r>
              <w:rPr>
                <w:rStyle w:val="PleaseReviewParagraphId"/>
                <w:b w:val="off"/>
                <w:i w:val="off"/>
              </w:rPr>
              <w:t>[9]</w:t>
            </w:r>
            <w:r>
              <w:t>Étape préalable à la première consultation</w:t>
            </w:r>
          </w:p>
        </w:tc>
      </w:tr>
      <w:tr w14:paraId="5B2A5518" w14:textId="77777777">
        <w:trPr>
          <w:trHeight w:val="59"/>
        </w:trPr>
        <w:tc>
          <w:tcPr>
            <w:tcW w:w="2273" w:type="dxa"/>
          </w:tcPr>
          <w:p w14:paraId="17C07CEA" w14:textId="77777777">
            <w:pPr>
              <w:pStyle w:val="IPPArialTable"/>
              <w:spacing w:before="0" w:after="0"/>
              <w:rPr>
                <w:b/>
                <w:bCs/>
                <w:szCs w:val="18"/>
              </w:rPr>
            </w:pPr>
            <w:r>
              <w:rPr>
                <w:rStyle w:val="PleaseReviewParagraphId"/>
                <w:b w:val="off"/>
                <w:i w:val="off"/>
              </w:rPr>
              <w:t>[10]</w:t>
            </w:r>
            <w:r>
              <w:rPr>
                <w:b/>
              </w:rPr>
              <w:t>Principales étapes</w:t>
            </w:r>
          </w:p>
        </w:tc>
        <w:tc>
          <w:tcPr>
            <w:tcW w:w="6766" w:type="dxa"/>
          </w:tcPr>
          <w:p w14:paraId="0EC2E93E" w14:textId="4226ED99">
            <w:pPr>
              <w:pStyle w:val="IPPArialTable"/>
              <w:spacing w:before="0" w:after="0"/>
            </w:pPr>
            <w:r>
              <w:rPr>
                <w:rStyle w:val="PleaseReviewParagraphId"/>
                <w:b w:val="off"/>
                <w:i w:val="off"/>
              </w:rPr>
              <w:t>[11]</w:t>
            </w:r>
            <w:r>
              <w:t xml:space="preserve">2022-04 La CPM, à sa seizième session, ajoute le thème «Annexe </w:t>
            </w:r>
            <w:r>
              <w:rPr>
                <w:i/>
              </w:rPr>
              <w:t>Déplacements internationaux de mangues (</w:t>
            </w:r>
            <w:r>
              <w:t>Mangifera indica</w:t>
            </w:r>
            <w:r>
              <w:rPr>
                <w:i/>
              </w:rPr>
              <w:t xml:space="preserve">) </w:t>
            </w:r>
            <w:r>
              <w:t>(2021-011)</w:t>
            </w:r>
            <w:r>
              <w:rPr>
                <w:i/>
              </w:rPr>
              <w:t xml:space="preserve"> </w:t>
            </w:r>
            <w:r>
              <w:t>à la NIMP 46</w:t>
            </w:r>
            <w:r>
              <w:rPr>
                <w:i/>
              </w:rPr>
              <w:t xml:space="preserve"> </w:t>
            </w:r>
            <w:r>
              <w:t>(</w:t>
            </w:r>
            <w:r>
              <w:rPr>
                <w:i/>
              </w:rPr>
              <w:t>Normes pour des mesures phytosanitaires relatives à des marchandises</w:t>
            </w:r>
            <w:r>
              <w:t>)», avec le niveau de priorité 1.</w:t>
            </w:r>
          </w:p>
          <w:p w14:paraId="4E84E3F7" w14:textId="1FBB89C1">
            <w:pPr>
              <w:pStyle w:val="IPPArialTable"/>
              <w:spacing w:before="0" w:after="0"/>
            </w:pPr>
            <w:r>
              <w:rPr>
                <w:rStyle w:val="PleaseReviewParagraphId"/>
                <w:b w:val="off"/>
                <w:i w:val="off"/>
              </w:rPr>
              <w:t>[12]</w:t>
            </w:r>
            <w:r>
              <w:t>2022-04 Le CN révise le projet de texte et en approuve le renvoi à une première consultation.</w:t>
            </w:r>
          </w:p>
        </w:tc>
      </w:tr>
      <w:tr w14:paraId="537F23DF" w14:textId="77777777">
        <w:trPr>
          <w:trHeight w:val="59"/>
        </w:trPr>
        <w:tc>
          <w:tcPr>
            <w:tcW w:w="2273" w:type="dxa"/>
          </w:tcPr>
          <w:p w14:paraId="020F55CF" w14:textId="77777777">
            <w:pPr>
              <w:pStyle w:val="IPPArialTable"/>
              <w:spacing w:before="0" w:after="0"/>
              <w:rPr>
                <w:b/>
                <w:bCs/>
                <w:szCs w:val="18"/>
              </w:rPr>
            </w:pPr>
            <w:r>
              <w:rPr>
                <w:rStyle w:val="PleaseReviewParagraphId"/>
                <w:b w:val="off"/>
                <w:i w:val="off"/>
              </w:rPr>
              <w:t>[13]</w:t>
            </w:r>
            <w:r>
              <w:rPr>
                <w:b/>
              </w:rPr>
              <w:t>Responsables successifs</w:t>
            </w:r>
          </w:p>
        </w:tc>
        <w:tc>
          <w:tcPr>
            <w:tcW w:w="6766" w:type="dxa"/>
          </w:tcPr>
          <w:p w14:paraId="678D6713" w14:textId="3FE03CC1">
            <w:pPr>
              <w:pStyle w:val="IPPArialTable"/>
              <w:spacing w:before="0" w:after="0"/>
              <w:rPr>
                <w:szCs w:val="18"/>
              </w:rPr>
            </w:pPr>
            <w:r>
              <w:rPr>
                <w:rStyle w:val="PleaseReviewParagraphId"/>
                <w:b w:val="off"/>
                <w:i w:val="off"/>
              </w:rPr>
              <w:t>[14]</w:t>
            </w:r>
            <w:r>
              <w:t>2022‑05 CN M</w:t>
            </w:r>
            <w:r>
              <w:rPr>
                <w:vertAlign w:val="superscript"/>
              </w:rPr>
              <w:t>me</w:t>
            </w:r>
            <w:r>
              <w:t xml:space="preserve"> Joanne WILSON (NZ, responsable principale)</w:t>
            </w:r>
          </w:p>
          <w:p w14:paraId="215BA2BE" w14:textId="25A63BEA">
            <w:pPr>
              <w:pStyle w:val="IPPArialTable"/>
              <w:spacing w:before="0" w:after="0"/>
            </w:pPr>
            <w:r>
              <w:rPr>
                <w:rStyle w:val="PleaseReviewParagraphId"/>
                <w:b w:val="off"/>
                <w:i w:val="off"/>
              </w:rPr>
              <w:t>[15]</w:t>
            </w:r>
            <w:r>
              <w:t>2022‑05 CN M. Hernando MORERA GONZÁLEZ (CR, responsable adjoint)</w:t>
            </w:r>
          </w:p>
        </w:tc>
      </w:tr>
      <w:tr w14:paraId="5B882804" w14:textId="77777777">
        <w:trPr>
          <w:trHeight w:val="59"/>
        </w:trPr>
        <w:tc>
          <w:tcPr>
            <w:tcW w:w="2273" w:type="dxa"/>
          </w:tcPr>
          <w:p w14:paraId="4F90127A" w14:textId="77777777">
            <w:pPr>
              <w:pStyle w:val="IPPArialTable"/>
              <w:spacing w:before="0" w:after="0"/>
              <w:rPr>
                <w:b/>
                <w:bCs/>
                <w:szCs w:val="18"/>
              </w:rPr>
            </w:pPr>
            <w:r>
              <w:rPr>
                <w:rStyle w:val="PleaseReviewParagraphId"/>
                <w:b w:val="off"/>
                <w:i w:val="off"/>
              </w:rPr>
              <w:t>[16]</w:t>
            </w:r>
            <w:r>
              <w:rPr>
                <w:b/>
              </w:rPr>
              <w:t>Notes</w:t>
            </w:r>
          </w:p>
        </w:tc>
        <w:tc>
          <w:tcPr>
            <w:tcW w:w="6766" w:type="dxa"/>
          </w:tcPr>
          <w:p w14:paraId="32B10B66" w14:textId="2AF2E6DB">
            <w:pPr>
              <w:pStyle w:val="IPPArialTable"/>
              <w:spacing w:before="0" w:after="0"/>
              <w:rPr>
                <w:szCs w:val="18"/>
              </w:rPr>
            </w:pPr>
            <w:r>
              <w:rPr>
                <w:rStyle w:val="PleaseReviewParagraphId"/>
                <w:b w:val="off"/>
                <w:i w:val="off"/>
              </w:rPr>
              <w:t>[17]</w:t>
            </w:r>
            <w:r>
              <w:t>Le présent document est à l’état de projet.</w:t>
            </w:r>
          </w:p>
          <w:p w14:paraId="6521C4CF" w14:textId="7555550C">
            <w:pPr>
              <w:pStyle w:val="IPPArialTable"/>
              <w:spacing w:before="0" w:after="0"/>
              <w:rPr>
                <w:szCs w:val="18"/>
              </w:rPr>
            </w:pPr>
            <w:r>
              <w:rPr>
                <w:rStyle w:val="PleaseReviewParagraphId"/>
                <w:b w:val="off"/>
                <w:i w:val="off"/>
              </w:rPr>
              <w:t>[18]</w:t>
            </w:r>
            <w:r>
              <w:t>2022‑05 Révision éditoriale.</w:t>
            </w:r>
          </w:p>
        </w:tc>
      </w:tr>
    </w:tbl>
    <w:p w14:paraId="2D33B31D" w14:textId="77777777">
      <w:pPr>
        <w:pStyle w:val="IPPSubheadSpace"/>
      </w:pPr>
      <w:r>
        <w:rPr>
          <w:rStyle w:val="PleaseReviewParagraphId"/>
          <w:b w:val="off"/>
          <w:i w:val="off"/>
        </w:rPr>
        <w:t>[19]</w:t>
      </w:r>
      <w:r>
        <w:t>Titre</w:t>
      </w:r>
    </w:p>
    <w:p w14:paraId="336B2392" w14:textId="761FF405">
      <w:pPr>
        <w:pStyle w:val="IPPParagraphnumbering"/>
        <w:numPr>
          <w:ilvl w:val="0"/>
          <w:numId w:val="0"/>
        </w:numPr>
      </w:pPr>
      <w:r>
        <w:rPr>
          <w:rStyle w:val="PleaseReviewParagraphId"/>
          <w:b w:val="off"/>
          <w:i w:val="off"/>
        </w:rPr>
        <w:t>[20]</w:t>
      </w:r>
      <w:r>
        <w:t xml:space="preserve">Annexe </w:t>
      </w:r>
      <w:r>
        <w:rPr>
          <w:i/>
          <w:iCs/>
        </w:rPr>
        <w:t>Déplacements internationaux de mangues (</w:t>
      </w:r>
      <w:r>
        <w:t>Mangifera indica</w:t>
      </w:r>
      <w:r>
        <w:rPr>
          <w:i/>
          <w:iCs/>
        </w:rPr>
        <w:t>)</w:t>
      </w:r>
      <w:r>
        <w:t xml:space="preserve"> (2021‑011) à la NIMP 46 (</w:t>
      </w:r>
      <w:r>
        <w:rPr>
          <w:i/>
          <w:iCs/>
        </w:rPr>
        <w:t>Normes pour des mesures phytosanitaires relatives à des marchandises</w:t>
      </w:r>
      <w:r>
        <w:t>).</w:t>
      </w:r>
    </w:p>
    <w:p w14:paraId="30406F2F" w14:textId="68D62D02">
      <w:pPr>
        <w:pStyle w:val="IPPSubheadSpace"/>
      </w:pPr>
      <w:r>
        <w:rPr>
          <w:rStyle w:val="PleaseReviewParagraphId"/>
          <w:b w:val="off"/>
          <w:i w:val="off"/>
        </w:rPr>
        <w:t>[21]</w:t>
      </w:r>
      <w:r>
        <w:t xml:space="preserve">Justification de l’annexe à la norme </w:t>
      </w:r>
    </w:p>
    <w:p w14:paraId="32F61B11" w14:textId="42E1654B">
      <w:pPr>
        <w:pStyle w:val="IPPParagraphnumbering"/>
        <w:numPr>
          <w:ilvl w:val="0"/>
          <w:numId w:val="0"/>
        </w:numPr>
      </w:pPr>
      <w:r>
        <w:rPr>
          <w:rStyle w:val="PleaseReviewParagraphId"/>
          <w:b w:val="off"/>
          <w:i w:val="off"/>
        </w:rPr>
        <w:t>[22]</w:t>
      </w:r>
      <w:r>
        <w:t xml:space="preserve">La mangue est un fruit commercialisé à grande échelle à travers le monde et peut être hôte de mouches des fruits, de papillons de nuit et coléoptères frugivores et de cochenilles. </w:t>
      </w:r>
    </w:p>
    <w:p w14:paraId="26792F79" w14:textId="74139F5B">
      <w:pPr>
        <w:pStyle w:val="IPPParagraphnumbering"/>
        <w:numPr>
          <w:ilvl w:val="0"/>
          <w:numId w:val="0"/>
        </w:numPr>
      </w:pPr>
      <w:r>
        <w:rPr>
          <w:rStyle w:val="PleaseReviewParagraphId"/>
          <w:b w:val="off"/>
          <w:i w:val="off"/>
        </w:rPr>
        <w:t>[23]</w:t>
      </w:r>
      <w:r>
        <w:t>Plusieurs parties contractantes ont établi et accepté des mesures phytosanitaires visant à gérer efficacement les organismes nuisibles associés à cette marchandise. Il est donc justifié de créer une annexe à la NIMP 46 (</w:t>
      </w:r>
      <w:r>
        <w:rPr>
          <w:i/>
        </w:rPr>
        <w:t>Normes pour des mesures phytosanitaires relatives à des marchandises</w:t>
      </w:r>
      <w:r>
        <w:t>) portant sur la mangue.</w:t>
      </w:r>
    </w:p>
    <w:p w14:paraId="121EF5B3" w14:textId="69259ED9">
      <w:pPr>
        <w:pStyle w:val="IPPParagraphnumbering"/>
        <w:numPr>
          <w:ilvl w:val="0"/>
          <w:numId w:val="0"/>
        </w:numPr>
      </w:pPr>
      <w:r>
        <w:rPr>
          <w:rStyle w:val="PleaseReviewParagraphId"/>
          <w:b w:val="off"/>
          <w:i w:val="off"/>
        </w:rPr>
        <w:t>[24]</w:t>
      </w:r>
      <w:r>
        <w:t>La norme régionale pour des mesures phytosanitaires sur les déplacements internationaux de mangue fraîche établie par la Commission phytosanitaire pour l’Asie et le Pacifique (APPPC, 2019) constitue une base solide pour élaborer cette norme de marchandise.</w:t>
      </w:r>
    </w:p>
    <w:p w14:paraId="7F6A7C72" w14:textId="70D55D56">
      <w:pPr>
        <w:pStyle w:val="IPPSubheadSpace"/>
      </w:pPr>
      <w:r>
        <w:rPr>
          <w:rStyle w:val="PleaseReviewParagraphId"/>
          <w:b w:val="off"/>
          <w:i w:val="off"/>
        </w:rPr>
        <w:t>[25]</w:t>
      </w:r>
      <w:r>
        <w:t xml:space="preserve">Champ d’application </w:t>
      </w:r>
    </w:p>
    <w:p w14:paraId="33351B06" w14:textId="18A468D3">
      <w:pPr>
        <w:pStyle w:val="IPPParagraphnumbering"/>
        <w:numPr>
          <w:ilvl w:val="0"/>
          <w:numId w:val="0"/>
        </w:numPr>
      </w:pPr>
      <w:r>
        <w:rPr>
          <w:rStyle w:val="PleaseReviewParagraphId"/>
          <w:b w:val="off"/>
          <w:i w:val="off"/>
        </w:rPr>
        <w:t>[26]</w:t>
      </w:r>
      <w:r>
        <w:t>L’annexe devrait fournir aux organisations nationales pour la protection des végétaux (ONPV) des orientations concernant les mesures phytosanitaires envisageables pour l’importation et l’exportation de mangues fraîches. Elle pourrait contenir des informations sur l’évaluation du risque phytosanitaire (NIMP 2 [</w:t>
      </w:r>
      <w:r>
        <w:rPr>
          <w:i/>
        </w:rPr>
        <w:t>Cadre de l’analyse du risque phytosanitaire</w:t>
      </w:r>
      <w:r>
        <w:t>] et NIMP 11 [</w:t>
      </w:r>
      <w:r>
        <w:rPr>
          <w:i/>
        </w:rPr>
        <w:t>Analyse du risque phytosanitaire pour les organismes de quarantaine</w:t>
      </w:r>
      <w:r>
        <w:t>]), les options de gestion des risques et les traitements (NIMP 18 [</w:t>
      </w:r>
      <w:r>
        <w:rPr>
          <w:i/>
        </w:rPr>
        <w:t>Directives pour l’utilisation de l’irradiation comme mesure phytosanitaire</w:t>
      </w:r>
      <w:r>
        <w:t>] et NIMP 28 [</w:t>
      </w:r>
      <w:r>
        <w:rPr>
          <w:i/>
        </w:rPr>
        <w:t>Traitements phytosanitaires contre des organismes nuisibles réglementés</w:t>
      </w:r>
      <w:r>
        <w:t>]), l’emballage, l’inspection (NIMP 23 [</w:t>
      </w:r>
      <w:r>
        <w:rPr>
          <w:i/>
        </w:rPr>
        <w:t>Directives pour l’inspection</w:t>
      </w:r>
      <w:r>
        <w:t>]) et la certification phytosanitaire (NIMP 7 [</w:t>
      </w:r>
      <w:r>
        <w:rPr>
          <w:i/>
        </w:rPr>
        <w:t>Système de certification phytosanitaire</w:t>
      </w:r>
      <w:r>
        <w:t>] et NIMP 12 [</w:t>
      </w:r>
      <w:r>
        <w:rPr>
          <w:i/>
        </w:rPr>
        <w:t>Certificats phytosanitaires</w:t>
      </w:r>
      <w:r>
        <w:t>]), appliquées aux mangues fraîches. L’annexe devrait recenser les organismes nuisibles ou groupes d’organismes nuisibles courants et importants notoirement associés aux mangues fraîches à l’exportation et décrire une série de mesures phytosanitaires pouvant être mises en œuvre pour réduire le risque phytosanitaire avant l’exportation.</w:t>
      </w:r>
    </w:p>
    <w:p w14:paraId="175A8787" w14:textId="77777777">
      <w:pPr>
        <w:pStyle w:val="IPPParagraphnumbering"/>
        <w:numPr>
          <w:ilvl w:val="0"/>
          <w:numId w:val="0"/>
        </w:numPr>
      </w:pPr>
      <w:r>
        <w:rPr>
          <w:rStyle w:val="PleaseReviewParagraphId"/>
          <w:b w:val="off"/>
          <w:i w:val="off"/>
        </w:rPr>
        <w:t>[27]</w:t>
      </w:r>
      <w:r>
        <w:t xml:space="preserve">Cette annexe ne devrait concerner ni les mangues transformées (séchées, surgelées ou en conserve), ni les graines de mangue, ni les parties végétatives de </w:t>
      </w:r>
      <w:r>
        <w:rPr>
          <w:i/>
          <w:iCs/>
        </w:rPr>
        <w:t>Mangifera indica</w:t>
      </w:r>
      <w:r>
        <w:t>.</w:t>
      </w:r>
    </w:p>
    <w:p w14:paraId="5DFD9A6B" w14:textId="77777777">
      <w:pPr>
        <w:pStyle w:val="IPPSubheadSpace"/>
      </w:pPr>
      <w:r>
        <w:rPr>
          <w:rStyle w:val="PleaseReviewParagraphId"/>
          <w:b w:val="off"/>
          <w:i w:val="off"/>
        </w:rPr>
        <w:t>[28]</w:t>
      </w:r>
      <w:r>
        <w:lastRenderedPageBreak/>
        <w:t>Objectif</w:t>
      </w:r>
    </w:p>
    <w:p w14:paraId="6519F3E1" w14:textId="5FC23AD5">
      <w:pPr>
        <w:pStyle w:val="IPPParagraphnumbering"/>
        <w:numPr>
          <w:ilvl w:val="0"/>
          <w:numId w:val="0"/>
        </w:numPr>
      </w:pPr>
      <w:r>
        <w:rPr>
          <w:rStyle w:val="PleaseReviewParagraphId"/>
          <w:b w:val="off"/>
          <w:i w:val="off"/>
        </w:rPr>
        <w:t>[29]</w:t>
      </w:r>
      <w:r>
        <w:t>Cette annexe à une NIMP fournira des orientations aux ONPV qui importent ou exportent des mangues fraîches destinées à la consommation ou la transformation, ou qui ont l’intention de le faire.</w:t>
      </w:r>
    </w:p>
    <w:p w14:paraId="2FADE5FE" w14:textId="77777777">
      <w:pPr>
        <w:pStyle w:val="IPPSubheadSpace"/>
        <w:ind w:left="0" w:firstLine="0"/>
      </w:pPr>
      <w:r>
        <w:rPr>
          <w:rStyle w:val="PleaseReviewParagraphId"/>
          <w:b w:val="off"/>
          <w:i w:val="off"/>
        </w:rPr>
        <w:t>[30]</w:t>
      </w:r>
      <w:r>
        <w:t>Tâches</w:t>
      </w:r>
    </w:p>
    <w:p w14:paraId="3D5D004A" w14:textId="0A55717C">
      <w:pPr>
        <w:pStyle w:val="IPPParagraphnumberingclose"/>
        <w:numPr>
          <w:ilvl w:val="0"/>
          <w:numId w:val="0"/>
        </w:numPr>
      </w:pPr>
      <w:r>
        <w:rPr>
          <w:rStyle w:val="PleaseReviewParagraphId"/>
          <w:b w:val="off"/>
          <w:i w:val="off"/>
        </w:rPr>
        <w:t>[31]</w:t>
      </w:r>
      <w:r>
        <w:t>Conformément aux exigences formulées dans la NIMP 46, le Groupe technique sur les normes relatives aux marchandises devrait veiller à ce que les tâches suivantes aient été accomplies:</w:t>
      </w:r>
    </w:p>
    <w:p w14:paraId="33E0E782" w14:textId="3F306BE5">
      <w:pPr>
        <w:pStyle w:val="IPPNumberedList"/>
      </w:pPr>
      <w:r>
        <w:rPr>
          <w:rStyle w:val="PleaseReviewParagraphId"/>
          <w:b w:val="off"/>
          <w:i w:val="off"/>
        </w:rPr>
        <w:t>[32]</w:t>
      </w:r>
      <w:r>
        <w:t>Établir et fournir une liste d’organismes nuisibles ou groupes d’organismes nuisibles associés aux mangues fraîches destinées à l’exportation.</w:t>
      </w:r>
    </w:p>
    <w:p w14:paraId="561E2AC9" w14:textId="2B67D429">
      <w:pPr>
        <w:pStyle w:val="IPPNumberedList"/>
      </w:pPr>
      <w:r>
        <w:rPr>
          <w:rStyle w:val="PleaseReviewParagraphId"/>
          <w:b w:val="off"/>
          <w:i w:val="off"/>
        </w:rPr>
        <w:t>[33]</w:t>
      </w:r>
      <w:r>
        <w:t>Cerner les options pour des mesures phytosanitaires efficaces, ou des combinaisons efficaces de mesures phytosanitaires, pour lutter contre les organismes nuisibles ou groupes d’organismes nuisibles.</w:t>
      </w:r>
    </w:p>
    <w:p w14:paraId="1472EE47" w14:textId="78666602">
      <w:pPr>
        <w:pStyle w:val="IPPNumberedList"/>
      </w:pPr>
      <w:r>
        <w:rPr>
          <w:rStyle w:val="PleaseReviewParagraphId"/>
          <w:b w:val="off"/>
          <w:i w:val="off"/>
        </w:rPr>
        <w:t>[34]</w:t>
      </w:r>
      <w:bookmarkStart w:name="_Hlk102663787" w:id="0"/>
      <w:r>
        <w:t xml:space="preserve">Évaluer les mesures phytosanitaires qui pourraient être incorporées dans l’annexe et déterminer s’il existe suffisamment d’informations quant à leur efficacité justifiant qu’elles le soient. </w:t>
      </w:r>
    </w:p>
    <w:bookmarkEnd w:id="0"/>
    <w:p w14:paraId="182BCA59" w14:textId="34C34C04">
      <w:pPr>
        <w:pStyle w:val="IPPNumberedList"/>
      </w:pPr>
      <w:r>
        <w:rPr>
          <w:rStyle w:val="PleaseReviewParagraphId"/>
          <w:b w:val="off"/>
          <w:i w:val="off"/>
        </w:rPr>
        <w:t>[35]</w:t>
      </w:r>
      <w:r>
        <w:t>Examiner et dresser la liste des méthodes disponibles pouvant éventuellement être utilisées pour détecter les organismes nuisibles ou groupes d’organismes nuisibles notoirement associés aux mangues fraîches à l’exportation.</w:t>
      </w:r>
    </w:p>
    <w:p w14:paraId="62FE86C8" w14:textId="4328446F">
      <w:pPr>
        <w:pStyle w:val="IPPNumberedList"/>
      </w:pPr>
      <w:r>
        <w:rPr>
          <w:rStyle w:val="PleaseReviewParagraphId"/>
          <w:b w:val="off"/>
          <w:i w:val="off"/>
        </w:rPr>
        <w:t>[36]</w:t>
      </w:r>
      <w:r>
        <w:t>Tenir compte des normes et directives existantes élaborées sous l’égide du Secrétariat de la CIPV, par des organisations régionales pour la protection des végétaux ou par d’autres organisations internationales concernant la gestion du risque phytosanitaire associé aux déplacements internationaux de mangues fraîches.</w:t>
      </w:r>
    </w:p>
    <w:p w14:paraId="59858750" w14:textId="2243AC84">
      <w:pPr>
        <w:pStyle w:val="IPPNumberedList"/>
      </w:pPr>
      <w:r>
        <w:rPr>
          <w:rStyle w:val="PleaseReviewParagraphId"/>
          <w:b w:val="off"/>
          <w:i w:val="off"/>
        </w:rPr>
        <w:t>[37]</w:t>
      </w:r>
      <w:r>
        <w:t>Prendre contact si nécessaire avec d’autres groupes techniques (groupes techniques sur les protocoles de diagnostic, sur le Glossaire et sur les traitements phytosanitaires) et avec le Comité chargé de la mise en œuvre et du renforcement des capacités.</w:t>
      </w:r>
    </w:p>
    <w:p w14:paraId="6AF97888" w14:textId="0ECA71C2">
      <w:pPr>
        <w:pStyle w:val="IPPNumberedList"/>
        <w:spacing w:after="180"/>
      </w:pPr>
      <w:r>
        <w:rPr>
          <w:rStyle w:val="PleaseReviewParagraphId"/>
          <w:b w:val="off"/>
          <w:i w:val="off"/>
        </w:rPr>
        <w:t>[38]</w:t>
      </w:r>
      <w:r>
        <w:t xml:space="preserve">Examiner la mise en œuvre de l’annexe par les parties contractantes et cerner d’éventuels problèmes opérationnels ou techniques. Fournir des informations et, éventuellement, formuler des recommandations sur ces questions à l’intention du Comité des normes. </w:t>
      </w:r>
    </w:p>
    <w:p w14:paraId="7F91DDF5" w14:textId="77777777">
      <w:pPr>
        <w:pStyle w:val="IPPSubheadSpace"/>
      </w:pPr>
      <w:r>
        <w:rPr>
          <w:rStyle w:val="PleaseReviewParagraphId"/>
          <w:b w:val="off"/>
          <w:i w:val="off"/>
        </w:rPr>
        <w:t>[39]</w:t>
      </w:r>
      <w:r>
        <w:t>Fourniture de ressources</w:t>
      </w:r>
      <w:r>
        <w:rPr>
          <w:color w:val="76923C"/>
        </w:rPr>
        <w:t xml:space="preserve"> </w:t>
      </w:r>
    </w:p>
    <w:p w14:paraId="19FCF738" w14:textId="0CC423F8">
      <w:pPr>
        <w:pStyle w:val="IPPParagraphnumbering"/>
        <w:numPr>
          <w:ilvl w:val="0"/>
          <w:numId w:val="0"/>
        </w:numPr>
      </w:pPr>
      <w:r>
        <w:rPr>
          <w:rStyle w:val="PleaseReviewParagraphId"/>
          <w:b w:val="off"/>
          <w:i w:val="off"/>
        </w:rPr>
        <w:t>[40]</w:t>
      </w:r>
      <w:r>
        <w:t>Le financement de la réunion peut être assuré grâce à des ressources hors budget ordinaire de la CIPV (FAO). Comme la CIMP l’avait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À ce sujet, il convient de se référer aux critères de priorité (</w:t>
      </w:r>
      <w:r>
        <w:rPr>
          <w:i/>
        </w:rPr>
        <w:t>Criteria used for prioritizing participants to receive travel assistance to attend meetings organized by the IPPC Secretariat</w:t>
      </w:r>
      <w:r>
        <w:t>) mis en ligne sur le Portail phytosanitaire international (</w:t>
      </w:r>
      <w:hyperlink w:history="1" r:id="rId11">
        <w:r>
          <w:rPr>
            <w:rStyle w:val="Hyperlink"/>
          </w:rPr>
          <w:t>www.ippc.int/fr/core-activities/</w:t>
        </w:r>
      </w:hyperlink>
      <w:r>
        <w:t>).</w:t>
      </w:r>
    </w:p>
    <w:p w14:paraId="18A4D286" w14:textId="77777777">
      <w:pPr>
        <w:pStyle w:val="IPPSubheadSpace"/>
      </w:pPr>
      <w:r>
        <w:rPr>
          <w:rStyle w:val="PleaseReviewParagraphId"/>
          <w:b w:val="off"/>
          <w:i w:val="off"/>
        </w:rPr>
        <w:t>[41]</w:t>
      </w:r>
      <w:r>
        <w:t>Collaborateur</w:t>
      </w:r>
    </w:p>
    <w:p w14:paraId="062D147B" w14:textId="77777777">
      <w:pPr>
        <w:pStyle w:val="IPPParagraphnumbering"/>
        <w:numPr>
          <w:ilvl w:val="0"/>
          <w:numId w:val="0"/>
        </w:numPr>
      </w:pPr>
      <w:r>
        <w:rPr>
          <w:rStyle w:val="PleaseReviewParagraphId"/>
          <w:b w:val="off"/>
          <w:i w:val="off"/>
        </w:rPr>
        <w:t>[42]</w:t>
      </w:r>
      <w:r>
        <w:t>À déterminer</w:t>
      </w:r>
    </w:p>
    <w:p w14:paraId="0A777633" w14:textId="77777777">
      <w:pPr>
        <w:pStyle w:val="IPPSubheadSpace"/>
      </w:pPr>
      <w:r>
        <w:rPr>
          <w:rStyle w:val="PleaseReviewParagraphId"/>
          <w:b w:val="off"/>
          <w:i w:val="off"/>
        </w:rPr>
        <w:t>[43]</w:t>
      </w:r>
      <w:r>
        <w:t>Responsable</w:t>
      </w:r>
    </w:p>
    <w:p w14:paraId="23FE28E5" w14:textId="373AFE2F">
      <w:pPr>
        <w:pStyle w:val="IPPParagraphnumbering"/>
        <w:numPr>
          <w:ilvl w:val="0"/>
          <w:numId w:val="0"/>
        </w:numPr>
      </w:pPr>
      <w:r>
        <w:rPr>
          <w:rStyle w:val="PleaseReviewParagraphId"/>
          <w:b w:val="off"/>
          <w:i w:val="off"/>
        </w:rPr>
        <w:t>[44]</w:t>
      </w:r>
      <w:r>
        <w:t xml:space="preserve">Prière de se reporter à la </w:t>
      </w:r>
      <w:r>
        <w:rPr>
          <w:i/>
        </w:rPr>
        <w:t>Liste de thèmes pour les normes de la CIPV</w:t>
      </w:r>
      <w:r>
        <w:t xml:space="preserve"> qui est consultable sur le PPI </w:t>
      </w:r>
      <w:hyperlink w:history="1" r:id="rId12">
        <w:r>
          <w:rPr>
            <w:rStyle w:val="Hyperlink"/>
          </w:rPr>
          <w:t>www.ippc.int/core-activities/standards-setting/list-topics-ippc-standards</w:t>
        </w:r>
      </w:hyperlink>
      <w:r>
        <w:t>).</w:t>
      </w:r>
    </w:p>
    <w:p w14:paraId="68738CAA" w14:textId="391758F2">
      <w:pPr>
        <w:pStyle w:val="IPPSubheadSpace"/>
      </w:pPr>
      <w:r>
        <w:rPr>
          <w:rStyle w:val="PleaseReviewParagraphId"/>
          <w:b w:val="off"/>
          <w:i w:val="off"/>
        </w:rPr>
        <w:t>[45]</w:t>
      </w:r>
      <w:r>
        <w:t xml:space="preserve">Compétences d’experts </w:t>
      </w:r>
    </w:p>
    <w:p w14:paraId="33E84DCB" w14:textId="7BCF7379">
      <w:pPr>
        <w:pStyle w:val="IPPParagraphnumbering"/>
        <w:numPr>
          <w:ilvl w:val="0"/>
          <w:numId w:val="0"/>
        </w:numPr>
      </w:pPr>
      <w:r>
        <w:rPr>
          <w:rStyle w:val="PleaseReviewParagraphId"/>
          <w:b w:val="off"/>
          <w:i w:val="off"/>
        </w:rPr>
        <w:t>[46]</w:t>
      </w:r>
      <w:r>
        <w:t>Le Groupe technique sur les normes relatives aux marchandises et d’autres experts, si nécessaire.</w:t>
      </w:r>
    </w:p>
    <w:p w14:paraId="5722F34D" w14:textId="77777777">
      <w:pPr>
        <w:pStyle w:val="IPPSubheadSpace"/>
      </w:pPr>
      <w:r>
        <w:rPr>
          <w:rStyle w:val="PleaseReviewParagraphId"/>
          <w:b w:val="off"/>
          <w:i w:val="off"/>
        </w:rPr>
        <w:t>[47]</w:t>
      </w:r>
      <w:r>
        <w:lastRenderedPageBreak/>
        <w:t>Références</w:t>
      </w:r>
    </w:p>
    <w:p w14:paraId="1A3DB4F3" w14:textId="40395001">
      <w:pPr>
        <w:pStyle w:val="IPPParagraphnumbering"/>
        <w:numPr>
          <w:ilvl w:val="0"/>
          <w:numId w:val="0"/>
        </w:numPr>
      </w:pPr>
      <w:r>
        <w:rPr>
          <w:rStyle w:val="PleaseReviewParagraphId"/>
          <w:b w:val="off"/>
          <w:i w:val="off"/>
        </w:rPr>
        <w:t>[48]</w:t>
      </w:r>
      <w:r>
        <w:t>La CIPV, les NIMP pertinentes et les autres normes ou accords nationaux, régionaux et internationaux qui peuvent s’appliquer aux tâches à entreprendre, les autres références contenues dans le formulaire de proposition de document, ainsi que les documents de travail présentés en rapport avec ces activités.</w:t>
      </w:r>
    </w:p>
    <w:p w14:paraId="7BD87625" w14:textId="47006D8A">
      <w:pPr>
        <w:pStyle w:val="IPPReferences"/>
        <w:rPr>
          <w:rStyle w:val="Hyperlink"/>
          <w:color w:val="auto"/>
        </w:rPr>
      </w:pPr>
      <w:r>
        <w:rPr>
          <w:rStyle w:val="PleaseReviewParagraphId"/>
          <w:b w:val="off"/>
          <w:i w:val="off"/>
        </w:rPr>
        <w:t>[49]</w:t>
      </w:r>
      <w:r>
        <w:rPr>
          <w:b/>
        </w:rPr>
        <w:t>APPPC (Commission phytosanitaire pour l’Asie et le Pacifique)</w:t>
      </w:r>
      <w:r>
        <w:t xml:space="preserve">. </w:t>
      </w:r>
      <w:r>
        <w:rPr>
          <w:lang w:val="en-GB"/>
        </w:rPr>
        <w:t xml:space="preserve">2021. </w:t>
      </w:r>
      <w:r>
        <w:rPr>
          <w:i/>
          <w:lang w:val="en-GB"/>
        </w:rPr>
        <w:t>International movement of fresh mango (</w:t>
      </w:r>
      <w:r>
        <w:rPr>
          <w:lang w:val="en-GB"/>
        </w:rPr>
        <w:t>Mangifera indica</w:t>
      </w:r>
      <w:r>
        <w:rPr>
          <w:i/>
          <w:lang w:val="en-GB"/>
        </w:rPr>
        <w:t>) fruit</w:t>
      </w:r>
      <w:r>
        <w:rPr>
          <w:lang w:val="en-GB"/>
        </w:rPr>
        <w:t xml:space="preserve">. Regional Standard for Phytosanitary Measures (RPSM) 11. Bangkok, APPPC, FAO. 12 pp. </w:t>
      </w:r>
      <w:hyperlink w:history="1" r:id="rId13">
        <w:r>
          <w:rPr>
            <w:rStyle w:val="Hyperlink"/>
          </w:rPr>
          <w:t>www.fao.org/3/cb5357en/cb5357en.pdf</w:t>
        </w:r>
      </w:hyperlink>
    </w:p>
    <w:p w14:paraId="777ADD5E" w14:textId="2A23541E">
      <w:pPr>
        <w:pStyle w:val="IPPReferences"/>
      </w:pPr>
      <w:r>
        <w:rPr>
          <w:rStyle w:val="PleaseReviewParagraphId"/>
          <w:b w:val="off"/>
          <w:i w:val="off"/>
        </w:rPr>
        <w:t>[50]</w:t>
      </w:r>
      <w:r>
        <w:rPr>
          <w:b/>
        </w:rPr>
        <w:t>NIMP 2</w:t>
      </w:r>
      <w:r>
        <w:t xml:space="preserve">. 2019. </w:t>
      </w:r>
      <w:r>
        <w:rPr>
          <w:i/>
        </w:rPr>
        <w:t>Cadre de l’analyse du risque phytosanitaire</w:t>
      </w:r>
      <w:r>
        <w:t xml:space="preserve">. Rome, Secrétariat de la CIPV, FAO. </w:t>
      </w:r>
      <w:hyperlink w:history="1" r:id="rId14">
        <w:r>
          <w:rPr>
            <w:rStyle w:val="Hyperlink"/>
          </w:rPr>
          <w:t>www.ippc.int/fr/publications/592/</w:t>
        </w:r>
      </w:hyperlink>
    </w:p>
    <w:p w14:paraId="5BFEBEAB" w14:textId="01C3DD5E">
      <w:pPr>
        <w:pStyle w:val="IPPReferences"/>
      </w:pPr>
      <w:r>
        <w:rPr>
          <w:rStyle w:val="PleaseReviewParagraphId"/>
          <w:b w:val="off"/>
          <w:i w:val="off"/>
        </w:rPr>
        <w:t>[51]</w:t>
      </w:r>
      <w:r>
        <w:rPr>
          <w:b/>
        </w:rPr>
        <w:t>NIMP 7</w:t>
      </w:r>
      <w:r>
        <w:t xml:space="preserve">. 2016. </w:t>
      </w:r>
      <w:r>
        <w:rPr>
          <w:i/>
        </w:rPr>
        <w:t>Système de certification phytosanitaire</w:t>
      </w:r>
      <w:r>
        <w:t xml:space="preserve">. Rome, Secrétariat de la CIPV, FAO. </w:t>
      </w:r>
      <w:hyperlink w:history="1" r:id="rId15">
        <w:r>
          <w:rPr>
            <w:rStyle w:val="Hyperlink"/>
          </w:rPr>
          <w:t>www.ippc.int/fr/publications/613/</w:t>
        </w:r>
      </w:hyperlink>
    </w:p>
    <w:p w14:paraId="5BCB3FC8" w14:textId="7BE15D07">
      <w:pPr>
        <w:pStyle w:val="IPPReferences"/>
      </w:pPr>
      <w:r>
        <w:rPr>
          <w:rStyle w:val="PleaseReviewParagraphId"/>
          <w:b w:val="off"/>
          <w:i w:val="off"/>
        </w:rPr>
        <w:t>[52]</w:t>
      </w:r>
      <w:r>
        <w:rPr>
          <w:b/>
        </w:rPr>
        <w:t>NIMP 11</w:t>
      </w:r>
      <w:r>
        <w:t xml:space="preserve">. 2019. </w:t>
      </w:r>
      <w:r>
        <w:rPr>
          <w:i/>
        </w:rPr>
        <w:t>Analyse du risque phytosanitaire pour les organismes de quarantaine</w:t>
      </w:r>
      <w:r>
        <w:t xml:space="preserve">. Rome, Secrétariat de la CIPV, FAO. </w:t>
      </w:r>
      <w:hyperlink w:history="1" r:id="rId16">
        <w:r>
          <w:rPr>
            <w:rStyle w:val="Hyperlink"/>
          </w:rPr>
          <w:t>www.ippc.int/fr/publications/639/</w:t>
        </w:r>
      </w:hyperlink>
    </w:p>
    <w:p w14:paraId="79EDA916" w14:textId="279F7A0C">
      <w:pPr>
        <w:pStyle w:val="IPPReferences"/>
      </w:pPr>
      <w:r>
        <w:rPr>
          <w:rStyle w:val="PleaseReviewParagraphId"/>
          <w:b w:val="off"/>
          <w:i w:val="off"/>
        </w:rPr>
        <w:t>[53]</w:t>
      </w:r>
      <w:r>
        <w:rPr>
          <w:b/>
        </w:rPr>
        <w:t>NIMP 12</w:t>
      </w:r>
      <w:r>
        <w:t xml:space="preserve">. 2022. </w:t>
      </w:r>
      <w:r>
        <w:rPr>
          <w:i/>
        </w:rPr>
        <w:t>Certificats phytosanitaires</w:t>
      </w:r>
      <w:r>
        <w:t xml:space="preserve">. Rome, Secrétariat de la CIPV, FAO. </w:t>
      </w:r>
      <w:hyperlink w:history="1" r:id="rId17">
        <w:r>
          <w:rPr>
            <w:rStyle w:val="Hyperlink"/>
          </w:rPr>
          <w:t>www.ippc.int/fr/publications/609/</w:t>
        </w:r>
      </w:hyperlink>
    </w:p>
    <w:p w14:paraId="081E300B" w14:textId="4D24D5D8">
      <w:pPr>
        <w:pStyle w:val="IPPReferences"/>
      </w:pPr>
      <w:r>
        <w:rPr>
          <w:rStyle w:val="PleaseReviewParagraphId"/>
          <w:b w:val="off"/>
          <w:i w:val="off"/>
        </w:rPr>
        <w:t>[54]</w:t>
      </w:r>
      <w:r>
        <w:rPr>
          <w:b/>
        </w:rPr>
        <w:t>NIMP 18</w:t>
      </w:r>
      <w:r>
        <w:t xml:space="preserve">. 2019. </w:t>
      </w:r>
      <w:r>
        <w:rPr>
          <w:i/>
          <w:iCs/>
        </w:rPr>
        <w:t>Directives pour l’utilisation de l’irradiation comme mesure phytosanitaire.</w:t>
      </w:r>
      <w:r>
        <w:t xml:space="preserve"> Rome, Secrétariat de la CIPV, FAO. </w:t>
      </w:r>
      <w:hyperlink w:history="1" r:id="rId18">
        <w:r>
          <w:rPr>
            <w:rStyle w:val="Hyperlink"/>
          </w:rPr>
          <w:t>www.ippc.int/fr/publications/604/</w:t>
        </w:r>
      </w:hyperlink>
    </w:p>
    <w:p w14:paraId="1A09BB2C" w14:textId="7B5FDD2B">
      <w:pPr>
        <w:pStyle w:val="IPPReferences"/>
      </w:pPr>
      <w:r>
        <w:rPr>
          <w:rStyle w:val="PleaseReviewParagraphId"/>
          <w:b w:val="off"/>
          <w:i w:val="off"/>
        </w:rPr>
        <w:t>[55]</w:t>
      </w:r>
      <w:r>
        <w:rPr>
          <w:b/>
        </w:rPr>
        <w:t>NIMP 23</w:t>
      </w:r>
      <w:r>
        <w:t xml:space="preserve">. 2019. </w:t>
      </w:r>
      <w:r>
        <w:rPr>
          <w:i/>
        </w:rPr>
        <w:t>Directives pour l’inspection</w:t>
      </w:r>
      <w:r>
        <w:t xml:space="preserve">. Rome, Secrétariat de la CIPV, FAO. </w:t>
      </w:r>
      <w:hyperlink w:history="1" r:id="rId19">
        <w:r>
          <w:rPr>
            <w:rStyle w:val="Hyperlink"/>
          </w:rPr>
          <w:t>www.ippc.int/fr/publications/598/</w:t>
        </w:r>
      </w:hyperlink>
    </w:p>
    <w:p w14:paraId="5ACEA5D7" w14:textId="3349F4D8">
      <w:pPr>
        <w:pStyle w:val="IPPReferences"/>
      </w:pPr>
      <w:r>
        <w:rPr>
          <w:rStyle w:val="PleaseReviewParagraphId"/>
          <w:b w:val="off"/>
          <w:i w:val="off"/>
        </w:rPr>
        <w:t>[56]</w:t>
      </w:r>
      <w:r>
        <w:rPr>
          <w:b/>
        </w:rPr>
        <w:t>NIMP 28</w:t>
      </w:r>
      <w:r>
        <w:t xml:space="preserve">. 2016. </w:t>
      </w:r>
      <w:r>
        <w:rPr>
          <w:i/>
        </w:rPr>
        <w:t>Traitements phytosanitaires contre les organismes nuisibles réglementés</w:t>
      </w:r>
      <w:r>
        <w:t xml:space="preserve">. Rome, Secrétariat de la CIPV, FAO. </w:t>
      </w:r>
      <w:hyperlink w:history="1" r:id="rId20">
        <w:r>
          <w:rPr>
            <w:rStyle w:val="Hyperlink"/>
          </w:rPr>
          <w:t>www.ippc.int/fr/publications/591/</w:t>
        </w:r>
      </w:hyperlink>
    </w:p>
    <w:p w14:paraId="4DD6D7CF" w14:textId="777BB4E0">
      <w:pPr>
        <w:pStyle w:val="IPPReferences"/>
      </w:pPr>
      <w:r>
        <w:rPr>
          <w:rStyle w:val="PleaseReviewParagraphId"/>
          <w:b w:val="off"/>
          <w:i w:val="off"/>
        </w:rPr>
        <w:t>[57]</w:t>
      </w:r>
      <w:r>
        <w:rPr>
          <w:b/>
        </w:rPr>
        <w:t>NIMP 46</w:t>
      </w:r>
      <w:r>
        <w:t xml:space="preserve">. 2022. </w:t>
      </w:r>
      <w:r>
        <w:rPr>
          <w:i/>
          <w:iCs/>
        </w:rPr>
        <w:t>Normes pour des mesures phytosanitaires relatives à des marchandises</w:t>
      </w:r>
      <w:r>
        <w:t xml:space="preserve">. Rome, Secrétariat de la CIPV, FAO. </w:t>
      </w:r>
      <w:hyperlink w:history="1" r:id="rId21">
        <w:r>
          <w:rPr>
            <w:rStyle w:val="Hyperlink"/>
          </w:rPr>
          <w:t>www.ippc.int/fr/publications/91184/</w:t>
        </w:r>
      </w:hyperlink>
    </w:p>
    <w:p w14:paraId="4C537C82" w14:textId="77777777">
      <w:pPr>
        <w:pStyle w:val="IPPSubheadSpace"/>
      </w:pPr>
      <w:r>
        <w:rPr>
          <w:rStyle w:val="PleaseReviewParagraphId"/>
          <w:b w:val="off"/>
          <w:i w:val="off"/>
        </w:rPr>
        <w:t>[58]</w:t>
      </w:r>
      <w:r>
        <w:t>Documents de travail</w:t>
      </w:r>
    </w:p>
    <w:p w14:paraId="28629E2E" w14:textId="56304577">
      <w:pPr>
        <w:pStyle w:val="IPPParagraphnumbering"/>
        <w:numPr>
          <w:ilvl w:val="0"/>
          <w:numId w:val="0"/>
        </w:numPr>
      </w:pPr>
      <w:r>
        <w:rPr>
          <w:rStyle w:val="PleaseReviewParagraphId"/>
          <w:b w:val="off"/>
          <w:i w:val="off"/>
        </w:rPr>
        <w:t>[59]</w:t>
      </w:r>
      <w:r>
        <w:t>Les participants et les parties intéressées sont encouragés à présenter des documents de travail au Secrétariat de la CIPV (</w:t>
      </w:r>
      <w:hyperlink w:history="1" r:id="rId22">
        <w:r>
          <w:rPr>
            <w:rStyle w:val="Hyperlink"/>
          </w:rPr>
          <w:t>ippc@fao.org</w:t>
        </w:r>
      </w:hyperlink>
      <w:r>
        <w:t>), en vue de leur examen par le Groupe technique sur les normes relatives aux marchandises (GTNM).</w:t>
      </w:r>
    </w:p>
    <w:sectPr>
      <w:type w:val="continuous"/>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59FB" w14:textId="77777777">
      <w:r>
        <w:rPr>
          <w:rStyle w:val="PleaseReviewParagraphId"/>
          <w:b w:val="off"/>
          <w:i w:val="off"/>
        </w:rPr>
        <w:t>[]</w:t>
      </w:r>
      <w:r>
        <w:separator/>
      </w:r>
    </w:p>
  </w:endnote>
  <w:endnote w:type="continuationSeparator" w:id="0">
    <w:p w14:paraId="139A0FEB"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CAC5" w14:textId="77777777">
      <w:r>
        <w:rPr>
          <w:rStyle w:val="PleaseReviewParagraphId"/>
          <w:b w:val="off"/>
          <w:i w:val="off"/>
        </w:rPr>
        <w:t>[]</w:t>
      </w:r>
      <w:r>
        <w:separator/>
      </w:r>
    </w:p>
  </w:footnote>
  <w:footnote w:type="continuationSeparator" w:id="0">
    <w:p w14:paraId="5ECC9320"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A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CEF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2FA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CEA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C2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CEC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6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AD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CE3F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9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732A7A10"/>
    <w:lvl w:ilvl="0" w:tplc="08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3669727">
    <w:abstractNumId w:val="17"/>
  </w:num>
  <w:num w:numId="2" w16cid:durableId="907306120">
    <w:abstractNumId w:val="16"/>
  </w:num>
  <w:num w:numId="3" w16cid:durableId="102504968">
    <w:abstractNumId w:val="31"/>
  </w:num>
  <w:num w:numId="4" w16cid:durableId="1744837703">
    <w:abstractNumId w:val="26"/>
  </w:num>
  <w:num w:numId="5" w16cid:durableId="676269727">
    <w:abstractNumId w:val="30"/>
  </w:num>
  <w:num w:numId="6" w16cid:durableId="2089882657">
    <w:abstractNumId w:val="12"/>
  </w:num>
  <w:num w:numId="7" w16cid:durableId="1611014979">
    <w:abstractNumId w:val="18"/>
  </w:num>
  <w:num w:numId="8" w16cid:durableId="1524827349">
    <w:abstractNumId w:val="10"/>
  </w:num>
  <w:num w:numId="9" w16cid:durableId="2067144937">
    <w:abstractNumId w:val="28"/>
  </w:num>
  <w:num w:numId="10" w16cid:durableId="1727603070">
    <w:abstractNumId w:val="13"/>
  </w:num>
  <w:num w:numId="11" w16cid:durableId="1943491883">
    <w:abstractNumId w:val="15"/>
  </w:num>
  <w:num w:numId="12" w16cid:durableId="1221282687">
    <w:abstractNumId w:val="32"/>
  </w:num>
  <w:num w:numId="13" w16cid:durableId="1136722742">
    <w:abstractNumId w:val="25"/>
  </w:num>
  <w:num w:numId="14" w16cid:durableId="1570269077">
    <w:abstractNumId w:val="20"/>
  </w:num>
  <w:num w:numId="15" w16cid:durableId="197469767">
    <w:abstractNumId w:val="19"/>
  </w:num>
  <w:num w:numId="16" w16cid:durableId="131366089">
    <w:abstractNumId w:val="10"/>
  </w:num>
  <w:num w:numId="17" w16cid:durableId="183633421">
    <w:abstractNumId w:val="21"/>
  </w:num>
  <w:num w:numId="18" w16cid:durableId="296687246">
    <w:abstractNumId w:val="27"/>
  </w:num>
  <w:num w:numId="19" w16cid:durableId="1007905593">
    <w:abstractNumId w:val="10"/>
  </w:num>
  <w:num w:numId="20" w16cid:durableId="1812406199">
    <w:abstractNumId w:val="11"/>
  </w:num>
  <w:num w:numId="21" w16cid:durableId="1322999900">
    <w:abstractNumId w:val="22"/>
  </w:num>
  <w:num w:numId="22" w16cid:durableId="1800956168">
    <w:abstractNumId w:val="33"/>
  </w:num>
  <w:num w:numId="23" w16cid:durableId="1815175243">
    <w:abstractNumId w:val="14"/>
  </w:num>
  <w:num w:numId="24" w16cid:durableId="169457308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104190283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46415299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455265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30266240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76835720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1214385010">
    <w:abstractNumId w:val="23"/>
  </w:num>
  <w:num w:numId="31" w16cid:durableId="113064169">
    <w:abstractNumId w:val="29"/>
  </w:num>
  <w:num w:numId="32" w16cid:durableId="936249460">
    <w:abstractNumId w:val="24"/>
  </w:num>
  <w:num w:numId="33" w16cid:durableId="1639846617">
    <w:abstractNumId w:val="9"/>
  </w:num>
  <w:num w:numId="34" w16cid:durableId="2106917288">
    <w:abstractNumId w:val="7"/>
  </w:num>
  <w:num w:numId="35" w16cid:durableId="1535075352">
    <w:abstractNumId w:val="6"/>
  </w:num>
  <w:num w:numId="36" w16cid:durableId="1514147124">
    <w:abstractNumId w:val="5"/>
  </w:num>
  <w:num w:numId="37" w16cid:durableId="2124768536">
    <w:abstractNumId w:val="4"/>
  </w:num>
  <w:num w:numId="38" w16cid:durableId="584268343">
    <w:abstractNumId w:val="8"/>
  </w:num>
  <w:num w:numId="39" w16cid:durableId="2052028318">
    <w:abstractNumId w:val="3"/>
  </w:num>
  <w:num w:numId="40" w16cid:durableId="1899900733">
    <w:abstractNumId w:val="2"/>
  </w:num>
  <w:num w:numId="41" w16cid:durableId="1902598346">
    <w:abstractNumId w:val="1"/>
  </w:num>
  <w:num w:numId="42" w16cid:durableId="297565112">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kwNKgFAEjWZKYtAAAA"/>
  </w:docVars>
  <w:rsids>
    <w:rsidRoot w:val="00CD6E70"/>
    <w:rsid w:val="00012842"/>
    <w:rsid w:val="00013203"/>
    <w:rsid w:val="00016EE5"/>
    <w:rsid w:val="000278A8"/>
    <w:rsid w:val="0003363F"/>
    <w:rsid w:val="00036D6E"/>
    <w:rsid w:val="00041CEC"/>
    <w:rsid w:val="00042041"/>
    <w:rsid w:val="0004626B"/>
    <w:rsid w:val="00065CE8"/>
    <w:rsid w:val="00067008"/>
    <w:rsid w:val="000708DD"/>
    <w:rsid w:val="00074282"/>
    <w:rsid w:val="00080717"/>
    <w:rsid w:val="00086FDD"/>
    <w:rsid w:val="00087C0D"/>
    <w:rsid w:val="000A3E02"/>
    <w:rsid w:val="000C34C1"/>
    <w:rsid w:val="000D2BF9"/>
    <w:rsid w:val="000E0C8E"/>
    <w:rsid w:val="000E26F2"/>
    <w:rsid w:val="000E64F9"/>
    <w:rsid w:val="000F7522"/>
    <w:rsid w:val="00102233"/>
    <w:rsid w:val="00112E1D"/>
    <w:rsid w:val="001161D1"/>
    <w:rsid w:val="00116207"/>
    <w:rsid w:val="00127A7B"/>
    <w:rsid w:val="00130147"/>
    <w:rsid w:val="00142E0E"/>
    <w:rsid w:val="00143CCF"/>
    <w:rsid w:val="001501CF"/>
    <w:rsid w:val="00170CEE"/>
    <w:rsid w:val="00172B35"/>
    <w:rsid w:val="0018392B"/>
    <w:rsid w:val="00186DFB"/>
    <w:rsid w:val="00187F16"/>
    <w:rsid w:val="00190582"/>
    <w:rsid w:val="001A4622"/>
    <w:rsid w:val="001D4FF0"/>
    <w:rsid w:val="001F6E51"/>
    <w:rsid w:val="001F7454"/>
    <w:rsid w:val="00207822"/>
    <w:rsid w:val="00210BCF"/>
    <w:rsid w:val="002226CF"/>
    <w:rsid w:val="00225BBB"/>
    <w:rsid w:val="00233CC8"/>
    <w:rsid w:val="00253E72"/>
    <w:rsid w:val="0026405D"/>
    <w:rsid w:val="0026435B"/>
    <w:rsid w:val="0026493B"/>
    <w:rsid w:val="00276777"/>
    <w:rsid w:val="0027686B"/>
    <w:rsid w:val="00283A0A"/>
    <w:rsid w:val="00283CDC"/>
    <w:rsid w:val="00285A28"/>
    <w:rsid w:val="002907FE"/>
    <w:rsid w:val="00294ACC"/>
    <w:rsid w:val="0029569B"/>
    <w:rsid w:val="002A42C9"/>
    <w:rsid w:val="002B3953"/>
    <w:rsid w:val="002B5E98"/>
    <w:rsid w:val="002B68C1"/>
    <w:rsid w:val="002B777A"/>
    <w:rsid w:val="002D1111"/>
    <w:rsid w:val="002D30DD"/>
    <w:rsid w:val="002D61BB"/>
    <w:rsid w:val="002E130C"/>
    <w:rsid w:val="002E1A03"/>
    <w:rsid w:val="002E1D76"/>
    <w:rsid w:val="002F2972"/>
    <w:rsid w:val="002F652C"/>
    <w:rsid w:val="003012CE"/>
    <w:rsid w:val="00314DE2"/>
    <w:rsid w:val="00321CB1"/>
    <w:rsid w:val="00326C5E"/>
    <w:rsid w:val="003307C4"/>
    <w:rsid w:val="00330E59"/>
    <w:rsid w:val="0034410C"/>
    <w:rsid w:val="003478FB"/>
    <w:rsid w:val="00353163"/>
    <w:rsid w:val="00372312"/>
    <w:rsid w:val="003823E9"/>
    <w:rsid w:val="00391E1A"/>
    <w:rsid w:val="00394494"/>
    <w:rsid w:val="003A1A38"/>
    <w:rsid w:val="003C1891"/>
    <w:rsid w:val="003D2B6D"/>
    <w:rsid w:val="003D52A0"/>
    <w:rsid w:val="003D6AE1"/>
    <w:rsid w:val="003E0D16"/>
    <w:rsid w:val="003E7C94"/>
    <w:rsid w:val="003F65FC"/>
    <w:rsid w:val="00400E44"/>
    <w:rsid w:val="004070AE"/>
    <w:rsid w:val="0041386E"/>
    <w:rsid w:val="004151E9"/>
    <w:rsid w:val="004200E4"/>
    <w:rsid w:val="0042448D"/>
    <w:rsid w:val="004247D5"/>
    <w:rsid w:val="004337CD"/>
    <w:rsid w:val="0044424E"/>
    <w:rsid w:val="0044725B"/>
    <w:rsid w:val="004557FB"/>
    <w:rsid w:val="0045623A"/>
    <w:rsid w:val="004627E0"/>
    <w:rsid w:val="00495A96"/>
    <w:rsid w:val="00495BBC"/>
    <w:rsid w:val="004A6E95"/>
    <w:rsid w:val="004B081F"/>
    <w:rsid w:val="004C184B"/>
    <w:rsid w:val="004C439A"/>
    <w:rsid w:val="004D1977"/>
    <w:rsid w:val="004D4672"/>
    <w:rsid w:val="004D7E1C"/>
    <w:rsid w:val="004E24C2"/>
    <w:rsid w:val="004F13CF"/>
    <w:rsid w:val="00501F1E"/>
    <w:rsid w:val="00502985"/>
    <w:rsid w:val="00510D5B"/>
    <w:rsid w:val="005125C2"/>
    <w:rsid w:val="00517C5F"/>
    <w:rsid w:val="0053224B"/>
    <w:rsid w:val="0057013D"/>
    <w:rsid w:val="00570632"/>
    <w:rsid w:val="00583024"/>
    <w:rsid w:val="00586FCA"/>
    <w:rsid w:val="00592F1D"/>
    <w:rsid w:val="00597A86"/>
    <w:rsid w:val="005A3263"/>
    <w:rsid w:val="005B1471"/>
    <w:rsid w:val="005B4A54"/>
    <w:rsid w:val="005C3E81"/>
    <w:rsid w:val="005C4395"/>
    <w:rsid w:val="005D07DC"/>
    <w:rsid w:val="005D5A5B"/>
    <w:rsid w:val="005E4E14"/>
    <w:rsid w:val="005F14D6"/>
    <w:rsid w:val="005F2173"/>
    <w:rsid w:val="005F513B"/>
    <w:rsid w:val="006074DE"/>
    <w:rsid w:val="006173CA"/>
    <w:rsid w:val="0062501B"/>
    <w:rsid w:val="00633952"/>
    <w:rsid w:val="00634AF0"/>
    <w:rsid w:val="00644670"/>
    <w:rsid w:val="006472DA"/>
    <w:rsid w:val="006535EC"/>
    <w:rsid w:val="00660AA6"/>
    <w:rsid w:val="00661FAC"/>
    <w:rsid w:val="00663A30"/>
    <w:rsid w:val="0066567F"/>
    <w:rsid w:val="00666EF2"/>
    <w:rsid w:val="006727C0"/>
    <w:rsid w:val="0067474F"/>
    <w:rsid w:val="00677EEE"/>
    <w:rsid w:val="0068334A"/>
    <w:rsid w:val="00683439"/>
    <w:rsid w:val="00697F93"/>
    <w:rsid w:val="006B03CC"/>
    <w:rsid w:val="006B074E"/>
    <w:rsid w:val="006B27DD"/>
    <w:rsid w:val="006B5E65"/>
    <w:rsid w:val="006B7CAD"/>
    <w:rsid w:val="006C1DD9"/>
    <w:rsid w:val="006D4F8A"/>
    <w:rsid w:val="006E5259"/>
    <w:rsid w:val="006F745C"/>
    <w:rsid w:val="007009D0"/>
    <w:rsid w:val="0070455B"/>
    <w:rsid w:val="00713AEA"/>
    <w:rsid w:val="0072622A"/>
    <w:rsid w:val="007277FA"/>
    <w:rsid w:val="00734143"/>
    <w:rsid w:val="007357F0"/>
    <w:rsid w:val="007364D3"/>
    <w:rsid w:val="00741961"/>
    <w:rsid w:val="00751F0B"/>
    <w:rsid w:val="007528A8"/>
    <w:rsid w:val="00763F7F"/>
    <w:rsid w:val="00765228"/>
    <w:rsid w:val="00771FB0"/>
    <w:rsid w:val="00782DF2"/>
    <w:rsid w:val="0078377B"/>
    <w:rsid w:val="00791A19"/>
    <w:rsid w:val="00797B94"/>
    <w:rsid w:val="007B2B36"/>
    <w:rsid w:val="007B7D46"/>
    <w:rsid w:val="007C7BFA"/>
    <w:rsid w:val="007E6004"/>
    <w:rsid w:val="007E67F4"/>
    <w:rsid w:val="007E7872"/>
    <w:rsid w:val="007F4421"/>
    <w:rsid w:val="00802481"/>
    <w:rsid w:val="00807E9A"/>
    <w:rsid w:val="0081699F"/>
    <w:rsid w:val="00832487"/>
    <w:rsid w:val="008365D8"/>
    <w:rsid w:val="0084549C"/>
    <w:rsid w:val="00851D2D"/>
    <w:rsid w:val="00863E5D"/>
    <w:rsid w:val="00866373"/>
    <w:rsid w:val="00871276"/>
    <w:rsid w:val="0087329D"/>
    <w:rsid w:val="008732BB"/>
    <w:rsid w:val="0087427C"/>
    <w:rsid w:val="00876210"/>
    <w:rsid w:val="008948A7"/>
    <w:rsid w:val="008B04D8"/>
    <w:rsid w:val="008B2DEA"/>
    <w:rsid w:val="008C0091"/>
    <w:rsid w:val="008C2797"/>
    <w:rsid w:val="008E5177"/>
    <w:rsid w:val="008E5CEB"/>
    <w:rsid w:val="008F3060"/>
    <w:rsid w:val="00903AC4"/>
    <w:rsid w:val="00905949"/>
    <w:rsid w:val="00924120"/>
    <w:rsid w:val="00924A74"/>
    <w:rsid w:val="00930886"/>
    <w:rsid w:val="00933B2E"/>
    <w:rsid w:val="00943DD6"/>
    <w:rsid w:val="00951190"/>
    <w:rsid w:val="009563FA"/>
    <w:rsid w:val="009626B9"/>
    <w:rsid w:val="009647D0"/>
    <w:rsid w:val="00964A39"/>
    <w:rsid w:val="00972CA7"/>
    <w:rsid w:val="00976D28"/>
    <w:rsid w:val="009849D1"/>
    <w:rsid w:val="00995723"/>
    <w:rsid w:val="009A3C53"/>
    <w:rsid w:val="009A4510"/>
    <w:rsid w:val="009B552B"/>
    <w:rsid w:val="009B5722"/>
    <w:rsid w:val="009C3419"/>
    <w:rsid w:val="009D6A30"/>
    <w:rsid w:val="009F187D"/>
    <w:rsid w:val="009F5BB6"/>
    <w:rsid w:val="009F7F6D"/>
    <w:rsid w:val="00A006A7"/>
    <w:rsid w:val="00A0793F"/>
    <w:rsid w:val="00A102AE"/>
    <w:rsid w:val="00A10AF4"/>
    <w:rsid w:val="00A14681"/>
    <w:rsid w:val="00A24065"/>
    <w:rsid w:val="00A26756"/>
    <w:rsid w:val="00A272CB"/>
    <w:rsid w:val="00A32BAF"/>
    <w:rsid w:val="00A40B9B"/>
    <w:rsid w:val="00A40DA4"/>
    <w:rsid w:val="00A555E8"/>
    <w:rsid w:val="00A6108C"/>
    <w:rsid w:val="00A617A3"/>
    <w:rsid w:val="00A6245B"/>
    <w:rsid w:val="00A72791"/>
    <w:rsid w:val="00A849D1"/>
    <w:rsid w:val="00A8699A"/>
    <w:rsid w:val="00A86E6E"/>
    <w:rsid w:val="00A8762D"/>
    <w:rsid w:val="00A94B98"/>
    <w:rsid w:val="00AA18F5"/>
    <w:rsid w:val="00AA3D95"/>
    <w:rsid w:val="00AA5F46"/>
    <w:rsid w:val="00AB21CA"/>
    <w:rsid w:val="00AB310E"/>
    <w:rsid w:val="00AD31BE"/>
    <w:rsid w:val="00AD744A"/>
    <w:rsid w:val="00AD7C74"/>
    <w:rsid w:val="00AE19B1"/>
    <w:rsid w:val="00AE7847"/>
    <w:rsid w:val="00B037A2"/>
    <w:rsid w:val="00B34207"/>
    <w:rsid w:val="00B3707E"/>
    <w:rsid w:val="00B508AC"/>
    <w:rsid w:val="00B60DDB"/>
    <w:rsid w:val="00B64180"/>
    <w:rsid w:val="00B7343E"/>
    <w:rsid w:val="00B75971"/>
    <w:rsid w:val="00B9232A"/>
    <w:rsid w:val="00B959AA"/>
    <w:rsid w:val="00BA081F"/>
    <w:rsid w:val="00BA50F5"/>
    <w:rsid w:val="00BC4D32"/>
    <w:rsid w:val="00BC6796"/>
    <w:rsid w:val="00BD0B4D"/>
    <w:rsid w:val="00BF1245"/>
    <w:rsid w:val="00BF76E2"/>
    <w:rsid w:val="00BF792D"/>
    <w:rsid w:val="00C235EE"/>
    <w:rsid w:val="00C27766"/>
    <w:rsid w:val="00C332F9"/>
    <w:rsid w:val="00C43C8E"/>
    <w:rsid w:val="00C51384"/>
    <w:rsid w:val="00C53B12"/>
    <w:rsid w:val="00C6377D"/>
    <w:rsid w:val="00C71F51"/>
    <w:rsid w:val="00C75BB2"/>
    <w:rsid w:val="00C92A7A"/>
    <w:rsid w:val="00CA4C05"/>
    <w:rsid w:val="00CA5AD6"/>
    <w:rsid w:val="00CA7414"/>
    <w:rsid w:val="00CD6E70"/>
    <w:rsid w:val="00CF47FE"/>
    <w:rsid w:val="00CF521F"/>
    <w:rsid w:val="00D05D04"/>
    <w:rsid w:val="00D07AEC"/>
    <w:rsid w:val="00D12024"/>
    <w:rsid w:val="00D245D6"/>
    <w:rsid w:val="00D26FB2"/>
    <w:rsid w:val="00D275BD"/>
    <w:rsid w:val="00D33F70"/>
    <w:rsid w:val="00D368F3"/>
    <w:rsid w:val="00D404DC"/>
    <w:rsid w:val="00D51518"/>
    <w:rsid w:val="00D5365E"/>
    <w:rsid w:val="00D574CC"/>
    <w:rsid w:val="00D80DA4"/>
    <w:rsid w:val="00D85DC2"/>
    <w:rsid w:val="00D9185C"/>
    <w:rsid w:val="00D936D6"/>
    <w:rsid w:val="00DA0F57"/>
    <w:rsid w:val="00DB30BD"/>
    <w:rsid w:val="00DC4BCE"/>
    <w:rsid w:val="00DE1730"/>
    <w:rsid w:val="00DE4B4D"/>
    <w:rsid w:val="00DF4459"/>
    <w:rsid w:val="00E02206"/>
    <w:rsid w:val="00E02FB4"/>
    <w:rsid w:val="00E302C0"/>
    <w:rsid w:val="00E34C12"/>
    <w:rsid w:val="00E45BDD"/>
    <w:rsid w:val="00E4760F"/>
    <w:rsid w:val="00E648D6"/>
    <w:rsid w:val="00E64FF8"/>
    <w:rsid w:val="00E65838"/>
    <w:rsid w:val="00E6789B"/>
    <w:rsid w:val="00E67FB1"/>
    <w:rsid w:val="00E71711"/>
    <w:rsid w:val="00E86DAB"/>
    <w:rsid w:val="00E904B7"/>
    <w:rsid w:val="00E9576A"/>
    <w:rsid w:val="00EA307B"/>
    <w:rsid w:val="00EA31E5"/>
    <w:rsid w:val="00EA3C96"/>
    <w:rsid w:val="00EA70A4"/>
    <w:rsid w:val="00EB2717"/>
    <w:rsid w:val="00EB55B7"/>
    <w:rsid w:val="00EC5FC3"/>
    <w:rsid w:val="00EC618F"/>
    <w:rsid w:val="00ED59A2"/>
    <w:rsid w:val="00ED704C"/>
    <w:rsid w:val="00EE3BDC"/>
    <w:rsid w:val="00EF2AB5"/>
    <w:rsid w:val="00EF39F1"/>
    <w:rsid w:val="00EF6569"/>
    <w:rsid w:val="00F0232E"/>
    <w:rsid w:val="00F031E3"/>
    <w:rsid w:val="00F05223"/>
    <w:rsid w:val="00F06191"/>
    <w:rsid w:val="00F07CC1"/>
    <w:rsid w:val="00F11888"/>
    <w:rsid w:val="00F12379"/>
    <w:rsid w:val="00F15612"/>
    <w:rsid w:val="00F2222D"/>
    <w:rsid w:val="00F245FB"/>
    <w:rsid w:val="00F32D2A"/>
    <w:rsid w:val="00F37013"/>
    <w:rsid w:val="00F455BF"/>
    <w:rsid w:val="00F471A2"/>
    <w:rsid w:val="00F672E3"/>
    <w:rsid w:val="00F70E64"/>
    <w:rsid w:val="00F74F8B"/>
    <w:rsid w:val="00FA029C"/>
    <w:rsid w:val="00FA32BA"/>
    <w:rsid w:val="00FA5393"/>
    <w:rsid w:val="00FA589A"/>
    <w:rsid w:val="00FC4B2A"/>
    <w:rsid w:val="00FC6847"/>
    <w:rsid w:val="00FD1B8D"/>
    <w:rsid w:val="00FD4D54"/>
    <w:rsid w:val="00FD7578"/>
    <w:rsid w:val="00FE2EB7"/>
    <w:rsid w:val="00FF19C3"/>
    <w:rsid w:val="2B95EC4A"/>
    <w:rsid w:val="7A4B8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C6BD2"/>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1">
    <w:name w:val="Заголовок 1 Знак"/>
    <w:basedOn w:val="DefaultParagraphFont"/>
    <w:rPr>
      <w:rFonts w:eastAsia="MS Mincho"/>
      <w:b/>
      <w:bCs/>
      <w:sz w:val="22"/>
      <w:szCs w:val="24"/>
      <w:lang w:val="fr-FR"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link w:val="CommentText"/>
    <w:uiPriority w:val="99"/>
    <w:qFormat/>
    <w:rPr>
      <w:lang w:val="fr-F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fr-FR"/>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character" w:customStyle="1" w:styleId="2">
    <w:name w:val="Заголовок 2 Знак"/>
    <w:basedOn w:val="DefaultParagraphFont"/>
    <w:rPr>
      <w:rFonts w:ascii="Calibri" w:eastAsia="MS Mincho" w:hAnsi="Calibri"/>
      <w:b/>
      <w:bCs/>
      <w:i/>
      <w:iCs/>
      <w:sz w:val="28"/>
      <w:szCs w:val="28"/>
      <w:lang w:val="fr-FR" w:eastAsia="en-US"/>
    </w:rPr>
  </w:style>
  <w:style w:type="character" w:customStyle="1" w:styleId="3">
    <w:name w:val="Заголовок 3 Знак"/>
    <w:basedOn w:val="DefaultParagraphFont"/>
    <w:rPr>
      <w:rFonts w:ascii="Calibri" w:eastAsia="MS Mincho" w:hAnsi="Calibri"/>
      <w:b/>
      <w:bCs/>
      <w:sz w:val="26"/>
      <w:szCs w:val="26"/>
      <w:lang w:val="fr-FR"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a">
    <w:name w:val="Текст сноски Знак"/>
    <w:basedOn w:val="DefaultParagraphFont"/>
    <w:semiHidden/>
    <w:rPr>
      <w:rFonts w:eastAsia="MS Mincho"/>
      <w:szCs w:val="24"/>
      <w:lang w:val="fr-FR" w:eastAsia="en-US"/>
    </w:rPr>
  </w:style>
  <w:style w:type="paragraph" w:customStyle="1" w:styleId="Indent1">
    <w:name w:val="Indent 1"/>
    <w:basedOn w:val="Normal"/>
    <w:qFormat/>
    <w:pPr>
      <w:spacing w:after="60"/>
      <w:ind w:left="567"/>
      <w:jc w:val="left"/>
    </w:pPr>
    <w:rPr>
      <w:rFonts w:ascii="Georgia" w:eastAsia="Times" w:hAnsi="Georgia"/>
      <w:sz w:val="18"/>
    </w:rPr>
  </w:style>
  <w:style w:type="paragraph" w:customStyle="1" w:styleId="Subhead">
    <w:name w:val="Subhead"/>
    <w:basedOn w:val="Normal"/>
    <w:qFormat/>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a0">
    <w:name w:val="Текст Знак"/>
    <w:basedOn w:val="DefaultParagraphFont"/>
    <w:uiPriority w:val="99"/>
    <w:rPr>
      <w:rFonts w:ascii="Courier" w:eastAsia="Times" w:hAnsi="Courier"/>
      <w:sz w:val="21"/>
      <w:szCs w:val="21"/>
      <w:lang w:val="fr-FR"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a1">
    <w:name w:val="Верхний колонтитул Знак"/>
    <w:basedOn w:val="DefaultParagraphFont"/>
    <w:rPr>
      <w:rFonts w:eastAsia="MS Mincho"/>
      <w:sz w:val="22"/>
      <w:szCs w:val="24"/>
      <w:lang w:val="fr-FR" w:eastAsia="en-US"/>
    </w:rPr>
  </w:style>
  <w:style w:type="character" w:customStyle="1" w:styleId="a2">
    <w:name w:val="Нижний колонтитул Знак"/>
    <w:basedOn w:val="DefaultParagraphFont"/>
    <w:rPr>
      <w:rFonts w:eastAsia="MS Mincho"/>
      <w:sz w:val="22"/>
      <w:szCs w:val="24"/>
      <w:lang w:val="fr-FR" w:eastAsia="en-US"/>
    </w:rPr>
  </w:style>
  <w:style w:type="character" w:customStyle="1" w:styleId="IPPNormalChar">
    <w:name w:val="IPP Normal Char"/>
    <w:link w:val="IPPNormal"/>
    <w:rPr>
      <w:rFonts w:eastAsia="Times"/>
      <w:sz w:val="22"/>
      <w:szCs w:val="24"/>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a3">
    <w:name w:val="Текст выноски Знак"/>
    <w:basedOn w:val="DefaultParagraphFont"/>
    <w:rPr>
      <w:rFonts w:ascii="Tahoma" w:eastAsia="MS Mincho" w:hAnsi="Tahoma" w:cs="Tahoma"/>
      <w:sz w:val="16"/>
      <w:szCs w:val="16"/>
      <w:lang w:val="fr-FR"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b/>
      <w:sz w:val="22"/>
      <w:szCs w:val="21"/>
      <w:lang w:val="fr-FR" w:eastAsia="en-US"/>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24"/>
      </w:numPr>
    </w:p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rFonts w:eastAsia="MS Mincho"/>
      <w:sz w:val="22"/>
      <w:szCs w:val="24"/>
      <w:lang w:val="fr-FR" w:eastAsia="en-US"/>
    </w:rPr>
  </w:style>
  <w:style w:type="character" w:customStyle="1" w:styleId="BalloonTextChar">
    <w:name w:val="Balloon Text Char"/>
    <w:basedOn w:val="DefaultParagraphFont"/>
    <w:link w:val="BalloonText"/>
    <w:rPr>
      <w:rFonts w:ascii="Tahoma" w:eastAsia="MS Mincho" w:hAnsi="Tahoma" w:cs="Tahoma"/>
      <w:sz w:val="16"/>
      <w:szCs w:val="16"/>
      <w:lang w:val="fr-FR" w:eastAsia="en-US"/>
    </w:rPr>
  </w:style>
  <w:style w:type="character" w:customStyle="1" w:styleId="Heading1Char">
    <w:name w:val="Heading 1 Char"/>
    <w:basedOn w:val="DefaultParagraphFont"/>
    <w:link w:val="Heading1"/>
    <w:rPr>
      <w:rFonts w:eastAsia="MS Mincho"/>
      <w:b/>
      <w:bCs/>
      <w:sz w:val="22"/>
      <w:szCs w:val="24"/>
      <w:lang w:val="fr-FR" w:eastAsia="en-US"/>
    </w:rPr>
  </w:style>
  <w:style w:type="character" w:customStyle="1" w:styleId="Heading2Char">
    <w:name w:val="Heading 2 Char"/>
    <w:basedOn w:val="DefaultParagraphFont"/>
    <w:link w:val="Heading2"/>
    <w:rPr>
      <w:rFonts w:ascii="Calibri" w:eastAsia="MS Mincho" w:hAnsi="Calibri"/>
      <w:b/>
      <w:bCs/>
      <w:i/>
      <w:iCs/>
      <w:sz w:val="28"/>
      <w:szCs w:val="28"/>
      <w:lang w:val="fr-FR" w:eastAsia="en-US"/>
    </w:rPr>
  </w:style>
  <w:style w:type="character" w:customStyle="1" w:styleId="Heading3Char">
    <w:name w:val="Heading 3 Char"/>
    <w:basedOn w:val="DefaultParagraphFont"/>
    <w:link w:val="Heading3"/>
    <w:rPr>
      <w:rFonts w:ascii="Calibri" w:eastAsia="MS Mincho" w:hAnsi="Calibri"/>
      <w:b/>
      <w:bCs/>
      <w:sz w:val="26"/>
      <w:szCs w:val="26"/>
      <w:lang w:val="fr-FR" w:eastAsia="en-US"/>
    </w:rPr>
  </w:style>
  <w:style w:type="character" w:customStyle="1" w:styleId="FootnoteTextChar">
    <w:name w:val="Footnote Text Char"/>
    <w:basedOn w:val="DefaultParagraphFont"/>
    <w:link w:val="FootnoteText"/>
    <w:semiHidden/>
    <w:rPr>
      <w:rFonts w:eastAsia="MS Mincho"/>
      <w:szCs w:val="24"/>
      <w:lang w:val="fr-FR" w:eastAsia="en-US"/>
    </w:rPr>
  </w:style>
  <w:style w:type="character" w:customStyle="1" w:styleId="PlainTextChar">
    <w:name w:val="Plain Text Char"/>
    <w:basedOn w:val="DefaultParagraphFont"/>
    <w:link w:val="PlainText"/>
    <w:uiPriority w:val="99"/>
    <w:rPr>
      <w:rFonts w:ascii="Courier" w:eastAsia="Times" w:hAnsi="Courier"/>
      <w:sz w:val="21"/>
      <w:szCs w:val="21"/>
      <w:lang w:val="fr-FR" w:eastAsia="en-US"/>
    </w:rPr>
  </w:style>
  <w:style w:type="character" w:customStyle="1" w:styleId="HeaderChar">
    <w:name w:val="Header Char"/>
    <w:basedOn w:val="DefaultParagraphFont"/>
    <w:link w:val="Header"/>
    <w:rPr>
      <w:rFonts w:eastAsia="MS Mincho"/>
      <w:sz w:val="22"/>
      <w:szCs w:val="24"/>
      <w:lang w:val="fr-FR" w:eastAsia="en-US"/>
    </w:rPr>
  </w:style>
  <w:style w:type="paragraph" w:styleId="Revision">
    <w:name w:val="Revision"/>
    <w:hidden/>
    <w:semiHidden/>
    <w:rPr>
      <w:rFonts w:eastAsia="MS Mincho"/>
      <w:sz w:val="22"/>
      <w:szCs w:val="24"/>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A7CF81-FF6E-4987-B4A9-89222D3BB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AB28B-6675-45FD-B61B-E1F5A3B228ED}">
  <ds:schemaRefs>
    <ds:schemaRef ds:uri="http://schemas.microsoft.com/sharepoint/v3/contenttype/forms"/>
  </ds:schemaRefs>
</ds:datastoreItem>
</file>

<file path=customXml/itemProps3.xml><?xml version="1.0" encoding="utf-8"?>
<ds:datastoreItem xmlns:ds="http://schemas.openxmlformats.org/officeDocument/2006/customXml" ds:itemID="{12A7AC9E-8CF7-4628-BDC1-BD9695335D90}">
  <ds:schemaRefs>
    <ds:schemaRef ds:uri="http://schemas.openxmlformats.org/officeDocument/2006/bibliography"/>
  </ds:schemaRefs>
</ds:datastoreItem>
</file>

<file path=customXml/itemProps4.xml><?xml version="1.0" encoding="utf-8"?>
<ds:datastoreItem xmlns:ds="http://schemas.openxmlformats.org/officeDocument/2006/customXml" ds:itemID="{EC367181-0927-4743-B840-1195BC782375}">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7671</Characters>
  <Application>Microsoft Office Word</Application>
  <DocSecurity>0</DocSecurity>
  <Lines>63</Lines>
  <Paragraphs>17</Paragraphs>
  <ScaleCrop>false</ScaleCrop>
  <Company>FAO of the UN</Company>
  <LinksUpToDate>false</LinksUpToDate>
  <CharactersWithSpaces>8816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14</cp:revision>
  <cp:lastPrinted>2022-05-05T19:25:00Z</cp:lastPrinted>
  <dcterms:created xsi:type="dcterms:W3CDTF">2022-05-13T08:12:00Z</dcterms:created>
  <dcterms:modified xsi:type="dcterms:W3CDTF">2022-06-30T16:42:00Z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