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National Reporting Obligations Guide (2021-026), revision . Document title: 2021-026_DS_NROs guide revision_FR.docx]</w:t>
      </w:r>
    </w:p>
    <w:p w14:paraId="3F19063D" w14:textId="07F0A941">
      <w:pPr>
        <w:pStyle w:val="IPPHeadSection"/>
        <w:ind w:left="0" w:firstLine="0"/>
        <w:jc w:val="center"/>
      </w:pPr>
      <w:r>
        <w:rPr>
          <w:rStyle w:val="PleaseReviewParagraphId"/>
          <w:b w:val="off"/>
          <w:i w:val="off"/>
        </w:rPr>
        <w:t>[1]</w:t>
      </w:r>
      <w:r>
        <w:t>PROJET DE SPÉCIFICATION RELATIVE À LA RÉVISION DU MANUEL SUR LES OBLIGATIONS NATIONALES EN MATIÈRE DE COMMUNICATION D’INFORMATIONS (ONC) (2021-026)</w:t>
      </w:r>
    </w:p>
    <w:p w14:paraId="49BF1F1C" w14:textId="77777777">
      <w:pPr>
        <w:spacing w:before="60" w:after="60"/>
        <w:rPr>
          <w:rFonts w:eastAsia="Times" w:cs="Times New Roman"/>
          <w:b/>
          <w:bCs/>
        </w:rPr>
      </w:pPr>
      <w:r>
        <w:rPr>
          <w:rStyle w:val="PleaseReviewParagraphId"/>
          <w:b w:val="off"/>
          <w:i w:val="off"/>
        </w:rPr>
        <w:t>[2]</w:t>
      </w:r>
      <w:r>
        <w:rPr>
          <w:rFonts w:eastAsia="Times" w:cs="Times New Roman"/>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19E1F8CD" w14:textId="77777777">
        <w:trPr>
          <w:trHeight w:val="286"/>
          <w:jc w:val="center"/>
        </w:trPr>
        <w:tc>
          <w:tcPr>
            <w:tcW w:w="9020" w:type="dxa"/>
            <w:gridSpan w:val="2"/>
          </w:tcPr>
          <w:p w14:paraId="44194E69"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5CA14A32" w14:textId="77777777">
        <w:trPr>
          <w:trHeight w:val="286"/>
          <w:jc w:val="center"/>
        </w:trPr>
        <w:tc>
          <w:tcPr>
            <w:tcW w:w="2271" w:type="dxa"/>
          </w:tcPr>
          <w:p w14:paraId="0D127E1C"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14:paraId="197C9D0A"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2021-026</w:t>
            </w:r>
          </w:p>
        </w:tc>
      </w:tr>
      <w:tr w14:paraId="63682E44" w14:textId="77777777">
        <w:trPr>
          <w:trHeight w:val="286"/>
          <w:jc w:val="center"/>
        </w:trPr>
        <w:tc>
          <w:tcPr>
            <w:tcW w:w="2271" w:type="dxa"/>
          </w:tcPr>
          <w:p w14:paraId="32A83788"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 xml:space="preserve">Title </w:t>
            </w:r>
          </w:p>
        </w:tc>
        <w:tc>
          <w:tcPr>
            <w:tcW w:w="6749" w:type="dxa"/>
          </w:tcPr>
          <w:p w14:paraId="7A672E4D"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 xml:space="preserve">National Reporting Obligations (NROs) Guide, Revision </w:t>
            </w:r>
          </w:p>
        </w:tc>
      </w:tr>
      <w:tr w14:paraId="2631C405" w14:textId="77777777">
        <w:trPr>
          <w:trHeight w:val="299"/>
          <w:jc w:val="center"/>
        </w:trPr>
        <w:tc>
          <w:tcPr>
            <w:tcW w:w="2271" w:type="dxa"/>
          </w:tcPr>
          <w:p w14:paraId="2EC3CEEE"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Document category</w:t>
            </w:r>
          </w:p>
        </w:tc>
        <w:tc>
          <w:tcPr>
            <w:tcW w:w="6749" w:type="dxa"/>
          </w:tcPr>
          <w:p w14:paraId="28E64D57"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602777B9" w14:textId="77777777">
        <w:trPr>
          <w:trHeight w:val="299"/>
          <w:jc w:val="center"/>
        </w:trPr>
        <w:tc>
          <w:tcPr>
            <w:tcW w:w="2271" w:type="dxa"/>
          </w:tcPr>
          <w:p w14:paraId="5E39BD3F"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681DF406"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2022-01-19</w:t>
            </w:r>
          </w:p>
        </w:tc>
      </w:tr>
      <w:tr w14:paraId="0C9B7D07" w14:textId="77777777">
        <w:trPr>
          <w:trHeight w:val="299"/>
          <w:jc w:val="center"/>
        </w:trPr>
        <w:tc>
          <w:tcPr>
            <w:tcW w:w="2271" w:type="dxa"/>
          </w:tcPr>
          <w:p w14:paraId="6528E379"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6CAB8F0B"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7F2FE0F2" w14:textId="77777777">
        <w:trPr>
          <w:trHeight w:val="491"/>
          <w:jc w:val="center"/>
        </w:trPr>
        <w:tc>
          <w:tcPr>
            <w:tcW w:w="2271" w:type="dxa"/>
          </w:tcPr>
          <w:p w14:paraId="44183BE7"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shd w:val="clear" w:color="auto" w:fill="auto"/>
          </w:tcPr>
          <w:p w14:paraId="70BED5E5" w14:textId="77777777">
            <w:pPr>
              <w:spacing w:after="60"/>
              <w:rPr>
                <w:rFonts w:ascii="Arial" w:hAnsi="Arial" w:eastAsia="Times"/>
                <w:sz w:val="18"/>
                <w:szCs w:val="18"/>
              </w:rPr>
            </w:pPr>
            <w:r>
              <w:rPr>
                <w:rStyle w:val="PleaseReviewParagraphId"/>
                <w:b w:val="off"/>
                <w:i w:val="off"/>
              </w:rPr>
              <w:t>[15]</w:t>
            </w:r>
            <w:r>
              <w:rPr>
                <w:rFonts w:ascii="Arial" w:hAnsi="Arial" w:eastAsia="Times"/>
                <w:sz w:val="18"/>
                <w:szCs w:val="18"/>
              </w:rPr>
              <w:t>2021-11:  IC Team on NROs requested that the IC recommend this topic to CPM </w:t>
            </w:r>
            <w:r>
              <w:rPr>
                <w:rStyle w:val="eop"/>
                <w:color w:val="000000"/>
                <w:szCs w:val="22"/>
                <w:shd w:val="clear" w:color="auto" w:fill="FFFFFF"/>
              </w:rPr>
              <w:t> </w:t>
            </w:r>
          </w:p>
          <w:p w14:paraId="6420AF3F" w14:textId="77777777">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2021-11: Implementation and Capacity Development Committee (IC) VM17 agreed to recommend that CPM-16 (2022) add this topic to ICD LOT; priority 1 </w:t>
            </w:r>
          </w:p>
          <w:p w14:paraId="54EFE3DE" w14:textId="77777777">
            <w:pPr>
              <w:spacing w:after="60"/>
              <w:rPr>
                <w:rFonts w:ascii="Arial" w:hAnsi="Arial" w:cs="Arial"/>
                <w:color w:val="000000"/>
                <w:sz w:val="18"/>
                <w:szCs w:val="18"/>
                <w:shd w:val="clear" w:color="auto" w:fill="FFFFFF"/>
              </w:rPr>
            </w:pPr>
            <w:r>
              <w:rPr>
                <w:rStyle w:val="PleaseReviewParagraphId"/>
                <w:b w:val="off"/>
                <w:i w:val="off"/>
              </w:rPr>
              <w:t>[17]</w:t>
            </w:r>
            <w:r>
              <w:rPr>
                <w:rFonts w:ascii="Arial" w:hAnsi="Arial" w:eastAsia="Times"/>
                <w:sz w:val="18"/>
                <w:szCs w:val="18"/>
              </w:rPr>
              <w:t xml:space="preserve">2022-03: </w:t>
            </w:r>
            <w:r>
              <w:rPr>
                <w:rFonts w:ascii="Arial" w:hAnsi="Arial" w:cs="Arial"/>
                <w:color w:val="000000"/>
                <w:sz w:val="18"/>
                <w:szCs w:val="18"/>
                <w:shd w:val="clear" w:color="auto" w:fill="FFFFFF"/>
              </w:rPr>
              <w:t xml:space="preserve"> IC approved draft specification for consultation </w:t>
            </w:r>
          </w:p>
          <w:p w14:paraId="1205AFA4" w14:textId="77777777">
            <w:pPr>
              <w:spacing w:after="60"/>
              <w:rPr>
                <w:rFonts w:ascii="Arial" w:hAnsi="Arial" w:eastAsia="Times"/>
                <w:sz w:val="18"/>
                <w:szCs w:val="18"/>
              </w:rPr>
            </w:pPr>
            <w:r>
              <w:rPr>
                <w:rStyle w:val="PleaseReviewParagraphId"/>
                <w:b w:val="off"/>
                <w:i w:val="off"/>
              </w:rPr>
              <w:t>[18]</w:t>
            </w:r>
            <w:r>
              <w:rPr>
                <w:rFonts w:ascii="Arial" w:hAnsi="Arial" w:eastAsia="Times"/>
                <w:sz w:val="18"/>
                <w:szCs w:val="18"/>
              </w:rPr>
              <w:t>2022-04: CPM 16 noted this topic to ICD LOT; priority 1</w:t>
            </w:r>
          </w:p>
        </w:tc>
      </w:tr>
      <w:tr w14:paraId="45740058" w14:textId="77777777">
        <w:trPr>
          <w:trHeight w:val="491"/>
          <w:jc w:val="center"/>
        </w:trPr>
        <w:tc>
          <w:tcPr>
            <w:tcW w:w="2271" w:type="dxa"/>
          </w:tcPr>
          <w:p w14:paraId="6AD590DC" w14:textId="77777777">
            <w:pPr>
              <w:spacing w:before="60" w:after="60"/>
              <w:rPr>
                <w:rFonts w:ascii="Arial" w:hAnsi="Arial" w:eastAsia="Times"/>
                <w:b/>
                <w:bCs/>
                <w:sz w:val="18"/>
                <w:szCs w:val="18"/>
              </w:rPr>
            </w:pPr>
            <w:r>
              <w:rPr>
                <w:rStyle w:val="PleaseReviewParagraphId"/>
                <w:b w:val="off"/>
                <w:i w:val="off"/>
              </w:rPr>
              <w:t>[19]</w:t>
            </w:r>
            <w:r>
              <w:rPr>
                <w:rFonts w:ascii="Arial" w:hAnsi="Arial" w:eastAsia="Times"/>
                <w:b/>
                <w:bCs/>
                <w:sz w:val="18"/>
                <w:szCs w:val="18"/>
              </w:rPr>
              <w:t xml:space="preserve">Implementation </w:t>
            </w:r>
            <w:r>
              <w:t xml:space="preserve"> </w:t>
            </w:r>
            <w:r>
              <w:rPr>
                <w:rFonts w:ascii="Arial" w:hAnsi="Arial" w:eastAsia="Times"/>
                <w:b/>
                <w:bCs/>
                <w:sz w:val="18"/>
                <w:szCs w:val="18"/>
              </w:rPr>
              <w:t>and Capacity Development Committee (IC) leads</w:t>
            </w:r>
          </w:p>
        </w:tc>
        <w:tc>
          <w:tcPr>
            <w:tcW w:w="6749" w:type="dxa"/>
          </w:tcPr>
          <w:p w14:paraId="1E2325F6" w14:textId="77777777">
            <w:pPr>
              <w:spacing w:before="60" w:after="60"/>
              <w:rPr>
                <w:rFonts w:ascii="Arial" w:hAnsi="Arial" w:eastAsia="Times"/>
                <w:sz w:val="18"/>
                <w:szCs w:val="18"/>
              </w:rPr>
            </w:pPr>
            <w:r>
              <w:rPr>
                <w:rStyle w:val="PleaseReviewParagraphId"/>
                <w:b w:val="off"/>
                <w:i w:val="off"/>
              </w:rPr>
              <w:t>[20]</w:t>
            </w:r>
            <w:r>
              <w:rPr>
                <w:rFonts w:ascii="Arial" w:hAnsi="Arial" w:eastAsia="Times"/>
                <w:sz w:val="18"/>
                <w:szCs w:val="18"/>
              </w:rPr>
              <w:t xml:space="preserve">2022-04: IC VM-19, Magda Gonzalez Arroyo, Costa Rica (IC lead) </w:t>
            </w:r>
          </w:p>
        </w:tc>
      </w:tr>
      <w:tr w14:paraId="35F3C0C4" w14:textId="77777777">
        <w:trPr>
          <w:trHeight w:val="491"/>
          <w:jc w:val="center"/>
        </w:trPr>
        <w:tc>
          <w:tcPr>
            <w:tcW w:w="2271" w:type="dxa"/>
          </w:tcPr>
          <w:p w14:paraId="0E3E0FBB"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IPPC Secretariat lead</w:t>
            </w:r>
          </w:p>
        </w:tc>
        <w:tc>
          <w:tcPr>
            <w:tcW w:w="6749" w:type="dxa"/>
          </w:tcPr>
          <w:p w14:paraId="7DEE31A7"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2021-11: Qingpo YANG</w:t>
            </w:r>
          </w:p>
        </w:tc>
      </w:tr>
      <w:tr w14:paraId="2D3FB340" w14:textId="77777777">
        <w:trPr>
          <w:trHeight w:val="491"/>
          <w:jc w:val="center"/>
        </w:trPr>
        <w:tc>
          <w:tcPr>
            <w:tcW w:w="2271" w:type="dxa"/>
            <w:tcBorders>
              <w:bottom w:val="single" w:color="7F7F7F" w:themeColor="text1" w:themeTint="80" w:sz="2" w:space="0"/>
            </w:tcBorders>
          </w:tcPr>
          <w:p w14:paraId="6336E4A9"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4BEF0FD8" w14:textId="77777777">
            <w:pPr>
              <w:spacing w:before="60" w:after="60"/>
              <w:rPr>
                <w:rFonts w:ascii="Arial" w:hAnsi="Arial" w:eastAsia="Times"/>
                <w:sz w:val="18"/>
                <w:szCs w:val="18"/>
              </w:rPr>
            </w:pPr>
            <w:r>
              <w:rPr>
                <w:rStyle w:val="PleaseReviewParagraphId"/>
                <w:b w:val="off"/>
                <w:i w:val="off"/>
              </w:rPr>
              <w:t>[24]</w:t>
            </w:r>
          </w:p>
        </w:tc>
      </w:tr>
      <w:tr w14:paraId="39F781B6" w14:textId="77777777">
        <w:trPr>
          <w:trHeight w:val="491"/>
          <w:jc w:val="center"/>
        </w:trPr>
        <w:tc>
          <w:tcPr>
            <w:tcW w:w="2271" w:type="dxa"/>
            <w:tcBorders>
              <w:bottom w:val="single" w:color="auto" w:sz="4" w:space="0"/>
            </w:tcBorders>
          </w:tcPr>
          <w:p w14:paraId="7FCC79A9"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Notes</w:t>
            </w:r>
          </w:p>
        </w:tc>
        <w:tc>
          <w:tcPr>
            <w:tcW w:w="6749" w:type="dxa"/>
            <w:tcBorders>
              <w:bottom w:val="single" w:color="auto" w:sz="4" w:space="0"/>
            </w:tcBorders>
          </w:tcPr>
          <w:p w14:paraId="6264394F" w14:textId="77777777">
            <w:pPr>
              <w:spacing w:after="180"/>
              <w:rPr>
                <w:rFonts w:ascii="Arial" w:hAnsi="Arial" w:eastAsia="Times"/>
                <w:sz w:val="18"/>
                <w:szCs w:val="18"/>
              </w:rPr>
            </w:pPr>
            <w:r>
              <w:rPr>
                <w:rStyle w:val="PleaseReviewParagraphId"/>
                <w:b w:val="off"/>
                <w:i w:val="off"/>
              </w:rPr>
              <w:t>[26]</w:t>
            </w:r>
          </w:p>
        </w:tc>
      </w:tr>
    </w:tbl>
    <w:p w14:paraId="3699EA52" w14:textId="6A6BAF1D">
      <w:r>
        <w:rPr>
          <w:rStyle w:val="PleaseReviewParagraphId"/>
          <w:b w:val="off"/>
          <w:i w:val="off"/>
        </w:rPr>
        <w:t>[27]</w:t>
      </w:r>
      <w:r>
        <w:br w:type="page"/>
      </w:r>
    </w:p>
    <w:p w14:paraId="3E11228F" w14:textId="77777777">
      <w:pPr>
        <w:pStyle w:val="IPPHeading1"/>
      </w:pPr>
      <w:r>
        <w:rPr>
          <w:rStyle w:val="PleaseReviewParagraphId"/>
          <w:b w:val="off"/>
          <w:i w:val="off"/>
        </w:rPr>
        <w:t>[28]</w:t>
      </w:r>
      <w:r>
        <w:lastRenderedPageBreak/>
        <w:t xml:space="preserve">1. </w:t>
        <w:tab/>
        <w:t>Titre </w:t>
      </w:r>
    </w:p>
    <w:p w14:paraId="32679DF8" w14:textId="77777777">
      <w:pPr>
        <w:pStyle w:val="IPPNormal"/>
      </w:pPr>
      <w:r>
        <w:rPr>
          <w:rStyle w:val="PleaseReviewParagraphId"/>
          <w:b w:val="off"/>
          <w:i w:val="off"/>
        </w:rPr>
        <w:t>[29]</w:t>
      </w:r>
      <w:r>
        <w:t>Révision du Manuel sur les obligations nationales en matière de communication d’informations (2021</w:t>
        <w:noBreakHyphen/>
        <w:t>026). </w:t>
      </w:r>
    </w:p>
    <w:p w14:paraId="4C23FAA6" w14:textId="77777777">
      <w:pPr>
        <w:pStyle w:val="IPPHeading1"/>
      </w:pPr>
      <w:r>
        <w:rPr>
          <w:rStyle w:val="PleaseReviewParagraphId"/>
          <w:b w:val="off"/>
          <w:i w:val="off"/>
        </w:rPr>
        <w:t>[30]</w:t>
      </w:r>
      <w:r>
        <w:t xml:space="preserve">2. </w:t>
        <w:tab/>
        <w:t>Type de ressource proposée pour la mise en œuvre </w:t>
      </w:r>
    </w:p>
    <w:p w14:paraId="1B539E0E" w14:textId="77777777">
      <w:pPr>
        <w:pStyle w:val="IPPNormal"/>
      </w:pPr>
      <w:r>
        <w:rPr>
          <w:rStyle w:val="PleaseReviewParagraphId"/>
          <w:b w:val="off"/>
          <w:i w:val="off"/>
        </w:rPr>
        <w:t>[31]</w:t>
      </w:r>
      <w:r>
        <w:t>Révision d’un guide existant de la CIPV </w:t>
      </w:r>
    </w:p>
    <w:p w14:paraId="71E33A34" w14:textId="77777777">
      <w:pPr>
        <w:pStyle w:val="IPPHeading1"/>
      </w:pPr>
      <w:r>
        <w:rPr>
          <w:rStyle w:val="PleaseReviewParagraphId"/>
          <w:b w:val="off"/>
          <w:i w:val="off"/>
        </w:rPr>
        <w:t>[32]</w:t>
      </w:r>
      <w:r>
        <w:t xml:space="preserve">3. </w:t>
        <w:tab/>
        <w:t>Éléments à prendre en compte dans la ressource proposée pour la mise en œuvre: articles de la CIPV, NIMP et recommandations de la CMP </w:t>
      </w:r>
    </w:p>
    <w:p w14:paraId="353CC2CB" w14:textId="77777777">
      <w:pPr>
        <w:pStyle w:val="IPPNormal"/>
      </w:pPr>
      <w:r>
        <w:rPr>
          <w:rStyle w:val="PleaseReviewParagraphId"/>
          <w:b w:val="off"/>
          <w:i w:val="off"/>
        </w:rPr>
        <w:t>[33]</w:t>
      </w:r>
      <w:r>
        <w:t>Convention internationale pour la protection des végétaux (en particulier, articles IV.2.b, IV.4, VII.2.b, VII.2.c, VII.2.d, VII.2.f, VII.2.i, VII.2.j, VII.6, VIII.1.c et VIII.2)</w:t>
      </w:r>
    </w:p>
    <w:p w14:paraId="7709C0C8" w14:textId="77777777">
      <w:pPr>
        <w:pStyle w:val="IPPNormal"/>
      </w:pPr>
      <w:r>
        <w:rPr>
          <w:rStyle w:val="PleaseReviewParagraphId"/>
          <w:b w:val="off"/>
          <w:i w:val="off"/>
        </w:rPr>
        <w:t>[34]</w:t>
      </w:r>
      <w:r>
        <w:t>NIMP 8: </w:t>
      </w:r>
      <w:r>
        <w:rPr>
          <w:i/>
        </w:rPr>
        <w:t xml:space="preserve">Détermination de la situation d’un organisme nuisible dans une zone </w:t>
      </w:r>
    </w:p>
    <w:p w14:paraId="4C35AD18" w14:textId="77777777">
      <w:pPr>
        <w:pStyle w:val="IPPNormal"/>
      </w:pPr>
      <w:r>
        <w:rPr>
          <w:rStyle w:val="PleaseReviewParagraphId"/>
          <w:b w:val="off"/>
          <w:i w:val="off"/>
        </w:rPr>
        <w:t>[35]</w:t>
      </w:r>
      <w:r>
        <w:t>NIMP 13: </w:t>
      </w:r>
      <w:r>
        <w:rPr>
          <w:i/>
        </w:rPr>
        <w:t>Directives pour la notification de non-conformité et d’action d’urgence</w:t>
      </w:r>
      <w:r>
        <w:t xml:space="preserve"> </w:t>
      </w:r>
    </w:p>
    <w:p w14:paraId="423E560C" w14:textId="77777777">
      <w:pPr>
        <w:pStyle w:val="IPPNormal"/>
      </w:pPr>
      <w:r>
        <w:rPr>
          <w:rStyle w:val="PleaseReviewParagraphId"/>
          <w:b w:val="off"/>
          <w:i w:val="off"/>
        </w:rPr>
        <w:t>[36]</w:t>
      </w:r>
      <w:r>
        <w:t>NIMP 17:</w:t>
      </w:r>
      <w:r>
        <w:rPr>
          <w:i/>
        </w:rPr>
        <w:t> Signalement d’organismes nuisibles</w:t>
      </w:r>
    </w:p>
    <w:p w14:paraId="6C77EC83" w14:textId="77777777">
      <w:pPr>
        <w:pStyle w:val="IPPHeading1"/>
      </w:pPr>
      <w:r>
        <w:rPr>
          <w:rStyle w:val="PleaseReviewParagraphId"/>
          <w:b w:val="off"/>
          <w:i w:val="off"/>
        </w:rPr>
        <w:t>[37]</w:t>
      </w:r>
      <w:r>
        <w:t xml:space="preserve">4. </w:t>
        <w:tab/>
        <w:t xml:space="preserve">Champ d’application </w:t>
      </w:r>
    </w:p>
    <w:p w14:paraId="4FB95BD8" w14:textId="77777777">
      <w:pPr>
        <w:pStyle w:val="IPPNormal"/>
      </w:pPr>
      <w:r>
        <w:rPr>
          <w:rStyle w:val="PleaseReviewParagraphId"/>
          <w:b w:val="off"/>
          <w:i w:val="off"/>
        </w:rPr>
        <w:t>[38]</w:t>
      </w:r>
      <w:r>
        <w:t>Le manuel sur les obligations nationales en matière de communication d’informations (ONC) est conçu pour aider les parties contractantes à la CIPV à remplir leurs obligations en matière de communication d’informations, conformément aux dispositions de la CIPV. Il fournit des orientations spécifiques à l’intention des points de contact et des éditeurs nationaux de la CIPV, ainsi que des instructions techniques permettant d’interagir avec le Portail phytosanitaire international (PPI). La révision permettra de moderniser le manuel et de l’aligner sur les NIMP révisées ou adoptées récemment et sur les décisions prises récemment par la CMP, le Comité chargé de la mise en œuvre et du renforcement des capacités (CMR) et l’équipe du CMR chargée des ONC. </w:t>
      </w:r>
    </w:p>
    <w:p w14:paraId="150549DC" w14:textId="77777777">
      <w:pPr>
        <w:pStyle w:val="IPPHeading1"/>
      </w:pPr>
      <w:r>
        <w:rPr>
          <w:rStyle w:val="PleaseReviewParagraphId"/>
          <w:b w:val="off"/>
          <w:i w:val="off"/>
        </w:rPr>
        <w:t>[39]</w:t>
      </w:r>
      <w:r>
        <w:t xml:space="preserve">5. </w:t>
        <w:tab/>
        <w:t>Objet</w:t>
      </w:r>
    </w:p>
    <w:p w14:paraId="06EF2EFA" w14:textId="77777777">
      <w:pPr>
        <w:pStyle w:val="IPPNormal"/>
      </w:pPr>
      <w:r>
        <w:rPr>
          <w:rStyle w:val="PleaseReviewParagraphId"/>
          <w:b w:val="off"/>
          <w:i w:val="off"/>
        </w:rPr>
        <w:t>[40]</w:t>
      </w:r>
      <w:r>
        <w:t>Le manuel sur les ONC a été élaboré en se fondant sur les procédures et règles générales et particulières de la CIPV concernant les ONC. Les procédures générales font la synthèse des décisions prises par la CMP ces dernières années et des nouvelles orientations élaborées à partir d’avis formulés par le Groupe consultatif sur les obligations nationales en matière de communication d’informations. Les procédures particulières donnent des informations détaillées sur les dispositions relatives aux obligations des pays en matière de communication d’informations contenues dans le texte de la Convention et présentent des procédures supplémentaires que la CMP a adoptées pour répondre à tel ou tel besoin de clarification révélé par l’expérience et pour combler les lacunes lorsque la Convention n’apporte pas les indications voulues.</w:t>
      </w:r>
    </w:p>
    <w:p w14:paraId="20E9ED30" w14:textId="55E8DC17">
      <w:pPr>
        <w:pStyle w:val="IPPNormal"/>
      </w:pPr>
      <w:r>
        <w:rPr>
          <w:rStyle w:val="PleaseReviewParagraphId"/>
          <w:b w:val="off"/>
          <w:i w:val="off"/>
        </w:rPr>
        <w:t>[41]</w:t>
      </w:r>
      <w:r>
        <w:t>Le manuel sur les ONC a été élaboré pour décrire les procédures auxquelles les parties contractantes doivent se conformer et fournir des indications sur la manière d’utiliser le PPI pour s’acquitter de leurs obligations en matière de communication d’informations. Plusieurs changements importants sont intervenus en ce qui concerne la manière dont les parties contractantes s’acquittent de leurs obligations nationales en matière de communication d’informations depuis la dernière révision du manuel sur les ONC en 2016. Le manuel sur les ONC devrait être mis à jour afin de prendre en compte la révision de la NIMP 8 (</w:t>
      </w:r>
      <w:r>
        <w:rPr>
          <w:i/>
          <w:iCs/>
        </w:rPr>
        <w:t>Détermination de la situation d’un organisme nuisible dans une zone</w:t>
      </w:r>
      <w:r>
        <w:t>) et les décisions et recommandations récemment adoptées par la CMP, le CMR et l’équipe du CMR chargée des ONC.</w:t>
      </w:r>
    </w:p>
    <w:p w14:paraId="493CFF09" w14:textId="77777777">
      <w:pPr>
        <w:pStyle w:val="IPPHeading1"/>
      </w:pPr>
      <w:r>
        <w:rPr>
          <w:rStyle w:val="PleaseReviewParagraphId"/>
          <w:b w:val="off"/>
          <w:i w:val="off"/>
        </w:rPr>
        <w:t>[42]</w:t>
      </w:r>
      <w:r>
        <w:t xml:space="preserve">6. </w:t>
        <w:tab/>
        <w:t>Contenu de la ressource proposée pour la mise en œuvre </w:t>
      </w:r>
    </w:p>
    <w:p w14:paraId="4410E9BD" w14:textId="77777777">
      <w:pPr>
        <w:pStyle w:val="IPPNormal"/>
      </w:pPr>
      <w:r>
        <w:rPr>
          <w:rStyle w:val="PleaseReviewParagraphId"/>
          <w:b w:val="off"/>
          <w:i w:val="off"/>
        </w:rPr>
        <w:t>[43]</w:t>
      </w:r>
      <w:r>
        <w:t>Le groupe de travail devrait examiner le Manuel sur les obligations nationales en matière de communication d’informations (2016) et apporter les révisions suivantes: </w:t>
      </w:r>
    </w:p>
    <w:p w14:paraId="57E3DFF6" w14:textId="77777777">
      <w:pPr>
        <w:pStyle w:val="IPPBullet1"/>
      </w:pPr>
      <w:r>
        <w:rPr>
          <w:rStyle w:val="PleaseReviewParagraphId"/>
          <w:b w:val="off"/>
          <w:i w:val="off"/>
        </w:rPr>
        <w:t>[44]</w:t>
      </w:r>
      <w:r>
        <w:t>mise à jour de la description des procédures de soumission de rapports concernant les ONC; </w:t>
      </w:r>
    </w:p>
    <w:p w14:paraId="5C13B436" w14:textId="77777777">
      <w:pPr>
        <w:pStyle w:val="IPPBullet1"/>
      </w:pPr>
      <w:r>
        <w:rPr>
          <w:rStyle w:val="PleaseReviewParagraphId"/>
          <w:b w:val="off"/>
          <w:i w:val="off"/>
        </w:rPr>
        <w:t>[45]</w:t>
      </w:r>
      <w:r>
        <w:lastRenderedPageBreak/>
        <w:t xml:space="preserve">mise à jour des instructions techniques relatives à la soumission et à la suppression des rapports concernant les ONC sur le Portail phytosanitaire international (PPI);  </w:t>
      </w:r>
    </w:p>
    <w:p w14:paraId="7AF55F45" w14:textId="77777777">
      <w:pPr>
        <w:pStyle w:val="IPPBullet1"/>
      </w:pPr>
      <w:r>
        <w:rPr>
          <w:rStyle w:val="PleaseReviewParagraphId"/>
          <w:b w:val="off"/>
          <w:i w:val="off"/>
        </w:rPr>
        <w:t>[46]</w:t>
      </w:r>
      <w:r>
        <w:t>mise à jour des instructions relatives à l’utilisation de la page web du PPI consacrée aux ONC;</w:t>
      </w:r>
    </w:p>
    <w:p w14:paraId="3254CA3C" w14:textId="77777777">
      <w:pPr>
        <w:pStyle w:val="IPPBullet1"/>
      </w:pPr>
      <w:r>
        <w:rPr>
          <w:rStyle w:val="PleaseReviewParagraphId"/>
          <w:b w:val="off"/>
          <w:i w:val="off"/>
        </w:rPr>
        <w:t>[47]</w:t>
      </w:r>
      <w:r>
        <w:t>fourniture d’orientations concernant le format à utiliser pour les listes d’organismes nuisibles réglementés;  </w:t>
      </w:r>
    </w:p>
    <w:p w14:paraId="79DF367C" w14:textId="5E493F2B">
      <w:pPr>
        <w:pStyle w:val="IPPBullet1"/>
      </w:pPr>
      <w:r>
        <w:rPr>
          <w:rStyle w:val="PleaseReviewParagraphId"/>
          <w:b w:val="off"/>
          <w:i w:val="off"/>
        </w:rPr>
        <w:t>[48]</w:t>
      </w:r>
      <w:r>
        <w:t>prise en compte des révisions apportées à la NIMP 8 (</w:t>
      </w:r>
      <w:r>
        <w:rPr>
          <w:i/>
          <w:iCs/>
        </w:rPr>
        <w:t>Détermination de la situation d’un organisme nuisible dans une zone</w:t>
      </w:r>
      <w:r>
        <w:t>);</w:t>
      </w:r>
    </w:p>
    <w:p w14:paraId="033A3953" w14:textId="77777777">
      <w:pPr>
        <w:pStyle w:val="IPPBullet1"/>
      </w:pPr>
      <w:r>
        <w:rPr>
          <w:rStyle w:val="PleaseReviewParagraphId"/>
          <w:b w:val="off"/>
          <w:i w:val="off"/>
        </w:rPr>
        <w:t>[49]</w:t>
      </w:r>
      <w:r>
        <w:t>prise en compte des ressources techniques pertinentes publiées depuis 2016, notamment le Guide sur la situation des organismes nuisibles (2021) et le Guide de surveillance (2021); </w:t>
      </w:r>
    </w:p>
    <w:p w14:paraId="6BB5C572" w14:textId="77777777">
      <w:pPr>
        <w:pStyle w:val="IPPBullet1"/>
      </w:pPr>
      <w:r>
        <w:rPr>
          <w:rStyle w:val="PleaseReviewParagraphId"/>
          <w:b w:val="off"/>
          <w:i w:val="off"/>
        </w:rPr>
        <w:t>[50]</w:t>
      </w:r>
      <w:r>
        <w:t>prise en compte des recommandations pertinentes formulées par la CMP, à sa seizième session, le CMR, à sa dix-septième réunion tenue en ligne (VM17), et l’équipe du CMR chargée des ONC;</w:t>
      </w:r>
    </w:p>
    <w:p w14:paraId="37648B45" w14:textId="77777777">
      <w:pPr>
        <w:pStyle w:val="IPPBullet1"/>
      </w:pPr>
      <w:r>
        <w:rPr>
          <w:rStyle w:val="PleaseReviewParagraphId"/>
          <w:b w:val="off"/>
          <w:i w:val="off"/>
        </w:rPr>
        <w:t>[51]</w:t>
      </w:r>
      <w:r>
        <w:t>examen de la description des informations détaillées relatives aux ONC; </w:t>
      </w:r>
    </w:p>
    <w:p w14:paraId="273FB35B" w14:textId="77777777">
      <w:pPr>
        <w:pStyle w:val="IPPBullet1"/>
      </w:pPr>
      <w:r>
        <w:rPr>
          <w:rStyle w:val="PleaseReviewParagraphId"/>
          <w:b w:val="off"/>
          <w:i w:val="off"/>
        </w:rPr>
        <w:t>[52]</w:t>
      </w:r>
      <w:r>
        <w:t>la description de l’importance que revêt la mise en œuvre des ONC et des avantages qui en découlent.</w:t>
      </w:r>
    </w:p>
    <w:p w14:paraId="51D06301" w14:textId="77777777">
      <w:pPr>
        <w:pStyle w:val="IPPHeading1"/>
      </w:pPr>
      <w:r>
        <w:rPr>
          <w:rStyle w:val="PleaseReviewParagraphId"/>
          <w:b w:val="off"/>
          <w:i w:val="off"/>
        </w:rPr>
        <w:t>[53]</w:t>
      </w:r>
      <w:r>
        <w:t xml:space="preserve">7. </w:t>
        <w:tab/>
        <w:t xml:space="preserve">Contributions financières et contributions en nature </w:t>
      </w:r>
    </w:p>
    <w:p w14:paraId="4272F900" w14:textId="77777777">
      <w:pPr>
        <w:spacing w:before="240" w:after="120" w:line="276" w:lineRule="auto"/>
        <w:rPr>
          <w:rStyle w:val="eop"/>
          <w:rFonts w:cs="Times New Roman"/>
          <w:color w:val="000000"/>
          <w:shd w:val="clear" w:color="auto" w:fill="FFFFFF"/>
        </w:rPr>
      </w:pPr>
      <w:r>
        <w:rPr>
          <w:rStyle w:val="PleaseReviewParagraphId"/>
          <w:b w:val="off"/>
          <w:i w:val="off"/>
        </w:rPr>
        <w:t>[54]</w:t>
      </w:r>
      <w:r>
        <w:rPr>
          <w:rStyle w:val="normaltextrun"/>
          <w:color w:val="000000"/>
          <w:shd w:val="clear" w:color="auto" w:fill="FFFFFF"/>
        </w:rPr>
        <w:t>Les parties contractantes sont encouragées à indiquer toute contribution financière ou en nature qui sera fournie à l’appui de l’élaboration de ce guide ou pour faciliter la traduction du produit final.</w:t>
      </w:r>
    </w:p>
    <w:p w14:paraId="4FC75475" w14:textId="77777777">
      <w:pPr>
        <w:pStyle w:val="IPPHeading1"/>
      </w:pPr>
      <w:r>
        <w:rPr>
          <w:rStyle w:val="PleaseReviewParagraphId"/>
          <w:b w:val="off"/>
          <w:i w:val="off"/>
        </w:rPr>
        <w:t>[55]</w:t>
      </w:r>
      <w:r>
        <w:t xml:space="preserve">8. </w:t>
        <w:tab/>
        <w:t>Critères de sélection des experts du groupe de travail</w:t>
      </w:r>
    </w:p>
    <w:p w14:paraId="2CFFF614" w14:textId="77777777">
      <w:pPr>
        <w:pStyle w:val="IPPNormal"/>
      </w:pPr>
      <w:r>
        <w:rPr>
          <w:rStyle w:val="PleaseReviewParagraphId"/>
          <w:b w:val="off"/>
          <w:i w:val="off"/>
        </w:rPr>
        <w:t>[56]</w:t>
      </w:r>
      <w:r>
        <w:t>Le secrétariat de la CIPV et le Comité chargé de la mise en œuvre et du renforcement des capacités soutiennent l’équité, la diversité et l’inclusivité et encouragent tous les experts intéressés à soumettre leur candidature pour faire partie du groupe de travail qui sera chargé de l’élaboration du présent guide de la CIPV.</w:t>
      </w:r>
    </w:p>
    <w:p w14:paraId="7290347B" w14:textId="77777777">
      <w:pPr>
        <w:pStyle w:val="IPPNormal"/>
      </w:pPr>
      <w:r>
        <w:rPr>
          <w:rStyle w:val="PleaseReviewParagraphId"/>
          <w:b w:val="off"/>
          <w:i w:val="off"/>
        </w:rPr>
        <w:t>[57]</w:t>
      </w:r>
      <w:r>
        <w:t>Les membres du groupe de travail seront sélectionnés sur la base de leur expertise technique et pratique dans le domaine. La représentation géographique des experts issus des pays en développement et des pays développés sera également prise en compte afin de veiller à ce que le matériel élaboré soit applicable à l’échelle mondiale, et reflète les meilleures pratiques recensées dans le monde entier.</w:t>
      </w:r>
    </w:p>
    <w:p w14:paraId="213A3D02" w14:textId="77777777">
      <w:pPr>
        <w:pStyle w:val="IPPNormal"/>
      </w:pPr>
      <w:r>
        <w:rPr>
          <w:rStyle w:val="PleaseReviewParagraphId"/>
          <w:b w:val="off"/>
          <w:i w:val="off"/>
        </w:rPr>
        <w:t>[58]</w:t>
      </w:r>
      <w:r>
        <w:t>Les membres du groupe de travail devraient être sélectionnés en fonction des critères suivants: </w:t>
      </w:r>
    </w:p>
    <w:p w14:paraId="524345F9" w14:textId="77777777">
      <w:pPr>
        <w:pStyle w:val="IPPNumberedList"/>
      </w:pPr>
      <w:r>
        <w:rPr>
          <w:rStyle w:val="PleaseReviewParagraphId"/>
          <w:b w:val="off"/>
          <w:i w:val="off"/>
        </w:rPr>
        <w:t>[59]</w:t>
      </w:r>
      <w:r>
        <w:t>compétences et connaissances pratiques dans un ou plusieurs des domaines suivants: </w:t>
      </w:r>
    </w:p>
    <w:p w14:paraId="79E04FE6" w14:textId="77777777">
      <w:pPr>
        <w:pStyle w:val="IPPBullet1"/>
      </w:pPr>
      <w:r>
        <w:rPr>
          <w:rStyle w:val="PleaseReviewParagraphId"/>
          <w:b w:val="off"/>
          <w:i w:val="off"/>
        </w:rPr>
        <w:t>[60]</w:t>
      </w:r>
      <w:r>
        <w:t>excellente connaissance pratique de la CIPV et de ses objectifs, des obligations en matière d’établissement de rapports et des NIMP   </w:t>
      </w:r>
    </w:p>
    <w:p w14:paraId="2D6620B8" w14:textId="77777777">
      <w:pPr>
        <w:pStyle w:val="IPPBullet1"/>
      </w:pPr>
      <w:r>
        <w:rPr>
          <w:rStyle w:val="PleaseReviewParagraphId"/>
          <w:b w:val="off"/>
          <w:i w:val="off"/>
        </w:rPr>
        <w:t>[61]</w:t>
      </w:r>
      <w:r>
        <w:t>point de contact officiel de la CIPV, y compris éditeur du PPI </w:t>
      </w:r>
    </w:p>
    <w:p w14:paraId="4201F78E" w14:textId="77777777">
      <w:pPr>
        <w:pStyle w:val="IPPBullet1"/>
      </w:pPr>
      <w:r>
        <w:rPr>
          <w:rStyle w:val="PleaseReviewParagraphId"/>
          <w:b w:val="off"/>
          <w:i w:val="off"/>
        </w:rPr>
        <w:t>[62]</w:t>
      </w:r>
      <w:r>
        <w:t>collaboration avec les ONPV et les ORPV   </w:t>
      </w:r>
    </w:p>
    <w:p w14:paraId="6082CBB7" w14:textId="77777777">
      <w:pPr>
        <w:pStyle w:val="IPPBullet1"/>
      </w:pPr>
      <w:r>
        <w:rPr>
          <w:rStyle w:val="PleaseReviewParagraphId"/>
          <w:b w:val="off"/>
          <w:i w:val="off"/>
        </w:rPr>
        <w:t>[63]</w:t>
      </w:r>
      <w:r>
        <w:t>exigences, restrictions et interdictions phytosanitaires   </w:t>
      </w:r>
    </w:p>
    <w:p w14:paraId="14CE101D" w14:textId="77777777">
      <w:pPr>
        <w:pStyle w:val="IPPBullet1"/>
      </w:pPr>
      <w:r>
        <w:rPr>
          <w:rStyle w:val="PleaseReviewParagraphId"/>
          <w:b w:val="off"/>
          <w:i w:val="off"/>
        </w:rPr>
        <w:t>[64]</w:t>
      </w:r>
      <w:r>
        <w:t>signalement d’organismes nuisibles   </w:t>
      </w:r>
    </w:p>
    <w:p w14:paraId="404CD9D7" w14:textId="77777777">
      <w:pPr>
        <w:pStyle w:val="IPPBullet1"/>
      </w:pPr>
      <w:r>
        <w:rPr>
          <w:rStyle w:val="PleaseReviewParagraphId"/>
          <w:b w:val="off"/>
          <w:i w:val="off"/>
        </w:rPr>
        <w:t>[65]</w:t>
      </w:r>
      <w:r>
        <w:t>organismes nuisibles réglementés  </w:t>
      </w:r>
    </w:p>
    <w:p w14:paraId="5F4DD483" w14:textId="77777777">
      <w:pPr>
        <w:pStyle w:val="IPPBullet1"/>
      </w:pPr>
      <w:r>
        <w:rPr>
          <w:rStyle w:val="PleaseReviewParagraphId"/>
          <w:b w:val="off"/>
          <w:i w:val="off"/>
        </w:rPr>
        <w:t>[66]</w:t>
      </w:r>
      <w:r>
        <w:t>non-conformité avec la certification phytosanitaire   </w:t>
      </w:r>
    </w:p>
    <w:p w14:paraId="47DE8366" w14:textId="57142BB5">
      <w:pPr>
        <w:pStyle w:val="IPPBullet1"/>
      </w:pPr>
      <w:r>
        <w:rPr>
          <w:rStyle w:val="PleaseReviewParagraphId"/>
          <w:b w:val="off"/>
          <w:i w:val="off"/>
        </w:rPr>
        <w:t>[67]</w:t>
      </w:r>
      <w:r>
        <w:t>systèmes relatifs aux obligations nationales en matière de communication d’informations;  </w:t>
      </w:r>
    </w:p>
    <w:p w14:paraId="3E63C9C7" w14:textId="77777777">
      <w:pPr>
        <w:pStyle w:val="IPPNumberedList"/>
      </w:pPr>
      <w:r>
        <w:rPr>
          <w:rStyle w:val="PleaseReviewParagraphId"/>
          <w:b w:val="off"/>
          <w:i w:val="off"/>
        </w:rPr>
        <w:t>[68]</w:t>
      </w:r>
      <w:r>
        <w:t>maîtrise de l’anglais et aptitude à formuler des idées et à rédiger de façon claire en anglais. </w:t>
      </w:r>
    </w:p>
    <w:p w14:paraId="1540BC73" w14:textId="77777777">
      <w:pPr>
        <w:pStyle w:val="IPPHeading1"/>
      </w:pPr>
      <w:r>
        <w:rPr>
          <w:rStyle w:val="PleaseReviewParagraphId"/>
          <w:b w:val="off"/>
          <w:i w:val="off"/>
        </w:rPr>
        <w:t>[69]</w:t>
      </w:r>
      <w:r>
        <w:t xml:space="preserve">9. </w:t>
        <w:tab/>
        <w:t xml:space="preserve">Bibliographie </w:t>
      </w:r>
    </w:p>
    <w:p w14:paraId="6F8A437E" w14:textId="77777777">
      <w:pPr>
        <w:pStyle w:val="IPPNormal"/>
        <w:jc w:val="left"/>
      </w:pPr>
      <w:r>
        <w:rPr>
          <w:rStyle w:val="PleaseReviewParagraphId"/>
          <w:b w:val="off"/>
          <w:i w:val="off"/>
        </w:rPr>
        <w:t>[70]</w:t>
      </w:r>
      <w:r>
        <w:rPr>
          <w:b/>
        </w:rPr>
        <w:t>NIMP 5.</w:t>
      </w:r>
      <w:r>
        <w:t> </w:t>
      </w:r>
      <w:r>
        <w:rPr>
          <w:i/>
        </w:rPr>
        <w:t xml:space="preserve">Glossaire des termes phytosanitaires. </w:t>
      </w:r>
      <w:r>
        <w:t xml:space="preserve">Secrétariat de la CIPV, FAO, Rome. </w:t>
      </w:r>
      <w:hyperlink w:tgtFrame="_blank" w:history="1" r:id="rId11">
        <w:r>
          <w:rPr>
            <w:rStyle w:val="Hyperlink"/>
          </w:rPr>
          <w:t>https://www.ippc.int/fr/publications/622/</w:t>
        </w:r>
      </w:hyperlink>
      <w:r>
        <w:t>    </w:t>
      </w:r>
    </w:p>
    <w:p w14:paraId="264C3010" w14:textId="77777777">
      <w:pPr>
        <w:pStyle w:val="IPPNormal"/>
        <w:jc w:val="left"/>
      </w:pPr>
      <w:r>
        <w:rPr>
          <w:rStyle w:val="PleaseReviewParagraphId"/>
          <w:b w:val="off"/>
          <w:i w:val="off"/>
        </w:rPr>
        <w:t>[71]</w:t>
      </w:r>
      <w:r>
        <w:rPr>
          <w:b/>
        </w:rPr>
        <w:lastRenderedPageBreak/>
        <w:t>NIMP 8.</w:t>
      </w:r>
      <w:r>
        <w:t xml:space="preserve"> 2022. </w:t>
      </w:r>
      <w:r>
        <w:rPr>
          <w:i/>
        </w:rPr>
        <w:t xml:space="preserve">Détermination de la situation d’un organisme nuisible dans une zone. </w:t>
      </w:r>
      <w:r>
        <w:t xml:space="preserve">Secrétariat de la CIPV, FAO, Rome. </w:t>
      </w:r>
      <w:hyperlink w:tgtFrame="_blank" w:history="1" r:id="rId12">
        <w:r>
          <w:rPr>
            <w:rStyle w:val="Hyperlink"/>
          </w:rPr>
          <w:t>https://www.ippc.int/fr/publications/612/</w:t>
        </w:r>
      </w:hyperlink>
      <w:r>
        <w:t xml:space="preserve">   </w:t>
      </w:r>
    </w:p>
    <w:p w14:paraId="53DC8FE2" w14:textId="09E208FF">
      <w:pPr>
        <w:pStyle w:val="IPPNormal"/>
        <w:jc w:val="left"/>
      </w:pPr>
      <w:r>
        <w:rPr>
          <w:rStyle w:val="PleaseReviewParagraphId"/>
          <w:b w:val="off"/>
          <w:i w:val="off"/>
        </w:rPr>
        <w:t>[72]</w:t>
      </w:r>
      <w:r>
        <w:rPr>
          <w:b/>
        </w:rPr>
        <w:t>NIMP 13.</w:t>
      </w:r>
      <w:r>
        <w:t xml:space="preserve"> 2021. </w:t>
      </w:r>
      <w:r>
        <w:rPr>
          <w:i/>
          <w:iCs/>
        </w:rPr>
        <w:t>Directives pour la notification de non-conformité et d’action d’urgence.</w:t>
      </w:r>
      <w:r>
        <w:t xml:space="preserve"> Secrétariat de la CIPV, FAO, Rome.  </w:t>
      </w:r>
      <w:hyperlink w:tgtFrame="_blank" w:history="1" r:id="rId13">
        <w:r>
          <w:rPr>
            <w:rStyle w:val="Hyperlink"/>
          </w:rPr>
          <w:t>https://www.ippc.int/fr/publications/608//</w:t>
        </w:r>
      </w:hyperlink>
    </w:p>
    <w:p w14:paraId="4F88A22C" w14:textId="77777777">
      <w:pPr>
        <w:pStyle w:val="IPPNormal"/>
        <w:jc w:val="left"/>
      </w:pPr>
      <w:r>
        <w:rPr>
          <w:rStyle w:val="PleaseReviewParagraphId"/>
          <w:b w:val="off"/>
          <w:i w:val="off"/>
        </w:rPr>
        <w:t>[73]</w:t>
      </w:r>
      <w:r>
        <w:rPr>
          <w:b/>
        </w:rPr>
        <w:t>NIMP 17.</w:t>
      </w:r>
      <w:r>
        <w:t> 2021. Signalement d’organismes nuisibles</w:t>
      </w:r>
      <w:r>
        <w:rPr>
          <w:i/>
        </w:rPr>
        <w:t xml:space="preserve">. </w:t>
      </w:r>
      <w:r>
        <w:t xml:space="preserve">Secrétariat de la CIPV, FAO, Rome. </w:t>
      </w:r>
      <w:hyperlink w:tgtFrame="_blank" w:history="1" r:id="rId14">
        <w:r>
          <w:rPr>
            <w:rStyle w:val="Hyperlink"/>
          </w:rPr>
          <w:t>https://www.ippc.int/fr/publications/606/</w:t>
        </w:r>
      </w:hyperlink>
      <w:r>
        <w:t xml:space="preserve"> </w:t>
      </w:r>
    </w:p>
    <w:p w14:paraId="47C2605B" w14:textId="77777777">
      <w:pPr>
        <w:pStyle w:val="IPPNormal"/>
        <w:keepNext/>
        <w:keepLines/>
        <w:jc w:val="left"/>
        <w:rPr>
          <w:rStyle w:val="Hyperlink"/>
          <w:rFonts w:eastAsia="Times New Roman" w:cs="Times New Roman"/>
          <w:szCs w:val="22"/>
        </w:rPr>
      </w:pPr>
      <w:r>
        <w:rPr>
          <w:rStyle w:val="PleaseReviewParagraphId"/>
          <w:b w:val="off"/>
          <w:i w:val="off"/>
        </w:rPr>
        <w:t>[74]</w:t>
      </w:r>
      <w:r>
        <w:rPr>
          <w:b/>
        </w:rPr>
        <w:t>Secrétariat de la CIPV</w:t>
      </w:r>
      <w:r>
        <w:t xml:space="preserve">. 2022. Équipe du CMR chargée des ONC. In: </w:t>
      </w:r>
      <w:r>
        <w:rPr>
          <w:i/>
        </w:rPr>
        <w:t>Convention internationale pour la protection des végétaux.</w:t>
      </w:r>
      <w:r>
        <w:t xml:space="preserve"> Secrétariat de la CIPV, FAO, Rome. [Cité le 17 mars 2022]. </w:t>
      </w:r>
      <w:hyperlink w:tgtFrame="_blank" w:history="1" r:id="rId15">
        <w:r>
          <w:rPr>
            <w:rStyle w:val="Hyperlink"/>
          </w:rPr>
          <w:t>https://www.ippc.int/fr/core-activities/capacity-development/capacity-development-committee/ic-sub-group/ic-team-for-national-reporting-obligations-nros/</w:t>
        </w:r>
      </w:hyperlink>
    </w:p>
    <w:p w14:paraId="06F74BE5" w14:textId="77777777">
      <w:pPr>
        <w:pStyle w:val="IPPNormal"/>
        <w:jc w:val="left"/>
      </w:pPr>
      <w:r>
        <w:rPr>
          <w:rStyle w:val="PleaseReviewParagraphId"/>
          <w:b w:val="off"/>
          <w:i w:val="off"/>
        </w:rPr>
        <w:t>[75]</w:t>
      </w:r>
      <w:r>
        <w:rPr>
          <w:b/>
        </w:rPr>
        <w:t xml:space="preserve">Secrétariat de la CIPV. </w:t>
      </w:r>
      <w:r>
        <w:t xml:space="preserve">2022. Cours de formation en ligne sur les ONC. In: </w:t>
      </w:r>
      <w:r>
        <w:rPr>
          <w:i/>
          <w:iCs/>
        </w:rPr>
        <w:t>Cours de formations en ligne de la Convention internationale pour la protection des végétaux.</w:t>
      </w:r>
      <w:r>
        <w:t xml:space="preserve"> Secrétariat de la CIPV, FAO, Rome. [Cité le 17 mars 2022].</w:t>
      </w:r>
      <w:r>
        <w:rPr>
          <w:i/>
        </w:rPr>
        <w:t> </w:t>
      </w:r>
      <w:hyperlink w:tgtFrame="_blank" w:history="1" r:id="rId16">
        <w:r>
          <w:rPr>
            <w:rStyle w:val="Hyperlink"/>
          </w:rPr>
          <w:t>https://www.ippc.int/fr/e-learning/</w:t>
        </w:r>
      </w:hyperlink>
      <w:r>
        <w:t>     </w:t>
      </w:r>
    </w:p>
    <w:p w14:paraId="58273295" w14:textId="718A2604">
      <w:pPr>
        <w:pStyle w:val="IPPNormal"/>
        <w:jc w:val="left"/>
      </w:pPr>
      <w:r>
        <w:rPr>
          <w:rStyle w:val="PleaseReviewParagraphId"/>
          <w:b w:val="off"/>
          <w:i w:val="off"/>
        </w:rPr>
        <w:t>[76]</w:t>
      </w:r>
      <w:r>
        <w:rPr>
          <w:b/>
        </w:rPr>
        <w:t xml:space="preserve">Secrétariat de la CIPV. </w:t>
      </w:r>
      <w:r>
        <w:t>2021. </w:t>
      </w:r>
      <w:r>
        <w:rPr>
          <w:i/>
        </w:rPr>
        <w:t>Pest Status Guide: Understanding the principal requirements for pest status determination</w:t>
      </w:r>
      <w:r>
        <w:t xml:space="preserve"> (guide sur la situation des organismes nuisibles: comprendre les principales exigences qui permettent de déterminer la situation d’un organisme nuisible). Secrétariat de la CIPV, FAO, Rome. </w:t>
      </w:r>
      <w:hyperlink w:tgtFrame="_blank" w:history="1" r:id="rId17">
        <w:r>
          <w:rPr>
            <w:rStyle w:val="Hyperlink"/>
          </w:rPr>
          <w:t>https://doi.org/10.4060/cb6103en</w:t>
        </w:r>
      </w:hyperlink>
      <w:r>
        <w:t xml:space="preserve"> (en anglais)</w:t>
      </w:r>
    </w:p>
    <w:p w14:paraId="72CC6647" w14:textId="18E176C3">
      <w:pPr>
        <w:pStyle w:val="IPPNormal"/>
        <w:jc w:val="left"/>
      </w:pPr>
      <w:r>
        <w:rPr>
          <w:rStyle w:val="PleaseReviewParagraphId"/>
          <w:b w:val="off"/>
          <w:i w:val="off"/>
        </w:rPr>
        <w:t>[77]</w:t>
      </w:r>
      <w:r>
        <w:rPr>
          <w:b/>
        </w:rPr>
        <w:t xml:space="preserve">Secrétariat de la CIPV. </w:t>
      </w:r>
      <w:r>
        <w:t xml:space="preserve">2021. </w:t>
      </w:r>
      <w:r>
        <w:rPr>
          <w:i/>
          <w:iCs/>
        </w:rPr>
        <w:t>Report of the 17th Virtual Meeting of the Implementation and Capacity Development Committee</w:t>
      </w:r>
      <w:r>
        <w:t xml:space="preserve"> (2021-11 IC VM17) (rapport de la dix-septième réunion virtuelle du Comité chargé de la mise en œuvre et du renforcement des capacités). Secrétariat de la CIPV, FAO, Rome. </w:t>
      </w:r>
      <w:hyperlink w:history="1" r:id="rId18">
        <w:r>
          <w:rPr>
            <w:rStyle w:val="Hyperlink"/>
          </w:rPr>
          <w:t>https://www.ippc.int/fr/publications/90774/</w:t>
        </w:r>
      </w:hyperlink>
      <w:r>
        <w:t xml:space="preserve"> (en anglais)</w:t>
      </w:r>
    </w:p>
    <w:p w14:paraId="267C9E11" w14:textId="2B38E741">
      <w:pPr>
        <w:pStyle w:val="IPPNormal"/>
        <w:jc w:val="left"/>
      </w:pPr>
      <w:r>
        <w:rPr>
          <w:rStyle w:val="PleaseReviewParagraphId"/>
          <w:b w:val="off"/>
          <w:i w:val="off"/>
        </w:rPr>
        <w:t>[78]</w:t>
      </w:r>
      <w:r>
        <w:rPr>
          <w:b/>
        </w:rPr>
        <w:t xml:space="preserve">Secrétariat de la CIPV. </w:t>
      </w:r>
      <w:r>
        <w:t>2016.</w:t>
      </w:r>
      <w:r>
        <w:rPr>
          <w:b/>
        </w:rPr>
        <w:t xml:space="preserve"> </w:t>
      </w:r>
      <w:r>
        <w:rPr>
          <w:i/>
        </w:rPr>
        <w:t xml:space="preserve">Manuel sur les obligations nationales en matière de communication d’informations: </w:t>
      </w:r>
      <w:r>
        <w:rPr>
          <w:i/>
          <w:iCs/>
        </w:rPr>
        <w:t>À l’intention des points de contact de la CIPV et des éditeurs PPI</w:t>
      </w:r>
      <w:r>
        <w:t xml:space="preserve"> (Version 1.1). Secrétariat de la CIPV, FAO, Rome. </w:t>
      </w:r>
      <w:hyperlink w:tgtFrame="_blank" w:history="1" r:id="rId19">
        <w:r>
          <w:rPr>
            <w:rStyle w:val="Hyperlink"/>
          </w:rPr>
          <w:t>https://www.ippc.int/fr/publications/80405/</w:t>
        </w:r>
      </w:hyperlink>
      <w:r>
        <w:t>  </w:t>
      </w:r>
    </w:p>
    <w:p w14:paraId="15C8B7C9" w14:textId="3D73199E">
      <w:pPr>
        <w:pStyle w:val="IPPNormal"/>
        <w:jc w:val="left"/>
      </w:pPr>
      <w:r>
        <w:rPr>
          <w:rStyle w:val="PleaseReviewParagraphId"/>
          <w:b w:val="off"/>
          <w:i w:val="off"/>
        </w:rPr>
        <w:t>[79]</w:t>
      </w:r>
      <w:r>
        <w:rPr>
          <w:b/>
        </w:rPr>
        <w:t xml:space="preserve">Secrétariat de la CIPV. </w:t>
      </w:r>
      <w:r>
        <w:t>2016.</w:t>
      </w:r>
      <w:r>
        <w:rPr>
          <w:b/>
        </w:rPr>
        <w:t> </w:t>
      </w:r>
      <w:r>
        <w:t xml:space="preserve"> </w:t>
      </w:r>
      <w:r>
        <w:rPr>
          <w:i/>
        </w:rPr>
        <w:t xml:space="preserve">Rapport sur les obligations nationales en matière de communication d’informations </w:t>
      </w:r>
      <w:r>
        <w:t>–</w:t>
      </w:r>
      <w:r>
        <w:rPr>
          <w:i/>
        </w:rPr>
        <w:t xml:space="preserve"> Directives pour le contrôle de la qualité s’agissant des obligations des pays en matière de communication d’informations</w:t>
      </w:r>
      <w:r>
        <w:rPr>
          <w:b/>
        </w:rPr>
        <w:t xml:space="preserve"> </w:t>
      </w:r>
      <w:r>
        <w:t xml:space="preserve">(CPM 2016/26). Secrétariat de la CIPV, FAO, Rome. </w:t>
      </w:r>
      <w:hyperlink w:tgtFrame="_blank" w:history="1" r:id="rId20">
        <w:r>
          <w:rPr>
            <w:rStyle w:val="Hyperlink"/>
          </w:rPr>
          <w:t>https://assets.ippc.int/static/media/files/publication/en/2016/02/26_CPM_2016_April_NRO_Qualitycontrol-2016-02-15.pdf </w:t>
        </w:r>
      </w:hyperlink>
      <w:r>
        <w:t> </w:t>
      </w:r>
    </w:p>
    <w:p w14:paraId="503F6A0B" w14:textId="57FA72D6">
      <w:pPr>
        <w:pStyle w:val="IPPNormal"/>
        <w:jc w:val="left"/>
      </w:pPr>
      <w:r>
        <w:rPr>
          <w:rStyle w:val="PleaseReviewParagraphId"/>
          <w:b w:val="off"/>
          <w:i w:val="off"/>
        </w:rPr>
        <w:t>[80]</w:t>
      </w:r>
      <w:r>
        <w:rPr>
          <w:b/>
        </w:rPr>
        <w:t xml:space="preserve">Secrétariat de la CIPV. </w:t>
      </w:r>
      <w:r>
        <w:t>2016. </w:t>
      </w:r>
      <w:r>
        <w:rPr>
          <w:b/>
        </w:rPr>
        <w:t xml:space="preserve"> </w:t>
      </w:r>
      <w:r>
        <w:rPr>
          <w:i/>
        </w:rPr>
        <w:t xml:space="preserve">Rapport sur les obligations nationales en matière de communication d’informations </w:t>
      </w:r>
      <w:r>
        <w:t>–</w:t>
      </w:r>
      <w:r>
        <w:rPr>
          <w:i/>
        </w:rPr>
        <w:t xml:space="preserve"> Procédures pour les obligations des pays en matière de communication d’informations au titre de la CIPV</w:t>
      </w:r>
      <w:r>
        <w:t xml:space="preserve"> (CPM 2016/28). Secrétariat de la CIPV, FAO, Rome. </w:t>
      </w:r>
      <w:hyperlink w:history="1" r:id="rId21">
        <w:r>
          <w:rPr>
            <w:rStyle w:val="Hyperlink"/>
          </w:rPr>
          <w:t>https://assets.ippc.int/static/media/files/publication/en/2016/02/28_CPM_2016_April_NRO_Procedures-2016-02-18_withTables.pdf</w:t>
        </w:r>
      </w:hyperlink>
    </w:p>
    <w:p w14:paraId="7F4BC0EE" w14:textId="57A1B56B">
      <w:pPr>
        <w:tabs>
          <w:tab w:val="left" w:pos="720"/>
        </w:tabs>
        <w:spacing w:after="180"/>
        <w:jc w:val="left"/>
        <w:rPr>
          <w:rFonts w:eastAsia="Times" w:cs="Times New Roman"/>
        </w:rPr>
      </w:pPr>
      <w:r>
        <w:rPr>
          <w:rStyle w:val="PleaseReviewParagraphId"/>
          <w:b w:val="off"/>
          <w:i w:val="off"/>
        </w:rPr>
        <w:t>[81]</w:t>
      </w:r>
      <w:r>
        <w:rPr>
          <w:b/>
        </w:rPr>
        <w:t>Secrétariat de la CIPV.</w:t>
      </w:r>
      <w:r>
        <w:t xml:space="preserve"> 1997. Convention internationale pour la protection des végétaux. Secrétariat de la CIPV, FAO, Rome.</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CF9FE" w14:textId="77777777">
      <w:r>
        <w:rPr>
          <w:rStyle w:val="PleaseReviewParagraphId"/>
          <w:b w:val="off"/>
          <w:i w:val="off"/>
        </w:rPr>
        <w:t>[]</w:t>
      </w:r>
      <w:r>
        <w:separator/>
      </w:r>
    </w:p>
  </w:endnote>
  <w:endnote w:type="continuationSeparator" w:id="0">
    <w:p w14:paraId="2393767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74C5" w14:textId="77777777">
      <w:r>
        <w:rPr>
          <w:rStyle w:val="PleaseReviewParagraphId"/>
          <w:b w:val="off"/>
          <w:i w:val="off"/>
        </w:rPr>
        <w:t>[]</w:t>
      </w:r>
      <w:r>
        <w:separator/>
      </w:r>
    </w:p>
  </w:footnote>
  <w:footnote w:type="continuationSeparator" w:id="0">
    <w:p w14:paraId="5794A022"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c57Sm2Qkcv8Uar" id="6HcQ0ZUa"/>
  </int:Manifest>
  <int:Observations>
    <int:Content id="6HcQ0ZUa">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40C07214"/>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35A"/>
    <w:multiLevelType w:val="multilevel"/>
    <w:tmpl w:val="472818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865CEA"/>
    <w:multiLevelType w:val="multilevel"/>
    <w:tmpl w:val="72964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86375C4"/>
    <w:multiLevelType w:val="multilevel"/>
    <w:tmpl w:val="74488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797E45"/>
    <w:multiLevelType w:val="multilevel"/>
    <w:tmpl w:val="06E871E4"/>
    <w:numStyleLink w:val="IPPParagraphnumberedlist"/>
  </w:abstractNum>
  <w:abstractNum w:abstractNumId="7"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8"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1" w15:restartNumberingAfterBreak="0">
    <w:nsid w:val="1F732B22"/>
    <w:multiLevelType w:val="multilevel"/>
    <w:tmpl w:val="D2C44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93B61"/>
    <w:multiLevelType w:val="hybridMultilevel"/>
    <w:tmpl w:val="886C336C"/>
    <w:lvl w:ilvl="0" w:tplc="16ECE44C">
      <w:start w:val="3"/>
      <w:numFmt w:val="bullet"/>
      <w:lvlText w:val="-"/>
      <w:lvlJc w:val="righ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CA91B51"/>
    <w:multiLevelType w:val="multilevel"/>
    <w:tmpl w:val="59E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92461A2"/>
    <w:multiLevelType w:val="multilevel"/>
    <w:tmpl w:val="B880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5F0C86"/>
    <w:multiLevelType w:val="multilevel"/>
    <w:tmpl w:val="406CC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1103DB"/>
    <w:multiLevelType w:val="multilevel"/>
    <w:tmpl w:val="54E42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81F32"/>
    <w:multiLevelType w:val="multilevel"/>
    <w:tmpl w:val="D994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286640"/>
    <w:multiLevelType w:val="multilevel"/>
    <w:tmpl w:val="DC2AC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5E6D92"/>
    <w:multiLevelType w:val="multilevel"/>
    <w:tmpl w:val="B1CA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640AB"/>
    <w:multiLevelType w:val="multilevel"/>
    <w:tmpl w:val="3BDCCA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EA6C1B"/>
    <w:multiLevelType w:val="multilevel"/>
    <w:tmpl w:val="147666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24"/>
  </w:num>
  <w:num w:numId="5">
    <w:abstractNumId w:val="25"/>
  </w:num>
  <w:num w:numId="6">
    <w:abstractNumId w:val="17"/>
  </w:num>
  <w:num w:numId="7">
    <w:abstractNumId w:val="30"/>
  </w:num>
  <w:num w:numId="8">
    <w:abstractNumId w:val="21"/>
  </w:num>
  <w:num w:numId="9">
    <w:abstractNumId w:val="22"/>
  </w:num>
  <w:num w:numId="10">
    <w:abstractNumId w:val="15"/>
  </w:num>
  <w:num w:numId="11">
    <w:abstractNumId w:val="2"/>
  </w:num>
  <w:num w:numId="12">
    <w:abstractNumId w:val="4"/>
  </w:num>
  <w:num w:numId="13">
    <w:abstractNumId w:val="20"/>
  </w:num>
  <w:num w:numId="14">
    <w:abstractNumId w:val="11"/>
  </w:num>
  <w:num w:numId="15">
    <w:abstractNumId w:val="18"/>
  </w:num>
  <w:num w:numId="16">
    <w:abstractNumId w:val="13"/>
  </w:num>
  <w:num w:numId="17">
    <w:abstractNumId w:val="26"/>
  </w:num>
  <w:num w:numId="18">
    <w:abstractNumId w:val="31"/>
  </w:num>
  <w:num w:numId="19">
    <w:abstractNumId w:val="1"/>
  </w:num>
  <w:num w:numId="20">
    <w:abstractNumId w:val="12"/>
  </w:num>
  <w:num w:numId="21">
    <w:abstractNumId w:val="27"/>
  </w:num>
  <w:num w:numId="22">
    <w:abstractNumId w:val="5"/>
  </w:num>
  <w:num w:numId="23">
    <w:abstractNumId w:val="3"/>
  </w:num>
  <w:num w:numId="24">
    <w:abstractNumId w:val="14"/>
  </w:num>
  <w:num w:numId="25">
    <w:abstractNumId w:val="29"/>
  </w:num>
  <w:num w:numId="26">
    <w:abstractNumId w:val="23"/>
  </w:num>
  <w:num w:numId="27">
    <w:abstractNumId w:val="16"/>
  </w:num>
  <w:num w:numId="28">
    <w:abstractNumId w:val="32"/>
  </w:num>
  <w:num w:numId="29">
    <w:abstractNumId w:val="9"/>
  </w:num>
  <w:num w:numId="3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0"/>
  </w:num>
  <w:num w:numId="37">
    <w:abstractNumId w:val="19"/>
  </w:num>
  <w:num w:numId="38">
    <w:abstractNumId w:val="28"/>
  </w:num>
  <w:num w:numId="3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6"/>
  </w:num>
  <w:num w:numId="42">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DAzNzEwMTE2NDZW0lEKTi0uzszPAykwqgUA0K5XfCwAAAA="/>
  </w:docVars>
  <w:rsids>
    <w:rsidRoot w:val="7F25C76D"/>
    <w:rsid w:val="00022A3B"/>
    <w:rsid w:val="00057A5B"/>
    <w:rsid w:val="000D7D72"/>
    <w:rsid w:val="000F23B8"/>
    <w:rsid w:val="0011041C"/>
    <w:rsid w:val="00182510"/>
    <w:rsid w:val="001B21AE"/>
    <w:rsid w:val="001C5DBA"/>
    <w:rsid w:val="001F30C7"/>
    <w:rsid w:val="00200510"/>
    <w:rsid w:val="0021041E"/>
    <w:rsid w:val="0021126A"/>
    <w:rsid w:val="002421CB"/>
    <w:rsid w:val="00254FEA"/>
    <w:rsid w:val="00311ED4"/>
    <w:rsid w:val="003456AD"/>
    <w:rsid w:val="003737B2"/>
    <w:rsid w:val="00390552"/>
    <w:rsid w:val="003A2D30"/>
    <w:rsid w:val="003E0470"/>
    <w:rsid w:val="003E1952"/>
    <w:rsid w:val="003E54AA"/>
    <w:rsid w:val="003F4F93"/>
    <w:rsid w:val="00426541"/>
    <w:rsid w:val="004509CF"/>
    <w:rsid w:val="004C0753"/>
    <w:rsid w:val="004D6DB5"/>
    <w:rsid w:val="004E0698"/>
    <w:rsid w:val="004F541F"/>
    <w:rsid w:val="00543150"/>
    <w:rsid w:val="00546555"/>
    <w:rsid w:val="00576F98"/>
    <w:rsid w:val="005A34AF"/>
    <w:rsid w:val="005E13CD"/>
    <w:rsid w:val="005E7E96"/>
    <w:rsid w:val="00620895"/>
    <w:rsid w:val="0064372F"/>
    <w:rsid w:val="00704315"/>
    <w:rsid w:val="00741B2C"/>
    <w:rsid w:val="00771E1B"/>
    <w:rsid w:val="007D06B8"/>
    <w:rsid w:val="007D2514"/>
    <w:rsid w:val="00834775"/>
    <w:rsid w:val="00840C50"/>
    <w:rsid w:val="0086331C"/>
    <w:rsid w:val="008B26D4"/>
    <w:rsid w:val="008D5B76"/>
    <w:rsid w:val="00921099"/>
    <w:rsid w:val="00A1090D"/>
    <w:rsid w:val="00A43FAD"/>
    <w:rsid w:val="00A51B8B"/>
    <w:rsid w:val="00AA5560"/>
    <w:rsid w:val="00AC4BBD"/>
    <w:rsid w:val="00AF228E"/>
    <w:rsid w:val="00AF2BB5"/>
    <w:rsid w:val="00B907E9"/>
    <w:rsid w:val="00BA34A9"/>
    <w:rsid w:val="00BC6A8B"/>
    <w:rsid w:val="00C3652A"/>
    <w:rsid w:val="00C51D95"/>
    <w:rsid w:val="00C8055E"/>
    <w:rsid w:val="00CE24FB"/>
    <w:rsid w:val="00D05B47"/>
    <w:rsid w:val="00D67950"/>
    <w:rsid w:val="00D716BE"/>
    <w:rsid w:val="00D71D29"/>
    <w:rsid w:val="00E14B72"/>
    <w:rsid w:val="00E4571E"/>
    <w:rsid w:val="00E61A6B"/>
    <w:rsid w:val="00E7575E"/>
    <w:rsid w:val="00EB2A08"/>
    <w:rsid w:val="00EC17A0"/>
    <w:rsid w:val="00F71BA3"/>
    <w:rsid w:val="00F743D7"/>
    <w:rsid w:val="00FF545E"/>
    <w:rsid w:val="030D51DC"/>
    <w:rsid w:val="0E9F357D"/>
    <w:rsid w:val="1AF477AB"/>
    <w:rsid w:val="1C4284BD"/>
    <w:rsid w:val="1DF6058F"/>
    <w:rsid w:val="221799AB"/>
    <w:rsid w:val="230958CD"/>
    <w:rsid w:val="24A5292E"/>
    <w:rsid w:val="2A2C7B29"/>
    <w:rsid w:val="2CF1EDEB"/>
    <w:rsid w:val="2F1BF81D"/>
    <w:rsid w:val="2FCAB864"/>
    <w:rsid w:val="34835863"/>
    <w:rsid w:val="353A4D36"/>
    <w:rsid w:val="361F28C4"/>
    <w:rsid w:val="407778B9"/>
    <w:rsid w:val="447E71BD"/>
    <w:rsid w:val="46F42EE7"/>
    <w:rsid w:val="488FFF48"/>
    <w:rsid w:val="4F5ADB24"/>
    <w:rsid w:val="5B6D7A74"/>
    <w:rsid w:val="68621666"/>
    <w:rsid w:val="69B299AF"/>
    <w:rsid w:val="72C5F274"/>
    <w:rsid w:val="74B101E5"/>
    <w:rsid w:val="76990A3D"/>
    <w:rsid w:val="7811E2A8"/>
    <w:rsid w:val="78FFE83F"/>
    <w:rsid w:val="7DF704A2"/>
    <w:rsid w:val="7F25C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A182"/>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fr-FR"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eastAsia="zh-CN"/>
    </w:rPr>
  </w:style>
  <w:style w:type="character" w:customStyle="1" w:styleId="Heading1Char">
    <w:name w:val="Heading 1 Char"/>
    <w:basedOn w:val="DefaultParagraphFont"/>
    <w:link w:val="Heading1"/>
    <w:rPr>
      <w:rFonts w:ascii="Times New Roman" w:eastAsia="MS Mincho" w:hAnsi="Times New Roman"/>
      <w:b/>
      <w:bCs/>
      <w:szCs w:val="24"/>
      <w:lang w:val="fr-FR" w:eastAsia="zh-CN"/>
    </w:rPr>
  </w:style>
  <w:style w:type="character" w:customStyle="1" w:styleId="Heading2Char">
    <w:name w:val="Heading 2 Char"/>
    <w:basedOn w:val="DefaultParagraphFont"/>
    <w:link w:val="Heading2"/>
    <w:rPr>
      <w:rFonts w:ascii="Calibri" w:eastAsia="MS Mincho" w:hAnsi="Calibri"/>
      <w:b/>
      <w:bCs/>
      <w:i/>
      <w:iCs/>
      <w:sz w:val="28"/>
      <w:szCs w:val="28"/>
      <w:lang w:val="fr-FR" w:eastAsia="zh-CN"/>
    </w:rPr>
  </w:style>
  <w:style w:type="character" w:customStyle="1" w:styleId="Heading3Char">
    <w:name w:val="Heading 3 Char"/>
    <w:basedOn w:val="DefaultParagraphFont"/>
    <w:link w:val="Heading3"/>
    <w:rPr>
      <w:rFonts w:ascii="Calibri" w:eastAsia="MS Mincho" w:hAnsi="Calibri"/>
      <w:b/>
      <w:bCs/>
      <w:sz w:val="26"/>
      <w:szCs w:val="26"/>
      <w:lang w:val="fr-FR"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fr-FR"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rFonts w:eastAsiaTheme="minorHAns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25"/>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38"/>
      </w:numPr>
      <w:spacing w:after="60"/>
    </w:p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zh-CN"/>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numString="1.1. "/>
        <w:numId w:val="28"/>
      </w:numPr>
    </w:pPr>
  </w:style>
  <w:style w:type="paragraph" w:customStyle="1" w:styleId="IPPNumberedList">
    <w:name w:val="IPP NumberedList"/>
    <w:basedOn w:val="IPPBullet1"/>
    <w:qFormat/>
    <w:pPr>
      <w:numPr>
        <w:numId w:val="42"/>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fr-FR" w:eastAsia="zh-CN"/>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0"/>
      </w:numPr>
    </w:p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character" w:customStyle="1" w:styleId="IPPNormalChar">
    <w:name w:val="IPP Normal Char"/>
    <w:link w:val="IPPNormal"/>
    <w:rPr>
      <w:rFonts w:ascii="Times New Roman" w:eastAsia="Times" w:hAnsi="Times New Roman"/>
      <w:szCs w:val="24"/>
      <w:lang w:val="fr-FR" w:eastAsia="zh-CN"/>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fr-FR"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13574">
      <w:bodyDiv w:val="1"/>
      <w:marLeft w:val="0"/>
      <w:marRight w:val="0"/>
      <w:marTop w:val="0"/>
      <w:marBottom w:val="0"/>
      <w:divBdr>
        <w:top w:val="none" w:sz="0" w:space="0" w:color="auto"/>
        <w:left w:val="none" w:sz="0" w:space="0" w:color="auto"/>
        <w:bottom w:val="none" w:sz="0" w:space="0" w:color="auto"/>
        <w:right w:val="none" w:sz="0" w:space="0" w:color="auto"/>
      </w:divBdr>
      <w:divsChild>
        <w:div w:id="151795397">
          <w:marLeft w:val="0"/>
          <w:marRight w:val="0"/>
          <w:marTop w:val="0"/>
          <w:marBottom w:val="0"/>
          <w:divBdr>
            <w:top w:val="none" w:sz="0" w:space="0" w:color="auto"/>
            <w:left w:val="none" w:sz="0" w:space="0" w:color="auto"/>
            <w:bottom w:val="none" w:sz="0" w:space="0" w:color="auto"/>
            <w:right w:val="none" w:sz="0" w:space="0" w:color="auto"/>
          </w:divBdr>
        </w:div>
        <w:div w:id="1116364511">
          <w:marLeft w:val="0"/>
          <w:marRight w:val="0"/>
          <w:marTop w:val="0"/>
          <w:marBottom w:val="0"/>
          <w:divBdr>
            <w:top w:val="none" w:sz="0" w:space="0" w:color="auto"/>
            <w:left w:val="none" w:sz="0" w:space="0" w:color="auto"/>
            <w:bottom w:val="none" w:sz="0" w:space="0" w:color="auto"/>
            <w:right w:val="none" w:sz="0" w:space="0" w:color="auto"/>
          </w:divBdr>
        </w:div>
        <w:div w:id="879437047">
          <w:marLeft w:val="0"/>
          <w:marRight w:val="0"/>
          <w:marTop w:val="0"/>
          <w:marBottom w:val="0"/>
          <w:divBdr>
            <w:top w:val="none" w:sz="0" w:space="0" w:color="auto"/>
            <w:left w:val="none" w:sz="0" w:space="0" w:color="auto"/>
            <w:bottom w:val="none" w:sz="0" w:space="0" w:color="auto"/>
            <w:right w:val="none" w:sz="0" w:space="0" w:color="auto"/>
          </w:divBdr>
        </w:div>
        <w:div w:id="789014015">
          <w:marLeft w:val="0"/>
          <w:marRight w:val="0"/>
          <w:marTop w:val="0"/>
          <w:marBottom w:val="0"/>
          <w:divBdr>
            <w:top w:val="none" w:sz="0" w:space="0" w:color="auto"/>
            <w:left w:val="none" w:sz="0" w:space="0" w:color="auto"/>
            <w:bottom w:val="none" w:sz="0" w:space="0" w:color="auto"/>
            <w:right w:val="none" w:sz="0" w:space="0" w:color="auto"/>
          </w:divBdr>
        </w:div>
        <w:div w:id="425811219">
          <w:marLeft w:val="0"/>
          <w:marRight w:val="0"/>
          <w:marTop w:val="0"/>
          <w:marBottom w:val="0"/>
          <w:divBdr>
            <w:top w:val="none" w:sz="0" w:space="0" w:color="auto"/>
            <w:left w:val="none" w:sz="0" w:space="0" w:color="auto"/>
            <w:bottom w:val="none" w:sz="0" w:space="0" w:color="auto"/>
            <w:right w:val="none" w:sz="0" w:space="0" w:color="auto"/>
          </w:divBdr>
        </w:div>
        <w:div w:id="1470514213">
          <w:marLeft w:val="0"/>
          <w:marRight w:val="0"/>
          <w:marTop w:val="0"/>
          <w:marBottom w:val="0"/>
          <w:divBdr>
            <w:top w:val="none" w:sz="0" w:space="0" w:color="auto"/>
            <w:left w:val="none" w:sz="0" w:space="0" w:color="auto"/>
            <w:bottom w:val="none" w:sz="0" w:space="0" w:color="auto"/>
            <w:right w:val="none" w:sz="0" w:space="0" w:color="auto"/>
          </w:divBdr>
        </w:div>
        <w:div w:id="1422141834">
          <w:marLeft w:val="0"/>
          <w:marRight w:val="0"/>
          <w:marTop w:val="0"/>
          <w:marBottom w:val="0"/>
          <w:divBdr>
            <w:top w:val="none" w:sz="0" w:space="0" w:color="auto"/>
            <w:left w:val="none" w:sz="0" w:space="0" w:color="auto"/>
            <w:bottom w:val="none" w:sz="0" w:space="0" w:color="auto"/>
            <w:right w:val="none" w:sz="0" w:space="0" w:color="auto"/>
          </w:divBdr>
        </w:div>
        <w:div w:id="436681665">
          <w:marLeft w:val="0"/>
          <w:marRight w:val="0"/>
          <w:marTop w:val="0"/>
          <w:marBottom w:val="0"/>
          <w:divBdr>
            <w:top w:val="none" w:sz="0" w:space="0" w:color="auto"/>
            <w:left w:val="none" w:sz="0" w:space="0" w:color="auto"/>
            <w:bottom w:val="none" w:sz="0" w:space="0" w:color="auto"/>
            <w:right w:val="none" w:sz="0" w:space="0" w:color="auto"/>
          </w:divBdr>
        </w:div>
        <w:div w:id="132143229">
          <w:marLeft w:val="0"/>
          <w:marRight w:val="0"/>
          <w:marTop w:val="0"/>
          <w:marBottom w:val="0"/>
          <w:divBdr>
            <w:top w:val="none" w:sz="0" w:space="0" w:color="auto"/>
            <w:left w:val="none" w:sz="0" w:space="0" w:color="auto"/>
            <w:bottom w:val="none" w:sz="0" w:space="0" w:color="auto"/>
            <w:right w:val="none" w:sz="0" w:space="0" w:color="auto"/>
          </w:divBdr>
        </w:div>
        <w:div w:id="1613979019">
          <w:marLeft w:val="0"/>
          <w:marRight w:val="0"/>
          <w:marTop w:val="0"/>
          <w:marBottom w:val="0"/>
          <w:divBdr>
            <w:top w:val="none" w:sz="0" w:space="0" w:color="auto"/>
            <w:left w:val="none" w:sz="0" w:space="0" w:color="auto"/>
            <w:bottom w:val="none" w:sz="0" w:space="0" w:color="auto"/>
            <w:right w:val="none" w:sz="0" w:space="0" w:color="auto"/>
          </w:divBdr>
        </w:div>
        <w:div w:id="839466410">
          <w:marLeft w:val="0"/>
          <w:marRight w:val="0"/>
          <w:marTop w:val="0"/>
          <w:marBottom w:val="0"/>
          <w:divBdr>
            <w:top w:val="none" w:sz="0" w:space="0" w:color="auto"/>
            <w:left w:val="none" w:sz="0" w:space="0" w:color="auto"/>
            <w:bottom w:val="none" w:sz="0" w:space="0" w:color="auto"/>
            <w:right w:val="none" w:sz="0" w:space="0" w:color="auto"/>
          </w:divBdr>
        </w:div>
        <w:div w:id="996307373">
          <w:marLeft w:val="0"/>
          <w:marRight w:val="0"/>
          <w:marTop w:val="0"/>
          <w:marBottom w:val="0"/>
          <w:divBdr>
            <w:top w:val="none" w:sz="0" w:space="0" w:color="auto"/>
            <w:left w:val="none" w:sz="0" w:space="0" w:color="auto"/>
            <w:bottom w:val="none" w:sz="0" w:space="0" w:color="auto"/>
            <w:right w:val="none" w:sz="0" w:space="0" w:color="auto"/>
          </w:divBdr>
        </w:div>
        <w:div w:id="469907445">
          <w:marLeft w:val="0"/>
          <w:marRight w:val="0"/>
          <w:marTop w:val="0"/>
          <w:marBottom w:val="0"/>
          <w:divBdr>
            <w:top w:val="none" w:sz="0" w:space="0" w:color="auto"/>
            <w:left w:val="none" w:sz="0" w:space="0" w:color="auto"/>
            <w:bottom w:val="none" w:sz="0" w:space="0" w:color="auto"/>
            <w:right w:val="none" w:sz="0" w:space="0" w:color="auto"/>
          </w:divBdr>
        </w:div>
        <w:div w:id="1082943835">
          <w:marLeft w:val="0"/>
          <w:marRight w:val="0"/>
          <w:marTop w:val="0"/>
          <w:marBottom w:val="0"/>
          <w:divBdr>
            <w:top w:val="none" w:sz="0" w:space="0" w:color="auto"/>
            <w:left w:val="none" w:sz="0" w:space="0" w:color="auto"/>
            <w:bottom w:val="none" w:sz="0" w:space="0" w:color="auto"/>
            <w:right w:val="none" w:sz="0" w:space="0" w:color="auto"/>
          </w:divBdr>
        </w:div>
        <w:div w:id="1984499649">
          <w:marLeft w:val="0"/>
          <w:marRight w:val="0"/>
          <w:marTop w:val="0"/>
          <w:marBottom w:val="0"/>
          <w:divBdr>
            <w:top w:val="none" w:sz="0" w:space="0" w:color="auto"/>
            <w:left w:val="none" w:sz="0" w:space="0" w:color="auto"/>
            <w:bottom w:val="none" w:sz="0" w:space="0" w:color="auto"/>
            <w:right w:val="none" w:sz="0" w:space="0" w:color="auto"/>
          </w:divBdr>
        </w:div>
        <w:div w:id="1958753496">
          <w:marLeft w:val="0"/>
          <w:marRight w:val="0"/>
          <w:marTop w:val="0"/>
          <w:marBottom w:val="0"/>
          <w:divBdr>
            <w:top w:val="none" w:sz="0" w:space="0" w:color="auto"/>
            <w:left w:val="none" w:sz="0" w:space="0" w:color="auto"/>
            <w:bottom w:val="none" w:sz="0" w:space="0" w:color="auto"/>
            <w:right w:val="none" w:sz="0" w:space="0" w:color="auto"/>
          </w:divBdr>
        </w:div>
        <w:div w:id="1685325640">
          <w:marLeft w:val="0"/>
          <w:marRight w:val="0"/>
          <w:marTop w:val="0"/>
          <w:marBottom w:val="0"/>
          <w:divBdr>
            <w:top w:val="none" w:sz="0" w:space="0" w:color="auto"/>
            <w:left w:val="none" w:sz="0" w:space="0" w:color="auto"/>
            <w:bottom w:val="none" w:sz="0" w:space="0" w:color="auto"/>
            <w:right w:val="none" w:sz="0" w:space="0" w:color="auto"/>
          </w:divBdr>
        </w:div>
        <w:div w:id="1776754084">
          <w:marLeft w:val="0"/>
          <w:marRight w:val="0"/>
          <w:marTop w:val="0"/>
          <w:marBottom w:val="0"/>
          <w:divBdr>
            <w:top w:val="none" w:sz="0" w:space="0" w:color="auto"/>
            <w:left w:val="none" w:sz="0" w:space="0" w:color="auto"/>
            <w:bottom w:val="none" w:sz="0" w:space="0" w:color="auto"/>
            <w:right w:val="none" w:sz="0" w:space="0" w:color="auto"/>
          </w:divBdr>
          <w:divsChild>
            <w:div w:id="2128810796">
              <w:marLeft w:val="0"/>
              <w:marRight w:val="0"/>
              <w:marTop w:val="0"/>
              <w:marBottom w:val="0"/>
              <w:divBdr>
                <w:top w:val="none" w:sz="0" w:space="0" w:color="auto"/>
                <w:left w:val="none" w:sz="0" w:space="0" w:color="auto"/>
                <w:bottom w:val="none" w:sz="0" w:space="0" w:color="auto"/>
                <w:right w:val="none" w:sz="0" w:space="0" w:color="auto"/>
              </w:divBdr>
            </w:div>
            <w:div w:id="923950338">
              <w:marLeft w:val="0"/>
              <w:marRight w:val="0"/>
              <w:marTop w:val="0"/>
              <w:marBottom w:val="0"/>
              <w:divBdr>
                <w:top w:val="none" w:sz="0" w:space="0" w:color="auto"/>
                <w:left w:val="none" w:sz="0" w:space="0" w:color="auto"/>
                <w:bottom w:val="none" w:sz="0" w:space="0" w:color="auto"/>
                <w:right w:val="none" w:sz="0" w:space="0" w:color="auto"/>
              </w:divBdr>
            </w:div>
            <w:div w:id="1302921902">
              <w:marLeft w:val="0"/>
              <w:marRight w:val="0"/>
              <w:marTop w:val="0"/>
              <w:marBottom w:val="0"/>
              <w:divBdr>
                <w:top w:val="none" w:sz="0" w:space="0" w:color="auto"/>
                <w:left w:val="none" w:sz="0" w:space="0" w:color="auto"/>
                <w:bottom w:val="none" w:sz="0" w:space="0" w:color="auto"/>
                <w:right w:val="none" w:sz="0" w:space="0" w:color="auto"/>
              </w:divBdr>
            </w:div>
            <w:div w:id="450366246">
              <w:marLeft w:val="0"/>
              <w:marRight w:val="0"/>
              <w:marTop w:val="0"/>
              <w:marBottom w:val="0"/>
              <w:divBdr>
                <w:top w:val="none" w:sz="0" w:space="0" w:color="auto"/>
                <w:left w:val="none" w:sz="0" w:space="0" w:color="auto"/>
                <w:bottom w:val="none" w:sz="0" w:space="0" w:color="auto"/>
                <w:right w:val="none" w:sz="0" w:space="0" w:color="auto"/>
              </w:divBdr>
            </w:div>
            <w:div w:id="176777199">
              <w:marLeft w:val="0"/>
              <w:marRight w:val="0"/>
              <w:marTop w:val="0"/>
              <w:marBottom w:val="0"/>
              <w:divBdr>
                <w:top w:val="none" w:sz="0" w:space="0" w:color="auto"/>
                <w:left w:val="none" w:sz="0" w:space="0" w:color="auto"/>
                <w:bottom w:val="none" w:sz="0" w:space="0" w:color="auto"/>
                <w:right w:val="none" w:sz="0" w:space="0" w:color="auto"/>
              </w:divBdr>
            </w:div>
          </w:divsChild>
        </w:div>
        <w:div w:id="762071179">
          <w:marLeft w:val="0"/>
          <w:marRight w:val="0"/>
          <w:marTop w:val="0"/>
          <w:marBottom w:val="0"/>
          <w:divBdr>
            <w:top w:val="none" w:sz="0" w:space="0" w:color="auto"/>
            <w:left w:val="none" w:sz="0" w:space="0" w:color="auto"/>
            <w:bottom w:val="none" w:sz="0" w:space="0" w:color="auto"/>
            <w:right w:val="none" w:sz="0" w:space="0" w:color="auto"/>
          </w:divBdr>
          <w:divsChild>
            <w:div w:id="313995285">
              <w:marLeft w:val="0"/>
              <w:marRight w:val="0"/>
              <w:marTop w:val="0"/>
              <w:marBottom w:val="0"/>
              <w:divBdr>
                <w:top w:val="none" w:sz="0" w:space="0" w:color="auto"/>
                <w:left w:val="none" w:sz="0" w:space="0" w:color="auto"/>
                <w:bottom w:val="none" w:sz="0" w:space="0" w:color="auto"/>
                <w:right w:val="none" w:sz="0" w:space="0" w:color="auto"/>
              </w:divBdr>
            </w:div>
            <w:div w:id="1663074084">
              <w:marLeft w:val="0"/>
              <w:marRight w:val="0"/>
              <w:marTop w:val="0"/>
              <w:marBottom w:val="0"/>
              <w:divBdr>
                <w:top w:val="none" w:sz="0" w:space="0" w:color="auto"/>
                <w:left w:val="none" w:sz="0" w:space="0" w:color="auto"/>
                <w:bottom w:val="none" w:sz="0" w:space="0" w:color="auto"/>
                <w:right w:val="none" w:sz="0" w:space="0" w:color="auto"/>
              </w:divBdr>
            </w:div>
            <w:div w:id="608777238">
              <w:marLeft w:val="0"/>
              <w:marRight w:val="0"/>
              <w:marTop w:val="0"/>
              <w:marBottom w:val="0"/>
              <w:divBdr>
                <w:top w:val="none" w:sz="0" w:space="0" w:color="auto"/>
                <w:left w:val="none" w:sz="0" w:space="0" w:color="auto"/>
                <w:bottom w:val="none" w:sz="0" w:space="0" w:color="auto"/>
                <w:right w:val="none" w:sz="0" w:space="0" w:color="auto"/>
              </w:divBdr>
            </w:div>
            <w:div w:id="1026827354">
              <w:marLeft w:val="0"/>
              <w:marRight w:val="0"/>
              <w:marTop w:val="0"/>
              <w:marBottom w:val="0"/>
              <w:divBdr>
                <w:top w:val="none" w:sz="0" w:space="0" w:color="auto"/>
                <w:left w:val="none" w:sz="0" w:space="0" w:color="auto"/>
                <w:bottom w:val="none" w:sz="0" w:space="0" w:color="auto"/>
                <w:right w:val="none" w:sz="0" w:space="0" w:color="auto"/>
              </w:divBdr>
            </w:div>
            <w:div w:id="557594772">
              <w:marLeft w:val="0"/>
              <w:marRight w:val="0"/>
              <w:marTop w:val="0"/>
              <w:marBottom w:val="0"/>
              <w:divBdr>
                <w:top w:val="none" w:sz="0" w:space="0" w:color="auto"/>
                <w:left w:val="none" w:sz="0" w:space="0" w:color="auto"/>
                <w:bottom w:val="none" w:sz="0" w:space="0" w:color="auto"/>
                <w:right w:val="none" w:sz="0" w:space="0" w:color="auto"/>
              </w:divBdr>
            </w:div>
          </w:divsChild>
        </w:div>
        <w:div w:id="686490641">
          <w:marLeft w:val="0"/>
          <w:marRight w:val="0"/>
          <w:marTop w:val="0"/>
          <w:marBottom w:val="0"/>
          <w:divBdr>
            <w:top w:val="none" w:sz="0" w:space="0" w:color="auto"/>
            <w:left w:val="none" w:sz="0" w:space="0" w:color="auto"/>
            <w:bottom w:val="none" w:sz="0" w:space="0" w:color="auto"/>
            <w:right w:val="none" w:sz="0" w:space="0" w:color="auto"/>
          </w:divBdr>
          <w:divsChild>
            <w:div w:id="732699139">
              <w:marLeft w:val="0"/>
              <w:marRight w:val="0"/>
              <w:marTop w:val="0"/>
              <w:marBottom w:val="0"/>
              <w:divBdr>
                <w:top w:val="none" w:sz="0" w:space="0" w:color="auto"/>
                <w:left w:val="none" w:sz="0" w:space="0" w:color="auto"/>
                <w:bottom w:val="none" w:sz="0" w:space="0" w:color="auto"/>
                <w:right w:val="none" w:sz="0" w:space="0" w:color="auto"/>
              </w:divBdr>
            </w:div>
            <w:div w:id="1676031828">
              <w:marLeft w:val="0"/>
              <w:marRight w:val="0"/>
              <w:marTop w:val="0"/>
              <w:marBottom w:val="0"/>
              <w:divBdr>
                <w:top w:val="none" w:sz="0" w:space="0" w:color="auto"/>
                <w:left w:val="none" w:sz="0" w:space="0" w:color="auto"/>
                <w:bottom w:val="none" w:sz="0" w:space="0" w:color="auto"/>
                <w:right w:val="none" w:sz="0" w:space="0" w:color="auto"/>
              </w:divBdr>
            </w:div>
            <w:div w:id="990213994">
              <w:marLeft w:val="0"/>
              <w:marRight w:val="0"/>
              <w:marTop w:val="0"/>
              <w:marBottom w:val="0"/>
              <w:divBdr>
                <w:top w:val="none" w:sz="0" w:space="0" w:color="auto"/>
                <w:left w:val="none" w:sz="0" w:space="0" w:color="auto"/>
                <w:bottom w:val="none" w:sz="0" w:space="0" w:color="auto"/>
                <w:right w:val="none" w:sz="0" w:space="0" w:color="auto"/>
              </w:divBdr>
            </w:div>
            <w:div w:id="1593661443">
              <w:marLeft w:val="0"/>
              <w:marRight w:val="0"/>
              <w:marTop w:val="0"/>
              <w:marBottom w:val="0"/>
              <w:divBdr>
                <w:top w:val="none" w:sz="0" w:space="0" w:color="auto"/>
                <w:left w:val="none" w:sz="0" w:space="0" w:color="auto"/>
                <w:bottom w:val="none" w:sz="0" w:space="0" w:color="auto"/>
                <w:right w:val="none" w:sz="0" w:space="0" w:color="auto"/>
              </w:divBdr>
            </w:div>
            <w:div w:id="832376317">
              <w:marLeft w:val="0"/>
              <w:marRight w:val="0"/>
              <w:marTop w:val="0"/>
              <w:marBottom w:val="0"/>
              <w:divBdr>
                <w:top w:val="none" w:sz="0" w:space="0" w:color="auto"/>
                <w:left w:val="none" w:sz="0" w:space="0" w:color="auto"/>
                <w:bottom w:val="none" w:sz="0" w:space="0" w:color="auto"/>
                <w:right w:val="none" w:sz="0" w:space="0" w:color="auto"/>
              </w:divBdr>
            </w:div>
          </w:divsChild>
        </w:div>
        <w:div w:id="301810091">
          <w:marLeft w:val="0"/>
          <w:marRight w:val="0"/>
          <w:marTop w:val="0"/>
          <w:marBottom w:val="0"/>
          <w:divBdr>
            <w:top w:val="none" w:sz="0" w:space="0" w:color="auto"/>
            <w:left w:val="none" w:sz="0" w:space="0" w:color="auto"/>
            <w:bottom w:val="none" w:sz="0" w:space="0" w:color="auto"/>
            <w:right w:val="none" w:sz="0" w:space="0" w:color="auto"/>
          </w:divBdr>
          <w:divsChild>
            <w:div w:id="1597245164">
              <w:marLeft w:val="0"/>
              <w:marRight w:val="0"/>
              <w:marTop w:val="0"/>
              <w:marBottom w:val="0"/>
              <w:divBdr>
                <w:top w:val="none" w:sz="0" w:space="0" w:color="auto"/>
                <w:left w:val="none" w:sz="0" w:space="0" w:color="auto"/>
                <w:bottom w:val="none" w:sz="0" w:space="0" w:color="auto"/>
                <w:right w:val="none" w:sz="0" w:space="0" w:color="auto"/>
              </w:divBdr>
            </w:div>
          </w:divsChild>
        </w:div>
        <w:div w:id="1239437265">
          <w:marLeft w:val="0"/>
          <w:marRight w:val="0"/>
          <w:marTop w:val="0"/>
          <w:marBottom w:val="0"/>
          <w:divBdr>
            <w:top w:val="none" w:sz="0" w:space="0" w:color="auto"/>
            <w:left w:val="none" w:sz="0" w:space="0" w:color="auto"/>
            <w:bottom w:val="none" w:sz="0" w:space="0" w:color="auto"/>
            <w:right w:val="none" w:sz="0" w:space="0" w:color="auto"/>
          </w:divBdr>
          <w:divsChild>
            <w:div w:id="264651725">
              <w:marLeft w:val="0"/>
              <w:marRight w:val="0"/>
              <w:marTop w:val="0"/>
              <w:marBottom w:val="0"/>
              <w:divBdr>
                <w:top w:val="none" w:sz="0" w:space="0" w:color="auto"/>
                <w:left w:val="none" w:sz="0" w:space="0" w:color="auto"/>
                <w:bottom w:val="none" w:sz="0" w:space="0" w:color="auto"/>
                <w:right w:val="none" w:sz="0" w:space="0" w:color="auto"/>
              </w:divBdr>
            </w:div>
            <w:div w:id="490027305">
              <w:marLeft w:val="0"/>
              <w:marRight w:val="0"/>
              <w:marTop w:val="0"/>
              <w:marBottom w:val="0"/>
              <w:divBdr>
                <w:top w:val="none" w:sz="0" w:space="0" w:color="auto"/>
                <w:left w:val="none" w:sz="0" w:space="0" w:color="auto"/>
                <w:bottom w:val="none" w:sz="0" w:space="0" w:color="auto"/>
                <w:right w:val="none" w:sz="0" w:space="0" w:color="auto"/>
              </w:divBdr>
            </w:div>
            <w:div w:id="1909030763">
              <w:marLeft w:val="0"/>
              <w:marRight w:val="0"/>
              <w:marTop w:val="0"/>
              <w:marBottom w:val="0"/>
              <w:divBdr>
                <w:top w:val="none" w:sz="0" w:space="0" w:color="auto"/>
                <w:left w:val="none" w:sz="0" w:space="0" w:color="auto"/>
                <w:bottom w:val="none" w:sz="0" w:space="0" w:color="auto"/>
                <w:right w:val="none" w:sz="0" w:space="0" w:color="auto"/>
              </w:divBdr>
            </w:div>
            <w:div w:id="1291476266">
              <w:marLeft w:val="0"/>
              <w:marRight w:val="0"/>
              <w:marTop w:val="0"/>
              <w:marBottom w:val="0"/>
              <w:divBdr>
                <w:top w:val="none" w:sz="0" w:space="0" w:color="auto"/>
                <w:left w:val="none" w:sz="0" w:space="0" w:color="auto"/>
                <w:bottom w:val="none" w:sz="0" w:space="0" w:color="auto"/>
                <w:right w:val="none" w:sz="0" w:space="0" w:color="auto"/>
              </w:divBdr>
            </w:div>
          </w:divsChild>
        </w:div>
        <w:div w:id="778716564">
          <w:marLeft w:val="0"/>
          <w:marRight w:val="0"/>
          <w:marTop w:val="0"/>
          <w:marBottom w:val="0"/>
          <w:divBdr>
            <w:top w:val="none" w:sz="0" w:space="0" w:color="auto"/>
            <w:left w:val="none" w:sz="0" w:space="0" w:color="auto"/>
            <w:bottom w:val="none" w:sz="0" w:space="0" w:color="auto"/>
            <w:right w:val="none" w:sz="0" w:space="0" w:color="auto"/>
          </w:divBdr>
        </w:div>
        <w:div w:id="1441489973">
          <w:marLeft w:val="0"/>
          <w:marRight w:val="0"/>
          <w:marTop w:val="0"/>
          <w:marBottom w:val="0"/>
          <w:divBdr>
            <w:top w:val="none" w:sz="0" w:space="0" w:color="auto"/>
            <w:left w:val="none" w:sz="0" w:space="0" w:color="auto"/>
            <w:bottom w:val="none" w:sz="0" w:space="0" w:color="auto"/>
            <w:right w:val="none" w:sz="0" w:space="0" w:color="auto"/>
          </w:divBdr>
        </w:div>
        <w:div w:id="1671181870">
          <w:marLeft w:val="0"/>
          <w:marRight w:val="0"/>
          <w:marTop w:val="0"/>
          <w:marBottom w:val="0"/>
          <w:divBdr>
            <w:top w:val="none" w:sz="0" w:space="0" w:color="auto"/>
            <w:left w:val="none" w:sz="0" w:space="0" w:color="auto"/>
            <w:bottom w:val="none" w:sz="0" w:space="0" w:color="auto"/>
            <w:right w:val="none" w:sz="0" w:space="0" w:color="auto"/>
          </w:divBdr>
        </w:div>
        <w:div w:id="667175342">
          <w:marLeft w:val="0"/>
          <w:marRight w:val="0"/>
          <w:marTop w:val="0"/>
          <w:marBottom w:val="0"/>
          <w:divBdr>
            <w:top w:val="none" w:sz="0" w:space="0" w:color="auto"/>
            <w:left w:val="none" w:sz="0" w:space="0" w:color="auto"/>
            <w:bottom w:val="none" w:sz="0" w:space="0" w:color="auto"/>
            <w:right w:val="none" w:sz="0" w:space="0" w:color="auto"/>
          </w:divBdr>
        </w:div>
        <w:div w:id="1069187066">
          <w:marLeft w:val="0"/>
          <w:marRight w:val="0"/>
          <w:marTop w:val="0"/>
          <w:marBottom w:val="0"/>
          <w:divBdr>
            <w:top w:val="none" w:sz="0" w:space="0" w:color="auto"/>
            <w:left w:val="none" w:sz="0" w:space="0" w:color="auto"/>
            <w:bottom w:val="none" w:sz="0" w:space="0" w:color="auto"/>
            <w:right w:val="none" w:sz="0" w:space="0" w:color="auto"/>
          </w:divBdr>
        </w:div>
        <w:div w:id="1396053957">
          <w:marLeft w:val="0"/>
          <w:marRight w:val="0"/>
          <w:marTop w:val="0"/>
          <w:marBottom w:val="0"/>
          <w:divBdr>
            <w:top w:val="none" w:sz="0" w:space="0" w:color="auto"/>
            <w:left w:val="none" w:sz="0" w:space="0" w:color="auto"/>
            <w:bottom w:val="none" w:sz="0" w:space="0" w:color="auto"/>
            <w:right w:val="none" w:sz="0" w:space="0" w:color="auto"/>
          </w:divBdr>
        </w:div>
      </w:divsChild>
    </w:div>
    <w:div w:id="881331396">
      <w:bodyDiv w:val="1"/>
      <w:marLeft w:val="0"/>
      <w:marRight w:val="0"/>
      <w:marTop w:val="0"/>
      <w:marBottom w:val="0"/>
      <w:divBdr>
        <w:top w:val="none" w:sz="0" w:space="0" w:color="auto"/>
        <w:left w:val="none" w:sz="0" w:space="0" w:color="auto"/>
        <w:bottom w:val="none" w:sz="0" w:space="0" w:color="auto"/>
        <w:right w:val="none" w:sz="0" w:space="0" w:color="auto"/>
      </w:divBdr>
      <w:divsChild>
        <w:div w:id="513763123">
          <w:marLeft w:val="0"/>
          <w:marRight w:val="0"/>
          <w:marTop w:val="0"/>
          <w:marBottom w:val="0"/>
          <w:divBdr>
            <w:top w:val="none" w:sz="0" w:space="0" w:color="auto"/>
            <w:left w:val="none" w:sz="0" w:space="0" w:color="auto"/>
            <w:bottom w:val="none" w:sz="0" w:space="0" w:color="auto"/>
            <w:right w:val="none" w:sz="0" w:space="0" w:color="auto"/>
          </w:divBdr>
          <w:divsChild>
            <w:div w:id="1520505905">
              <w:marLeft w:val="0"/>
              <w:marRight w:val="0"/>
              <w:marTop w:val="0"/>
              <w:marBottom w:val="0"/>
              <w:divBdr>
                <w:top w:val="none" w:sz="0" w:space="0" w:color="auto"/>
                <w:left w:val="none" w:sz="0" w:space="0" w:color="auto"/>
                <w:bottom w:val="none" w:sz="0" w:space="0" w:color="auto"/>
                <w:right w:val="none" w:sz="0" w:space="0" w:color="auto"/>
              </w:divBdr>
              <w:divsChild>
                <w:div w:id="7878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290">
      <w:bodyDiv w:val="1"/>
      <w:marLeft w:val="0"/>
      <w:marRight w:val="0"/>
      <w:marTop w:val="0"/>
      <w:marBottom w:val="0"/>
      <w:divBdr>
        <w:top w:val="none" w:sz="0" w:space="0" w:color="auto"/>
        <w:left w:val="none" w:sz="0" w:space="0" w:color="auto"/>
        <w:bottom w:val="none" w:sz="0" w:space="0" w:color="auto"/>
        <w:right w:val="none" w:sz="0" w:space="0" w:color="auto"/>
      </w:divBdr>
      <w:divsChild>
        <w:div w:id="1325204291">
          <w:marLeft w:val="0"/>
          <w:marRight w:val="0"/>
          <w:marTop w:val="0"/>
          <w:marBottom w:val="0"/>
          <w:divBdr>
            <w:top w:val="none" w:sz="0" w:space="0" w:color="auto"/>
            <w:left w:val="none" w:sz="0" w:space="0" w:color="auto"/>
            <w:bottom w:val="none" w:sz="0" w:space="0" w:color="auto"/>
            <w:right w:val="none" w:sz="0" w:space="0" w:color="auto"/>
          </w:divBdr>
        </w:div>
        <w:div w:id="812871513">
          <w:marLeft w:val="0"/>
          <w:marRight w:val="0"/>
          <w:marTop w:val="0"/>
          <w:marBottom w:val="0"/>
          <w:divBdr>
            <w:top w:val="none" w:sz="0" w:space="0" w:color="auto"/>
            <w:left w:val="none" w:sz="0" w:space="0" w:color="auto"/>
            <w:bottom w:val="none" w:sz="0" w:space="0" w:color="auto"/>
            <w:right w:val="none" w:sz="0" w:space="0" w:color="auto"/>
          </w:divBdr>
        </w:div>
        <w:div w:id="1650789285">
          <w:marLeft w:val="0"/>
          <w:marRight w:val="0"/>
          <w:marTop w:val="0"/>
          <w:marBottom w:val="0"/>
          <w:divBdr>
            <w:top w:val="none" w:sz="0" w:space="0" w:color="auto"/>
            <w:left w:val="none" w:sz="0" w:space="0" w:color="auto"/>
            <w:bottom w:val="none" w:sz="0" w:space="0" w:color="auto"/>
            <w:right w:val="none" w:sz="0" w:space="0" w:color="auto"/>
          </w:divBdr>
        </w:div>
        <w:div w:id="1059088004">
          <w:marLeft w:val="0"/>
          <w:marRight w:val="0"/>
          <w:marTop w:val="0"/>
          <w:marBottom w:val="0"/>
          <w:divBdr>
            <w:top w:val="none" w:sz="0" w:space="0" w:color="auto"/>
            <w:left w:val="none" w:sz="0" w:space="0" w:color="auto"/>
            <w:bottom w:val="none" w:sz="0" w:space="0" w:color="auto"/>
            <w:right w:val="none" w:sz="0" w:space="0" w:color="auto"/>
          </w:divBdr>
        </w:div>
        <w:div w:id="203564837">
          <w:marLeft w:val="0"/>
          <w:marRight w:val="0"/>
          <w:marTop w:val="0"/>
          <w:marBottom w:val="0"/>
          <w:divBdr>
            <w:top w:val="none" w:sz="0" w:space="0" w:color="auto"/>
            <w:left w:val="none" w:sz="0" w:space="0" w:color="auto"/>
            <w:bottom w:val="none" w:sz="0" w:space="0" w:color="auto"/>
            <w:right w:val="none" w:sz="0" w:space="0" w:color="auto"/>
          </w:divBdr>
        </w:div>
        <w:div w:id="969631029">
          <w:marLeft w:val="0"/>
          <w:marRight w:val="0"/>
          <w:marTop w:val="0"/>
          <w:marBottom w:val="0"/>
          <w:divBdr>
            <w:top w:val="none" w:sz="0" w:space="0" w:color="auto"/>
            <w:left w:val="none" w:sz="0" w:space="0" w:color="auto"/>
            <w:bottom w:val="none" w:sz="0" w:space="0" w:color="auto"/>
            <w:right w:val="none" w:sz="0" w:space="0" w:color="auto"/>
          </w:divBdr>
        </w:div>
        <w:div w:id="1021010703">
          <w:marLeft w:val="0"/>
          <w:marRight w:val="0"/>
          <w:marTop w:val="0"/>
          <w:marBottom w:val="0"/>
          <w:divBdr>
            <w:top w:val="none" w:sz="0" w:space="0" w:color="auto"/>
            <w:left w:val="none" w:sz="0" w:space="0" w:color="auto"/>
            <w:bottom w:val="none" w:sz="0" w:space="0" w:color="auto"/>
            <w:right w:val="none" w:sz="0" w:space="0" w:color="auto"/>
          </w:divBdr>
        </w:div>
        <w:div w:id="1732465468">
          <w:marLeft w:val="0"/>
          <w:marRight w:val="0"/>
          <w:marTop w:val="0"/>
          <w:marBottom w:val="0"/>
          <w:divBdr>
            <w:top w:val="none" w:sz="0" w:space="0" w:color="auto"/>
            <w:left w:val="none" w:sz="0" w:space="0" w:color="auto"/>
            <w:bottom w:val="none" w:sz="0" w:space="0" w:color="auto"/>
            <w:right w:val="none" w:sz="0" w:space="0" w:color="auto"/>
          </w:divBdr>
        </w:div>
        <w:div w:id="1206678633">
          <w:marLeft w:val="0"/>
          <w:marRight w:val="0"/>
          <w:marTop w:val="0"/>
          <w:marBottom w:val="0"/>
          <w:divBdr>
            <w:top w:val="none" w:sz="0" w:space="0" w:color="auto"/>
            <w:left w:val="none" w:sz="0" w:space="0" w:color="auto"/>
            <w:bottom w:val="none" w:sz="0" w:space="0" w:color="auto"/>
            <w:right w:val="none" w:sz="0" w:space="0" w:color="auto"/>
          </w:divBdr>
        </w:div>
        <w:div w:id="349181183">
          <w:marLeft w:val="0"/>
          <w:marRight w:val="0"/>
          <w:marTop w:val="0"/>
          <w:marBottom w:val="0"/>
          <w:divBdr>
            <w:top w:val="none" w:sz="0" w:space="0" w:color="auto"/>
            <w:left w:val="none" w:sz="0" w:space="0" w:color="auto"/>
            <w:bottom w:val="none" w:sz="0" w:space="0" w:color="auto"/>
            <w:right w:val="none" w:sz="0" w:space="0" w:color="auto"/>
          </w:divBdr>
        </w:div>
        <w:div w:id="166948503">
          <w:marLeft w:val="0"/>
          <w:marRight w:val="0"/>
          <w:marTop w:val="0"/>
          <w:marBottom w:val="0"/>
          <w:divBdr>
            <w:top w:val="none" w:sz="0" w:space="0" w:color="auto"/>
            <w:left w:val="none" w:sz="0" w:space="0" w:color="auto"/>
            <w:bottom w:val="none" w:sz="0" w:space="0" w:color="auto"/>
            <w:right w:val="none" w:sz="0" w:space="0" w:color="auto"/>
          </w:divBdr>
        </w:div>
        <w:div w:id="1302078164">
          <w:marLeft w:val="0"/>
          <w:marRight w:val="0"/>
          <w:marTop w:val="0"/>
          <w:marBottom w:val="0"/>
          <w:divBdr>
            <w:top w:val="none" w:sz="0" w:space="0" w:color="auto"/>
            <w:left w:val="none" w:sz="0" w:space="0" w:color="auto"/>
            <w:bottom w:val="none" w:sz="0" w:space="0" w:color="auto"/>
            <w:right w:val="none" w:sz="0" w:space="0" w:color="auto"/>
          </w:divBdr>
        </w:div>
        <w:div w:id="751976620">
          <w:marLeft w:val="0"/>
          <w:marRight w:val="0"/>
          <w:marTop w:val="0"/>
          <w:marBottom w:val="0"/>
          <w:divBdr>
            <w:top w:val="none" w:sz="0" w:space="0" w:color="auto"/>
            <w:left w:val="none" w:sz="0" w:space="0" w:color="auto"/>
            <w:bottom w:val="none" w:sz="0" w:space="0" w:color="auto"/>
            <w:right w:val="none" w:sz="0" w:space="0" w:color="auto"/>
          </w:divBdr>
        </w:div>
        <w:div w:id="477964449">
          <w:marLeft w:val="0"/>
          <w:marRight w:val="0"/>
          <w:marTop w:val="0"/>
          <w:marBottom w:val="0"/>
          <w:divBdr>
            <w:top w:val="none" w:sz="0" w:space="0" w:color="auto"/>
            <w:left w:val="none" w:sz="0" w:space="0" w:color="auto"/>
            <w:bottom w:val="none" w:sz="0" w:space="0" w:color="auto"/>
            <w:right w:val="none" w:sz="0" w:space="0" w:color="auto"/>
          </w:divBdr>
        </w:div>
        <w:div w:id="1298219646">
          <w:marLeft w:val="0"/>
          <w:marRight w:val="0"/>
          <w:marTop w:val="0"/>
          <w:marBottom w:val="0"/>
          <w:divBdr>
            <w:top w:val="none" w:sz="0" w:space="0" w:color="auto"/>
            <w:left w:val="none" w:sz="0" w:space="0" w:color="auto"/>
            <w:bottom w:val="none" w:sz="0" w:space="0" w:color="auto"/>
            <w:right w:val="none" w:sz="0" w:space="0" w:color="auto"/>
          </w:divBdr>
        </w:div>
        <w:div w:id="27419943">
          <w:marLeft w:val="0"/>
          <w:marRight w:val="0"/>
          <w:marTop w:val="0"/>
          <w:marBottom w:val="0"/>
          <w:divBdr>
            <w:top w:val="none" w:sz="0" w:space="0" w:color="auto"/>
            <w:left w:val="none" w:sz="0" w:space="0" w:color="auto"/>
            <w:bottom w:val="none" w:sz="0" w:space="0" w:color="auto"/>
            <w:right w:val="none" w:sz="0" w:space="0" w:color="auto"/>
          </w:divBdr>
        </w:div>
        <w:div w:id="567691131">
          <w:marLeft w:val="0"/>
          <w:marRight w:val="0"/>
          <w:marTop w:val="0"/>
          <w:marBottom w:val="0"/>
          <w:divBdr>
            <w:top w:val="none" w:sz="0" w:space="0" w:color="auto"/>
            <w:left w:val="none" w:sz="0" w:space="0" w:color="auto"/>
            <w:bottom w:val="none" w:sz="0" w:space="0" w:color="auto"/>
            <w:right w:val="none" w:sz="0" w:space="0" w:color="auto"/>
          </w:divBdr>
        </w:div>
        <w:div w:id="1237013178">
          <w:marLeft w:val="0"/>
          <w:marRight w:val="0"/>
          <w:marTop w:val="0"/>
          <w:marBottom w:val="0"/>
          <w:divBdr>
            <w:top w:val="none" w:sz="0" w:space="0" w:color="auto"/>
            <w:left w:val="none" w:sz="0" w:space="0" w:color="auto"/>
            <w:bottom w:val="none" w:sz="0" w:space="0" w:color="auto"/>
            <w:right w:val="none" w:sz="0" w:space="0" w:color="auto"/>
          </w:divBdr>
          <w:divsChild>
            <w:div w:id="2005936847">
              <w:marLeft w:val="0"/>
              <w:marRight w:val="0"/>
              <w:marTop w:val="0"/>
              <w:marBottom w:val="0"/>
              <w:divBdr>
                <w:top w:val="none" w:sz="0" w:space="0" w:color="auto"/>
                <w:left w:val="none" w:sz="0" w:space="0" w:color="auto"/>
                <w:bottom w:val="none" w:sz="0" w:space="0" w:color="auto"/>
                <w:right w:val="none" w:sz="0" w:space="0" w:color="auto"/>
              </w:divBdr>
            </w:div>
            <w:div w:id="652758373">
              <w:marLeft w:val="0"/>
              <w:marRight w:val="0"/>
              <w:marTop w:val="0"/>
              <w:marBottom w:val="0"/>
              <w:divBdr>
                <w:top w:val="none" w:sz="0" w:space="0" w:color="auto"/>
                <w:left w:val="none" w:sz="0" w:space="0" w:color="auto"/>
                <w:bottom w:val="none" w:sz="0" w:space="0" w:color="auto"/>
                <w:right w:val="none" w:sz="0" w:space="0" w:color="auto"/>
              </w:divBdr>
            </w:div>
            <w:div w:id="1463109137">
              <w:marLeft w:val="0"/>
              <w:marRight w:val="0"/>
              <w:marTop w:val="0"/>
              <w:marBottom w:val="0"/>
              <w:divBdr>
                <w:top w:val="none" w:sz="0" w:space="0" w:color="auto"/>
                <w:left w:val="none" w:sz="0" w:space="0" w:color="auto"/>
                <w:bottom w:val="none" w:sz="0" w:space="0" w:color="auto"/>
                <w:right w:val="none" w:sz="0" w:space="0" w:color="auto"/>
              </w:divBdr>
            </w:div>
            <w:div w:id="1189220423">
              <w:marLeft w:val="0"/>
              <w:marRight w:val="0"/>
              <w:marTop w:val="0"/>
              <w:marBottom w:val="0"/>
              <w:divBdr>
                <w:top w:val="none" w:sz="0" w:space="0" w:color="auto"/>
                <w:left w:val="none" w:sz="0" w:space="0" w:color="auto"/>
                <w:bottom w:val="none" w:sz="0" w:space="0" w:color="auto"/>
                <w:right w:val="none" w:sz="0" w:space="0" w:color="auto"/>
              </w:divBdr>
            </w:div>
            <w:div w:id="599798172">
              <w:marLeft w:val="0"/>
              <w:marRight w:val="0"/>
              <w:marTop w:val="0"/>
              <w:marBottom w:val="0"/>
              <w:divBdr>
                <w:top w:val="none" w:sz="0" w:space="0" w:color="auto"/>
                <w:left w:val="none" w:sz="0" w:space="0" w:color="auto"/>
                <w:bottom w:val="none" w:sz="0" w:space="0" w:color="auto"/>
                <w:right w:val="none" w:sz="0" w:space="0" w:color="auto"/>
              </w:divBdr>
            </w:div>
          </w:divsChild>
        </w:div>
        <w:div w:id="1968126785">
          <w:marLeft w:val="0"/>
          <w:marRight w:val="0"/>
          <w:marTop w:val="0"/>
          <w:marBottom w:val="0"/>
          <w:divBdr>
            <w:top w:val="none" w:sz="0" w:space="0" w:color="auto"/>
            <w:left w:val="none" w:sz="0" w:space="0" w:color="auto"/>
            <w:bottom w:val="none" w:sz="0" w:space="0" w:color="auto"/>
            <w:right w:val="none" w:sz="0" w:space="0" w:color="auto"/>
          </w:divBdr>
          <w:divsChild>
            <w:div w:id="1094595655">
              <w:marLeft w:val="0"/>
              <w:marRight w:val="0"/>
              <w:marTop w:val="0"/>
              <w:marBottom w:val="0"/>
              <w:divBdr>
                <w:top w:val="none" w:sz="0" w:space="0" w:color="auto"/>
                <w:left w:val="none" w:sz="0" w:space="0" w:color="auto"/>
                <w:bottom w:val="none" w:sz="0" w:space="0" w:color="auto"/>
                <w:right w:val="none" w:sz="0" w:space="0" w:color="auto"/>
              </w:divBdr>
            </w:div>
            <w:div w:id="300577581">
              <w:marLeft w:val="0"/>
              <w:marRight w:val="0"/>
              <w:marTop w:val="0"/>
              <w:marBottom w:val="0"/>
              <w:divBdr>
                <w:top w:val="none" w:sz="0" w:space="0" w:color="auto"/>
                <w:left w:val="none" w:sz="0" w:space="0" w:color="auto"/>
                <w:bottom w:val="none" w:sz="0" w:space="0" w:color="auto"/>
                <w:right w:val="none" w:sz="0" w:space="0" w:color="auto"/>
              </w:divBdr>
            </w:div>
            <w:div w:id="1587491385">
              <w:marLeft w:val="0"/>
              <w:marRight w:val="0"/>
              <w:marTop w:val="0"/>
              <w:marBottom w:val="0"/>
              <w:divBdr>
                <w:top w:val="none" w:sz="0" w:space="0" w:color="auto"/>
                <w:left w:val="none" w:sz="0" w:space="0" w:color="auto"/>
                <w:bottom w:val="none" w:sz="0" w:space="0" w:color="auto"/>
                <w:right w:val="none" w:sz="0" w:space="0" w:color="auto"/>
              </w:divBdr>
            </w:div>
            <w:div w:id="1511069635">
              <w:marLeft w:val="0"/>
              <w:marRight w:val="0"/>
              <w:marTop w:val="0"/>
              <w:marBottom w:val="0"/>
              <w:divBdr>
                <w:top w:val="none" w:sz="0" w:space="0" w:color="auto"/>
                <w:left w:val="none" w:sz="0" w:space="0" w:color="auto"/>
                <w:bottom w:val="none" w:sz="0" w:space="0" w:color="auto"/>
                <w:right w:val="none" w:sz="0" w:space="0" w:color="auto"/>
              </w:divBdr>
            </w:div>
            <w:div w:id="801273057">
              <w:marLeft w:val="0"/>
              <w:marRight w:val="0"/>
              <w:marTop w:val="0"/>
              <w:marBottom w:val="0"/>
              <w:divBdr>
                <w:top w:val="none" w:sz="0" w:space="0" w:color="auto"/>
                <w:left w:val="none" w:sz="0" w:space="0" w:color="auto"/>
                <w:bottom w:val="none" w:sz="0" w:space="0" w:color="auto"/>
                <w:right w:val="none" w:sz="0" w:space="0" w:color="auto"/>
              </w:divBdr>
            </w:div>
          </w:divsChild>
        </w:div>
        <w:div w:id="249316223">
          <w:marLeft w:val="0"/>
          <w:marRight w:val="0"/>
          <w:marTop w:val="0"/>
          <w:marBottom w:val="0"/>
          <w:divBdr>
            <w:top w:val="none" w:sz="0" w:space="0" w:color="auto"/>
            <w:left w:val="none" w:sz="0" w:space="0" w:color="auto"/>
            <w:bottom w:val="none" w:sz="0" w:space="0" w:color="auto"/>
            <w:right w:val="none" w:sz="0" w:space="0" w:color="auto"/>
          </w:divBdr>
          <w:divsChild>
            <w:div w:id="1285111598">
              <w:marLeft w:val="0"/>
              <w:marRight w:val="0"/>
              <w:marTop w:val="0"/>
              <w:marBottom w:val="0"/>
              <w:divBdr>
                <w:top w:val="none" w:sz="0" w:space="0" w:color="auto"/>
                <w:left w:val="none" w:sz="0" w:space="0" w:color="auto"/>
                <w:bottom w:val="none" w:sz="0" w:space="0" w:color="auto"/>
                <w:right w:val="none" w:sz="0" w:space="0" w:color="auto"/>
              </w:divBdr>
            </w:div>
            <w:div w:id="1969895787">
              <w:marLeft w:val="0"/>
              <w:marRight w:val="0"/>
              <w:marTop w:val="0"/>
              <w:marBottom w:val="0"/>
              <w:divBdr>
                <w:top w:val="none" w:sz="0" w:space="0" w:color="auto"/>
                <w:left w:val="none" w:sz="0" w:space="0" w:color="auto"/>
                <w:bottom w:val="none" w:sz="0" w:space="0" w:color="auto"/>
                <w:right w:val="none" w:sz="0" w:space="0" w:color="auto"/>
              </w:divBdr>
            </w:div>
            <w:div w:id="1547839005">
              <w:marLeft w:val="0"/>
              <w:marRight w:val="0"/>
              <w:marTop w:val="0"/>
              <w:marBottom w:val="0"/>
              <w:divBdr>
                <w:top w:val="none" w:sz="0" w:space="0" w:color="auto"/>
                <w:left w:val="none" w:sz="0" w:space="0" w:color="auto"/>
                <w:bottom w:val="none" w:sz="0" w:space="0" w:color="auto"/>
                <w:right w:val="none" w:sz="0" w:space="0" w:color="auto"/>
              </w:divBdr>
            </w:div>
            <w:div w:id="515195831">
              <w:marLeft w:val="0"/>
              <w:marRight w:val="0"/>
              <w:marTop w:val="0"/>
              <w:marBottom w:val="0"/>
              <w:divBdr>
                <w:top w:val="none" w:sz="0" w:space="0" w:color="auto"/>
                <w:left w:val="none" w:sz="0" w:space="0" w:color="auto"/>
                <w:bottom w:val="none" w:sz="0" w:space="0" w:color="auto"/>
                <w:right w:val="none" w:sz="0" w:space="0" w:color="auto"/>
              </w:divBdr>
            </w:div>
            <w:div w:id="314334078">
              <w:marLeft w:val="0"/>
              <w:marRight w:val="0"/>
              <w:marTop w:val="0"/>
              <w:marBottom w:val="0"/>
              <w:divBdr>
                <w:top w:val="none" w:sz="0" w:space="0" w:color="auto"/>
                <w:left w:val="none" w:sz="0" w:space="0" w:color="auto"/>
                <w:bottom w:val="none" w:sz="0" w:space="0" w:color="auto"/>
                <w:right w:val="none" w:sz="0" w:space="0" w:color="auto"/>
              </w:divBdr>
            </w:div>
          </w:divsChild>
        </w:div>
        <w:div w:id="1771118377">
          <w:marLeft w:val="0"/>
          <w:marRight w:val="0"/>
          <w:marTop w:val="0"/>
          <w:marBottom w:val="0"/>
          <w:divBdr>
            <w:top w:val="none" w:sz="0" w:space="0" w:color="auto"/>
            <w:left w:val="none" w:sz="0" w:space="0" w:color="auto"/>
            <w:bottom w:val="none" w:sz="0" w:space="0" w:color="auto"/>
            <w:right w:val="none" w:sz="0" w:space="0" w:color="auto"/>
          </w:divBdr>
          <w:divsChild>
            <w:div w:id="1315983892">
              <w:marLeft w:val="0"/>
              <w:marRight w:val="0"/>
              <w:marTop w:val="0"/>
              <w:marBottom w:val="0"/>
              <w:divBdr>
                <w:top w:val="none" w:sz="0" w:space="0" w:color="auto"/>
                <w:left w:val="none" w:sz="0" w:space="0" w:color="auto"/>
                <w:bottom w:val="none" w:sz="0" w:space="0" w:color="auto"/>
                <w:right w:val="none" w:sz="0" w:space="0" w:color="auto"/>
              </w:divBdr>
            </w:div>
          </w:divsChild>
        </w:div>
        <w:div w:id="324089387">
          <w:marLeft w:val="0"/>
          <w:marRight w:val="0"/>
          <w:marTop w:val="0"/>
          <w:marBottom w:val="0"/>
          <w:divBdr>
            <w:top w:val="none" w:sz="0" w:space="0" w:color="auto"/>
            <w:left w:val="none" w:sz="0" w:space="0" w:color="auto"/>
            <w:bottom w:val="none" w:sz="0" w:space="0" w:color="auto"/>
            <w:right w:val="none" w:sz="0" w:space="0" w:color="auto"/>
          </w:divBdr>
          <w:divsChild>
            <w:div w:id="862935206">
              <w:marLeft w:val="0"/>
              <w:marRight w:val="0"/>
              <w:marTop w:val="0"/>
              <w:marBottom w:val="0"/>
              <w:divBdr>
                <w:top w:val="none" w:sz="0" w:space="0" w:color="auto"/>
                <w:left w:val="none" w:sz="0" w:space="0" w:color="auto"/>
                <w:bottom w:val="none" w:sz="0" w:space="0" w:color="auto"/>
                <w:right w:val="none" w:sz="0" w:space="0" w:color="auto"/>
              </w:divBdr>
            </w:div>
            <w:div w:id="2062750954">
              <w:marLeft w:val="0"/>
              <w:marRight w:val="0"/>
              <w:marTop w:val="0"/>
              <w:marBottom w:val="0"/>
              <w:divBdr>
                <w:top w:val="none" w:sz="0" w:space="0" w:color="auto"/>
                <w:left w:val="none" w:sz="0" w:space="0" w:color="auto"/>
                <w:bottom w:val="none" w:sz="0" w:space="0" w:color="auto"/>
                <w:right w:val="none" w:sz="0" w:space="0" w:color="auto"/>
              </w:divBdr>
            </w:div>
            <w:div w:id="1482388714">
              <w:marLeft w:val="0"/>
              <w:marRight w:val="0"/>
              <w:marTop w:val="0"/>
              <w:marBottom w:val="0"/>
              <w:divBdr>
                <w:top w:val="none" w:sz="0" w:space="0" w:color="auto"/>
                <w:left w:val="none" w:sz="0" w:space="0" w:color="auto"/>
                <w:bottom w:val="none" w:sz="0" w:space="0" w:color="auto"/>
                <w:right w:val="none" w:sz="0" w:space="0" w:color="auto"/>
              </w:divBdr>
            </w:div>
            <w:div w:id="1746488439">
              <w:marLeft w:val="0"/>
              <w:marRight w:val="0"/>
              <w:marTop w:val="0"/>
              <w:marBottom w:val="0"/>
              <w:divBdr>
                <w:top w:val="none" w:sz="0" w:space="0" w:color="auto"/>
                <w:left w:val="none" w:sz="0" w:space="0" w:color="auto"/>
                <w:bottom w:val="none" w:sz="0" w:space="0" w:color="auto"/>
                <w:right w:val="none" w:sz="0" w:space="0" w:color="auto"/>
              </w:divBdr>
            </w:div>
          </w:divsChild>
        </w:div>
        <w:div w:id="535310954">
          <w:marLeft w:val="0"/>
          <w:marRight w:val="0"/>
          <w:marTop w:val="0"/>
          <w:marBottom w:val="0"/>
          <w:divBdr>
            <w:top w:val="none" w:sz="0" w:space="0" w:color="auto"/>
            <w:left w:val="none" w:sz="0" w:space="0" w:color="auto"/>
            <w:bottom w:val="none" w:sz="0" w:space="0" w:color="auto"/>
            <w:right w:val="none" w:sz="0" w:space="0" w:color="auto"/>
          </w:divBdr>
        </w:div>
        <w:div w:id="571895436">
          <w:marLeft w:val="0"/>
          <w:marRight w:val="0"/>
          <w:marTop w:val="0"/>
          <w:marBottom w:val="0"/>
          <w:divBdr>
            <w:top w:val="none" w:sz="0" w:space="0" w:color="auto"/>
            <w:left w:val="none" w:sz="0" w:space="0" w:color="auto"/>
            <w:bottom w:val="none" w:sz="0" w:space="0" w:color="auto"/>
            <w:right w:val="none" w:sz="0" w:space="0" w:color="auto"/>
          </w:divBdr>
        </w:div>
        <w:div w:id="560212120">
          <w:marLeft w:val="0"/>
          <w:marRight w:val="0"/>
          <w:marTop w:val="0"/>
          <w:marBottom w:val="0"/>
          <w:divBdr>
            <w:top w:val="none" w:sz="0" w:space="0" w:color="auto"/>
            <w:left w:val="none" w:sz="0" w:space="0" w:color="auto"/>
            <w:bottom w:val="none" w:sz="0" w:space="0" w:color="auto"/>
            <w:right w:val="none" w:sz="0" w:space="0" w:color="auto"/>
          </w:divBdr>
        </w:div>
        <w:div w:id="1834829874">
          <w:marLeft w:val="0"/>
          <w:marRight w:val="0"/>
          <w:marTop w:val="0"/>
          <w:marBottom w:val="0"/>
          <w:divBdr>
            <w:top w:val="none" w:sz="0" w:space="0" w:color="auto"/>
            <w:left w:val="none" w:sz="0" w:space="0" w:color="auto"/>
            <w:bottom w:val="none" w:sz="0" w:space="0" w:color="auto"/>
            <w:right w:val="none" w:sz="0" w:space="0" w:color="auto"/>
          </w:divBdr>
        </w:div>
        <w:div w:id="1167285695">
          <w:marLeft w:val="0"/>
          <w:marRight w:val="0"/>
          <w:marTop w:val="0"/>
          <w:marBottom w:val="0"/>
          <w:divBdr>
            <w:top w:val="none" w:sz="0" w:space="0" w:color="auto"/>
            <w:left w:val="none" w:sz="0" w:space="0" w:color="auto"/>
            <w:bottom w:val="none" w:sz="0" w:space="0" w:color="auto"/>
            <w:right w:val="none" w:sz="0" w:space="0" w:color="auto"/>
          </w:divBdr>
        </w:div>
        <w:div w:id="218127351">
          <w:marLeft w:val="0"/>
          <w:marRight w:val="0"/>
          <w:marTop w:val="0"/>
          <w:marBottom w:val="0"/>
          <w:divBdr>
            <w:top w:val="none" w:sz="0" w:space="0" w:color="auto"/>
            <w:left w:val="none" w:sz="0" w:space="0" w:color="auto"/>
            <w:bottom w:val="none" w:sz="0" w:space="0" w:color="auto"/>
            <w:right w:val="none" w:sz="0" w:space="0" w:color="auto"/>
          </w:divBdr>
        </w:div>
      </w:divsChild>
    </w:div>
    <w:div w:id="2087412823">
      <w:bodyDiv w:val="1"/>
      <w:marLeft w:val="0"/>
      <w:marRight w:val="0"/>
      <w:marTop w:val="0"/>
      <w:marBottom w:val="0"/>
      <w:divBdr>
        <w:top w:val="none" w:sz="0" w:space="0" w:color="auto"/>
        <w:left w:val="none" w:sz="0" w:space="0" w:color="auto"/>
        <w:bottom w:val="none" w:sz="0" w:space="0" w:color="auto"/>
        <w:right w:val="none" w:sz="0" w:space="0" w:color="auto"/>
      </w:divBdr>
      <w:divsChild>
        <w:div w:id="646400452">
          <w:marLeft w:val="0"/>
          <w:marRight w:val="0"/>
          <w:marTop w:val="0"/>
          <w:marBottom w:val="0"/>
          <w:divBdr>
            <w:top w:val="none" w:sz="0" w:space="0" w:color="auto"/>
            <w:left w:val="none" w:sz="0" w:space="0" w:color="auto"/>
            <w:bottom w:val="none" w:sz="0" w:space="0" w:color="auto"/>
            <w:right w:val="none" w:sz="0" w:space="0" w:color="auto"/>
          </w:divBdr>
          <w:divsChild>
            <w:div w:id="1885363711">
              <w:marLeft w:val="0"/>
              <w:marRight w:val="0"/>
              <w:marTop w:val="0"/>
              <w:marBottom w:val="0"/>
              <w:divBdr>
                <w:top w:val="none" w:sz="0" w:space="0" w:color="auto"/>
                <w:left w:val="none" w:sz="0" w:space="0" w:color="auto"/>
                <w:bottom w:val="none" w:sz="0" w:space="0" w:color="auto"/>
                <w:right w:val="none" w:sz="0" w:space="0" w:color="auto"/>
              </w:divBdr>
              <w:divsChild>
                <w:div w:id="510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fr/publications/608/" TargetMode="External" Id="rId13" /><Relationship Type="http://schemas.openxmlformats.org/officeDocument/2006/relationships/hyperlink" Target="https://www.ippc.int/fr/publications/90774/" TargetMode="External" Id="rId18" /><Relationship Type="http://schemas.openxmlformats.org/officeDocument/2006/relationships/customXml" Target="../customXml/item3.xml" Id="rId3" /><Relationship Type="http://schemas.openxmlformats.org/officeDocument/2006/relationships/hyperlink" Target="https://assets.ippc.int/static/media/files/publication/en/2016/02/28_CPM_2016_April_NRO_Procedures-2016-02-18_withTables.pdf" TargetMode="External" Id="rId21" /><Relationship Type="http://schemas.openxmlformats.org/officeDocument/2006/relationships/settings" Target="settings.xml" Id="rId7" /><Relationship Type="http://schemas.openxmlformats.org/officeDocument/2006/relationships/hyperlink" Target="https://www.ippc.int/fr/publications/612/" TargetMode="External" Id="rId12" /><Relationship Type="http://schemas.openxmlformats.org/officeDocument/2006/relationships/hyperlink" Target="https://doi.org/10.4060/cb6103en" TargetMode="External" Id="rId17" /><Relationship Type="http://schemas.openxmlformats.org/officeDocument/2006/relationships/customXml" Target="../customXml/item2.xml" Id="rId2" /><Relationship Type="http://schemas.openxmlformats.org/officeDocument/2006/relationships/hyperlink" Target="https://www.ippc.int/fr/e-learning/" TargetMode="External" Id="rId16" /><Relationship Type="http://schemas.openxmlformats.org/officeDocument/2006/relationships/hyperlink" Target="https://assets.ippc.int/static/media/files/publication/en/2016/02/26_CPM_2016_April_NRO_Qualitycontrol-2016-02-15.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publications/622/" TargetMode="External" Id="rId11" /><Relationship Type="http://schemas.openxmlformats.org/officeDocument/2006/relationships/numbering" Target="numbering.xml" Id="rId5" /><Relationship Type="http://schemas.openxmlformats.org/officeDocument/2006/relationships/hyperlink" Target="https://www.ippc.int/fr/core-activities/capacity-development/capacity-development-committee/ic-sub-group/ic-team-for-national-reporting-obligations-nro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ippc.int/fr/publications/80405/" TargetMode="External" Id="rId19" /><Relationship Type="http://schemas.microsoft.com/office/2019/09/relationships/intelligence" Target="intelligence.xml" Id="R8e156829e7f648d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fr/publications/606/" TargetMode="External" Id="rId14" /><Relationship Type="http://schemas.openxmlformats.org/officeDocument/2006/relationships/fontTable" Target="fontTable.xml" Id="rId22"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2.xml><?xml version="1.0" encoding="utf-8"?>
<ds:datastoreItem xmlns:ds="http://schemas.openxmlformats.org/officeDocument/2006/customXml" ds:itemID="{F67C3235-5863-491B-A528-3D84B63D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4.xml><?xml version="1.0" encoding="utf-8"?>
<ds:datastoreItem xmlns:ds="http://schemas.openxmlformats.org/officeDocument/2006/customXml" ds:itemID="{9BAE6A61-641E-4739-ACA8-BA203C64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4</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41</cp:revision>
  <dcterms:created xsi:type="dcterms:W3CDTF">2022-02-14T19:08:00Z</dcterms:created>
  <dcterms:modified xsi:type="dcterms:W3CDTF">2022-07-01T12:13:00Z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