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ICD Draft Specification: Guide Legislation (2018-008). Document title: 2021_ICD_DraftSpecification_GuideLegislation(2018-008)_FR.docx]</w:t>
      </w:r>
    </w:p>
    <w:p w14:paraId="09D8232F" w14:textId="3775F33A">
      <w:pPr>
        <w:spacing w:after="180"/>
        <w:ind w:right="-138"/>
        <w:jc w:val="center"/>
        <w:rPr>
          <w:rFonts w:ascii="Times New Roman" w:hAnsi="Times New Roman"/>
        </w:rPr>
      </w:pPr>
      <w:r>
        <w:rPr>
          <w:rStyle w:val="PleaseReviewParagraphId"/>
          <w:b w:val="off"/>
          <w:i w:val="off"/>
        </w:rPr>
        <w:t>[1]</w:t>
      </w:r>
      <w:r>
        <w:rPr>
          <w:rFonts w:ascii="Times New Roman" w:hAnsi="Times New Roman" w:eastAsia="Times"/>
          <w:b/>
          <w:bCs/>
          <w:sz w:val="24"/>
          <w:szCs w:val="24"/>
        </w:rPr>
        <w:t>Spécification relative à l’élaboration et à la mise en œuvre de dispositions réglementaires et législatives pour gérer les risques phytosanitaires associés à des articles réglementés à l’intention des ONPV, Guide (2018-008)</w:t>
      </w:r>
    </w:p>
    <w:p w14:paraId="2DDD508F" w14:textId="2154537F">
      <w:pPr>
        <w:spacing w:before="60" w:after="60"/>
        <w:rPr>
          <w:rFonts w:ascii="Arial" w:hAnsi="Arial" w:eastAsia="Arial"/>
          <w:b/>
          <w:bCs/>
          <w:sz w:val="18"/>
          <w:szCs w:val="18"/>
        </w:rPr>
      </w:pPr>
      <w:r>
        <w:rPr>
          <w:rStyle w:val="PleaseReviewParagraphId"/>
          <w:b w:val="off"/>
          <w:i w:val="off"/>
        </w:rPr>
        <w:t>[2]</w:t>
      </w:r>
      <w:r>
        <w:rPr>
          <w:rFonts w:ascii="Arial" w:hAnsi="Arial" w:eastAsia="Arial"/>
          <w:b/>
          <w:bCs/>
          <w:sz w:val="18"/>
          <w:szCs w:val="18"/>
        </w:rPr>
        <w:t>Etat d'avancement du document</w:t>
      </w:r>
    </w:p>
    <w:tbl>
      <w:tblPr>
        <w:tblW w:w="0" w:type="auto"/>
        <w:tblLayout w:type="fixed"/>
        <w:tblLook w:val="00A0" w:firstRow="1" w:lastRow="0" w:firstColumn="1" w:lastColumn="0" w:noHBand="0" w:noVBand="0"/>
      </w:tblPr>
      <w:tblGrid>
        <w:gridCol w:w="2265"/>
        <w:gridCol w:w="6735"/>
      </w:tblGrid>
      <w:tr w14:paraId="140EC3DA" w14:textId="77777777">
        <w:trPr>
          <w:trHeight w:val="300"/>
        </w:trPr>
        <w:tc>
          <w:tcPr>
            <w:tcW w:w="9000" w:type="dxa"/>
            <w:gridSpan w:val="2"/>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Pr>
          <w:p w14:paraId="35FB6488" w14:textId="667F5F4F">
            <w:pPr>
              <w:spacing w:before="60" w:after="60"/>
              <w:rPr>
                <w:rFonts w:ascii="Arial" w:hAnsi="Arial" w:eastAsia="Arial"/>
                <w:sz w:val="18"/>
                <w:szCs w:val="18"/>
              </w:rPr>
            </w:pPr>
            <w:r>
              <w:rPr>
                <w:rStyle w:val="PleaseReviewParagraphId"/>
                <w:b w:val="off"/>
                <w:i w:val="off"/>
              </w:rPr>
              <w:t>[3]</w:t>
            </w:r>
            <w:r>
              <w:rPr>
                <w:rFonts w:ascii="Arial" w:hAnsi="Arial" w:eastAsia="Arial"/>
                <w:sz w:val="18"/>
                <w:szCs w:val="18"/>
                <w:lang w:val="en-CA"/>
              </w:rPr>
              <w:t>This status box is not an official part of the Guide and will be modified by the IPPC Secretariat</w:t>
            </w:r>
          </w:p>
        </w:tc>
      </w:tr>
      <w:tr w14:paraId="446C994E" w14:textId="77777777">
        <w:trPr>
          <w:trHeight w:val="300"/>
        </w:trPr>
        <w:tc>
          <w:tcPr>
            <w:tcW w:w="2265"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Pr>
          <w:p w14:paraId="32301AC8" w14:textId="4AACCBA7">
            <w:pPr>
              <w:spacing w:before="60" w:after="60"/>
              <w:rPr>
                <w:rFonts w:ascii="Arial" w:hAnsi="Arial" w:eastAsia="Arial"/>
                <w:sz w:val="18"/>
                <w:szCs w:val="18"/>
              </w:rPr>
            </w:pPr>
            <w:r>
              <w:rPr>
                <w:rStyle w:val="PleaseReviewParagraphId"/>
                <w:b w:val="off"/>
                <w:i w:val="off"/>
              </w:rPr>
              <w:t>[4]</w:t>
            </w:r>
            <w:r>
              <w:rPr>
                <w:rFonts w:ascii="Arial" w:hAnsi="Arial" w:eastAsia="Arial"/>
                <w:b/>
                <w:bCs/>
                <w:sz w:val="18"/>
                <w:szCs w:val="18"/>
                <w:lang w:val="en-CA"/>
              </w:rPr>
              <w:t xml:space="preserve">Topic number </w:t>
            </w:r>
          </w:p>
        </w:tc>
        <w:tc>
          <w:tcPr>
            <w:tcW w:w="6735" w:type="dxa"/>
            <w:tcBorders>
              <w:top w:val="single" w:color="7F7F7F" w:themeColor="text1" w:themeTint="80" w:sz="6" w:space="0"/>
              <w:bottom w:val="single" w:color="7F7F7F" w:themeColor="text1" w:themeTint="80" w:sz="6" w:space="0"/>
              <w:right w:val="single" w:color="7F7F7F" w:themeColor="text1" w:themeTint="80" w:sz="6" w:space="0"/>
            </w:tcBorders>
          </w:tcPr>
          <w:p w14:paraId="49DE19A5" w14:textId="5175791B">
            <w:pPr>
              <w:spacing w:before="60" w:after="60"/>
              <w:rPr>
                <w:rFonts w:ascii="Arial" w:hAnsi="Arial" w:eastAsia="Arial"/>
                <w:sz w:val="18"/>
                <w:szCs w:val="18"/>
              </w:rPr>
            </w:pPr>
            <w:r>
              <w:rPr>
                <w:rStyle w:val="PleaseReviewParagraphId"/>
                <w:b w:val="off"/>
                <w:i w:val="off"/>
              </w:rPr>
              <w:t>[5]</w:t>
            </w:r>
            <w:r>
              <w:rPr>
                <w:rFonts w:ascii="Arial" w:hAnsi="Arial" w:eastAsia="Arial"/>
                <w:sz w:val="18"/>
                <w:szCs w:val="18"/>
                <w:lang w:val="en-CA"/>
              </w:rPr>
              <w:t>2018-008</w:t>
            </w:r>
          </w:p>
        </w:tc>
      </w:tr>
      <w:tr w14:paraId="515EE302"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64115C70" w14:textId="68A3749A">
            <w:pPr>
              <w:spacing w:before="60" w:after="60"/>
              <w:rPr>
                <w:rFonts w:ascii="Arial" w:hAnsi="Arial" w:eastAsia="Arial"/>
                <w:sz w:val="18"/>
                <w:szCs w:val="18"/>
              </w:rPr>
            </w:pPr>
            <w:r>
              <w:rPr>
                <w:rStyle w:val="PleaseReviewParagraphId"/>
                <w:b w:val="off"/>
                <w:i w:val="off"/>
              </w:rPr>
              <w:t>[6]</w:t>
            </w:r>
            <w:r>
              <w:rPr>
                <w:rFonts w:ascii="Arial" w:hAnsi="Arial" w:eastAsia="Arial"/>
                <w:b/>
                <w:bCs/>
                <w:sz w:val="18"/>
                <w:szCs w:val="18"/>
                <w:lang w:val="en-CA"/>
              </w:rPr>
              <w:t>Title</w:t>
            </w:r>
          </w:p>
        </w:tc>
        <w:tc>
          <w:tcPr>
            <w:tcW w:w="6735" w:type="dxa"/>
            <w:tcBorders>
              <w:bottom w:val="single" w:color="7F7F7F" w:themeColor="text1" w:themeTint="80" w:sz="6" w:space="0"/>
              <w:right w:val="single" w:color="7F7F7F" w:themeColor="text1" w:themeTint="80" w:sz="6" w:space="0"/>
            </w:tcBorders>
          </w:tcPr>
          <w:p w14:paraId="1F507976" w14:textId="134879C2">
            <w:pPr>
              <w:spacing w:before="60" w:after="60"/>
              <w:rPr>
                <w:rFonts w:ascii="Arial" w:hAnsi="Arial" w:eastAsia="Arial"/>
                <w:sz w:val="18"/>
                <w:szCs w:val="18"/>
              </w:rPr>
            </w:pPr>
            <w:r>
              <w:rPr>
                <w:rStyle w:val="PleaseReviewParagraphId"/>
                <w:b w:val="off"/>
                <w:i w:val="off"/>
              </w:rPr>
              <w:t>[7]</w:t>
            </w:r>
            <w:r>
              <w:rPr>
                <w:rFonts w:ascii="Arial" w:hAnsi="Arial" w:eastAsia="Arial"/>
                <w:sz w:val="18"/>
                <w:szCs w:val="18"/>
                <w:lang w:val="en-CA"/>
              </w:rPr>
              <w:t>Development and implementation of regulations and legislation to manage phytosanitary risks on regulated articles for NPPOs, Guide (2018-008)</w:t>
            </w:r>
          </w:p>
        </w:tc>
      </w:tr>
      <w:tr w14:paraId="078F5826"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45C0D88C" w14:textId="5C44DAD0">
            <w:pPr>
              <w:spacing w:before="60" w:after="60"/>
              <w:rPr>
                <w:rFonts w:ascii="Arial" w:hAnsi="Arial" w:eastAsia="Arial"/>
                <w:sz w:val="18"/>
                <w:szCs w:val="18"/>
              </w:rPr>
            </w:pPr>
            <w:r>
              <w:rPr>
                <w:rStyle w:val="PleaseReviewParagraphId"/>
                <w:b w:val="off"/>
                <w:i w:val="off"/>
              </w:rPr>
              <w:t>[8]</w:t>
            </w:r>
            <w:r>
              <w:rPr>
                <w:rFonts w:ascii="Arial" w:hAnsi="Arial" w:eastAsia="Arial"/>
                <w:b/>
                <w:bCs/>
                <w:sz w:val="18"/>
                <w:szCs w:val="18"/>
                <w:lang w:val="en-CA"/>
              </w:rPr>
              <w:t xml:space="preserve">Type of implementation resource </w:t>
            </w:r>
          </w:p>
        </w:tc>
        <w:tc>
          <w:tcPr>
            <w:tcW w:w="6735" w:type="dxa"/>
            <w:tcBorders>
              <w:bottom w:val="single" w:color="7F7F7F" w:themeColor="text1" w:themeTint="80" w:sz="6" w:space="0"/>
              <w:right w:val="single" w:color="7F7F7F" w:themeColor="text1" w:themeTint="80" w:sz="6" w:space="0"/>
            </w:tcBorders>
          </w:tcPr>
          <w:p w14:paraId="0F72C349" w14:textId="329A3F33">
            <w:pPr>
              <w:spacing w:before="60" w:after="60"/>
              <w:rPr>
                <w:rFonts w:ascii="Arial" w:hAnsi="Arial" w:eastAsia="Arial"/>
                <w:sz w:val="18"/>
                <w:szCs w:val="18"/>
              </w:rPr>
            </w:pPr>
            <w:r>
              <w:rPr>
                <w:rStyle w:val="PleaseReviewParagraphId"/>
                <w:b w:val="off"/>
                <w:i w:val="off"/>
              </w:rPr>
              <w:t>[9]</w:t>
            </w:r>
            <w:r>
              <w:rPr>
                <w:rFonts w:ascii="Arial" w:hAnsi="Arial" w:eastAsia="Arial"/>
                <w:sz w:val="18"/>
                <w:szCs w:val="18"/>
                <w:lang w:val="en-CA"/>
              </w:rPr>
              <w:t>IPPC Guide</w:t>
            </w:r>
          </w:p>
        </w:tc>
      </w:tr>
      <w:tr w14:paraId="1E717192"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35DEA84C" w14:textId="09906E3C">
            <w:pPr>
              <w:spacing w:before="60" w:after="60"/>
              <w:rPr>
                <w:rFonts w:ascii="Arial" w:hAnsi="Arial" w:eastAsia="Arial"/>
                <w:sz w:val="18"/>
                <w:szCs w:val="18"/>
              </w:rPr>
            </w:pPr>
            <w:r>
              <w:rPr>
                <w:rStyle w:val="PleaseReviewParagraphId"/>
                <w:b w:val="off"/>
                <w:i w:val="off"/>
              </w:rPr>
              <w:t>[10]</w:t>
            </w:r>
            <w:r>
              <w:rPr>
                <w:rFonts w:ascii="Arial" w:hAnsi="Arial" w:eastAsia="Arial"/>
                <w:b/>
                <w:bCs/>
                <w:sz w:val="18"/>
                <w:szCs w:val="18"/>
                <w:lang w:val="en-CA"/>
              </w:rPr>
              <w:t>Date of this document</w:t>
            </w:r>
          </w:p>
        </w:tc>
        <w:tc>
          <w:tcPr>
            <w:tcW w:w="6735" w:type="dxa"/>
            <w:tcBorders>
              <w:bottom w:val="single" w:color="7F7F7F" w:themeColor="text1" w:themeTint="80" w:sz="6" w:space="0"/>
              <w:right w:val="single" w:color="7F7F7F" w:themeColor="text1" w:themeTint="80" w:sz="6" w:space="0"/>
            </w:tcBorders>
          </w:tcPr>
          <w:p w14:paraId="679572AB" w14:textId="32A53334">
            <w:pPr>
              <w:spacing w:before="60" w:after="60"/>
              <w:rPr>
                <w:rFonts w:ascii="Arial" w:hAnsi="Arial" w:eastAsia="Arial"/>
                <w:sz w:val="18"/>
                <w:szCs w:val="18"/>
              </w:rPr>
            </w:pPr>
            <w:r>
              <w:rPr>
                <w:rStyle w:val="PleaseReviewParagraphId"/>
                <w:b w:val="off"/>
                <w:i w:val="off"/>
              </w:rPr>
              <w:t>[11]</w:t>
            </w:r>
            <w:r>
              <w:rPr>
                <w:rFonts w:ascii="Arial" w:hAnsi="Arial" w:eastAsia="Arial"/>
                <w:sz w:val="18"/>
                <w:szCs w:val="18"/>
                <w:lang w:val="en-CA"/>
              </w:rPr>
              <w:t>2021-04-12</w:t>
            </w:r>
          </w:p>
        </w:tc>
      </w:tr>
      <w:tr w14:paraId="2C75916B"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0E6E4AC6" w14:textId="0B8DDE97">
            <w:pPr>
              <w:spacing w:before="60" w:after="60"/>
              <w:rPr>
                <w:rFonts w:ascii="Arial" w:hAnsi="Arial" w:eastAsia="Arial"/>
                <w:sz w:val="18"/>
                <w:szCs w:val="18"/>
              </w:rPr>
            </w:pPr>
            <w:r>
              <w:rPr>
                <w:rStyle w:val="PleaseReviewParagraphId"/>
                <w:b w:val="off"/>
                <w:i w:val="off"/>
              </w:rPr>
              <w:t>[12]</w:t>
            </w:r>
            <w:r>
              <w:rPr>
                <w:rFonts w:ascii="Arial" w:hAnsi="Arial" w:eastAsia="Arial"/>
                <w:b/>
                <w:bCs/>
                <w:sz w:val="18"/>
                <w:szCs w:val="18"/>
                <w:lang w:val="en-CA"/>
              </w:rPr>
              <w:t>Current document stage</w:t>
            </w:r>
          </w:p>
        </w:tc>
        <w:tc>
          <w:tcPr>
            <w:tcW w:w="6735" w:type="dxa"/>
            <w:tcBorders>
              <w:bottom w:val="single" w:color="7F7F7F" w:themeColor="text1" w:themeTint="80" w:sz="6" w:space="0"/>
              <w:right w:val="single" w:color="7F7F7F" w:themeColor="text1" w:themeTint="80" w:sz="6" w:space="0"/>
            </w:tcBorders>
          </w:tcPr>
          <w:p w14:paraId="21E66084" w14:textId="22390D89">
            <w:pPr>
              <w:spacing w:before="60" w:after="60"/>
              <w:rPr>
                <w:rFonts w:ascii="Arial" w:hAnsi="Arial" w:eastAsia="Arial"/>
                <w:sz w:val="18"/>
                <w:szCs w:val="18"/>
              </w:rPr>
            </w:pPr>
            <w:r>
              <w:rPr>
                <w:rStyle w:val="PleaseReviewParagraphId"/>
                <w:b w:val="off"/>
                <w:i w:val="off"/>
              </w:rPr>
              <w:t>[13]</w:t>
            </w:r>
            <w:r>
              <w:rPr>
                <w:rFonts w:ascii="Arial" w:hAnsi="Arial" w:eastAsia="Arial"/>
                <w:sz w:val="18"/>
                <w:szCs w:val="18"/>
                <w:lang w:val="en-CA"/>
              </w:rPr>
              <w:t>Draft Specification</w:t>
            </w:r>
          </w:p>
        </w:tc>
      </w:tr>
      <w:tr w14:paraId="47AD62EB"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597C95FE" w14:textId="4F58EF57">
            <w:pPr>
              <w:spacing w:before="60" w:after="60"/>
              <w:rPr>
                <w:rFonts w:ascii="Arial" w:hAnsi="Arial" w:eastAsia="Arial"/>
                <w:sz w:val="18"/>
                <w:szCs w:val="18"/>
              </w:rPr>
            </w:pPr>
            <w:r>
              <w:rPr>
                <w:rStyle w:val="PleaseReviewParagraphId"/>
                <w:b w:val="off"/>
                <w:i w:val="off"/>
              </w:rPr>
              <w:t>[14]</w:t>
            </w:r>
            <w:r>
              <w:rPr>
                <w:rFonts w:ascii="Arial" w:hAnsi="Arial" w:eastAsia="Arial"/>
                <w:b/>
                <w:bCs/>
                <w:sz w:val="18"/>
                <w:szCs w:val="18"/>
                <w:lang w:val="en-CA"/>
              </w:rPr>
              <w:t>Major stages completed</w:t>
            </w:r>
          </w:p>
        </w:tc>
        <w:tc>
          <w:tcPr>
            <w:tcW w:w="6735" w:type="dxa"/>
            <w:tcBorders>
              <w:bottom w:val="single" w:color="7F7F7F" w:themeColor="text1" w:themeTint="80" w:sz="6" w:space="0"/>
              <w:right w:val="single" w:color="7F7F7F" w:themeColor="text1" w:themeTint="80" w:sz="6" w:space="0"/>
            </w:tcBorders>
          </w:tcPr>
          <w:p w14:paraId="7D510D7A" w14:textId="44AAAA8A">
            <w:pPr>
              <w:pStyle w:val="ListParagraph"/>
              <w:numPr>
                <w:ilvl w:val="0"/>
                <w:numId w:val="1"/>
              </w:numPr>
              <w:spacing w:after="60"/>
              <w:ind w:left="0" w:hanging="357"/>
              <w:rPr>
                <w:rFonts w:ascii="Arial" w:hAnsi="Arial" w:eastAsia="Arial"/>
                <w:sz w:val="18"/>
                <w:szCs w:val="18"/>
              </w:rPr>
            </w:pPr>
            <w:r>
              <w:rPr>
                <w:rStyle w:val="PleaseReviewParagraphId"/>
                <w:b w:val="off"/>
                <w:i w:val="off"/>
              </w:rPr>
              <w:t>[15]</w:t>
            </w:r>
            <w:r>
              <w:rPr>
                <w:rFonts w:ascii="Arial" w:hAnsi="Arial" w:eastAsia="Arial"/>
                <w:sz w:val="18"/>
                <w:szCs w:val="18"/>
                <w:lang w:val="en-CA"/>
              </w:rPr>
              <w:t>2019-04: CPM-14 (2019) added this topic to List of Implementation and Capacity Development Topics; priority 1</w:t>
            </w:r>
          </w:p>
          <w:p w14:paraId="0D70D38A" w14:textId="45044BE4">
            <w:pPr>
              <w:spacing w:after="60"/>
              <w:rPr>
                <w:rFonts w:ascii="Arial" w:hAnsi="Arial" w:eastAsia="Arial"/>
                <w:sz w:val="18"/>
                <w:szCs w:val="18"/>
              </w:rPr>
            </w:pPr>
            <w:r>
              <w:rPr>
                <w:rStyle w:val="PleaseReviewParagraphId"/>
                <w:b w:val="off"/>
                <w:i w:val="off"/>
              </w:rPr>
              <w:t>[16]</w:t>
            </w:r>
            <w:r>
              <w:rPr>
                <w:rFonts w:ascii="Arial" w:hAnsi="Arial" w:eastAsia="Arial"/>
                <w:sz w:val="18"/>
                <w:szCs w:val="18"/>
                <w:lang w:val="en-CA"/>
              </w:rPr>
              <w:t>2019-05: Implementation and Capacity Development Committee (IC) lead identified (Mr Chris DALE (AU))</w:t>
            </w:r>
          </w:p>
          <w:p w14:paraId="029C8D32" w14:textId="7F6DB250">
            <w:pPr>
              <w:pStyle w:val="ListParagraph"/>
              <w:numPr>
                <w:ilvl w:val="0"/>
                <w:numId w:val="1"/>
              </w:numPr>
              <w:spacing w:after="60"/>
              <w:ind w:left="0" w:hanging="357"/>
              <w:rPr>
                <w:rFonts w:ascii="Arial" w:hAnsi="Arial" w:eastAsia="Arial"/>
                <w:sz w:val="18"/>
                <w:szCs w:val="18"/>
              </w:rPr>
            </w:pPr>
            <w:r>
              <w:rPr>
                <w:rStyle w:val="PleaseReviewParagraphId"/>
                <w:b w:val="off"/>
                <w:i w:val="off"/>
              </w:rPr>
              <w:t>[17]</w:t>
            </w:r>
            <w:r>
              <w:rPr>
                <w:rFonts w:ascii="Arial" w:hAnsi="Arial" w:eastAsia="Arial"/>
                <w:sz w:val="18"/>
                <w:szCs w:val="18"/>
                <w:lang w:val="en-CA"/>
              </w:rPr>
              <w:t>2021-04: draft Specification was updated by the Implementation and Facilitation Unit (IFU) with input from IC lead</w:t>
            </w:r>
          </w:p>
          <w:p w14:paraId="358A299B" w14:textId="420AB807">
            <w:pPr>
              <w:pStyle w:val="ListParagraph"/>
              <w:numPr>
                <w:ilvl w:val="0"/>
                <w:numId w:val="1"/>
              </w:numPr>
              <w:spacing w:after="60"/>
              <w:ind w:left="0" w:hanging="357"/>
              <w:rPr>
                <w:rFonts w:ascii="Arial" w:hAnsi="Arial" w:eastAsia="Arial"/>
                <w:sz w:val="18"/>
                <w:szCs w:val="18"/>
              </w:rPr>
            </w:pPr>
            <w:r>
              <w:rPr>
                <w:rStyle w:val="PleaseReviewParagraphId"/>
                <w:b w:val="off"/>
                <w:i w:val="off"/>
              </w:rPr>
              <w:t>[18]</w:t>
            </w:r>
            <w:r>
              <w:rPr>
                <w:rFonts w:ascii="Arial" w:hAnsi="Arial" w:eastAsia="Arial"/>
                <w:sz w:val="18"/>
                <w:szCs w:val="18"/>
                <w:lang w:val="en-CA"/>
              </w:rPr>
              <w:t>2021-04: Commented by IC though OCS</w:t>
            </w:r>
          </w:p>
          <w:p w14:paraId="4C498BDA" w14:textId="54FCF79D">
            <w:pPr>
              <w:pStyle w:val="ListParagraph"/>
              <w:numPr>
                <w:ilvl w:val="0"/>
                <w:numId w:val="1"/>
              </w:numPr>
              <w:spacing w:after="60"/>
              <w:ind w:left="0" w:hanging="357"/>
              <w:rPr>
                <w:rFonts w:ascii="Arial" w:hAnsi="Arial" w:eastAsia="Arial"/>
                <w:sz w:val="18"/>
                <w:szCs w:val="18"/>
              </w:rPr>
            </w:pPr>
            <w:r>
              <w:rPr>
                <w:rStyle w:val="PleaseReviewParagraphId"/>
                <w:b w:val="off"/>
                <w:i w:val="off"/>
              </w:rPr>
              <w:t>[19]</w:t>
            </w:r>
            <w:r>
              <w:rPr>
                <w:rFonts w:ascii="Arial" w:hAnsi="Arial" w:eastAsia="Arial"/>
                <w:sz w:val="18"/>
                <w:szCs w:val="18"/>
                <w:lang w:val="en-CA"/>
              </w:rPr>
              <w:t>2021-05: Comments reviewed of by IC lead</w:t>
            </w:r>
          </w:p>
          <w:p w14:paraId="10E33AB1" w14:textId="12FE4583">
            <w:pPr>
              <w:pStyle w:val="ListParagraph"/>
              <w:numPr>
                <w:ilvl w:val="0"/>
                <w:numId w:val="1"/>
              </w:numPr>
              <w:spacing w:after="60"/>
              <w:ind w:left="0" w:hanging="357"/>
              <w:rPr>
                <w:rFonts w:ascii="Arial" w:hAnsi="Arial" w:eastAsia="Arial"/>
                <w:sz w:val="18"/>
                <w:szCs w:val="18"/>
              </w:rPr>
            </w:pPr>
            <w:r>
              <w:rPr>
                <w:rStyle w:val="PleaseReviewParagraphId"/>
                <w:b w:val="off"/>
                <w:i w:val="off"/>
              </w:rPr>
              <w:t>[20]</w:t>
            </w:r>
            <w:r>
              <w:rPr>
                <w:rFonts w:ascii="Arial" w:hAnsi="Arial" w:eastAsia="Arial"/>
                <w:sz w:val="18"/>
                <w:szCs w:val="18"/>
                <w:lang w:val="en-CA"/>
              </w:rPr>
              <w:t>2021-05: IC approved draft specification for consultation (e-decision 2021_eIC_09)</w:t>
            </w:r>
          </w:p>
        </w:tc>
      </w:tr>
      <w:tr w14:paraId="5DEFFA6C"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45E591FD" w14:textId="2C11C83A">
            <w:pPr>
              <w:spacing w:before="60" w:after="60"/>
              <w:rPr>
                <w:rFonts w:ascii="Arial" w:hAnsi="Arial" w:eastAsia="Arial"/>
                <w:sz w:val="18"/>
                <w:szCs w:val="18"/>
              </w:rPr>
            </w:pPr>
            <w:r>
              <w:rPr>
                <w:rStyle w:val="PleaseReviewParagraphId"/>
                <w:b w:val="off"/>
                <w:i w:val="off"/>
              </w:rPr>
              <w:t>[21]</w:t>
            </w:r>
            <w:r>
              <w:rPr>
                <w:rFonts w:ascii="Arial" w:hAnsi="Arial" w:eastAsia="Arial"/>
                <w:b/>
                <w:bCs/>
                <w:sz w:val="18"/>
                <w:szCs w:val="18"/>
                <w:lang w:val="en-CA"/>
              </w:rPr>
              <w:t>Implementation and Capacity Development Committee (IC) lead</w:t>
            </w:r>
          </w:p>
        </w:tc>
        <w:tc>
          <w:tcPr>
            <w:tcW w:w="6735" w:type="dxa"/>
            <w:tcBorders>
              <w:bottom w:val="single" w:color="7F7F7F" w:themeColor="text1" w:themeTint="80" w:sz="6" w:space="0"/>
              <w:right w:val="single" w:color="7F7F7F" w:themeColor="text1" w:themeTint="80" w:sz="6" w:space="0"/>
            </w:tcBorders>
          </w:tcPr>
          <w:p w14:paraId="52AB0142" w14:textId="4ADBAD8E">
            <w:pPr>
              <w:spacing w:before="60" w:after="60"/>
              <w:rPr>
                <w:rFonts w:ascii="Arial" w:hAnsi="Arial" w:eastAsia="Arial"/>
                <w:sz w:val="18"/>
                <w:szCs w:val="18"/>
              </w:rPr>
            </w:pPr>
            <w:r>
              <w:rPr>
                <w:rStyle w:val="PleaseReviewParagraphId"/>
                <w:b w:val="off"/>
                <w:i w:val="off"/>
              </w:rPr>
              <w:t>[22]</w:t>
            </w:r>
            <w:r>
              <w:rPr>
                <w:rFonts w:ascii="Arial" w:hAnsi="Arial" w:eastAsia="Arial"/>
                <w:sz w:val="18"/>
                <w:szCs w:val="18"/>
                <w:lang w:val="en-CA"/>
              </w:rPr>
              <w:t>2020-07 IC Mr Chris DALE (AU)</w:t>
            </w:r>
          </w:p>
        </w:tc>
      </w:tr>
      <w:tr w14:paraId="416C61B6"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7317CE2E" w14:textId="7464C33F">
            <w:pPr>
              <w:spacing w:before="60" w:after="60"/>
              <w:rPr>
                <w:rFonts w:ascii="Arial" w:hAnsi="Arial" w:eastAsia="Arial"/>
                <w:sz w:val="18"/>
                <w:szCs w:val="18"/>
              </w:rPr>
            </w:pPr>
            <w:r>
              <w:rPr>
                <w:rStyle w:val="PleaseReviewParagraphId"/>
                <w:b w:val="off"/>
                <w:i w:val="off"/>
              </w:rPr>
              <w:t>[23]</w:t>
            </w:r>
            <w:r>
              <w:rPr>
                <w:rFonts w:ascii="Arial" w:hAnsi="Arial" w:eastAsia="Arial"/>
                <w:b/>
                <w:bCs/>
                <w:sz w:val="18"/>
                <w:szCs w:val="18"/>
                <w:lang w:val="en-CA"/>
              </w:rPr>
              <w:t>IPPC Secretariat lead</w:t>
            </w:r>
          </w:p>
        </w:tc>
        <w:tc>
          <w:tcPr>
            <w:tcW w:w="6735" w:type="dxa"/>
            <w:tcBorders>
              <w:bottom w:val="single" w:color="7F7F7F" w:themeColor="text1" w:themeTint="80" w:sz="6" w:space="0"/>
              <w:right w:val="single" w:color="7F7F7F" w:themeColor="text1" w:themeTint="80" w:sz="6" w:space="0"/>
            </w:tcBorders>
          </w:tcPr>
          <w:p w14:paraId="19027B95" w14:textId="01642CE2">
            <w:pPr>
              <w:spacing w:before="60" w:after="60"/>
              <w:rPr>
                <w:rFonts w:ascii="Arial" w:hAnsi="Arial" w:eastAsia="Arial"/>
                <w:sz w:val="18"/>
                <w:szCs w:val="18"/>
              </w:rPr>
            </w:pPr>
            <w:r>
              <w:rPr>
                <w:rStyle w:val="PleaseReviewParagraphId"/>
                <w:b w:val="off"/>
                <w:i w:val="off"/>
              </w:rPr>
              <w:t>[24]</w:t>
            </w:r>
            <w:r>
              <w:rPr>
                <w:rFonts w:ascii="Arial" w:hAnsi="Arial" w:eastAsia="Arial"/>
                <w:sz w:val="18"/>
                <w:szCs w:val="18"/>
                <w:lang w:val="en-CA"/>
              </w:rPr>
              <w:t>2021-03 IFU Ms Natsumi YAMADA</w:t>
            </w:r>
          </w:p>
        </w:tc>
      </w:tr>
      <w:tr w14:paraId="3D073343"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018EE657" w14:textId="4A187ADF">
            <w:pPr>
              <w:spacing w:before="60" w:after="60"/>
              <w:rPr>
                <w:rFonts w:ascii="Arial" w:hAnsi="Arial" w:eastAsia="Arial"/>
                <w:sz w:val="18"/>
                <w:szCs w:val="18"/>
              </w:rPr>
            </w:pPr>
            <w:r>
              <w:rPr>
                <w:rStyle w:val="PleaseReviewParagraphId"/>
                <w:b w:val="off"/>
                <w:i w:val="off"/>
              </w:rPr>
              <w:t>[25]</w:t>
            </w:r>
            <w:r>
              <w:rPr>
                <w:rFonts w:ascii="Arial" w:hAnsi="Arial" w:eastAsia="Arial"/>
                <w:b/>
                <w:bCs/>
                <w:sz w:val="18"/>
                <w:szCs w:val="18"/>
                <w:lang w:val="en-CA"/>
              </w:rPr>
              <w:t xml:space="preserve">Working Group experts </w:t>
            </w:r>
          </w:p>
        </w:tc>
        <w:tc>
          <w:tcPr>
            <w:tcW w:w="6735" w:type="dxa"/>
            <w:tcBorders>
              <w:bottom w:val="single" w:color="7F7F7F" w:themeColor="text1" w:themeTint="80" w:sz="6" w:space="0"/>
              <w:right w:val="single" w:color="7F7F7F" w:themeColor="text1" w:themeTint="80" w:sz="6" w:space="0"/>
            </w:tcBorders>
          </w:tcPr>
          <w:p w14:paraId="1A6D72B5" w14:textId="24CB08EA">
            <w:pPr>
              <w:spacing w:before="60" w:after="60"/>
              <w:rPr>
                <w:rFonts w:ascii="Arial" w:hAnsi="Arial" w:eastAsia="Arial"/>
                <w:sz w:val="18"/>
                <w:szCs w:val="18"/>
              </w:rPr>
            </w:pPr>
            <w:r>
              <w:rPr>
                <w:rStyle w:val="PleaseReviewParagraphId"/>
                <w:b w:val="off"/>
                <w:i w:val="off"/>
              </w:rPr>
              <w:t>[26]</w:t>
            </w:r>
          </w:p>
        </w:tc>
      </w:tr>
      <w:tr w14:paraId="3C16EB81" w14:textId="77777777">
        <w:trPr>
          <w:trHeight w:val="480"/>
        </w:trPr>
        <w:tc>
          <w:tcPr>
            <w:tcW w:w="2265" w:type="dxa"/>
            <w:tcBorders>
              <w:left w:val="single" w:color="7F7F7F" w:themeColor="text1" w:themeTint="80" w:sz="6" w:space="0"/>
              <w:bottom w:val="single" w:color="auto" w:sz="6" w:space="0"/>
              <w:right w:val="single" w:color="7F7F7F" w:themeColor="text1" w:themeTint="80" w:sz="6" w:space="0"/>
            </w:tcBorders>
          </w:tcPr>
          <w:p w14:paraId="5DA3515F" w14:textId="5135D553">
            <w:pPr>
              <w:spacing w:before="60" w:after="60"/>
              <w:rPr>
                <w:rFonts w:ascii="Arial" w:hAnsi="Arial" w:eastAsia="Arial"/>
                <w:sz w:val="18"/>
                <w:szCs w:val="18"/>
              </w:rPr>
            </w:pPr>
            <w:r>
              <w:rPr>
                <w:rStyle w:val="PleaseReviewParagraphId"/>
                <w:b w:val="off"/>
                <w:i w:val="off"/>
              </w:rPr>
              <w:t>[27]</w:t>
            </w:r>
            <w:r>
              <w:rPr>
                <w:rFonts w:ascii="Arial" w:hAnsi="Arial" w:eastAsia="Arial"/>
                <w:b/>
                <w:bCs/>
                <w:sz w:val="18"/>
                <w:szCs w:val="18"/>
                <w:lang w:val="en-CA"/>
              </w:rPr>
              <w:t>Notes</w:t>
            </w:r>
          </w:p>
        </w:tc>
        <w:tc>
          <w:tcPr>
            <w:tcW w:w="6735" w:type="dxa"/>
            <w:tcBorders>
              <w:bottom w:val="single" w:color="auto" w:sz="6" w:space="0"/>
              <w:right w:val="single" w:color="7F7F7F" w:themeColor="text1" w:themeTint="80" w:sz="6" w:space="0"/>
            </w:tcBorders>
          </w:tcPr>
          <w:p w14:paraId="315B21AB" w14:textId="09A4C4B3">
            <w:pPr>
              <w:spacing w:after="180"/>
              <w:rPr>
                <w:rFonts w:ascii="Arial" w:hAnsi="Arial" w:eastAsia="Arial"/>
                <w:sz w:val="18"/>
                <w:szCs w:val="18"/>
              </w:rPr>
            </w:pPr>
            <w:r>
              <w:rPr>
                <w:rStyle w:val="PleaseReviewParagraphId"/>
                <w:b w:val="off"/>
                <w:i w:val="off"/>
              </w:rPr>
              <w:t>[28]</w:t>
            </w:r>
          </w:p>
        </w:tc>
      </w:tr>
    </w:tbl>
    <w:p w14:paraId="4373ACB4" w14:textId="77777777">
      <w:pPr>
        <w:spacing w:after="0" w:line="240" w:lineRule="auto"/>
        <w:rPr>
          <w:b/>
          <w:bCs/>
        </w:rPr>
        <w:sectPr>
          <w:pgSz w:w="12240" w:h="15840"/>
          <w:pgMar w:top="1440" w:right="1440" w:bottom="1276" w:left="1440" w:header="708" w:footer="708" w:gutter="0"/>
          <w:cols w:space="708"/>
          <w:docGrid w:linePitch="360"/>
        </w:sectPr>
      </w:pPr>
      <w:r>
        <w:rPr>
          <w:rStyle w:val="PleaseReviewParagraphId"/>
          <w:b w:val="off"/>
          <w:i w:val="off"/>
        </w:rPr>
        <w:t>[29]</w:t>
      </w:r>
    </w:p>
    <w:p w14:paraId="7277B079" w14:textId="77777777">
      <w:pPr>
        <w:pStyle w:val="IPPHeading1"/>
        <w:jc w:val="both"/>
        <w:rPr>
          <w:rFonts w:ascii="Times New Roman" w:hAnsi="Times New Roman" w:cs="Times New Roman"/>
        </w:rPr>
      </w:pPr>
      <w:r>
        <w:rPr>
          <w:rStyle w:val="PleaseReviewParagraphId"/>
          <w:b w:val="off"/>
          <w:i w:val="off"/>
        </w:rPr>
        <w:t>[30]</w:t>
      </w:r>
      <w:r>
        <w:rPr>
          <w:rFonts w:ascii="Times New Roman" w:hAnsi="Times New Roman"/>
        </w:rPr>
        <w:lastRenderedPageBreak/>
        <w:t>1. Titre</w:t>
      </w:r>
    </w:p>
    <w:p w14:paraId="74BA0C03" w14:textId="104E1728">
      <w:pPr>
        <w:pStyle w:val="IPPHeading1"/>
        <w:tabs>
          <w:tab w:val="clear" w:pos="567"/>
          <w:tab w:val="left" w:pos="0"/>
        </w:tabs>
        <w:ind w:left="0" w:firstLine="0"/>
        <w:jc w:val="both"/>
        <w:outlineLvl w:val="9"/>
        <w:rPr>
          <w:rFonts w:ascii="Times New Roman" w:hAnsi="Times New Roman" w:eastAsia="MS Mincho" w:cs="Times New Roman"/>
          <w:b w:val="0"/>
          <w:bCs/>
          <w:iCs/>
          <w:sz w:val="22"/>
        </w:rPr>
      </w:pPr>
      <w:r>
        <w:rPr>
          <w:rStyle w:val="PleaseReviewParagraphId"/>
          <w:b w:val="off"/>
          <w:i w:val="off"/>
        </w:rPr>
        <w:t>[31]</w:t>
      </w:r>
      <w:r>
        <w:rPr>
          <w:rFonts w:ascii="Times New Roman" w:hAnsi="Times New Roman"/>
          <w:b w:val="0"/>
          <w:sz w:val="22"/>
        </w:rPr>
        <w:t>Élaboration et mise en œuvre de dispositions réglementaires et législatives pour gérer les risques phytosanitaires associés à des articles réglementés à l’intention des ONPV (2018-008)</w:t>
      </w:r>
    </w:p>
    <w:p w14:paraId="206BCB40" w14:textId="77777777">
      <w:pPr>
        <w:pStyle w:val="IPPHeading1"/>
        <w:jc w:val="both"/>
        <w:rPr>
          <w:rFonts w:ascii="Times New Roman" w:hAnsi="Times New Roman" w:cs="Times New Roman"/>
          <w:b w:val="0"/>
          <w:szCs w:val="24"/>
        </w:rPr>
      </w:pPr>
      <w:r>
        <w:rPr>
          <w:rStyle w:val="PleaseReviewParagraphId"/>
          <w:b w:val="off"/>
          <w:i w:val="off"/>
        </w:rPr>
        <w:t>[32]</w:t>
      </w:r>
      <w:r>
        <w:rPr>
          <w:rFonts w:ascii="Times New Roman" w:hAnsi="Times New Roman"/>
        </w:rPr>
        <w:t>2. Type de ressource de mise en œuvre</w:t>
      </w:r>
    </w:p>
    <w:p w14:paraId="626108FA" w14:textId="77777777">
      <w:pPr>
        <w:pStyle w:val="IPPParagraphnumbering"/>
        <w:numPr>
          <w:ilvl w:val="0"/>
          <w:numId w:val="0"/>
        </w:numPr>
        <w:tabs>
          <w:tab w:val="left" w:pos="720"/>
        </w:tabs>
        <w:jc w:val="both"/>
        <w:rPr>
          <w:rFonts w:ascii="Times New Roman" w:hAnsi="Times New Roman" w:eastAsia="MS Mincho" w:cs="Times New Roman"/>
          <w:bCs/>
          <w:iCs/>
        </w:rPr>
      </w:pPr>
      <w:r>
        <w:rPr>
          <w:rStyle w:val="PleaseReviewParagraphId"/>
          <w:b w:val="off"/>
          <w:i w:val="off"/>
        </w:rPr>
        <w:t>[33]</w:t>
      </w:r>
      <w:r>
        <w:rPr>
          <w:rFonts w:ascii="Times New Roman" w:hAnsi="Times New Roman"/>
        </w:rPr>
        <w:t>Nouveau guide</w:t>
      </w:r>
    </w:p>
    <w:p w14:paraId="3FA23789" w14:textId="63E9F89C">
      <w:pPr>
        <w:pStyle w:val="IPPHeading1"/>
        <w:tabs>
          <w:tab w:val="clear" w:pos="567"/>
          <w:tab w:val="left" w:pos="284"/>
        </w:tabs>
        <w:ind w:left="284" w:hanging="284"/>
        <w:jc w:val="both"/>
        <w:rPr>
          <w:rFonts w:ascii="Times New Roman" w:hAnsi="Times New Roman" w:cs="Times New Roman"/>
          <w:b w:val="0"/>
          <w:szCs w:val="24"/>
        </w:rPr>
      </w:pPr>
      <w:r>
        <w:rPr>
          <w:rStyle w:val="PleaseReviewParagraphId"/>
          <w:b w:val="off"/>
          <w:i w:val="off"/>
        </w:rPr>
        <w:t>[34]</w:t>
      </w:r>
      <w:r>
        <w:rPr>
          <w:rFonts w:ascii="Times New Roman" w:hAnsi="Times New Roman"/>
        </w:rPr>
        <w:t>3. Articles de la Convention, NIMP et recommandations de la CMP sur lesquels porte la ressource proposée</w:t>
      </w:r>
    </w:p>
    <w:p w14:paraId="4D395F01" w14:textId="77777777">
      <w:pPr>
        <w:pStyle w:val="IPPParagraphnumbering"/>
        <w:numPr>
          <w:ilvl w:val="0"/>
          <w:numId w:val="0"/>
        </w:numPr>
        <w:tabs>
          <w:tab w:val="left" w:pos="720"/>
        </w:tabs>
        <w:spacing w:before="240"/>
        <w:jc w:val="both"/>
        <w:rPr>
          <w:rFonts w:ascii="Times New Roman" w:hAnsi="Times New Roman" w:eastAsia="MS Mincho" w:cs="Times New Roman"/>
          <w:bCs/>
          <w:iCs/>
        </w:rPr>
      </w:pPr>
      <w:r>
        <w:rPr>
          <w:rStyle w:val="PleaseReviewParagraphId"/>
          <w:b w:val="off"/>
          <w:i w:val="off"/>
        </w:rPr>
        <w:t>[35]</w:t>
      </w:r>
      <w:r>
        <w:rPr>
          <w:rFonts w:ascii="Times New Roman" w:hAnsi="Times New Roman"/>
        </w:rPr>
        <w:t>Convention internationale pour la protection des végétaux</w:t>
      </w:r>
      <w:r>
        <w:rPr>
          <w:rStyle w:val="FootnoteReference"/>
          <w:rFonts w:ascii="Times New Roman" w:hAnsi="Times New Roman" w:eastAsia="MS Mincho" w:cs="Times New Roman"/>
          <w:bCs/>
          <w:iCs/>
          <w:lang w:val="en-GB"/>
        </w:rPr>
        <w:footnoteReference w:id="1"/>
      </w:r>
      <w:r>
        <w:rPr>
          <w:rFonts w:ascii="Times New Roman" w:hAnsi="Times New Roman"/>
        </w:rPr>
        <w:t xml:space="preserve"> (articles I, II, IV, VII: dispositions applicables à la gestion des risques phytosanitaires relatifs à des articles réglementés)</w:t>
      </w:r>
    </w:p>
    <w:p w14:paraId="2CFE9A35" w14:textId="77777777">
      <w:pPr>
        <w:pStyle w:val="IPPParagraphnumbering"/>
        <w:numPr>
          <w:ilvl w:val="0"/>
          <w:numId w:val="0"/>
        </w:numPr>
        <w:tabs>
          <w:tab w:val="left" w:pos="720"/>
        </w:tabs>
        <w:spacing w:before="240"/>
        <w:jc w:val="both"/>
        <w:rPr>
          <w:rFonts w:ascii="Times New Roman" w:hAnsi="Times New Roman" w:eastAsia="MS Mincho" w:cs="Times New Roman"/>
          <w:bCs/>
          <w:iCs/>
        </w:rPr>
      </w:pPr>
      <w:r>
        <w:rPr>
          <w:rStyle w:val="PleaseReviewParagraphId"/>
          <w:b w:val="off"/>
          <w:i w:val="off"/>
        </w:rPr>
        <w:t>[37]</w:t>
      </w:r>
      <w:r>
        <w:rPr>
          <w:rFonts w:ascii="Times New Roman" w:hAnsi="Times New Roman"/>
        </w:rPr>
        <w:t xml:space="preserve">NIMP 41: </w:t>
      </w:r>
      <w:r>
        <w:rPr>
          <w:rFonts w:ascii="Times New Roman" w:hAnsi="Times New Roman"/>
          <w:i/>
          <w:iCs/>
        </w:rPr>
        <w:t>Déplacements internationaux de véhicules, de machines et de matériel ayant déjà servi</w:t>
      </w:r>
      <w:r>
        <w:rPr>
          <w:rStyle w:val="FootnoteReference"/>
          <w:rFonts w:ascii="Times New Roman" w:hAnsi="Times New Roman" w:eastAsia="MS Mincho" w:cs="Times New Roman"/>
          <w:bCs/>
          <w:iCs/>
          <w:lang w:val="en-GB"/>
        </w:rPr>
        <w:footnoteReference w:id="2"/>
      </w:r>
    </w:p>
    <w:p w14:paraId="3E6EABDC" w14:textId="77777777">
      <w:pPr>
        <w:pStyle w:val="IPPParagraphnumbering"/>
        <w:numPr>
          <w:ilvl w:val="0"/>
          <w:numId w:val="0"/>
        </w:numPr>
        <w:tabs>
          <w:tab w:val="left" w:pos="720"/>
        </w:tabs>
        <w:spacing w:before="240"/>
        <w:jc w:val="both"/>
        <w:rPr>
          <w:rFonts w:ascii="Times New Roman" w:hAnsi="Times New Roman" w:eastAsia="MS Mincho" w:cs="Times New Roman"/>
          <w:bCs/>
          <w:iCs/>
        </w:rPr>
      </w:pPr>
      <w:r>
        <w:rPr>
          <w:rStyle w:val="PleaseReviewParagraphId"/>
          <w:b w:val="off"/>
          <w:i w:val="off"/>
        </w:rPr>
        <w:t>[39]</w:t>
      </w:r>
      <w:r>
        <w:rPr>
          <w:rFonts w:ascii="Times New Roman" w:hAnsi="Times New Roman"/>
        </w:rPr>
        <w:t xml:space="preserve">Recommandation R-06 de la CMP: </w:t>
      </w:r>
      <w:r>
        <w:rPr>
          <w:rFonts w:ascii="Times New Roman" w:hAnsi="Times New Roman"/>
          <w:i/>
          <w:iCs/>
        </w:rPr>
        <w:t>Conteneurs maritimes</w:t>
      </w:r>
      <w:r>
        <w:rPr>
          <w:rFonts w:ascii="Times New Roman" w:hAnsi="Times New Roman"/>
        </w:rPr>
        <w:t xml:space="preserve"> </w:t>
      </w:r>
      <w:r>
        <w:rPr>
          <w:rStyle w:val="FootnoteReference"/>
          <w:rFonts w:ascii="Times New Roman" w:hAnsi="Times New Roman" w:eastAsia="MS Mincho" w:cs="Times New Roman"/>
          <w:bCs/>
          <w:iCs/>
          <w:lang w:val="en-GB"/>
        </w:rPr>
        <w:footnoteReference w:id="3"/>
      </w:r>
    </w:p>
    <w:p w14:paraId="36C3F123" w14:textId="6121D4E0">
      <w:pPr>
        <w:pStyle w:val="IPPParagraphnumbering"/>
        <w:numPr>
          <w:ilvl w:val="0"/>
          <w:numId w:val="0"/>
        </w:numPr>
        <w:tabs>
          <w:tab w:val="left" w:pos="720"/>
        </w:tabs>
        <w:spacing w:before="240"/>
        <w:jc w:val="both"/>
        <w:rPr>
          <w:rFonts w:ascii="Times New Roman" w:hAnsi="Times New Roman" w:eastAsia="MS Mincho" w:cs="Times New Roman"/>
          <w:bCs/>
          <w:iCs/>
        </w:rPr>
      </w:pPr>
      <w:r>
        <w:rPr>
          <w:rStyle w:val="PleaseReviewParagraphId"/>
          <w:b w:val="off"/>
          <w:i w:val="off"/>
        </w:rPr>
        <w:t>[41]</w:t>
      </w:r>
      <w:r>
        <w:rPr>
          <w:rFonts w:ascii="Times New Roman" w:hAnsi="Times New Roman"/>
        </w:rPr>
        <w:t xml:space="preserve">Recommandation R-09 de la CMP: </w:t>
      </w:r>
      <w:r>
        <w:rPr>
          <w:rFonts w:ascii="Times New Roman" w:hAnsi="Times New Roman"/>
          <w:i/>
          <w:iCs/>
        </w:rPr>
        <w:t>Sécurité de l’aide alimentaire et d’autres aides humanitaires en vue de prévenir l’introduction d’organismes nuisibles des végétaux dans les situations d’urgence</w:t>
      </w:r>
      <w:r>
        <w:rPr>
          <w:rStyle w:val="FootnoteReference"/>
          <w:rFonts w:ascii="Times New Roman" w:hAnsi="Times New Roman" w:eastAsia="MS Mincho" w:cs="Times New Roman"/>
          <w:bCs/>
          <w:iCs/>
          <w:lang w:val="en-GB"/>
        </w:rPr>
        <w:footnoteReference w:id="4"/>
      </w:r>
    </w:p>
    <w:p w14:paraId="160699DE" w14:textId="4929542B">
      <w:pPr>
        <w:pStyle w:val="IPPParagraphnumbering"/>
        <w:numPr>
          <w:ilvl w:val="0"/>
          <w:numId w:val="0"/>
        </w:numPr>
        <w:tabs>
          <w:tab w:val="left" w:pos="720"/>
        </w:tabs>
        <w:jc w:val="both"/>
        <w:outlineLvl w:val="1"/>
        <w:rPr>
          <w:rFonts w:ascii="Times New Roman" w:hAnsi="Times New Roman" w:eastAsia="MS Mincho" w:cs="Times New Roman"/>
          <w:b/>
          <w:bCs/>
          <w:iCs/>
          <w:sz w:val="24"/>
          <w:szCs w:val="24"/>
        </w:rPr>
      </w:pPr>
      <w:r>
        <w:rPr>
          <w:rStyle w:val="PleaseReviewParagraphId"/>
          <w:b w:val="off"/>
          <w:i w:val="off"/>
        </w:rPr>
        <w:t>[43]</w:t>
      </w:r>
      <w:r>
        <w:rPr>
          <w:rFonts w:ascii="Times New Roman" w:hAnsi="Times New Roman"/>
          <w:b/>
          <w:sz w:val="24"/>
        </w:rPr>
        <w:t xml:space="preserve">4. Champ d’application </w:t>
      </w:r>
    </w:p>
    <w:p w14:paraId="16499E6F" w14:textId="6C4FEB8B">
      <w:pPr>
        <w:pStyle w:val="IPPParagraphnumbering"/>
        <w:numPr>
          <w:ilvl w:val="0"/>
          <w:numId w:val="0"/>
        </w:numPr>
        <w:tabs>
          <w:tab w:val="left" w:pos="720"/>
        </w:tabs>
        <w:jc w:val="both"/>
        <w:rPr>
          <w:rFonts w:ascii="Times New Roman" w:hAnsi="Times New Roman" w:cs="Times New Roman"/>
        </w:rPr>
      </w:pPr>
      <w:r>
        <w:rPr>
          <w:rStyle w:val="PleaseReviewParagraphId"/>
          <w:b w:val="off"/>
          <w:i w:val="off"/>
        </w:rPr>
        <w:t>[44]</w:t>
      </w:r>
      <w:r>
        <w:rPr>
          <w:rFonts w:ascii="Times New Roman" w:hAnsi="Times New Roman"/>
        </w:rPr>
        <w:t xml:space="preserve">Ce guide décrira le cadre dans lequel les ONPV peuvent élaborer et mettre en œuvre des dispositions législatives pour gérer les risques phytosanitaires associés à des articles réglementés autres que les plantes et les produits végétaux. Les articles réglementés visés sont : tout lieu de stockage, emballage, moyen de transport (avions, navires, etc.), conteneur, terre et tout autre organisme, objet ou matériel susceptible de porter ou de disséminer des organismes nuisibles. </w:t>
      </w:r>
      <w:r>
        <w:rPr>
          <w:rFonts w:ascii="Times New Roman" w:hAnsi="Times New Roman" w:eastAsia="Times New Roman" w:cs="Times New Roman"/>
          <w:color w:val="000000" w:themeColor="text1"/>
        </w:rPr>
        <w:t>Le champ d’application du guide n'inclut pas</w:t>
      </w:r>
      <w:r>
        <w:rPr>
          <w:rFonts w:ascii="Times New Roman" w:hAnsi="Times New Roman"/>
        </w:rPr>
        <w:t xml:space="preserve"> les végétaux et produits végétaux. Le guide présentera des dispositions législatives types et des orientations destinées à aider les ONPV à travailler avec les organismes présents aux frontières et fournira des recommandations permettant d’harmoniser l’utilisation des mesures phytosanitaires pour les articles réglementés autres que les marchandises. </w:t>
      </w:r>
    </w:p>
    <w:p w14:paraId="214FD86D" w14:textId="1D2ABD86">
      <w:pPr>
        <w:pStyle w:val="IPPParagraphnumbering"/>
        <w:numPr>
          <w:ilvl w:val="0"/>
          <w:numId w:val="0"/>
        </w:numPr>
        <w:tabs>
          <w:tab w:val="left" w:pos="720"/>
        </w:tabs>
        <w:jc w:val="both"/>
        <w:outlineLvl w:val="1"/>
        <w:rPr>
          <w:rFonts w:ascii="Times New Roman" w:hAnsi="Times New Roman" w:eastAsia="MS Mincho" w:cs="Times New Roman"/>
          <w:b/>
          <w:bCs/>
          <w:iCs/>
          <w:sz w:val="24"/>
          <w:szCs w:val="24"/>
        </w:rPr>
      </w:pPr>
      <w:r>
        <w:rPr>
          <w:rStyle w:val="PleaseReviewParagraphId"/>
          <w:b w:val="off"/>
          <w:i w:val="off"/>
        </w:rPr>
        <w:t>[45]</w:t>
      </w:r>
      <w:r>
        <w:rPr>
          <w:rFonts w:ascii="Times New Roman" w:hAnsi="Times New Roman"/>
          <w:b/>
          <w:sz w:val="24"/>
        </w:rPr>
        <w:t xml:space="preserve">5. Objet </w:t>
      </w:r>
    </w:p>
    <w:p w14:paraId="0F2E87BF" w14:textId="5440E76C">
      <w:pPr>
        <w:pStyle w:val="IPPParagraphnumbering"/>
        <w:numPr>
          <w:ilvl w:val="0"/>
          <w:numId w:val="0"/>
        </w:numPr>
        <w:tabs>
          <w:tab w:val="left" w:pos="720"/>
        </w:tabs>
        <w:jc w:val="both"/>
        <w:rPr>
          <w:rFonts w:ascii="Times New Roman" w:hAnsi="Times New Roman" w:cs="Times New Roman"/>
        </w:rPr>
      </w:pPr>
      <w:r>
        <w:rPr>
          <w:rStyle w:val="PleaseReviewParagraphId"/>
          <w:b w:val="off"/>
          <w:i w:val="off"/>
        </w:rPr>
        <w:t>[46]</w:t>
      </w:r>
      <w:r>
        <w:rPr>
          <w:rFonts w:ascii="Times New Roman" w:hAnsi="Times New Roman"/>
        </w:rPr>
        <w:t>Fournir aux ONPV des orientations relatives à l’élaboration et à la mise en œuvre de dispositions législatives leur permettant de gérer les risques phytosanitaires relatifs à des articles réglementés autres que les végétaux et les produits végétaux.</w:t>
      </w:r>
    </w:p>
    <w:p w14:paraId="071A5C11" w14:textId="178F1D6A">
      <w:pPr>
        <w:pStyle w:val="IPPParagraphnumbering"/>
        <w:numPr>
          <w:ilvl w:val="0"/>
          <w:numId w:val="0"/>
        </w:numPr>
        <w:tabs>
          <w:tab w:val="left" w:pos="720"/>
        </w:tabs>
        <w:jc w:val="both"/>
        <w:rPr>
          <w:rFonts w:ascii="Times New Roman" w:hAnsi="Times New Roman" w:cs="Times New Roman"/>
        </w:rPr>
      </w:pPr>
      <w:r>
        <w:rPr>
          <w:rStyle w:val="PleaseReviewParagraphId"/>
          <w:b w:val="off"/>
          <w:i w:val="off"/>
        </w:rPr>
        <w:t>[47]</w:t>
      </w:r>
      <w:r>
        <w:t xml:space="preserve"> </w:t>
      </w:r>
      <w:r>
        <w:rPr>
          <w:rFonts w:ascii="Times New Roman" w:hAnsi="Times New Roman"/>
        </w:rPr>
        <w:t xml:space="preserve">Fournir également aux ONPV les orientations nécessaires à la mise en œuvre des dispositions pertinentes de la Convention. Le guide contribuera à améliorer davantage les systèmes d’échanges mondiaux en harmonisant la gestion et la gouvernance dès les articles réglementés autres que les marchandises (y compris </w:t>
        <w:lastRenderedPageBreak/>
        <w:t xml:space="preserve">les mesures phytosanitaires). Il encouragera et guidera les ONPV dans leur collaboration avec d’autres organismes au sein de leur gouvernement, en fournissant des dispositions législatives types et des cadres qui leur permettent de partager des responsabilités en matière de biosécurité avec des organisations qui n’en sont pas traditionnellement investies. </w:t>
      </w:r>
    </w:p>
    <w:p w14:paraId="194ABC10" w14:textId="1CFB6810">
      <w:pPr>
        <w:pStyle w:val="IPPParagraphnumbering"/>
        <w:numPr>
          <w:ilvl w:val="0"/>
          <w:numId w:val="0"/>
        </w:numPr>
        <w:tabs>
          <w:tab w:val="left" w:pos="720"/>
        </w:tabs>
        <w:jc w:val="both"/>
        <w:rPr>
          <w:rFonts w:ascii="Times New Roman" w:hAnsi="Times New Roman" w:eastAsia="MS Mincho" w:cs="Times New Roman"/>
        </w:rPr>
      </w:pPr>
      <w:r>
        <w:rPr>
          <w:rStyle w:val="PleaseReviewParagraphId"/>
          <w:b w:val="off"/>
          <w:i w:val="off"/>
        </w:rPr>
        <w:t>[48]</w:t>
      </w:r>
      <w:r>
        <w:rPr>
          <w:rFonts w:ascii="Times New Roman" w:hAnsi="Times New Roman"/>
        </w:rPr>
        <w:t>L’élaboration d’orientations, notamment d’un modèle international générique indiquant comment gérer les risques lorsque plusieurs organisations sont associées à une filière d’importation, permettra de réduire au minimum les risques et de favoriser les échanges commerciaux sans risque.</w:t>
      </w:r>
    </w:p>
    <w:p w14:paraId="631D7B04" w14:textId="42E3E464">
      <w:pPr>
        <w:pStyle w:val="IPPHeading1"/>
        <w:tabs>
          <w:tab w:val="clear" w:pos="567"/>
        </w:tabs>
        <w:ind w:left="0" w:firstLine="0"/>
        <w:jc w:val="both"/>
        <w:rPr>
          <w:rFonts w:ascii="Times New Roman" w:hAnsi="Times New Roman" w:cs="Times New Roman"/>
          <w:b w:val="0"/>
          <w:sz w:val="22"/>
        </w:rPr>
      </w:pPr>
      <w:r>
        <w:rPr>
          <w:rStyle w:val="PleaseReviewParagraphId"/>
          <w:b w:val="off"/>
          <w:i w:val="off"/>
        </w:rPr>
        <w:t>[49]</w:t>
      </w:r>
      <w:r>
        <w:rPr>
          <w:rFonts w:ascii="Times New Roman" w:hAnsi="Times New Roman"/>
          <w:b w:val="0"/>
          <w:sz w:val="22"/>
        </w:rPr>
        <w:t>Le guide permettra de renforcer et d’améliorer la compréhension de toutes les parties contractantes quant à la présence, aux incidences et à la gestion des organismes nuisibles contaminants. Il s’agira notamment d’élaborer des documents d’accompagnement décrivant les moyens de transport, les organismes nuisibles contaminants potentiels et leurs incidences sur les écosystèmes naturels et de production, les activités de gestion et les contraintes environnementales.</w:t>
      </w:r>
    </w:p>
    <w:p w14:paraId="7D05340C" w14:textId="1722FA3B">
      <w:pPr>
        <w:pStyle w:val="IPPHeading1"/>
        <w:tabs>
          <w:tab w:val="clear" w:pos="567"/>
        </w:tabs>
        <w:ind w:left="0" w:firstLine="0"/>
        <w:jc w:val="both"/>
        <w:rPr>
          <w:rFonts w:ascii="Times New Roman" w:hAnsi="Times New Roman" w:cs="Times New Roman"/>
          <w:b w:val="0"/>
          <w:sz w:val="22"/>
        </w:rPr>
      </w:pPr>
      <w:r>
        <w:rPr>
          <w:rStyle w:val="PleaseReviewParagraphId"/>
          <w:b w:val="off"/>
          <w:i w:val="off"/>
        </w:rPr>
        <w:t>[50]</w:t>
      </w:r>
      <w:r>
        <w:rPr>
          <w:rFonts w:ascii="Times New Roman" w:hAnsi="Times New Roman"/>
          <w:b w:val="0"/>
          <w:sz w:val="22"/>
        </w:rPr>
        <w:t xml:space="preserve">Le guide présentera également des procédures, des orientations et des critères à l’appui de la réglementation dès les articles réglementés autres que les marchandises et qui peuvent ne pas être gérées par les parties contractantes. La ressource nécessaire à la mise en œuvre ne sera pas axée sur des articles réglementés spécifiques, mais créera un cadre permettant aux ONPV d’évaluer la situation et de prendre des décisions sur la manière de réglementer les articles réglementés autres que les marchandises ainsi que les moyens de transport, notamment les navires effectuant des voyages internationaux, les conteneurs d’expédition, les avions effectuant des liaisons internationales, les conteneurs de transport aérien, les articles de courrier et les passagers des navires et des avions effectuant des voyages internationaux. </w:t>
      </w:r>
    </w:p>
    <w:p w14:paraId="4BAAAA44" w14:textId="77777777">
      <w:pPr>
        <w:pStyle w:val="IPPHeading1"/>
        <w:jc w:val="both"/>
        <w:rPr>
          <w:rFonts w:ascii="Times New Roman" w:hAnsi="Times New Roman" w:cs="Times New Roman"/>
        </w:rPr>
      </w:pPr>
      <w:r>
        <w:rPr>
          <w:rStyle w:val="PleaseReviewParagraphId"/>
          <w:b w:val="off"/>
          <w:i w:val="off"/>
        </w:rPr>
        <w:t>[51]</w:t>
      </w:r>
      <w:r>
        <w:rPr>
          <w:rFonts w:ascii="Times New Roman" w:hAnsi="Times New Roman"/>
        </w:rPr>
        <w:t>6. Contenu de la ressource proposée pour la mise en œuvre</w:t>
      </w:r>
    </w:p>
    <w:p w14:paraId="6D52E0EC" w14:textId="77777777">
      <w:pPr>
        <w:keepNext/>
        <w:tabs>
          <w:tab w:val="left" w:pos="567"/>
        </w:tabs>
        <w:spacing w:before="240" w:after="120"/>
        <w:ind w:left="567" w:hanging="567"/>
        <w:jc w:val="both"/>
        <w:outlineLvl w:val="1"/>
        <w:rPr>
          <w:rFonts w:ascii="Times New Roman" w:hAnsi="Times New Roman" w:eastAsia="Times" w:cs="Times New Roman"/>
        </w:rPr>
      </w:pPr>
      <w:r>
        <w:rPr>
          <w:rStyle w:val="PleaseReviewParagraphId"/>
          <w:b w:val="off"/>
          <w:i w:val="off"/>
        </w:rPr>
        <w:t>[52]</w:t>
      </w:r>
      <w:r>
        <w:rPr>
          <w:rFonts w:ascii="Times New Roman" w:hAnsi="Times New Roman"/>
        </w:rPr>
        <w:t>Le contenu du guide proposé devrait être élaboré sur la base des résultats des tâches suivantes:</w:t>
      </w:r>
    </w:p>
    <w:p w14:paraId="1F8B9EFE" w14:textId="0383F0D8">
      <w:pPr>
        <w:pStyle w:val="ListParagraph"/>
        <w:keepNext/>
        <w:widowControl w:val="0"/>
        <w:numPr>
          <w:ilvl w:val="0"/>
          <w:numId w:val="9"/>
        </w:numPr>
        <w:tabs>
          <w:tab w:val="left" w:pos="709"/>
        </w:tabs>
        <w:spacing w:after="0"/>
        <w:ind w:left="714" w:hanging="357"/>
        <w:contextualSpacing w:val="0"/>
        <w:jc w:val="both"/>
        <w:rPr>
          <w:rFonts w:ascii="Times New Roman" w:hAnsi="Times New Roman" w:eastAsia="Times" w:cs="Times New Roman"/>
        </w:rPr>
      </w:pPr>
      <w:r>
        <w:rPr>
          <w:rStyle w:val="PleaseReviewParagraphId"/>
          <w:b w:val="off"/>
          <w:i w:val="off"/>
        </w:rPr>
        <w:t>[53]</w:t>
      </w:r>
      <w:r>
        <w:rPr>
          <w:rFonts w:ascii="Times New Roman" w:hAnsi="Times New Roman"/>
        </w:rPr>
        <w:t>Recenser les NIMP pertinentes qui prennent en compte les risques phytosanitaires relatifs à des articles réglementés, et examiner comment ces NIMP peuvent être traduites dans les législations nationales.</w:t>
      </w:r>
    </w:p>
    <w:p w14:paraId="4A5F476C" w14:textId="5237F7EE">
      <w:pPr>
        <w:pStyle w:val="ListParagraph"/>
        <w:keepNext/>
        <w:widowControl w:val="0"/>
        <w:numPr>
          <w:ilvl w:val="0"/>
          <w:numId w:val="9"/>
        </w:numPr>
        <w:tabs>
          <w:tab w:val="left" w:pos="709"/>
        </w:tabs>
        <w:spacing w:after="0"/>
        <w:ind w:left="714" w:hanging="357"/>
        <w:contextualSpacing w:val="0"/>
        <w:jc w:val="both"/>
        <w:rPr>
          <w:rFonts w:ascii="Times New Roman" w:hAnsi="Times New Roman" w:eastAsia="Times" w:cs="Times New Roman"/>
        </w:rPr>
      </w:pPr>
      <w:r>
        <w:rPr>
          <w:rStyle w:val="PleaseReviewParagraphId"/>
          <w:b w:val="off"/>
          <w:i w:val="off"/>
        </w:rPr>
        <w:t>[54]</w:t>
      </w:r>
      <w:r>
        <w:rPr>
          <w:rFonts w:ascii="Times New Roman" w:hAnsi="Times New Roman"/>
        </w:rPr>
        <w:t>Examiner les mesures phytosanitaires qui sont actuellement appliquées par les ONPV pour gérer les risques phytosanitaires relatifs à des articles réglementés et réfléchir aux mesures de gestion des risques qu’il convient de prendre lorsque plusieurs organisations sont associées à une filière d’importation.</w:t>
      </w:r>
    </w:p>
    <w:p w14:paraId="4443C935" w14:textId="77777777">
      <w:pPr>
        <w:pStyle w:val="ListParagraph"/>
        <w:keepNext/>
        <w:widowControl w:val="0"/>
        <w:numPr>
          <w:ilvl w:val="0"/>
          <w:numId w:val="9"/>
        </w:numPr>
        <w:tabs>
          <w:tab w:val="left" w:pos="709"/>
        </w:tabs>
        <w:spacing w:after="0"/>
        <w:ind w:left="714" w:hanging="357"/>
        <w:contextualSpacing w:val="0"/>
        <w:jc w:val="both"/>
        <w:rPr>
          <w:rFonts w:ascii="Times New Roman" w:hAnsi="Times New Roman" w:eastAsia="Times New Roman" w:cs="Times New Roman"/>
        </w:rPr>
      </w:pPr>
      <w:r>
        <w:rPr>
          <w:rStyle w:val="PleaseReviewParagraphId"/>
          <w:b w:val="off"/>
          <w:i w:val="off"/>
        </w:rPr>
        <w:t>[55]</w:t>
      </w:r>
      <w:r>
        <w:rPr>
          <w:rFonts w:ascii="Times New Roman" w:hAnsi="Times New Roman"/>
        </w:rPr>
        <w:t>Recenser les différents types de législations qui sont actuellement appliquées par les ONPV pour gérer les risques phytosanitaires relatifs à des articles réglementés.</w:t>
      </w:r>
    </w:p>
    <w:p w14:paraId="778AE153" w14:textId="1D8D7BB9">
      <w:pPr>
        <w:pStyle w:val="ListParagraph"/>
        <w:keepNext/>
        <w:widowControl w:val="0"/>
        <w:numPr>
          <w:ilvl w:val="0"/>
          <w:numId w:val="9"/>
        </w:numPr>
        <w:tabs>
          <w:tab w:val="left" w:pos="709"/>
        </w:tabs>
        <w:spacing w:after="0"/>
        <w:ind w:left="714" w:hanging="357"/>
        <w:contextualSpacing w:val="0"/>
        <w:jc w:val="both"/>
      </w:pPr>
      <w:r>
        <w:rPr>
          <w:rStyle w:val="PleaseReviewParagraphId"/>
          <w:b w:val="off"/>
          <w:i w:val="off"/>
        </w:rPr>
        <w:t>[56]</w:t>
      </w:r>
      <w:r>
        <w:rPr>
          <w:rFonts w:ascii="Times New Roman" w:hAnsi="Times New Roman"/>
        </w:rPr>
        <w:t xml:space="preserve">Déterminer les défis posés par la réglementation des importations effectuées au sein des les articles réglementés autres que les marchandises et discuter des moyens de relever ces défis. </w:t>
      </w:r>
    </w:p>
    <w:p w14:paraId="25F31CA6" w14:textId="05E4A1DA">
      <w:pPr>
        <w:pStyle w:val="ListParagraph"/>
        <w:keepNext/>
        <w:widowControl w:val="0"/>
        <w:numPr>
          <w:ilvl w:val="0"/>
          <w:numId w:val="9"/>
        </w:numPr>
        <w:tabs>
          <w:tab w:val="left" w:pos="709"/>
        </w:tabs>
        <w:spacing w:after="0"/>
        <w:ind w:left="714" w:hanging="357"/>
        <w:contextualSpacing w:val="0"/>
        <w:jc w:val="both"/>
      </w:pPr>
      <w:r>
        <w:rPr>
          <w:rStyle w:val="PleaseReviewParagraphId"/>
          <w:b w:val="off"/>
          <w:i w:val="off"/>
        </w:rPr>
        <w:t>[57]</w:t>
      </w:r>
      <w:r>
        <w:rPr>
          <w:rFonts w:ascii="Times New Roman" w:hAnsi="Times New Roman"/>
        </w:rPr>
        <w:t>Recenser les différents types d’organismes nuisibles contaminants qui peuvent être associés à des les articles réglementés autres que les marchandises et examiner les mesures phytosanitaires qui peuvent être appliquées pour atténuer et gérer ces risques.</w:t>
      </w:r>
    </w:p>
    <w:p w14:paraId="7A9ECA91" w14:textId="419EBF87">
      <w:pPr>
        <w:pStyle w:val="ListParagraph"/>
        <w:keepNext/>
        <w:widowControl w:val="0"/>
        <w:numPr>
          <w:ilvl w:val="0"/>
          <w:numId w:val="9"/>
        </w:numPr>
        <w:tabs>
          <w:tab w:val="left" w:pos="709"/>
        </w:tabs>
        <w:spacing w:after="0"/>
        <w:ind w:left="714" w:hanging="357"/>
        <w:contextualSpacing w:val="0"/>
        <w:jc w:val="both"/>
        <w:rPr>
          <w:rFonts w:ascii="Times New Roman" w:hAnsi="Times New Roman" w:eastAsia="Times" w:cs="Times New Roman"/>
        </w:rPr>
      </w:pPr>
      <w:r>
        <w:rPr>
          <w:rStyle w:val="PleaseReviewParagraphId"/>
          <w:b w:val="off"/>
          <w:i w:val="off"/>
        </w:rPr>
        <w:t>[58]</w:t>
      </w:r>
      <w:r>
        <w:rPr>
          <w:rFonts w:ascii="Times New Roman" w:hAnsi="Times New Roman"/>
        </w:rPr>
        <w:t>Élaborer un projet de disposition législative et des réglementations types qui soient applicables aux les articles réglementés autres que les marchandises, et qui puissent être adaptées et utilisées par une ONPV.</w:t>
      </w:r>
    </w:p>
    <w:p w14:paraId="38CE1AB5" w14:textId="625E7D97">
      <w:pPr>
        <w:pStyle w:val="ListParagraph"/>
        <w:keepNext/>
        <w:widowControl w:val="0"/>
        <w:numPr>
          <w:ilvl w:val="0"/>
          <w:numId w:val="9"/>
        </w:numPr>
        <w:tabs>
          <w:tab w:val="left" w:pos="709"/>
        </w:tabs>
        <w:spacing w:after="0"/>
        <w:ind w:left="714" w:hanging="357"/>
        <w:contextualSpacing w:val="0"/>
        <w:jc w:val="both"/>
        <w:rPr>
          <w:rFonts w:ascii="Times New Roman" w:hAnsi="Times New Roman" w:eastAsia="Times" w:cs="Times New Roman"/>
        </w:rPr>
      </w:pPr>
      <w:r>
        <w:rPr>
          <w:rStyle w:val="PleaseReviewParagraphId"/>
          <w:b w:val="off"/>
          <w:i w:val="off"/>
        </w:rPr>
        <w:t>[59]</w:t>
      </w:r>
      <w:r>
        <w:rPr>
          <w:rFonts w:ascii="Times New Roman" w:hAnsi="Times New Roman"/>
        </w:rPr>
        <w:t xml:space="preserve">Recenser, classer par ordre de priorité et réglementer les articles réglementés autres que les </w:t>
        <w:lastRenderedPageBreak/>
        <w:t>marchandises, et réduire les risques phytosanitaires dans ces filières.</w:t>
      </w:r>
    </w:p>
    <w:p w14:paraId="55E3594F" w14:textId="77777777">
      <w:pPr>
        <w:pStyle w:val="ListParagraph"/>
        <w:keepNext/>
        <w:widowControl w:val="0"/>
        <w:numPr>
          <w:ilvl w:val="0"/>
          <w:numId w:val="9"/>
        </w:numPr>
        <w:tabs>
          <w:tab w:val="left" w:pos="709"/>
        </w:tabs>
        <w:spacing w:after="0"/>
        <w:ind w:left="714" w:hanging="357"/>
        <w:contextualSpacing w:val="0"/>
        <w:jc w:val="both"/>
        <w:rPr>
          <w:rFonts w:ascii="Times New Roman" w:hAnsi="Times New Roman" w:eastAsia="Times" w:cs="Times New Roman"/>
        </w:rPr>
      </w:pPr>
      <w:r>
        <w:rPr>
          <w:rStyle w:val="PleaseReviewParagraphId"/>
          <w:b w:val="off"/>
          <w:i w:val="off"/>
        </w:rPr>
        <w:t>[60]</w:t>
      </w:r>
      <w:r>
        <w:rPr>
          <w:rFonts w:ascii="Times New Roman" w:hAnsi="Times New Roman"/>
        </w:rPr>
        <w:t>Définir les éléments et exigences critiques à inclure dans le cadre ci-dessus.</w:t>
      </w:r>
    </w:p>
    <w:p w14:paraId="0DE61773" w14:textId="4C91F536">
      <w:pPr>
        <w:pStyle w:val="ListParagraph"/>
        <w:keepNext/>
        <w:widowControl w:val="0"/>
        <w:numPr>
          <w:ilvl w:val="0"/>
          <w:numId w:val="9"/>
        </w:numPr>
        <w:tabs>
          <w:tab w:val="left" w:pos="709"/>
        </w:tabs>
        <w:spacing w:after="0"/>
        <w:ind w:left="714" w:hanging="357"/>
        <w:contextualSpacing w:val="0"/>
        <w:jc w:val="both"/>
        <w:rPr>
          <w:rFonts w:ascii="Times New Roman" w:hAnsi="Times New Roman" w:eastAsia="Times" w:cs="Times New Roman"/>
        </w:rPr>
      </w:pPr>
      <w:r>
        <w:rPr>
          <w:rStyle w:val="PleaseReviewParagraphId"/>
          <w:b w:val="off"/>
          <w:i w:val="off"/>
        </w:rPr>
        <w:t>[61]</w:t>
      </w:r>
      <w:r>
        <w:rPr>
          <w:rFonts w:ascii="Times New Roman" w:hAnsi="Times New Roman"/>
        </w:rPr>
        <w:t>Fournir des orientations qui aideront les ONPV à mettre en œuvre les dispositions de la Convention applicables aux articles réglementés, en tenant compte des contributions de l’Équipe spéciale sur les conteneurs maritimes.</w:t>
      </w:r>
    </w:p>
    <w:p w14:paraId="4F1E51E5" w14:textId="77777777">
      <w:pPr>
        <w:pStyle w:val="ListParagraph"/>
        <w:keepNext/>
        <w:widowControl w:val="0"/>
        <w:numPr>
          <w:ilvl w:val="0"/>
          <w:numId w:val="9"/>
        </w:numPr>
        <w:tabs>
          <w:tab w:val="left" w:pos="709"/>
        </w:tabs>
        <w:spacing w:after="0"/>
        <w:ind w:left="714" w:hanging="357"/>
        <w:contextualSpacing w:val="0"/>
        <w:jc w:val="both"/>
        <w:rPr>
          <w:rFonts w:ascii="Times New Roman" w:hAnsi="Times New Roman" w:cs="Times New Roman"/>
        </w:rPr>
      </w:pPr>
      <w:r>
        <w:rPr>
          <w:rStyle w:val="PleaseReviewParagraphId"/>
          <w:b w:val="off"/>
          <w:i w:val="off"/>
        </w:rPr>
        <w:t>[62]</w:t>
      </w:r>
      <w:r>
        <w:rPr>
          <w:rFonts w:ascii="Times New Roman" w:hAnsi="Times New Roman"/>
        </w:rPr>
        <w:t>Fournir des orientations aux ONPV concernant la communication des exigences phytosanitaires aux pays exportateurs ainsi que la meilleure façon de communiquer ces exigences et de les publier sur la page relative au pays, sur le Portail phytosanitaire international (PPI).</w:t>
      </w:r>
    </w:p>
    <w:p w14:paraId="5938A418" w14:textId="3808CF0A">
      <w:pPr>
        <w:pStyle w:val="ListParagraph"/>
        <w:keepNext/>
        <w:widowControl w:val="0"/>
        <w:numPr>
          <w:ilvl w:val="0"/>
          <w:numId w:val="9"/>
        </w:numPr>
        <w:tabs>
          <w:tab w:val="left" w:pos="709"/>
        </w:tabs>
        <w:spacing w:after="0"/>
        <w:ind w:left="714" w:hanging="357"/>
        <w:contextualSpacing w:val="0"/>
        <w:jc w:val="both"/>
        <w:rPr>
          <w:rFonts w:ascii="Times New Roman" w:hAnsi="Times New Roman" w:cs="Times New Roman"/>
        </w:rPr>
      </w:pPr>
      <w:r>
        <w:rPr>
          <w:rStyle w:val="PleaseReviewParagraphId"/>
          <w:b w:val="off"/>
          <w:i w:val="off"/>
        </w:rPr>
        <w:t>[63]</w:t>
      </w:r>
      <w:r>
        <w:rPr>
          <w:rFonts w:ascii="Times New Roman" w:hAnsi="Times New Roman"/>
        </w:rPr>
        <w:t>Suggérer des pratiques optimales en matière de collaboration avec d’autres organismes présents aux frontières (douanes, etc.).</w:t>
      </w:r>
    </w:p>
    <w:p w14:paraId="6CFC07C1" w14:textId="015A0EDB">
      <w:pPr>
        <w:pStyle w:val="ListParagraph"/>
        <w:keepNext/>
        <w:widowControl w:val="0"/>
        <w:numPr>
          <w:ilvl w:val="0"/>
          <w:numId w:val="9"/>
        </w:numPr>
        <w:tabs>
          <w:tab w:val="left" w:pos="709"/>
        </w:tabs>
        <w:spacing w:after="0"/>
        <w:ind w:left="714" w:hanging="357"/>
        <w:contextualSpacing w:val="0"/>
        <w:jc w:val="both"/>
        <w:rPr>
          <w:rFonts w:ascii="Times New Roman" w:hAnsi="Times New Roman" w:cs="Times New Roman"/>
        </w:rPr>
      </w:pPr>
      <w:r>
        <w:rPr>
          <w:rStyle w:val="PleaseReviewParagraphId"/>
          <w:b w:val="off"/>
          <w:i w:val="off"/>
        </w:rPr>
        <w:t>[64]</w:t>
      </w:r>
      <w:r>
        <w:rPr>
          <w:rFonts w:ascii="Times New Roman" w:hAnsi="Times New Roman"/>
        </w:rPr>
        <w:t>Suggérer des pratiques optimales pour les mesures à prendre en cas de non-conformité et d’urgence et pour la communication à ce sujet.</w:t>
      </w:r>
    </w:p>
    <w:p w14:paraId="1BC26B8E" w14:textId="3C5A632F">
      <w:pPr>
        <w:pStyle w:val="ListParagraph"/>
        <w:keepNext/>
        <w:widowControl w:val="0"/>
        <w:numPr>
          <w:ilvl w:val="0"/>
          <w:numId w:val="9"/>
        </w:numPr>
        <w:tabs>
          <w:tab w:val="left" w:pos="709"/>
        </w:tabs>
        <w:spacing w:after="0"/>
        <w:ind w:left="714" w:hanging="357"/>
        <w:contextualSpacing w:val="0"/>
        <w:jc w:val="both"/>
        <w:rPr>
          <w:rFonts w:ascii="Times New Roman" w:hAnsi="Times New Roman" w:cs="Times New Roman"/>
        </w:rPr>
      </w:pPr>
      <w:r>
        <w:rPr>
          <w:rStyle w:val="PleaseReviewParagraphId"/>
          <w:b w:val="off"/>
          <w:i w:val="off"/>
        </w:rPr>
        <w:t>[65]</w:t>
      </w:r>
      <w:r>
        <w:rPr>
          <w:rFonts w:ascii="Times New Roman" w:hAnsi="Times New Roman"/>
        </w:rPr>
        <w:t>Fournir des études de cas et des exemples qui permettent d’enrichir les informations contenues dans le guide.</w:t>
      </w:r>
    </w:p>
    <w:p w14:paraId="0CA4E48E" w14:textId="0C9379EE">
      <w:pPr>
        <w:pStyle w:val="ListParagraph"/>
        <w:keepNext/>
        <w:widowControl w:val="0"/>
        <w:numPr>
          <w:ilvl w:val="0"/>
          <w:numId w:val="9"/>
        </w:numPr>
        <w:tabs>
          <w:tab w:val="left" w:pos="709"/>
        </w:tabs>
        <w:spacing w:after="0"/>
        <w:ind w:left="714" w:hanging="357"/>
        <w:contextualSpacing w:val="0"/>
        <w:jc w:val="both"/>
        <w:rPr>
          <w:rFonts w:ascii="Times New Roman" w:hAnsi="Times New Roman" w:cs="Times New Roman"/>
        </w:rPr>
      </w:pPr>
      <w:r>
        <w:rPr>
          <w:rStyle w:val="PleaseReviewParagraphId"/>
          <w:b w:val="off"/>
          <w:i w:val="off"/>
        </w:rPr>
        <w:t>[66]</w:t>
      </w:r>
      <w:r>
        <w:rPr>
          <w:rFonts w:ascii="Times New Roman" w:hAnsi="Times New Roman"/>
        </w:rPr>
        <w:t>Déterminer les ressources techniques existantes et pertinentes qui pourraient être mises à disposition sur le Portail phytosanitaire international.</w:t>
      </w:r>
    </w:p>
    <w:p w14:paraId="2CE0D761" w14:textId="77777777">
      <w:pPr>
        <w:keepNext/>
        <w:tabs>
          <w:tab w:val="left" w:pos="567"/>
        </w:tabs>
        <w:spacing w:before="240" w:after="120"/>
        <w:ind w:left="567" w:hanging="567"/>
        <w:jc w:val="both"/>
        <w:outlineLvl w:val="1"/>
        <w:rPr>
          <w:rFonts w:ascii="Times New Roman" w:hAnsi="Times New Roman" w:cs="Times New Roman"/>
          <w:bCs/>
          <w:iCs/>
          <w:sz w:val="24"/>
          <w:szCs w:val="24"/>
        </w:rPr>
      </w:pPr>
      <w:r>
        <w:rPr>
          <w:rStyle w:val="PleaseReviewParagraphId"/>
          <w:b w:val="off"/>
          <w:i w:val="off"/>
        </w:rPr>
        <w:t>[67]</w:t>
      </w:r>
      <w:r>
        <w:rPr>
          <w:rFonts w:ascii="Times New Roman" w:hAnsi="Times New Roman"/>
          <w:b/>
          <w:sz w:val="24"/>
        </w:rPr>
        <w:t>7. Références et documents complémentaires</w:t>
      </w:r>
    </w:p>
    <w:p w14:paraId="48B37C21" w14:textId="71D86E4C">
      <w:pPr>
        <w:autoSpaceDE w:val="0"/>
        <w:autoSpaceDN w:val="0"/>
        <w:adjustRightInd w:val="0"/>
        <w:rPr>
          <w:rFonts w:ascii="Times New Roman" w:hAnsi="Times New Roman" w:cs="Times New Roman"/>
        </w:rPr>
      </w:pPr>
      <w:r>
        <w:rPr>
          <w:rStyle w:val="PleaseReviewParagraphId"/>
          <w:b w:val="off"/>
          <w:i w:val="off"/>
        </w:rPr>
        <w:t>[68]</w:t>
      </w:r>
      <w:r>
        <w:rPr>
          <w:rFonts w:ascii="Times New Roman" w:hAnsi="Times New Roman"/>
        </w:rPr>
        <w:t xml:space="preserve">Informations générales intéressant le PPI: Élaboration du projet de NIMP sur la réduction maximale des déplacements d’organismes nuisibles par les conteneurs maritimes (2008-001) (Secrétariat de la CIPV, 2017), disponible à l’adresse: </w:t>
      </w:r>
      <w:hyperlink r:id="rId11">
        <w:r>
          <w:rPr>
            <w:rStyle w:val="Hyperlink"/>
            <w:rFonts w:ascii="Times New Roman" w:hAnsi="Times New Roman"/>
          </w:rPr>
          <w:t>https://www.ippc.int/fr/publications/draft-ispm-minimizing-pest-movement-sea-containers/</w:t>
        </w:r>
      </w:hyperlink>
      <w:r>
        <w:rPr>
          <w:rFonts w:ascii="Times New Roman" w:hAnsi="Times New Roman"/>
        </w:rPr>
        <w:t xml:space="preserve"> . </w:t>
      </w:r>
    </w:p>
    <w:p w14:paraId="28ADDA4D" w14:textId="718A0F91">
      <w:pPr>
        <w:spacing w:after="180" w:line="240" w:lineRule="auto"/>
        <w:rPr>
          <w:rFonts w:ascii="Times New Roman" w:hAnsi="Times New Roman" w:eastAsia="Times" w:cs="Times New Roman"/>
        </w:rPr>
      </w:pPr>
      <w:r>
        <w:rPr>
          <w:rStyle w:val="PleaseReviewParagraphId"/>
          <w:b w:val="off"/>
          <w:i w:val="off"/>
        </w:rPr>
        <w:t>[69]</w:t>
      </w:r>
      <w:r>
        <w:rPr>
          <w:rFonts w:ascii="Times New Roman" w:hAnsi="Times New Roman"/>
        </w:rPr>
        <w:t xml:space="preserve">Directives de la CIPV sur la propreté des conteneurs maritimes (Secrétariat de la CIPV, 2018), disponible à l’adresse: </w:t>
      </w:r>
      <w:hyperlink r:id="rId12">
        <w:r>
          <w:rPr>
            <w:rStyle w:val="Hyperlink"/>
            <w:rFonts w:ascii="Times New Roman" w:hAnsi="Times New Roman"/>
          </w:rPr>
          <w:t>http://www.fao.org/publications/card/fr/c/I8960FR</w:t>
        </w:r>
      </w:hyperlink>
      <w:r>
        <w:rPr>
          <w:rFonts w:ascii="Times New Roman" w:hAnsi="Times New Roman"/>
        </w:rPr>
        <w:t xml:space="preserve"> . </w:t>
      </w:r>
    </w:p>
    <w:p w14:paraId="309C8D6C" w14:textId="555D888E">
      <w:pPr>
        <w:autoSpaceDE w:val="0"/>
        <w:autoSpaceDN w:val="0"/>
        <w:adjustRightInd w:val="0"/>
        <w:rPr>
          <w:rStyle w:val="Hyperlink"/>
          <w:rFonts w:ascii="Times New Roman" w:hAnsi="Times New Roman" w:cs="Times New Roman"/>
        </w:rPr>
      </w:pPr>
      <w:r>
        <w:rPr>
          <w:rStyle w:val="PleaseReviewParagraphId"/>
          <w:b w:val="off"/>
          <w:i w:val="off"/>
        </w:rPr>
        <w:t>[70]</w:t>
      </w:r>
      <w:r>
        <w:rPr>
          <w:rFonts w:ascii="Times New Roman" w:hAnsi="Times New Roman"/>
        </w:rPr>
        <w:t xml:space="preserve">Plan d’action complémentaire aux fins de l’évaluation et de la gestion des menaces liées aux organismes nuisibles qui peuvent se déplacer par l’intermédiaire de conteneurs maritimes (Secrétariat de la CIPV, 2017), disponible à l’adresse: </w:t>
      </w:r>
      <w:hyperlink r:id="rId13">
        <w:r>
          <w:rPr>
            <w:rStyle w:val="Hyperlink"/>
            <w:rFonts w:ascii="Times New Roman" w:hAnsi="Times New Roman"/>
            <w:sz w:val="21"/>
            <w:szCs w:val="21"/>
          </w:rPr>
          <w:t>https://www.ippc.int/static/media/files/publication/en/2017/07/Complementary_Action_Plan_CPM12.pdf</w:t>
        </w:r>
      </w:hyperlink>
      <w:r>
        <w:rPr>
          <w:rFonts w:ascii="Times New Roman" w:hAnsi="Times New Roman"/>
          <w:sz w:val="21"/>
          <w:szCs w:val="21"/>
        </w:rPr>
        <w:t xml:space="preserve"> </w:t>
      </w:r>
      <w:r>
        <w:rPr>
          <w:rFonts w:ascii="Times New Roman" w:hAnsi="Times New Roman"/>
        </w:rPr>
        <w:t>.</w:t>
      </w:r>
    </w:p>
    <w:p w14:paraId="00EA2CB9" w14:textId="0D6D6838">
      <w:pPr>
        <w:autoSpaceDE w:val="0"/>
        <w:autoSpaceDN w:val="0"/>
        <w:adjustRightInd w:val="0"/>
        <w:rPr>
          <w:rStyle w:val="Hyperlink"/>
          <w:rFonts w:ascii="Times New Roman" w:hAnsi="Times New Roman" w:cs="Times New Roman"/>
          <w:color w:val="auto"/>
          <w:u w:val="none"/>
        </w:rPr>
      </w:pPr>
      <w:r>
        <w:rPr>
          <w:rStyle w:val="PleaseReviewParagraphId"/>
          <w:b w:val="off"/>
          <w:i w:val="off"/>
        </w:rPr>
        <w:t>[71]</w:t>
      </w:r>
      <w:r>
        <w:rPr>
          <w:rStyle w:val="Hyperlink"/>
          <w:rFonts w:ascii="Times New Roman" w:hAnsi="Times New Roman"/>
          <w:color w:val="auto"/>
          <w:u w:val="none"/>
        </w:rPr>
        <w:t xml:space="preserve">Orientations de la CIPV intitulées Réduire la dissémination des organismes nuisibles envahissants via les conteneurs maritimes (Secrétariat de la CIPV, 2020), disponible à l’adresse: </w:t>
      </w:r>
      <w:hyperlink r:id="rId14">
        <w:r>
          <w:rPr>
            <w:rStyle w:val="Hyperlink"/>
            <w:rFonts w:ascii="Times New Roman" w:hAnsi="Times New Roman"/>
          </w:rPr>
          <w:t>http://www.fao.org/publications/card/fr/c/CA7670FR</w:t>
        </w:r>
      </w:hyperlink>
      <w:r>
        <w:rPr>
          <w:rStyle w:val="Hyperlink"/>
          <w:rFonts w:ascii="Times New Roman" w:hAnsi="Times New Roman"/>
          <w:color w:val="auto"/>
          <w:u w:val="none"/>
        </w:rPr>
        <w:t xml:space="preserve"> . </w:t>
      </w:r>
    </w:p>
    <w:p w14:paraId="32C2696F" w14:textId="52BF1647">
      <w:pPr>
        <w:autoSpaceDE w:val="0"/>
        <w:autoSpaceDN w:val="0"/>
        <w:adjustRightInd w:val="0"/>
        <w:rPr>
          <w:rStyle w:val="Hyperlink"/>
          <w:rFonts w:ascii="Times New Roman" w:hAnsi="Times New Roman" w:cs="Times New Roman"/>
          <w:color w:val="auto"/>
          <w:u w:val="none"/>
        </w:rPr>
      </w:pPr>
      <w:r>
        <w:rPr>
          <w:rStyle w:val="PleaseReviewParagraphId"/>
          <w:b w:val="off"/>
          <w:i w:val="off"/>
        </w:rPr>
        <w:t>[72]</w:t>
      </w:r>
      <w:r>
        <w:rPr>
          <w:rStyle w:val="Hyperlink"/>
          <w:rFonts w:ascii="Times New Roman" w:hAnsi="Times New Roman"/>
          <w:color w:val="auto"/>
          <w:u w:val="none"/>
        </w:rPr>
        <w:t xml:space="preserve">Chaîne logistique et propreté des conteneurs maritimes (Secrétariat de la CIPV, 2020), disponible à l’adresse: </w:t>
      </w:r>
      <w:hyperlink r:id="rId15">
        <w:r>
          <w:rPr>
            <w:rStyle w:val="Hyperlink"/>
            <w:rFonts w:ascii="Times New Roman" w:hAnsi="Times New Roman"/>
          </w:rPr>
          <w:t>http://www.fao.org/documents/card/fr/c/ca7963fr/</w:t>
        </w:r>
      </w:hyperlink>
      <w:r>
        <w:rPr>
          <w:rStyle w:val="Hyperlink"/>
          <w:rFonts w:ascii="Times New Roman" w:hAnsi="Times New Roman"/>
          <w:color w:val="auto"/>
          <w:u w:val="none"/>
        </w:rPr>
        <w:t xml:space="preserve"> . </w:t>
      </w:r>
    </w:p>
    <w:p w14:paraId="675391F4" w14:textId="34583C82">
      <w:pPr>
        <w:autoSpaceDE w:val="0"/>
        <w:autoSpaceDN w:val="0"/>
        <w:adjustRightInd w:val="0"/>
        <w:rPr>
          <w:rStyle w:val="Hyperlink"/>
          <w:rFonts w:ascii="Times New Roman" w:hAnsi="Times New Roman" w:cs="Times New Roman"/>
          <w:color w:val="auto"/>
          <w:u w:val="none"/>
        </w:rPr>
      </w:pPr>
      <w:r>
        <w:rPr>
          <w:rStyle w:val="PleaseReviewParagraphId"/>
          <w:b w:val="off"/>
          <w:i w:val="off"/>
        </w:rPr>
        <w:t>[73]</w:t>
      </w:r>
      <w:r>
        <w:rPr>
          <w:rStyle w:val="Hyperlink"/>
          <w:rFonts w:ascii="Times New Roman" w:hAnsi="Times New Roman"/>
          <w:color w:val="auto"/>
          <w:u w:val="none"/>
        </w:rPr>
        <w:t xml:space="preserve">Enquêtes sur les conteneurs maritimes (Secrétariat de la CIPV, 2019), disponible à l’adresse: </w:t>
      </w:r>
      <w:hyperlink r:id="rId16">
        <w:r>
          <w:rPr>
            <w:rStyle w:val="Hyperlink"/>
            <w:rFonts w:ascii="Times New Roman" w:hAnsi="Times New Roman"/>
          </w:rPr>
          <w:t>http://www.fao.org/publications/card/fr/c/CA7740FR/</w:t>
        </w:r>
      </w:hyperlink>
      <w:r>
        <w:rPr>
          <w:rStyle w:val="Hyperlink"/>
          <w:rFonts w:ascii="Times New Roman" w:hAnsi="Times New Roman"/>
          <w:color w:val="auto"/>
          <w:u w:val="none"/>
        </w:rPr>
        <w:t xml:space="preserve"> . </w:t>
      </w:r>
    </w:p>
    <w:p w14:paraId="0C131FB0" w14:textId="499929C7">
      <w:pPr>
        <w:autoSpaceDE w:val="0"/>
        <w:autoSpaceDN w:val="0"/>
        <w:adjustRightInd w:val="0"/>
        <w:rPr>
          <w:rFonts w:ascii="Times New Roman" w:hAnsi="Times New Roman" w:cs="Times New Roman"/>
        </w:rPr>
      </w:pPr>
      <w:r>
        <w:rPr>
          <w:rStyle w:val="PleaseReviewParagraphId"/>
          <w:b w:val="off"/>
          <w:i w:val="off"/>
        </w:rPr>
        <w:t>[74]</w:t>
      </w:r>
      <w:r>
        <w:rPr>
          <w:rStyle w:val="Hyperlink"/>
          <w:rFonts w:ascii="Times New Roman" w:hAnsi="Times New Roman"/>
          <w:color w:val="auto"/>
          <w:u w:val="none"/>
        </w:rPr>
        <w:t xml:space="preserve">Code de bonnes pratiques pour le chargement des cargaisons dans des engins de transport (Code CTU) (OMI/OIT/CEE-ONU, 2014), disponible à l’adresse: </w:t>
      </w:r>
      <w:hyperlink r:id="rId17">
        <w:r>
          <w:rPr>
            <w:rStyle w:val="Hyperlink"/>
            <w:rFonts w:ascii="Times New Roman" w:hAnsi="Times New Roman"/>
          </w:rPr>
          <w:t>https://unece.org/fileadmin/DAM/trans/doc/2014/wp24/CTU_Code_French_01.pdf</w:t>
        </w:r>
      </w:hyperlink>
      <w:r>
        <w:rPr>
          <w:rStyle w:val="Hyperlink"/>
          <w:rFonts w:ascii="Times New Roman" w:hAnsi="Times New Roman"/>
          <w:color w:val="auto"/>
          <w:u w:val="none"/>
        </w:rPr>
        <w:t xml:space="preserve"> . </w:t>
      </w:r>
    </w:p>
    <w:p w14:paraId="54B35D3B" w14:textId="77777777">
      <w:pPr>
        <w:pStyle w:val="IPPHeading1"/>
        <w:jc w:val="both"/>
        <w:rPr>
          <w:rFonts w:ascii="Times New Roman" w:hAnsi="Times New Roman" w:cs="Times New Roman"/>
          <w:bCs/>
          <w:iCs/>
        </w:rPr>
      </w:pPr>
      <w:r>
        <w:rPr>
          <w:rStyle w:val="PleaseReviewParagraphId"/>
          <w:b w:val="off"/>
          <w:i w:val="off"/>
        </w:rPr>
        <w:t>[75]</w:t>
      </w:r>
      <w:r>
        <w:rPr>
          <w:rFonts w:ascii="Times New Roman" w:hAnsi="Times New Roman"/>
        </w:rPr>
        <w:lastRenderedPageBreak/>
        <w:t xml:space="preserve">8. Contributions financières et en nature </w:t>
      </w:r>
    </w:p>
    <w:p w14:paraId="000C866A" w14:textId="12254E85">
      <w:pPr>
        <w:autoSpaceDE w:val="0"/>
        <w:autoSpaceDN w:val="0"/>
        <w:adjustRightInd w:val="0"/>
        <w:rPr>
          <w:rStyle w:val="Hyperlink"/>
          <w:color w:val="auto"/>
          <w:u w:val="none"/>
        </w:rPr>
      </w:pPr>
      <w:r>
        <w:rPr>
          <w:rStyle w:val="PleaseReviewParagraphId"/>
          <w:b w:val="off"/>
          <w:i w:val="off"/>
        </w:rPr>
        <w:t>[76]</w:t>
      </w:r>
      <w:r>
        <w:rPr>
          <w:rStyle w:val="Hyperlink"/>
          <w:rFonts w:ascii="Times New Roman" w:hAnsi="Times New Roman"/>
          <w:color w:val="auto"/>
          <w:u w:val="none"/>
        </w:rPr>
        <w:t>Le présent guide sera élaboré dans le cadre du projet de la FAO visant à appuyer la mise en œuvre de la CIPV (GCP/GLO/025/EC).</w:t>
      </w:r>
      <w:r>
        <w:rPr>
          <w:rStyle w:val="Hyperlink"/>
          <w:color w:val="auto"/>
          <w:u w:val="none"/>
        </w:rPr>
        <w:t xml:space="preserve"> </w:t>
      </w:r>
    </w:p>
    <w:p w14:paraId="7B8D4C26" w14:textId="77777777">
      <w:pPr>
        <w:pStyle w:val="IPPHeading1"/>
        <w:jc w:val="both"/>
        <w:rPr>
          <w:rFonts w:ascii="Times New Roman" w:hAnsi="Times New Roman" w:cs="Times New Roman"/>
        </w:rPr>
      </w:pPr>
      <w:r>
        <w:rPr>
          <w:rStyle w:val="PleaseReviewParagraphId"/>
          <w:b w:val="off"/>
          <w:i w:val="off"/>
        </w:rPr>
        <w:t>[77]</w:t>
      </w:r>
      <w:r>
        <w:rPr>
          <w:rFonts w:ascii="Times New Roman" w:hAnsi="Times New Roman"/>
        </w:rPr>
        <w:t xml:space="preserve">9. Critères de sélection des spécialistes des groupes de travail </w:t>
      </w:r>
    </w:p>
    <w:p w14:paraId="76AF3E1F" w14:textId="7FBCC222">
      <w:pPr>
        <w:pStyle w:val="IPPNormal"/>
        <w:rPr>
          <w:rFonts w:ascii="Times New Roman" w:hAnsi="Times New Roman" w:cs="Times New Roman"/>
        </w:rPr>
      </w:pPr>
      <w:r>
        <w:rPr>
          <w:rStyle w:val="PleaseReviewParagraphId"/>
          <w:b w:val="off"/>
          <w:i w:val="off"/>
        </w:rPr>
        <w:t>[78]</w:t>
      </w:r>
      <w:r>
        <w:rPr>
          <w:rFonts w:ascii="Times New Roman" w:hAnsi="Times New Roman"/>
        </w:rPr>
        <w:t>Il est souhaitable de constituer un groupe de travail chargé de contribuer à l’élaboration du présent guide et composé de spécialistes dotés d’une expertise technique et pratique pertinente dans le domaine concerné. En outre, ces spécialistes devraient être sélectionnés de manière à assurer la diversité de la représentation géographique des pays en développement et des pays développés, afin de veiller à ce que la documentation élaborée soit applicable à l’échelle mondiale et reflète les meilleures pratiques recensées dans le monde entier. Les membres du groupe de travail devraient être sélectionnés en fonction des critères qui suivent:</w:t>
      </w:r>
    </w:p>
    <w:p w14:paraId="3BEF1D87" w14:textId="098AFCDE">
      <w:pPr>
        <w:spacing w:after="180"/>
        <w:ind w:left="709" w:hanging="425"/>
        <w:jc w:val="both"/>
        <w:rPr>
          <w:rFonts w:ascii="Times New Roman" w:hAnsi="Times New Roman" w:eastAsia="Times" w:cs="Times New Roman"/>
        </w:rPr>
      </w:pPr>
      <w:r>
        <w:rPr>
          <w:rStyle w:val="PleaseReviewParagraphId"/>
          <w:b w:val="off"/>
          <w:i w:val="off"/>
        </w:rPr>
        <w:t>[79]</w:t>
      </w:r>
      <w:r>
        <w:rPr>
          <w:rFonts w:ascii="Times New Roman" w:hAnsi="Times New Roman"/>
        </w:rPr>
        <w:t xml:space="preserve"> 1) Compétences et connaissances pratiques dans un ou plusieurs des domaines suivants:</w:t>
      </w:r>
    </w:p>
    <w:p w14:paraId="5F4C9E08" w14:textId="03E42CA6">
      <w:pPr>
        <w:pStyle w:val="ListParagraph"/>
        <w:numPr>
          <w:ilvl w:val="0"/>
          <w:numId w:val="14"/>
        </w:numPr>
        <w:spacing w:after="180"/>
        <w:jc w:val="both"/>
        <w:rPr>
          <w:rFonts w:ascii="Times New Roman" w:hAnsi="Times New Roman" w:eastAsia="Times" w:cs="Times New Roman"/>
        </w:rPr>
      </w:pPr>
      <w:r>
        <w:rPr>
          <w:rStyle w:val="PleaseReviewParagraphId"/>
          <w:b w:val="off"/>
          <w:i w:val="off"/>
        </w:rPr>
        <w:t>[80]</w:t>
      </w:r>
      <w:r>
        <w:rPr>
          <w:rFonts w:ascii="Times New Roman" w:hAnsi="Times New Roman"/>
        </w:rPr>
        <w:t>Élaboration de dispositions législatives et réglementaires et de politiques permettant d’identifier, de hiérarchiser et de gérer les risques phytosanitaires relatifs à des articles réglementés.</w:t>
      </w:r>
    </w:p>
    <w:p w14:paraId="19577884" w14:textId="61B8E3AA">
      <w:pPr>
        <w:pStyle w:val="ListParagraph"/>
        <w:numPr>
          <w:ilvl w:val="0"/>
          <w:numId w:val="14"/>
        </w:numPr>
        <w:spacing w:after="180"/>
        <w:jc w:val="both"/>
        <w:rPr>
          <w:rFonts w:ascii="Times New Roman" w:hAnsi="Times New Roman" w:eastAsia="Times" w:cs="Times New Roman"/>
        </w:rPr>
      </w:pPr>
      <w:r>
        <w:rPr>
          <w:rStyle w:val="PleaseReviewParagraphId"/>
          <w:b w:val="off"/>
          <w:i w:val="off"/>
        </w:rPr>
        <w:t>[81]</w:t>
      </w:r>
      <w:r>
        <w:rPr>
          <w:rFonts w:ascii="Times New Roman" w:hAnsi="Times New Roman"/>
        </w:rPr>
        <w:t>Mise en œuvre de processus de contrôle de la gestion et de l’atténuation des risques relatifs à des articles réglementés.</w:t>
      </w:r>
    </w:p>
    <w:p w14:paraId="4BB7311A" w14:textId="171222C0">
      <w:pPr>
        <w:pStyle w:val="ListParagraph"/>
        <w:numPr>
          <w:ilvl w:val="0"/>
          <w:numId w:val="14"/>
        </w:numPr>
        <w:spacing w:after="180"/>
        <w:jc w:val="both"/>
        <w:rPr>
          <w:rFonts w:ascii="Times New Roman" w:hAnsi="Times New Roman" w:eastAsia="Times" w:cs="Times New Roman"/>
        </w:rPr>
      </w:pPr>
      <w:r>
        <w:rPr>
          <w:rStyle w:val="PleaseReviewParagraphId"/>
          <w:b w:val="off"/>
          <w:i w:val="off"/>
        </w:rPr>
        <w:t>[82]</w:t>
      </w:r>
      <w:r>
        <w:rPr>
          <w:rFonts w:ascii="Times New Roman" w:hAnsi="Times New Roman"/>
        </w:rPr>
        <w:t>Gestion des systèmes d’importation et d’exportation phytosanitaires.</w:t>
      </w:r>
    </w:p>
    <w:p w14:paraId="4DE3816B" w14:textId="5767F67E">
      <w:pPr>
        <w:pStyle w:val="ListParagraph"/>
        <w:numPr>
          <w:ilvl w:val="0"/>
          <w:numId w:val="14"/>
        </w:numPr>
        <w:spacing w:after="180"/>
        <w:jc w:val="both"/>
        <w:rPr>
          <w:rFonts w:ascii="Times New Roman" w:hAnsi="Times New Roman" w:eastAsia="Times" w:cs="Times New Roman"/>
        </w:rPr>
      </w:pPr>
      <w:r>
        <w:rPr>
          <w:rStyle w:val="PleaseReviewParagraphId"/>
          <w:b w:val="off"/>
          <w:i w:val="off"/>
        </w:rPr>
        <w:t>[83]</w:t>
      </w:r>
      <w:r>
        <w:rPr>
          <w:rFonts w:ascii="Times New Roman" w:hAnsi="Times New Roman"/>
        </w:rPr>
        <w:t>Conduite d’enquêtes, coordination du signalement d’organismes nuisibles, interventions et mesures d’urgence en rapport avec les organismes nuisibles contaminants.</w:t>
      </w:r>
    </w:p>
    <w:p w14:paraId="2BE8D0F2" w14:textId="168BCF22">
      <w:pPr>
        <w:spacing w:after="180"/>
        <w:ind w:firstLine="284"/>
        <w:jc w:val="both"/>
        <w:rPr>
          <w:rFonts w:ascii="Times New Roman" w:hAnsi="Times New Roman" w:eastAsia="Times" w:cs="Times New Roman"/>
        </w:rPr>
      </w:pPr>
      <w:r>
        <w:rPr>
          <w:rStyle w:val="PleaseReviewParagraphId"/>
          <w:b w:val="off"/>
          <w:i w:val="off"/>
        </w:rPr>
        <w:t>[84]</w:t>
      </w:r>
      <w:r>
        <w:rPr>
          <w:rFonts w:ascii="Times New Roman" w:hAnsi="Times New Roman"/>
        </w:rPr>
        <w:t xml:space="preserve"> 2) Maîtrise de l’anglais et aptitude à formuler des idées et à rédiger de façon claire en anglais.</w:t>
      </w:r>
    </w:p>
    <w:sectPr>
      <w:pgSz w:w="12240" w:h="15840"/>
      <w:pgMar w:top="1440" w:right="1440" w:bottom="1276" w:left="1440" w:header="708" w:footer="708" w:gutter="0"/>
      <w:cols w:space="708"/>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27BE" w16cex:dateUtc="2021-05-24T17:25:00Z"/>
  <w16cex:commentExtensible w16cex:durableId="2456271B" w16cex:dateUtc="2021-05-24T17:22:00Z"/>
  <w16cex:commentExtensible w16cex:durableId="24562729" w16cex:dateUtc="2021-05-24T17:22: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783F64" w16cid:durableId="245627BE"/>
  <w16cid:commentId w16cid:paraId="167A03D7" w16cid:durableId="2456271B"/>
  <w16cid:commentId w16cid:paraId="3BC043C3" w16cid:durableId="24562729"/>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A2062" w14:textId="77777777">
      <w:pPr>
        <w:spacing w:after="0" w:line="240" w:lineRule="auto"/>
      </w:pPr>
      <w:r>
        <w:rPr>
          <w:rStyle w:val="PleaseReviewParagraphId"/>
          <w:b w:val="off"/>
          <w:i w:val="off"/>
        </w:rPr>
        <w:t>[]</w:t>
      </w:r>
      <w:r>
        <w:separator/>
      </w:r>
    </w:p>
  </w:endnote>
  <w:endnote w:type="continuationSeparator" w:id="0">
    <w:p w14:paraId="245200F1"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2F1B4" w14:textId="77777777">
      <w:pPr>
        <w:spacing w:after="0" w:line="240" w:lineRule="auto"/>
      </w:pPr>
      <w:r>
        <w:rPr>
          <w:rStyle w:val="PleaseReviewParagraphId"/>
          <w:b w:val="off"/>
          <w:i w:val="off"/>
        </w:rPr>
        <w:t>[]</w:t>
      </w:r>
      <w:r>
        <w:separator/>
      </w:r>
    </w:p>
  </w:footnote>
  <w:footnote w:type="continuationSeparator" w:id="0">
    <w:p w14:paraId="3D0CA91F" w14:textId="77777777">
      <w:pPr>
        <w:spacing w:after="0" w:line="240" w:lineRule="auto"/>
      </w:pPr>
      <w:r>
        <w:rPr>
          <w:rStyle w:val="PleaseReviewParagraphId"/>
          <w:b w:val="off"/>
          <w:i w:val="off"/>
        </w:rPr>
        <w:t>[]</w:t>
      </w:r>
      <w:r>
        <w:continuationSeparator/>
      </w:r>
    </w:p>
  </w:footnote>
  <w:footnote w:id="1">
    <w:p w14:paraId="0EB16D29" w14:textId="656C98AF">
      <w:pPr>
        <w:pStyle w:val="FootnoteText"/>
      </w:pPr>
      <w:r>
        <w:rPr>
          <w:rStyle w:val="PleaseReviewParagraphId"/>
          <w:b w:val="off"/>
          <w:i w:val="off"/>
        </w:rPr>
        <w:t>[36]</w:t>
      </w:r>
      <w:r>
        <w:rPr>
          <w:rStyle w:val="FootnoteReference"/>
        </w:rPr>
        <w:footnoteRef/>
      </w:r>
      <w:hyperlink w:history="1" r:id="rId1">
        <w:r>
          <w:rPr>
            <w:rStyle w:val="Hyperlink"/>
          </w:rPr>
          <w:t>https://www.ippc.int/fr/publications/131/</w:t>
        </w:r>
      </w:hyperlink>
      <w:r>
        <w:rPr>
          <w:rFonts w:ascii="Times New Roman" w:hAnsi="Times New Roman"/>
        </w:rPr>
        <w:t>.</w:t>
      </w:r>
      <w:r>
        <w:t xml:space="preserve"> </w:t>
      </w:r>
    </w:p>
  </w:footnote>
  <w:footnote w:id="2">
    <w:p w14:paraId="47B5750B" w14:textId="7DC99A16">
      <w:pPr>
        <w:pStyle w:val="FootnoteText"/>
      </w:pPr>
      <w:r>
        <w:rPr>
          <w:rStyle w:val="PleaseReviewParagraphId"/>
          <w:b w:val="off"/>
          <w:i w:val="off"/>
        </w:rPr>
        <w:t>[38]</w:t>
      </w:r>
      <w:r>
        <w:rPr>
          <w:rStyle w:val="FootnoteReference"/>
        </w:rPr>
        <w:footnoteRef/>
      </w:r>
      <w:hyperlink w:history="1" r:id="rId2">
        <w:r>
          <w:rPr>
            <w:rStyle w:val="Hyperlink"/>
          </w:rPr>
          <w:t>https://www.ippc.int/fr/publications/84343/</w:t>
        </w:r>
      </w:hyperlink>
      <w:r>
        <w:rPr>
          <w:rFonts w:ascii="Times New Roman" w:hAnsi="Times New Roman"/>
        </w:rPr>
        <w:t>.</w:t>
      </w:r>
      <w:r>
        <w:t xml:space="preserve"> </w:t>
      </w:r>
    </w:p>
  </w:footnote>
  <w:footnote w:id="3">
    <w:p w14:paraId="1757F4D9" w14:textId="3A2943E4">
      <w:pPr>
        <w:pStyle w:val="FootnoteText"/>
      </w:pPr>
      <w:r>
        <w:rPr>
          <w:rStyle w:val="PleaseReviewParagraphId"/>
          <w:b w:val="off"/>
          <w:i w:val="off"/>
        </w:rPr>
        <w:t>[40]</w:t>
      </w:r>
      <w:r>
        <w:rPr>
          <w:rStyle w:val="FootnoteReference"/>
        </w:rPr>
        <w:footnoteRef/>
      </w:r>
      <w:hyperlink w:history="1" r:id="rId3">
        <w:r>
          <w:rPr>
            <w:rStyle w:val="Hyperlink"/>
          </w:rPr>
          <w:t>https://www.ippc.int/fr/publications/84233/</w:t>
        </w:r>
      </w:hyperlink>
      <w:r>
        <w:rPr>
          <w:rFonts w:ascii="Times New Roman" w:hAnsi="Times New Roman"/>
        </w:rPr>
        <w:t>.</w:t>
      </w:r>
      <w:r>
        <w:t xml:space="preserve"> </w:t>
      </w:r>
    </w:p>
  </w:footnote>
  <w:footnote w:id="4">
    <w:p w14:paraId="2458F81C" w14:textId="122A59F4">
      <w:pPr>
        <w:pStyle w:val="FootnoteText"/>
      </w:pPr>
      <w:r>
        <w:rPr>
          <w:rStyle w:val="PleaseReviewParagraphId"/>
          <w:b w:val="off"/>
          <w:i w:val="off"/>
        </w:rPr>
        <w:t>[42]</w:t>
      </w:r>
      <w:r>
        <w:rPr>
          <w:rStyle w:val="FootnoteReference"/>
        </w:rPr>
        <w:footnoteRef/>
      </w:r>
      <w:hyperlink w:history="1" r:id="rId4">
        <w:r>
          <w:rPr>
            <w:rStyle w:val="Hyperlink"/>
          </w:rPr>
          <w:t>https://www.ippc.int/fr/publications/89314/</w:t>
        </w:r>
      </w:hyperlink>
      <w:r>
        <w:rPr>
          <w:rFonts w:ascii="Times New Roman" w:hAnsi="Times New Roman"/>
        </w:rPr>
        <w:t>.</w:t>
      </w:r>
      <w:r>
        <w:t xml:space="preserve"> </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665"/>
    <w:multiLevelType w:val="hybridMultilevel"/>
    <w:tmpl w:val="FDD22CF2"/>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 w15:restartNumberingAfterBreak="0">
    <w:nsid w:val="0C751786"/>
    <w:multiLevelType w:val="hybridMultilevel"/>
    <w:tmpl w:val="7C1A4FC2"/>
    <w:lvl w:ilvl="0" w:tplc="E55A6314">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C2292"/>
    <w:multiLevelType w:val="hybridMultilevel"/>
    <w:tmpl w:val="F9F0FB94"/>
    <w:lvl w:ilvl="0" w:tplc="0960FF26">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76E68"/>
    <w:multiLevelType w:val="hybridMultilevel"/>
    <w:tmpl w:val="CE845DF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697560"/>
    <w:multiLevelType w:val="hybridMultilevel"/>
    <w:tmpl w:val="7C38E414"/>
    <w:lvl w:ilvl="0" w:tplc="86305CB8">
      <w:start w:val="1"/>
      <w:numFmt w:val="bullet"/>
      <w:lvlText w:val=""/>
      <w:lvlJc w:val="left"/>
      <w:pPr>
        <w:ind w:left="720" w:hanging="360"/>
      </w:pPr>
      <w:rPr>
        <w:rFonts w:ascii="Symbol" w:hAnsi="Symbol" w:hint="default"/>
      </w:rPr>
    </w:lvl>
    <w:lvl w:ilvl="1" w:tplc="7AC2C0DC">
      <w:start w:val="1"/>
      <w:numFmt w:val="bullet"/>
      <w:lvlText w:val="o"/>
      <w:lvlJc w:val="left"/>
      <w:pPr>
        <w:ind w:left="1440" w:hanging="360"/>
      </w:pPr>
      <w:rPr>
        <w:rFonts w:ascii="Courier New" w:hAnsi="Courier New" w:hint="default"/>
      </w:rPr>
    </w:lvl>
    <w:lvl w:ilvl="2" w:tplc="31BA062C">
      <w:start w:val="1"/>
      <w:numFmt w:val="bullet"/>
      <w:lvlText w:val=""/>
      <w:lvlJc w:val="left"/>
      <w:pPr>
        <w:ind w:left="2160" w:hanging="360"/>
      </w:pPr>
      <w:rPr>
        <w:rFonts w:ascii="Wingdings" w:hAnsi="Wingdings" w:hint="default"/>
      </w:rPr>
    </w:lvl>
    <w:lvl w:ilvl="3" w:tplc="32D80816">
      <w:start w:val="1"/>
      <w:numFmt w:val="bullet"/>
      <w:lvlText w:val=""/>
      <w:lvlJc w:val="left"/>
      <w:pPr>
        <w:ind w:left="2880" w:hanging="360"/>
      </w:pPr>
      <w:rPr>
        <w:rFonts w:ascii="Symbol" w:hAnsi="Symbol" w:hint="default"/>
      </w:rPr>
    </w:lvl>
    <w:lvl w:ilvl="4" w:tplc="96CEF908">
      <w:start w:val="1"/>
      <w:numFmt w:val="bullet"/>
      <w:lvlText w:val="o"/>
      <w:lvlJc w:val="left"/>
      <w:pPr>
        <w:ind w:left="3600" w:hanging="360"/>
      </w:pPr>
      <w:rPr>
        <w:rFonts w:ascii="Courier New" w:hAnsi="Courier New" w:hint="default"/>
      </w:rPr>
    </w:lvl>
    <w:lvl w:ilvl="5" w:tplc="73366728">
      <w:start w:val="1"/>
      <w:numFmt w:val="bullet"/>
      <w:lvlText w:val=""/>
      <w:lvlJc w:val="left"/>
      <w:pPr>
        <w:ind w:left="4320" w:hanging="360"/>
      </w:pPr>
      <w:rPr>
        <w:rFonts w:ascii="Wingdings" w:hAnsi="Wingdings" w:hint="default"/>
      </w:rPr>
    </w:lvl>
    <w:lvl w:ilvl="6" w:tplc="E884945A">
      <w:start w:val="1"/>
      <w:numFmt w:val="bullet"/>
      <w:lvlText w:val=""/>
      <w:lvlJc w:val="left"/>
      <w:pPr>
        <w:ind w:left="5040" w:hanging="360"/>
      </w:pPr>
      <w:rPr>
        <w:rFonts w:ascii="Symbol" w:hAnsi="Symbol" w:hint="default"/>
      </w:rPr>
    </w:lvl>
    <w:lvl w:ilvl="7" w:tplc="E36EAEDE">
      <w:start w:val="1"/>
      <w:numFmt w:val="bullet"/>
      <w:lvlText w:val="o"/>
      <w:lvlJc w:val="left"/>
      <w:pPr>
        <w:ind w:left="5760" w:hanging="360"/>
      </w:pPr>
      <w:rPr>
        <w:rFonts w:ascii="Courier New" w:hAnsi="Courier New" w:hint="default"/>
      </w:rPr>
    </w:lvl>
    <w:lvl w:ilvl="8" w:tplc="2E689820">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hybridMultilevel"/>
    <w:tmpl w:val="06E871E4"/>
    <w:styleLink w:val="IPPParagraphnumberedlist"/>
    <w:lvl w:ilvl="0" w:tplc="13FE3F14">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tplc="70165B12">
      <w:start w:val="1"/>
      <w:numFmt w:val="none"/>
      <w:lvlRestart w:val="0"/>
      <w:lvlText w:val=""/>
      <w:lvlJc w:val="left"/>
      <w:pPr>
        <w:tabs>
          <w:tab w:val="num" w:pos="0"/>
        </w:tabs>
        <w:ind w:left="0" w:hanging="482"/>
      </w:pPr>
    </w:lvl>
    <w:lvl w:ilvl="2" w:tplc="3820AB90">
      <w:start w:val="1"/>
      <w:numFmt w:val="none"/>
      <w:lvlRestart w:val="0"/>
      <w:lvlText w:val=""/>
      <w:lvlJc w:val="left"/>
      <w:pPr>
        <w:tabs>
          <w:tab w:val="num" w:pos="0"/>
        </w:tabs>
        <w:ind w:left="0" w:hanging="482"/>
      </w:pPr>
    </w:lvl>
    <w:lvl w:ilvl="3" w:tplc="255E0724">
      <w:start w:val="1"/>
      <w:numFmt w:val="none"/>
      <w:lvlRestart w:val="0"/>
      <w:lvlText w:val=""/>
      <w:lvlJc w:val="left"/>
      <w:pPr>
        <w:tabs>
          <w:tab w:val="num" w:pos="0"/>
        </w:tabs>
        <w:ind w:left="0" w:hanging="482"/>
      </w:pPr>
    </w:lvl>
    <w:lvl w:ilvl="4" w:tplc="6298E71A">
      <w:start w:val="1"/>
      <w:numFmt w:val="none"/>
      <w:lvlRestart w:val="0"/>
      <w:lvlText w:val=""/>
      <w:lvlJc w:val="left"/>
      <w:pPr>
        <w:tabs>
          <w:tab w:val="num" w:pos="0"/>
        </w:tabs>
        <w:ind w:left="0" w:hanging="482"/>
      </w:pPr>
    </w:lvl>
    <w:lvl w:ilvl="5" w:tplc="7F16F4A6">
      <w:start w:val="1"/>
      <w:numFmt w:val="none"/>
      <w:lvlRestart w:val="0"/>
      <w:lvlText w:val=""/>
      <w:lvlJc w:val="left"/>
      <w:pPr>
        <w:tabs>
          <w:tab w:val="num" w:pos="0"/>
        </w:tabs>
        <w:ind w:left="0" w:hanging="482"/>
      </w:pPr>
    </w:lvl>
    <w:lvl w:ilvl="6" w:tplc="0C44E62C">
      <w:start w:val="1"/>
      <w:numFmt w:val="none"/>
      <w:lvlRestart w:val="0"/>
      <w:lvlText w:val=""/>
      <w:lvlJc w:val="left"/>
      <w:pPr>
        <w:tabs>
          <w:tab w:val="num" w:pos="0"/>
        </w:tabs>
        <w:ind w:left="0" w:hanging="482"/>
      </w:pPr>
    </w:lvl>
    <w:lvl w:ilvl="7" w:tplc="A606D348">
      <w:start w:val="1"/>
      <w:numFmt w:val="none"/>
      <w:lvlRestart w:val="0"/>
      <w:lvlText w:val=""/>
      <w:lvlJc w:val="left"/>
      <w:pPr>
        <w:tabs>
          <w:tab w:val="num" w:pos="0"/>
        </w:tabs>
        <w:ind w:left="0" w:hanging="482"/>
      </w:pPr>
    </w:lvl>
    <w:lvl w:ilvl="8" w:tplc="F850DDDE">
      <w:start w:val="1"/>
      <w:numFmt w:val="none"/>
      <w:lvlRestart w:val="0"/>
      <w:lvlText w:val=""/>
      <w:lvlJc w:val="left"/>
      <w:pPr>
        <w:tabs>
          <w:tab w:val="num" w:pos="0"/>
        </w:tabs>
        <w:ind w:left="0" w:hanging="482"/>
      </w:pPr>
    </w:lvl>
  </w:abstractNum>
  <w:abstractNum w:abstractNumId="6" w15:restartNumberingAfterBreak="0">
    <w:nsid w:val="35A3795A"/>
    <w:multiLevelType w:val="hybridMultilevel"/>
    <w:tmpl w:val="F6DE69F2"/>
    <w:lvl w:ilvl="0" w:tplc="6C3249DA">
      <w:start w:val="1"/>
      <w:numFmt w:val="decimal"/>
      <w:lvlText w:val="[%1]"/>
      <w:lvlJc w:val="left"/>
      <w:pPr>
        <w:ind w:left="360" w:hanging="360"/>
      </w:pPr>
      <w:rPr>
        <w:rFonts w:ascii="Arial" w:hAnsi="Arial" w:cs="Arial" w:hint="default"/>
        <w:b w:val="0"/>
        <w:i/>
        <w:color w:val="0000FF"/>
        <w:sz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E248C0"/>
    <w:multiLevelType w:val="hybridMultilevel"/>
    <w:tmpl w:val="3AB824CC"/>
    <w:lvl w:ilvl="0" w:tplc="0D6098FC">
      <w:start w:val="1"/>
      <w:numFmt w:val="bullet"/>
      <w:lvlText w:val=""/>
      <w:lvlJc w:val="left"/>
      <w:pPr>
        <w:ind w:left="1724"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B33F2"/>
    <w:multiLevelType w:val="hybridMultilevel"/>
    <w:tmpl w:val="FE64CE9C"/>
    <w:lvl w:ilvl="0" w:tplc="10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83071A8"/>
    <w:multiLevelType w:val="hybridMultilevel"/>
    <w:tmpl w:val="251CF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4E1661"/>
    <w:multiLevelType w:val="hybridMultilevel"/>
    <w:tmpl w:val="1FE026C0"/>
    <w:lvl w:ilvl="0" w:tplc="FB32555C">
      <w:start w:val="11"/>
      <w:numFmt w:val="bullet"/>
      <w:lvlText w:val="-"/>
      <w:lvlJc w:val="left"/>
      <w:pPr>
        <w:ind w:left="1004" w:hanging="360"/>
      </w:pPr>
      <w:rPr>
        <w:rFonts w:ascii="Calibri" w:eastAsia="Times"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6A354E39"/>
    <w:multiLevelType w:val="hybridMultilevel"/>
    <w:tmpl w:val="490E3624"/>
    <w:lvl w:ilvl="0" w:tplc="04090001">
      <w:start w:val="1"/>
      <w:numFmt w:val="bullet"/>
      <w:pStyle w:val="IP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B37E29"/>
    <w:multiLevelType w:val="hybridMultilevel"/>
    <w:tmpl w:val="79D41D44"/>
    <w:lvl w:ilvl="0" w:tplc="09242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6D5BE3"/>
    <w:multiLevelType w:val="hybridMultilevel"/>
    <w:tmpl w:val="AE660D90"/>
    <w:lvl w:ilvl="0" w:tplc="4698BB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75B0225E"/>
    <w:multiLevelType w:val="hybridMultilevel"/>
    <w:tmpl w:val="51CC6E90"/>
    <w:lvl w:ilvl="0" w:tplc="3A9CDA40">
      <w:start w:val="1"/>
      <w:numFmt w:val="decimal"/>
      <w:lvlText w:val="%1."/>
      <w:lvlJc w:val="left"/>
      <w:pPr>
        <w:tabs>
          <w:tab w:val="num" w:pos="720"/>
        </w:tabs>
        <w:ind w:left="720" w:hanging="360"/>
      </w:pPr>
    </w:lvl>
    <w:lvl w:ilvl="1" w:tplc="7A00AE7E" w:tentative="1">
      <w:start w:val="1"/>
      <w:numFmt w:val="decimal"/>
      <w:lvlText w:val="%2."/>
      <w:lvlJc w:val="left"/>
      <w:pPr>
        <w:tabs>
          <w:tab w:val="num" w:pos="1440"/>
        </w:tabs>
        <w:ind w:left="1440" w:hanging="360"/>
      </w:pPr>
    </w:lvl>
    <w:lvl w:ilvl="2" w:tplc="8F02A45C" w:tentative="1">
      <w:start w:val="1"/>
      <w:numFmt w:val="decimal"/>
      <w:lvlText w:val="%3."/>
      <w:lvlJc w:val="left"/>
      <w:pPr>
        <w:tabs>
          <w:tab w:val="num" w:pos="2160"/>
        </w:tabs>
        <w:ind w:left="2160" w:hanging="360"/>
      </w:pPr>
    </w:lvl>
    <w:lvl w:ilvl="3" w:tplc="0BD2DD9C" w:tentative="1">
      <w:start w:val="1"/>
      <w:numFmt w:val="decimal"/>
      <w:lvlText w:val="%4."/>
      <w:lvlJc w:val="left"/>
      <w:pPr>
        <w:tabs>
          <w:tab w:val="num" w:pos="2880"/>
        </w:tabs>
        <w:ind w:left="2880" w:hanging="360"/>
      </w:pPr>
    </w:lvl>
    <w:lvl w:ilvl="4" w:tplc="2E943FFE" w:tentative="1">
      <w:start w:val="1"/>
      <w:numFmt w:val="decimal"/>
      <w:lvlText w:val="%5."/>
      <w:lvlJc w:val="left"/>
      <w:pPr>
        <w:tabs>
          <w:tab w:val="num" w:pos="3600"/>
        </w:tabs>
        <w:ind w:left="3600" w:hanging="360"/>
      </w:pPr>
    </w:lvl>
    <w:lvl w:ilvl="5" w:tplc="64241074" w:tentative="1">
      <w:start w:val="1"/>
      <w:numFmt w:val="decimal"/>
      <w:lvlText w:val="%6."/>
      <w:lvlJc w:val="left"/>
      <w:pPr>
        <w:tabs>
          <w:tab w:val="num" w:pos="4320"/>
        </w:tabs>
        <w:ind w:left="4320" w:hanging="360"/>
      </w:pPr>
    </w:lvl>
    <w:lvl w:ilvl="6" w:tplc="92A0A544" w:tentative="1">
      <w:start w:val="1"/>
      <w:numFmt w:val="decimal"/>
      <w:lvlText w:val="%7."/>
      <w:lvlJc w:val="left"/>
      <w:pPr>
        <w:tabs>
          <w:tab w:val="num" w:pos="5040"/>
        </w:tabs>
        <w:ind w:left="5040" w:hanging="360"/>
      </w:pPr>
    </w:lvl>
    <w:lvl w:ilvl="7" w:tplc="A8C2BE44" w:tentative="1">
      <w:start w:val="1"/>
      <w:numFmt w:val="decimal"/>
      <w:lvlText w:val="%8."/>
      <w:lvlJc w:val="left"/>
      <w:pPr>
        <w:tabs>
          <w:tab w:val="num" w:pos="5760"/>
        </w:tabs>
        <w:ind w:left="5760" w:hanging="360"/>
      </w:pPr>
    </w:lvl>
    <w:lvl w:ilvl="8" w:tplc="E06641FC" w:tentative="1">
      <w:start w:val="1"/>
      <w:numFmt w:val="decimal"/>
      <w:lvlText w:val="%9."/>
      <w:lvlJc w:val="left"/>
      <w:pPr>
        <w:tabs>
          <w:tab w:val="num" w:pos="6480"/>
        </w:tabs>
        <w:ind w:left="6480" w:hanging="360"/>
      </w:pPr>
    </w:lvl>
  </w:abstractNum>
  <w:abstractNum w:abstractNumId="15" w15:restartNumberingAfterBreak="0">
    <w:nsid w:val="7B5B1428"/>
    <w:multiLevelType w:val="hybridMultilevel"/>
    <w:tmpl w:val="E0FEECE0"/>
    <w:lvl w:ilvl="0" w:tplc="FBE082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0"/>
  </w:num>
  <w:num w:numId="5">
    <w:abstractNumId w:val="7"/>
  </w:num>
  <w:num w:numId="6">
    <w:abstractNumId w:val="9"/>
  </w:num>
  <w:num w:numId="7">
    <w:abstractNumId w:val="6"/>
  </w:num>
  <w:num w:numId="8">
    <w:abstractNumId w:val="14"/>
  </w:num>
  <w:num w:numId="9">
    <w:abstractNumId w:val="3"/>
  </w:num>
  <w:num w:numId="10">
    <w:abstractNumId w:val="2"/>
  </w:num>
  <w:num w:numId="11">
    <w:abstractNumId w:val="15"/>
  </w:num>
  <w:num w:numId="12">
    <w:abstractNumId w:val="12"/>
  </w:num>
  <w:num w:numId="13">
    <w:abstractNumId w:val="1"/>
  </w:num>
  <w:num w:numId="14">
    <w:abstractNumId w:val="10"/>
  </w:num>
  <w:num w:numId="15">
    <w:abstractNumId w:val="8"/>
  </w:num>
  <w:num w:numId="16">
    <w:abstractNumId w:val="13"/>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131078" w:nlCheck="1" w:checkStyle="1"/>
  <w:activeWritingStyle w:appName="MSWord" w:lang="en-GB" w:vendorID="64" w:dllVersion="131078" w:nlCheck="1" w:checkStyle="1"/>
  <w:activeWritingStyle w:appName="MSWord" w:lang="es-CL"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B3"/>
    <w:rsid w:val="00016A1E"/>
    <w:rsid w:val="00027153"/>
    <w:rsid w:val="000275B0"/>
    <w:rsid w:val="00047FE0"/>
    <w:rsid w:val="000516DE"/>
    <w:rsid w:val="00054D08"/>
    <w:rsid w:val="00064DE4"/>
    <w:rsid w:val="00085994"/>
    <w:rsid w:val="00091B4C"/>
    <w:rsid w:val="0009438F"/>
    <w:rsid w:val="000A010E"/>
    <w:rsid w:val="000A1D82"/>
    <w:rsid w:val="000B3808"/>
    <w:rsid w:val="000D4A52"/>
    <w:rsid w:val="000E5FFE"/>
    <w:rsid w:val="00102E02"/>
    <w:rsid w:val="00120E27"/>
    <w:rsid w:val="00124C1D"/>
    <w:rsid w:val="001401AD"/>
    <w:rsid w:val="00163EBE"/>
    <w:rsid w:val="00170F71"/>
    <w:rsid w:val="001762F2"/>
    <w:rsid w:val="00176A9E"/>
    <w:rsid w:val="0019396C"/>
    <w:rsid w:val="00195B56"/>
    <w:rsid w:val="00195FDD"/>
    <w:rsid w:val="001C477E"/>
    <w:rsid w:val="001D1FBA"/>
    <w:rsid w:val="001D7FDF"/>
    <w:rsid w:val="001E6780"/>
    <w:rsid w:val="002632A6"/>
    <w:rsid w:val="00270115"/>
    <w:rsid w:val="0027321F"/>
    <w:rsid w:val="002943B4"/>
    <w:rsid w:val="002A1176"/>
    <w:rsid w:val="002B7AFC"/>
    <w:rsid w:val="002C13BA"/>
    <w:rsid w:val="002D3280"/>
    <w:rsid w:val="002D5A1C"/>
    <w:rsid w:val="002E2261"/>
    <w:rsid w:val="002E5494"/>
    <w:rsid w:val="00351232"/>
    <w:rsid w:val="003641F1"/>
    <w:rsid w:val="0036781A"/>
    <w:rsid w:val="003805D9"/>
    <w:rsid w:val="003810B2"/>
    <w:rsid w:val="0038323C"/>
    <w:rsid w:val="00385870"/>
    <w:rsid w:val="003B1714"/>
    <w:rsid w:val="003B6B3E"/>
    <w:rsid w:val="003B7B7F"/>
    <w:rsid w:val="003C2258"/>
    <w:rsid w:val="003C4C94"/>
    <w:rsid w:val="003D2CF8"/>
    <w:rsid w:val="003E1245"/>
    <w:rsid w:val="00403DFD"/>
    <w:rsid w:val="00422F88"/>
    <w:rsid w:val="00433931"/>
    <w:rsid w:val="004473F5"/>
    <w:rsid w:val="0045565E"/>
    <w:rsid w:val="0047268C"/>
    <w:rsid w:val="00504F37"/>
    <w:rsid w:val="00524DC0"/>
    <w:rsid w:val="005254C6"/>
    <w:rsid w:val="00537861"/>
    <w:rsid w:val="00542361"/>
    <w:rsid w:val="005600BE"/>
    <w:rsid w:val="005B462F"/>
    <w:rsid w:val="005C08BD"/>
    <w:rsid w:val="005C4E5E"/>
    <w:rsid w:val="005E3B7B"/>
    <w:rsid w:val="00617559"/>
    <w:rsid w:val="00625B89"/>
    <w:rsid w:val="0063768B"/>
    <w:rsid w:val="00653455"/>
    <w:rsid w:val="006736BF"/>
    <w:rsid w:val="00684328"/>
    <w:rsid w:val="00685614"/>
    <w:rsid w:val="006A6A5A"/>
    <w:rsid w:val="006B6F48"/>
    <w:rsid w:val="006C0B01"/>
    <w:rsid w:val="006F0106"/>
    <w:rsid w:val="00700997"/>
    <w:rsid w:val="007058E8"/>
    <w:rsid w:val="0072202C"/>
    <w:rsid w:val="00737202"/>
    <w:rsid w:val="00770E60"/>
    <w:rsid w:val="00785597"/>
    <w:rsid w:val="00790B47"/>
    <w:rsid w:val="007D135D"/>
    <w:rsid w:val="007E3B92"/>
    <w:rsid w:val="00802EAE"/>
    <w:rsid w:val="0081098D"/>
    <w:rsid w:val="00811281"/>
    <w:rsid w:val="00817236"/>
    <w:rsid w:val="00822D58"/>
    <w:rsid w:val="00840731"/>
    <w:rsid w:val="00845BF8"/>
    <w:rsid w:val="00855778"/>
    <w:rsid w:val="008E1A1A"/>
    <w:rsid w:val="009021E6"/>
    <w:rsid w:val="009043AB"/>
    <w:rsid w:val="00904ABB"/>
    <w:rsid w:val="00914F04"/>
    <w:rsid w:val="009378E2"/>
    <w:rsid w:val="00942EF9"/>
    <w:rsid w:val="009A6A5E"/>
    <w:rsid w:val="009B0FE3"/>
    <w:rsid w:val="009C23A4"/>
    <w:rsid w:val="009C3B54"/>
    <w:rsid w:val="009F1524"/>
    <w:rsid w:val="00A0519D"/>
    <w:rsid w:val="00A20574"/>
    <w:rsid w:val="00A271A8"/>
    <w:rsid w:val="00A3655C"/>
    <w:rsid w:val="00A5516F"/>
    <w:rsid w:val="00A6575C"/>
    <w:rsid w:val="00A70D9A"/>
    <w:rsid w:val="00A75959"/>
    <w:rsid w:val="00A83EBF"/>
    <w:rsid w:val="00AB1667"/>
    <w:rsid w:val="00AD0D11"/>
    <w:rsid w:val="00AF3800"/>
    <w:rsid w:val="00B00D6C"/>
    <w:rsid w:val="00B02A88"/>
    <w:rsid w:val="00B05A9D"/>
    <w:rsid w:val="00B34617"/>
    <w:rsid w:val="00B3690C"/>
    <w:rsid w:val="00B51B79"/>
    <w:rsid w:val="00B66D3D"/>
    <w:rsid w:val="00B8517D"/>
    <w:rsid w:val="00BA4F72"/>
    <w:rsid w:val="00BB18E3"/>
    <w:rsid w:val="00BD2994"/>
    <w:rsid w:val="00BD5495"/>
    <w:rsid w:val="00BE6682"/>
    <w:rsid w:val="00C10B35"/>
    <w:rsid w:val="00C31556"/>
    <w:rsid w:val="00C4518C"/>
    <w:rsid w:val="00C5135C"/>
    <w:rsid w:val="00C57C08"/>
    <w:rsid w:val="00C736DF"/>
    <w:rsid w:val="00C90EFE"/>
    <w:rsid w:val="00CA2D16"/>
    <w:rsid w:val="00CA6313"/>
    <w:rsid w:val="00CB492C"/>
    <w:rsid w:val="00CD5EA0"/>
    <w:rsid w:val="00CF567F"/>
    <w:rsid w:val="00CF5AA4"/>
    <w:rsid w:val="00D578FC"/>
    <w:rsid w:val="00D65F5B"/>
    <w:rsid w:val="00D7737E"/>
    <w:rsid w:val="00D7796D"/>
    <w:rsid w:val="00D854AC"/>
    <w:rsid w:val="00D927EF"/>
    <w:rsid w:val="00D93ACC"/>
    <w:rsid w:val="00DB7357"/>
    <w:rsid w:val="00E04603"/>
    <w:rsid w:val="00E06206"/>
    <w:rsid w:val="00E131C6"/>
    <w:rsid w:val="00E22F60"/>
    <w:rsid w:val="00E34533"/>
    <w:rsid w:val="00E435C9"/>
    <w:rsid w:val="00E51950"/>
    <w:rsid w:val="00E63EB3"/>
    <w:rsid w:val="00E72DE4"/>
    <w:rsid w:val="00E72FA6"/>
    <w:rsid w:val="00E91C9C"/>
    <w:rsid w:val="00E94417"/>
    <w:rsid w:val="00EA13F7"/>
    <w:rsid w:val="00EA2454"/>
    <w:rsid w:val="00EA3432"/>
    <w:rsid w:val="00EB4469"/>
    <w:rsid w:val="00F02614"/>
    <w:rsid w:val="00F15FDB"/>
    <w:rsid w:val="00F710C1"/>
    <w:rsid w:val="00F76527"/>
    <w:rsid w:val="00FC029B"/>
    <w:rsid w:val="00FC03A5"/>
    <w:rsid w:val="0CE6B640"/>
    <w:rsid w:val="413F3B6C"/>
    <w:rsid w:val="545CC70B"/>
    <w:rsid w:val="62FD729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AAA1"/>
  <w15:docId w15:val="{50023F41-6B97-4128-BBE1-FA02DC39183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sz w:val="22"/>
      <w:szCs w:val="22"/>
    </w:rPr>
  </w:style>
  <w:style w:type="paragraph" w:styleId="Heading1">
    <w:name w:val="heading 1"/>
    <w:basedOn w:val="Normal"/>
    <w:next w:val="Normal"/>
    <w:link w:val="Heading1Char"/>
    <w:qFormat/>
    <w:pPr>
      <w:keepNext/>
      <w:overflowPunct w:val="0"/>
      <w:autoSpaceDE w:val="0"/>
      <w:autoSpaceDN w:val="0"/>
      <w:adjustRightInd w:val="0"/>
      <w:spacing w:after="0" w:line="240" w:lineRule="auto"/>
      <w:jc w:val="both"/>
      <w:textAlignment w:val="baseline"/>
      <w:outlineLvl w:val="0"/>
    </w:pPr>
    <w:rPr>
      <w:rFonts w:ascii="Times New Roman" w:hAnsi="Times New Roman" w:cstheme="minorBidi"/>
      <w:b/>
      <w:bC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IPPNormalChar">
    <w:name w:val="IPP Normal Char"/>
    <w:link w:val="IPPNormal"/>
    <w:locked/>
    <w:rPr>
      <w:rFonts w:ascii="Calibri" w:eastAsia="Times" w:hAnsi="Calibri" w:cs="Arial"/>
      <w:sz w:val="22"/>
      <w:szCs w:val="22"/>
    </w:rPr>
  </w:style>
  <w:style w:type="paragraph" w:customStyle="1" w:styleId="IPPNormal">
    <w:name w:val="IPP Normal"/>
    <w:basedOn w:val="Normal"/>
    <w:link w:val="IPPNormalChar"/>
    <w:qFormat/>
    <w:pPr>
      <w:spacing w:after="180"/>
    </w:pPr>
    <w:rPr>
      <w:rFonts w:eastAsia="Tim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Bullet1">
    <w:name w:val="IPP Bullet1"/>
    <w:basedOn w:val="Normal"/>
    <w:qFormat/>
    <w:pPr>
      <w:numPr>
        <w:numId w:val="2"/>
      </w:numPr>
      <w:spacing w:after="60"/>
    </w:pPr>
    <w:rPr>
      <w:rFonts w:eastAsia="Times"/>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paragraph" w:customStyle="1" w:styleId="IPPParagraphnumbering">
    <w:name w:val="IPP Paragraph numbering"/>
    <w:basedOn w:val="IPPNormal"/>
    <w:qFormat/>
    <w:pPr>
      <w:numPr>
        <w:numId w:val="3"/>
      </w:numPr>
      <w:tabs>
        <w:tab w:val="clear" w:pos="0"/>
        <w:tab w:val="num" w:pos="360"/>
      </w:tabs>
      <w:ind w:firstLine="0"/>
    </w:pPr>
  </w:style>
  <w:style w:type="numbering" w:customStyle="1" w:styleId="IPPParagraphnumberedlist">
    <w:name w:val="IPP Paragraph numbered list"/>
    <w:pPr>
      <w:numPr>
        <w:numId w:val="3"/>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eastAsia="MS Mincho" w:cstheme="minorBidi"/>
      <w:b/>
      <w:bCs/>
      <w:sz w:val="22"/>
      <w:szCs w:val="24"/>
      <w:lang w:val="fr-FR" w:eastAsia="zh-CN"/>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MS Mincho" w:hAnsi="Calibri"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rPr>
  </w:style>
  <w:style w:type="character" w:customStyle="1" w:styleId="mixed-citation">
    <w:name w:val="mixed-citation"/>
    <w:basedOn w:val="DefaultParagraphFont"/>
  </w:style>
  <w:style w:type="character" w:customStyle="1" w:styleId="ref-journal">
    <w:name w:val="ref-journal"/>
    <w:basedOn w:val="DefaultParagraphFont"/>
  </w:style>
  <w:style w:type="character" w:styleId="Emphasis">
    <w:name w:val="Emphasis"/>
    <w:basedOn w:val="DefaultParagraphFont"/>
    <w:uiPriority w:val="20"/>
    <w:qFormat/>
    <w:rPr>
      <w:i/>
      <w:iCs/>
    </w:rPr>
  </w:style>
  <w:style w:type="character" w:customStyle="1" w:styleId="nowrap">
    <w:name w:val="nowrap"/>
    <w:basedOn w:val="DefaultParagraphFont"/>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MS Mincho" w:hAnsi="Calibri" w:cs="Arial"/>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MS Mincho" w:hAnsi="Calibri" w:cs="Arial"/>
      <w:sz w:val="22"/>
      <w:szCs w:val="22"/>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61818396">
      <w:bodyDiv w:val="1"/>
      <w:marLeft w:val="0"/>
      <w:marRight w:val="0"/>
      <w:marTop w:val="0"/>
      <w:marBottom w:val="0"/>
      <w:divBdr>
        <w:top w:val="none" w:sz="0" w:space="0" w:color="auto"/>
        <w:left w:val="none" w:sz="0" w:space="0" w:color="auto"/>
        <w:bottom w:val="none" w:sz="0" w:space="0" w:color="auto"/>
        <w:right w:val="none" w:sz="0" w:space="0" w:color="auto"/>
      </w:divBdr>
    </w:div>
    <w:div w:id="1170561262">
      <w:bodyDiv w:val="1"/>
      <w:marLeft w:val="0"/>
      <w:marRight w:val="0"/>
      <w:marTop w:val="0"/>
      <w:marBottom w:val="0"/>
      <w:divBdr>
        <w:top w:val="none" w:sz="0" w:space="0" w:color="auto"/>
        <w:left w:val="none" w:sz="0" w:space="0" w:color="auto"/>
        <w:bottom w:val="none" w:sz="0" w:space="0" w:color="auto"/>
        <w:right w:val="none" w:sz="0" w:space="0" w:color="auto"/>
      </w:divBdr>
    </w:div>
    <w:div w:id="20380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static/media/files/publication/en/2017/07/Complementary_Action_Plan_CPM12.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settings" Target="settings.xml" Id="rId7" /><Relationship Type="http://schemas.openxmlformats.org/officeDocument/2006/relationships/hyperlink" Target="http://www.fao.org/publications/card/fr/c/I8960FR" TargetMode="External" Id="rId12" /><Relationship Type="http://schemas.openxmlformats.org/officeDocument/2006/relationships/hyperlink" Target="https://unece.org/fileadmin/DAM/trans/doc/2014/wp24/CTU_Code_French_01.pdf" TargetMode="External" Id="rId17" /><Relationship Type="http://schemas.openxmlformats.org/officeDocument/2006/relationships/customXml" Target="../customXml/item2.xml" Id="rId2" /><Relationship Type="http://schemas.openxmlformats.org/officeDocument/2006/relationships/hyperlink" Target="http://www.fao.org/publications/card/fr/c/CA7740FR/" TargetMode="External" Id="rId16" /><Relationship Type="http://schemas.microsoft.com/office/2018/08/relationships/commentsExtensible" Target="commentsExtensi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fr/publications/draft-ispm-minimizing-pest-movement-sea-containers/" TargetMode="External" Id="rId11" /><Relationship Type="http://schemas.openxmlformats.org/officeDocument/2006/relationships/numbering" Target="numbering.xml" Id="rId5" /><Relationship Type="http://schemas.openxmlformats.org/officeDocument/2006/relationships/hyperlink" Target="http://www.fao.org/documents/card/fr/c/ca7963fr/"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fao.org/publications/card/fr/c/CA7670FR" TargetMode="External" Id="rId14" /></Relationships>
</file>

<file path=word/_rels/footnotes.xml.rels>&#65279;<?xml version="1.0" encoding="utf-8"?><Relationships xmlns="http://schemas.openxmlformats.org/package/2006/relationships"><Relationship Type="http://schemas.openxmlformats.org/officeDocument/2006/relationships/hyperlink" Target="https://www.ippc.int/fr/publications/84233/" TargetMode="External" Id="rId3" /><Relationship Type="http://schemas.openxmlformats.org/officeDocument/2006/relationships/hyperlink" Target="https://www.ippc.int/fr/publications/84343/" TargetMode="External" Id="rId2" /><Relationship Type="http://schemas.openxmlformats.org/officeDocument/2006/relationships/hyperlink" Target="https://www.ippc.int/fr/publications/131/" TargetMode="External" Id="rId1" /><Relationship Type="http://schemas.openxmlformats.org/officeDocument/2006/relationships/hyperlink" Target="https://www.ippc.int/fr/publications/89314/"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4023b36141205df3d893f5dd200b42b9">
  <xsd:schema xmlns:xs="http://www.w3.org/2001/XMLSchema" xmlns:xsd="http://www.w3.org/2001/XMLSchema" xmlns:p="http://schemas.microsoft.com/office/2006/metadata/properties" xmlns:ns3="3c9ac98d-36e3-464e-9a3d-571690e2b8cf" xmlns:ns4="8c2680b1-8717-4e17-af8a-c3c5948a3503" targetNamespace="http://schemas.microsoft.com/office/2006/metadata/properties" ma:root="true" ma:fieldsID="b0ebca3e2f2b809608f6682e1772b941"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29F5024-E11C-498F-8FA8-A61A0AE88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E605A-3CD7-4E1A-906E-1A9BB7AE572F}">
  <ds:schemaRefs>
    <ds:schemaRef ds:uri="http://schemas.microsoft.com/sharepoint/v3/contenttype/forms"/>
  </ds:schemaRefs>
</ds:datastoreItem>
</file>

<file path=customXml/itemProps3.xml><?xml version="1.0" encoding="utf-8"?>
<ds:datastoreItem xmlns:ds="http://schemas.openxmlformats.org/officeDocument/2006/customXml" ds:itemID="{1ED38A01-27EF-4B45-9ED4-A75BBDD47F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E46E7C-BD18-4EC3-A239-123BE9C0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1829</Words>
  <Characters>10426</Characters>
  <Application>Microsoft Office Word</Application>
  <DocSecurity>0</DocSecurity>
  <Lines>86</Lines>
  <Paragraphs>24</Paragraphs>
  <ScaleCrop>false</ScaleCrop>
  <Company>AAFC-AAC</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Czerwien, Ewa (NSP)</cp:lastModifiedBy>
  <cp:revision>5</cp:revision>
  <dcterms:created xsi:type="dcterms:W3CDTF">2021-06-29T08:55:00Z</dcterms:created>
  <dcterms:modified xsi:type="dcterms:W3CDTF">2021-06-30T14:44:00Z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