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ICD Draft Specification: Guide Security Procedures (2018-028). Document title: 2021_ICD_DraftSpecification_GuideSecurityProcedures(2018-028)_FR.docx]</w:t>
      </w:r>
    </w:p>
    <w:p w14:paraId="2437BB6C" w14:textId="325AF601">
      <w:pPr>
        <w:spacing w:before="60" w:after="60"/>
        <w:rPr>
          <w:rFonts w:ascii="Times New Roman" w:hAnsi="Times New Roman" w:cs="Times New Roman"/>
          <w:b/>
          <w:bCs/>
          <w:sz w:val="28"/>
          <w:szCs w:val="28"/>
        </w:rPr>
      </w:pPr>
      <w:r>
        <w:rPr>
          <w:rStyle w:val="PleaseReviewParagraphId"/>
          <w:b w:val="off"/>
          <w:i w:val="off"/>
        </w:rPr>
        <w:t>[1]</w:t>
      </w:r>
      <w:r>
        <w:rPr>
          <w:rFonts w:ascii="Times New Roman" w:hAnsi="Times New Roman"/>
          <w:b/>
          <w:bCs/>
          <w:sz w:val="28"/>
          <w:szCs w:val="28"/>
        </w:rPr>
        <w:t>Guide pour l’élaboration de procédures de sécurité phytosanitaire visant à maintenir l’intégrité phytosanitaire des envois destinés à l’exportation (2018-</w:t>
      </w:r>
      <w:r>
        <w:rPr>
          <w:rFonts w:ascii="Times New Roman" w:hAnsi="Times New Roman"/>
          <w:b/>
          <w:sz w:val="28"/>
        </w:rPr>
        <w:noBreakHyphen/>
      </w:r>
      <w:r>
        <w:rPr>
          <w:rFonts w:ascii="Times New Roman" w:hAnsi="Times New Roman"/>
          <w:b/>
          <w:bCs/>
          <w:sz w:val="28"/>
          <w:szCs w:val="28"/>
        </w:rPr>
        <w:t>028)</w:t>
      </w:r>
    </w:p>
    <w:p w14:paraId="584521D0" w14:textId="77777777">
      <w:pPr>
        <w:spacing w:before="60" w:after="60"/>
        <w:rPr>
          <w:rFonts w:eastAsia="Times" w:asciiTheme="majorBidi" w:hAnsiTheme="majorBidi" w:cstheme="majorBidi"/>
          <w:b/>
          <w:bCs/>
        </w:rPr>
      </w:pPr>
      <w:r>
        <w:rPr>
          <w:rStyle w:val="PleaseReviewParagraphId"/>
          <w:b w:val="off"/>
          <w:i w:val="off"/>
        </w:rPr>
        <w:t>[2]</w:t>
      </w:r>
      <w:r>
        <w:rPr>
          <w:rFonts w:asciiTheme="majorBidi" w:hAnsiTheme="majorBidi"/>
          <w:b/>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7C75B8D1" w14:textId="77777777">
        <w:trPr>
          <w:trHeight w:val="286"/>
        </w:trPr>
        <w:tc>
          <w:tcPr>
            <w:tcW w:w="9020" w:type="dxa"/>
            <w:gridSpan w:val="2"/>
          </w:tcPr>
          <w:p w14:paraId="6F2F1641" w14:textId="77777777">
            <w:pPr>
              <w:spacing w:before="60" w:after="60"/>
              <w:rPr>
                <w:rFonts w:ascii="Arial" w:hAnsi="Arial" w:eastAsia="Times"/>
                <w:sz w:val="18"/>
                <w:szCs w:val="18"/>
                <w:lang w:val="en-GB"/>
              </w:rPr>
            </w:pPr>
            <w:r>
              <w:rPr>
                <w:rStyle w:val="PleaseReviewParagraphId"/>
                <w:b w:val="off"/>
                <w:i w:val="off"/>
              </w:rPr>
              <w:t>[3]</w:t>
            </w:r>
            <w:r>
              <w:rPr>
                <w:rFonts w:ascii="Arial" w:hAnsi="Arial"/>
                <w:sz w:val="18"/>
                <w:lang w:val="en-GB"/>
              </w:rPr>
              <w:t>This status box is not an official part of the Guide and will be modified by the IPPC Secretariat</w:t>
            </w:r>
          </w:p>
        </w:tc>
      </w:tr>
      <w:tr w14:paraId="42D4F055" w14:textId="77777777">
        <w:trPr>
          <w:trHeight w:val="286"/>
        </w:trPr>
        <w:tc>
          <w:tcPr>
            <w:tcW w:w="2271" w:type="dxa"/>
          </w:tcPr>
          <w:p w14:paraId="4B4017D8" w14:textId="77777777">
            <w:pPr>
              <w:spacing w:before="60" w:after="60"/>
              <w:rPr>
                <w:rFonts w:ascii="Arial" w:hAnsi="Arial" w:eastAsia="Times"/>
                <w:b/>
                <w:bCs/>
                <w:sz w:val="18"/>
                <w:szCs w:val="18"/>
              </w:rPr>
            </w:pPr>
            <w:r>
              <w:rPr>
                <w:rStyle w:val="PleaseReviewParagraphId"/>
                <w:b w:val="off"/>
                <w:i w:val="off"/>
              </w:rPr>
              <w:t>[4]</w:t>
            </w:r>
            <w:r>
              <w:rPr>
                <w:rFonts w:ascii="Arial" w:hAnsi="Arial"/>
                <w:b/>
                <w:sz w:val="18"/>
              </w:rPr>
              <w:t xml:space="preserve">Submission number: </w:t>
            </w:r>
          </w:p>
        </w:tc>
        <w:tc>
          <w:tcPr>
            <w:tcW w:w="6749" w:type="dxa"/>
          </w:tcPr>
          <w:p w14:paraId="74DFA54A" w14:textId="77777777">
            <w:pPr>
              <w:spacing w:before="60" w:after="60"/>
              <w:rPr>
                <w:rFonts w:ascii="Arial" w:hAnsi="Arial" w:eastAsia="Times"/>
                <w:sz w:val="18"/>
                <w:szCs w:val="18"/>
              </w:rPr>
            </w:pPr>
            <w:r>
              <w:rPr>
                <w:rStyle w:val="PleaseReviewParagraphId"/>
                <w:b w:val="off"/>
                <w:i w:val="off"/>
              </w:rPr>
              <w:t>[5]</w:t>
            </w:r>
            <w:r>
              <w:rPr>
                <w:rFonts w:ascii="Arial" w:hAnsi="Arial"/>
                <w:sz w:val="18"/>
              </w:rPr>
              <w:t>2018-028</w:t>
            </w:r>
          </w:p>
        </w:tc>
      </w:tr>
      <w:tr w14:paraId="0BD717B0" w14:textId="77777777">
        <w:trPr>
          <w:trHeight w:val="286"/>
        </w:trPr>
        <w:tc>
          <w:tcPr>
            <w:tcW w:w="2271" w:type="dxa"/>
          </w:tcPr>
          <w:p w14:paraId="7E14CECF" w14:textId="77777777">
            <w:pPr>
              <w:spacing w:before="60" w:after="60"/>
              <w:rPr>
                <w:rFonts w:ascii="Arial" w:hAnsi="Arial" w:eastAsia="Times"/>
                <w:b/>
                <w:bCs/>
                <w:sz w:val="18"/>
                <w:szCs w:val="18"/>
              </w:rPr>
            </w:pPr>
            <w:r>
              <w:rPr>
                <w:rStyle w:val="PleaseReviewParagraphId"/>
                <w:b w:val="off"/>
                <w:i w:val="off"/>
              </w:rPr>
              <w:t>[6]</w:t>
            </w:r>
            <w:r>
              <w:rPr>
                <w:rFonts w:ascii="Arial" w:hAnsi="Arial"/>
                <w:b/>
                <w:sz w:val="18"/>
              </w:rPr>
              <w:t>Date of this document</w:t>
            </w:r>
          </w:p>
        </w:tc>
        <w:tc>
          <w:tcPr>
            <w:tcW w:w="6749" w:type="dxa"/>
          </w:tcPr>
          <w:p w14:paraId="7F4EC48B" w14:textId="77777777">
            <w:pPr>
              <w:spacing w:before="60" w:after="60"/>
              <w:rPr>
                <w:rFonts w:ascii="Arial" w:hAnsi="Arial" w:eastAsia="Times"/>
                <w:sz w:val="18"/>
                <w:szCs w:val="18"/>
              </w:rPr>
            </w:pPr>
            <w:r>
              <w:rPr>
                <w:rStyle w:val="PleaseReviewParagraphId"/>
                <w:b w:val="off"/>
                <w:i w:val="off"/>
              </w:rPr>
              <w:t>[7]</w:t>
            </w:r>
            <w:r>
              <w:rPr>
                <w:rFonts w:ascii="Arial" w:hAnsi="Arial"/>
                <w:sz w:val="18"/>
              </w:rPr>
              <w:t>2021-04-23</w:t>
            </w:r>
          </w:p>
        </w:tc>
      </w:tr>
      <w:tr w14:paraId="219A518B" w14:textId="77777777">
        <w:trPr>
          <w:trHeight w:val="286"/>
        </w:trPr>
        <w:tc>
          <w:tcPr>
            <w:tcW w:w="2271" w:type="dxa"/>
          </w:tcPr>
          <w:p w14:paraId="55B472E8" w14:textId="77777777">
            <w:pPr>
              <w:spacing w:before="60" w:after="60"/>
              <w:rPr>
                <w:rFonts w:ascii="Arial" w:hAnsi="Arial" w:eastAsia="Times"/>
                <w:b/>
                <w:bCs/>
                <w:sz w:val="18"/>
                <w:szCs w:val="18"/>
              </w:rPr>
            </w:pPr>
            <w:r>
              <w:rPr>
                <w:rStyle w:val="PleaseReviewParagraphId"/>
                <w:b w:val="off"/>
                <w:i w:val="off"/>
              </w:rPr>
              <w:t>[8]</w:t>
            </w:r>
            <w:r>
              <w:rPr>
                <w:rFonts w:ascii="Arial" w:hAnsi="Arial"/>
                <w:b/>
                <w:sz w:val="18"/>
              </w:rPr>
              <w:t xml:space="preserve">Document category </w:t>
            </w:r>
          </w:p>
        </w:tc>
        <w:tc>
          <w:tcPr>
            <w:tcW w:w="6749" w:type="dxa"/>
          </w:tcPr>
          <w:p w14:paraId="06A9226D" w14:textId="172BF61D">
            <w:pPr>
              <w:spacing w:before="60" w:after="60"/>
              <w:rPr>
                <w:rFonts w:ascii="Arial" w:hAnsi="Arial" w:eastAsia="Times"/>
                <w:sz w:val="18"/>
                <w:szCs w:val="18"/>
              </w:rPr>
            </w:pPr>
            <w:r>
              <w:rPr>
                <w:rStyle w:val="PleaseReviewParagraphId"/>
                <w:b w:val="off"/>
                <w:i w:val="off"/>
              </w:rPr>
              <w:t>[9]</w:t>
            </w:r>
            <w:r>
              <w:rPr>
                <w:rFonts w:ascii="Arial" w:hAnsi="Arial"/>
                <w:sz w:val="18"/>
              </w:rPr>
              <w:t>IPPC Guide</w:t>
            </w:r>
          </w:p>
        </w:tc>
      </w:tr>
      <w:tr w14:paraId="247FB387" w14:textId="77777777">
        <w:trPr>
          <w:trHeight w:val="299"/>
        </w:trPr>
        <w:tc>
          <w:tcPr>
            <w:tcW w:w="2271" w:type="dxa"/>
          </w:tcPr>
          <w:p w14:paraId="3836FFD6" w14:textId="77777777">
            <w:pPr>
              <w:spacing w:before="60" w:after="60"/>
              <w:rPr>
                <w:rFonts w:ascii="Arial" w:hAnsi="Arial" w:eastAsia="Times"/>
                <w:b/>
                <w:bCs/>
                <w:sz w:val="18"/>
                <w:szCs w:val="18"/>
              </w:rPr>
            </w:pPr>
            <w:r>
              <w:rPr>
                <w:rStyle w:val="PleaseReviewParagraphId"/>
                <w:b w:val="off"/>
                <w:i w:val="off"/>
              </w:rPr>
              <w:t>[10]</w:t>
            </w:r>
            <w:r>
              <w:rPr>
                <w:rFonts w:ascii="Arial" w:hAnsi="Arial"/>
                <w:b/>
                <w:sz w:val="18"/>
              </w:rPr>
              <w:t>Title</w:t>
            </w:r>
          </w:p>
        </w:tc>
        <w:tc>
          <w:tcPr>
            <w:tcW w:w="6749" w:type="dxa"/>
          </w:tcPr>
          <w:p w14:paraId="31019361" w14:textId="1B14EE84">
            <w:pPr>
              <w:spacing w:before="60" w:after="60"/>
              <w:rPr>
                <w:rFonts w:ascii="Arial" w:hAnsi="Arial" w:eastAsia="Times"/>
                <w:sz w:val="18"/>
                <w:szCs w:val="18"/>
                <w:lang w:val="en-GB"/>
              </w:rPr>
            </w:pPr>
            <w:r>
              <w:rPr>
                <w:rStyle w:val="PleaseReviewParagraphId"/>
                <w:b w:val="off"/>
                <w:i w:val="off"/>
              </w:rPr>
              <w:t>[11]</w:t>
            </w:r>
            <w:r>
              <w:rPr>
                <w:rFonts w:ascii="Arial" w:hAnsi="Arial"/>
                <w:sz w:val="18"/>
                <w:lang w:val="en-GB"/>
              </w:rPr>
              <w:t>Guide for developing phytosanitary security procedures</w:t>
            </w:r>
            <w:r>
              <w:rPr>
                <w:lang w:val="en-GB"/>
              </w:rPr>
              <w:t xml:space="preserve"> </w:t>
            </w:r>
            <w:r>
              <w:rPr>
                <w:rFonts w:ascii="Arial" w:hAnsi="Arial"/>
                <w:sz w:val="18"/>
                <w:lang w:val="en-GB"/>
              </w:rPr>
              <w:t>to maintain the phytosanitary integrity of consignments for export"</w:t>
            </w:r>
          </w:p>
        </w:tc>
      </w:tr>
      <w:tr w14:paraId="004D80F6" w14:textId="77777777">
        <w:trPr>
          <w:trHeight w:val="299"/>
        </w:trPr>
        <w:tc>
          <w:tcPr>
            <w:tcW w:w="2271" w:type="dxa"/>
          </w:tcPr>
          <w:p w14:paraId="5216F9DD" w14:textId="77777777">
            <w:pPr>
              <w:spacing w:before="60" w:after="60"/>
              <w:rPr>
                <w:rFonts w:ascii="Arial" w:hAnsi="Arial" w:eastAsia="Times"/>
                <w:b/>
                <w:bCs/>
                <w:sz w:val="18"/>
                <w:szCs w:val="18"/>
              </w:rPr>
            </w:pPr>
            <w:r>
              <w:rPr>
                <w:rStyle w:val="PleaseReviewParagraphId"/>
                <w:b w:val="off"/>
                <w:i w:val="off"/>
              </w:rPr>
              <w:t>[12]</w:t>
            </w:r>
            <w:r>
              <w:rPr>
                <w:rFonts w:ascii="Arial" w:hAnsi="Arial"/>
                <w:b/>
                <w:sz w:val="18"/>
              </w:rPr>
              <w:t>Current document stage</w:t>
            </w:r>
          </w:p>
        </w:tc>
        <w:tc>
          <w:tcPr>
            <w:tcW w:w="6749" w:type="dxa"/>
          </w:tcPr>
          <w:p w14:paraId="567C797C" w14:textId="0C8D7CBF">
            <w:pPr>
              <w:spacing w:before="60" w:after="60"/>
              <w:rPr>
                <w:rFonts w:ascii="Arial" w:hAnsi="Arial" w:eastAsia="Times"/>
                <w:sz w:val="18"/>
                <w:szCs w:val="18"/>
              </w:rPr>
            </w:pPr>
            <w:r>
              <w:rPr>
                <w:rStyle w:val="PleaseReviewParagraphId"/>
                <w:b w:val="off"/>
                <w:i w:val="off"/>
              </w:rPr>
              <w:t>[13]</w:t>
            </w:r>
            <w:r>
              <w:rPr>
                <w:rFonts w:ascii="Arial" w:hAnsi="Arial"/>
                <w:sz w:val="18"/>
              </w:rPr>
              <w:t>Draft Specification</w:t>
            </w:r>
          </w:p>
        </w:tc>
      </w:tr>
      <w:tr w14:paraId="1E305286" w14:textId="77777777">
        <w:trPr>
          <w:trHeight w:val="491"/>
        </w:trPr>
        <w:tc>
          <w:tcPr>
            <w:tcW w:w="2271" w:type="dxa"/>
          </w:tcPr>
          <w:p w14:paraId="38591AF6" w14:textId="77777777">
            <w:pPr>
              <w:spacing w:before="60" w:after="60"/>
              <w:rPr>
                <w:rFonts w:ascii="Arial" w:hAnsi="Arial" w:eastAsia="Times"/>
                <w:b/>
                <w:bCs/>
                <w:sz w:val="18"/>
                <w:szCs w:val="18"/>
              </w:rPr>
            </w:pPr>
            <w:r>
              <w:rPr>
                <w:rStyle w:val="PleaseReviewParagraphId"/>
                <w:b w:val="off"/>
                <w:i w:val="off"/>
              </w:rPr>
              <w:t>[14]</w:t>
            </w:r>
            <w:r>
              <w:rPr>
                <w:rFonts w:ascii="Arial" w:hAnsi="Arial"/>
                <w:b/>
                <w:sz w:val="18"/>
              </w:rPr>
              <w:t>Major stages</w:t>
            </w:r>
          </w:p>
        </w:tc>
        <w:tc>
          <w:tcPr>
            <w:tcW w:w="6749" w:type="dxa"/>
          </w:tcPr>
          <w:p w14:paraId="4D6C0EAF" w14:textId="2A8FF7FE">
            <w:pPr>
              <w:spacing w:after="60"/>
              <w:rPr>
                <w:rFonts w:ascii="Arial" w:hAnsi="Arial" w:eastAsia="Times"/>
                <w:sz w:val="18"/>
                <w:szCs w:val="18"/>
                <w:lang w:val="en-GB"/>
              </w:rPr>
            </w:pPr>
            <w:r>
              <w:rPr>
                <w:rStyle w:val="PleaseReviewParagraphId"/>
                <w:b w:val="off"/>
                <w:i w:val="off"/>
              </w:rPr>
              <w:t>[15]</w:t>
            </w:r>
            <w:r>
              <w:rPr>
                <w:rFonts w:ascii="Arial" w:hAnsi="Arial"/>
                <w:sz w:val="18"/>
                <w:lang w:val="en-GB"/>
              </w:rPr>
              <w:t>2019-03: CPM-14 (2019 ) added this topic to List of Implementation and Capacity Development Topics; priority 1</w:t>
            </w:r>
          </w:p>
          <w:p w14:paraId="457C2418" w14:textId="2AF7666F">
            <w:pPr>
              <w:spacing w:after="60"/>
              <w:rPr>
                <w:rFonts w:ascii="Arial" w:hAnsi="Arial" w:eastAsia="Times"/>
                <w:sz w:val="18"/>
                <w:szCs w:val="18"/>
                <w:lang w:val="en-GB"/>
              </w:rPr>
            </w:pPr>
            <w:r>
              <w:rPr>
                <w:rStyle w:val="PleaseReviewParagraphId"/>
                <w:b w:val="off"/>
                <w:i w:val="off"/>
              </w:rPr>
              <w:t>[16]</w:t>
            </w:r>
            <w:r>
              <w:rPr>
                <w:rFonts w:ascii="Arial" w:hAnsi="Arial"/>
                <w:sz w:val="18"/>
                <w:lang w:val="en-GB"/>
              </w:rPr>
              <w:t>2020-11: Implementation and Capacity Development Committee (IC) lead identified (Ms Kyu-Ock YIM (KOR))</w:t>
            </w:r>
          </w:p>
          <w:p w14:paraId="5B6A75A6" w14:textId="52244CEF">
            <w:pPr>
              <w:spacing w:after="60"/>
              <w:rPr>
                <w:rFonts w:ascii="Arial" w:hAnsi="Arial" w:eastAsia="Times"/>
                <w:sz w:val="18"/>
                <w:szCs w:val="18"/>
                <w:lang w:val="en-GB"/>
              </w:rPr>
            </w:pPr>
            <w:r>
              <w:rPr>
                <w:rStyle w:val="PleaseReviewParagraphId"/>
                <w:b w:val="off"/>
                <w:i w:val="off"/>
              </w:rPr>
              <w:t>[17]</w:t>
            </w:r>
            <w:r>
              <w:rPr>
                <w:rFonts w:ascii="Arial" w:hAnsi="Arial"/>
                <w:sz w:val="18"/>
                <w:szCs w:val="18"/>
                <w:lang w:val="en-GB"/>
              </w:rPr>
              <w:t>2021-04: draft Specification reviewed by the IC</w:t>
            </w:r>
          </w:p>
        </w:tc>
      </w:tr>
      <w:tr w14:paraId="1BD40A97" w14:textId="77777777">
        <w:trPr>
          <w:trHeight w:val="491"/>
        </w:trPr>
        <w:tc>
          <w:tcPr>
            <w:tcW w:w="2271" w:type="dxa"/>
          </w:tcPr>
          <w:p w14:paraId="3EDAA3C4" w14:textId="77777777">
            <w:pPr>
              <w:spacing w:before="60" w:after="60"/>
              <w:rPr>
                <w:rFonts w:ascii="Arial" w:hAnsi="Arial" w:eastAsia="Times"/>
                <w:b/>
                <w:bCs/>
                <w:sz w:val="18"/>
                <w:szCs w:val="18"/>
              </w:rPr>
            </w:pPr>
            <w:r>
              <w:rPr>
                <w:rStyle w:val="PleaseReviewParagraphId"/>
                <w:b w:val="off"/>
                <w:i w:val="off"/>
              </w:rPr>
              <w:t>[18]</w:t>
            </w:r>
            <w:r>
              <w:rPr>
                <w:rFonts w:ascii="Arial" w:hAnsi="Arial"/>
                <w:b/>
                <w:sz w:val="18"/>
              </w:rPr>
              <w:t>Implementation Committee lead</w:t>
            </w:r>
          </w:p>
        </w:tc>
        <w:tc>
          <w:tcPr>
            <w:tcW w:w="6749" w:type="dxa"/>
          </w:tcPr>
          <w:p w14:paraId="64C95BCF" w14:textId="083480C6">
            <w:pPr>
              <w:spacing w:before="60" w:after="60"/>
              <w:rPr>
                <w:rFonts w:ascii="Arial" w:hAnsi="Arial" w:eastAsia="Times"/>
                <w:sz w:val="18"/>
                <w:szCs w:val="18"/>
              </w:rPr>
            </w:pPr>
            <w:r>
              <w:rPr>
                <w:rStyle w:val="PleaseReviewParagraphId"/>
                <w:b w:val="off"/>
                <w:i w:val="off"/>
              </w:rPr>
              <w:t>[19]</w:t>
            </w:r>
            <w:r>
              <w:rPr>
                <w:rFonts w:ascii="Arial" w:hAnsi="Arial"/>
                <w:sz w:val="18"/>
              </w:rPr>
              <w:t>2020-11: Ms Kyu-Ock YIM</w:t>
            </w:r>
          </w:p>
        </w:tc>
      </w:tr>
      <w:tr w14:paraId="061A0F0E" w14:textId="77777777">
        <w:trPr>
          <w:trHeight w:val="491"/>
        </w:trPr>
        <w:tc>
          <w:tcPr>
            <w:tcW w:w="2271" w:type="dxa"/>
          </w:tcPr>
          <w:p w14:paraId="30A6F608" w14:textId="77777777">
            <w:pPr>
              <w:spacing w:before="60" w:after="60"/>
              <w:rPr>
                <w:rFonts w:ascii="Arial" w:hAnsi="Arial" w:eastAsia="Times"/>
                <w:b/>
                <w:bCs/>
                <w:sz w:val="18"/>
                <w:szCs w:val="18"/>
              </w:rPr>
            </w:pPr>
            <w:r>
              <w:rPr>
                <w:rStyle w:val="PleaseReviewParagraphId"/>
                <w:b w:val="off"/>
                <w:i w:val="off"/>
              </w:rPr>
              <w:t>[20]</w:t>
            </w:r>
            <w:r>
              <w:rPr>
                <w:rFonts w:ascii="Arial" w:hAnsi="Arial"/>
                <w:b/>
                <w:sz w:val="18"/>
              </w:rPr>
              <w:t>IPPC Secretariat lead</w:t>
            </w:r>
          </w:p>
        </w:tc>
        <w:tc>
          <w:tcPr>
            <w:tcW w:w="6749" w:type="dxa"/>
          </w:tcPr>
          <w:p w14:paraId="10396D12" w14:textId="77777777">
            <w:pPr>
              <w:spacing w:before="60" w:after="60"/>
              <w:rPr>
                <w:rFonts w:ascii="Arial" w:hAnsi="Arial" w:eastAsia="Times"/>
                <w:sz w:val="18"/>
                <w:szCs w:val="18"/>
              </w:rPr>
            </w:pPr>
            <w:r>
              <w:rPr>
                <w:rStyle w:val="PleaseReviewParagraphId"/>
                <w:b w:val="off"/>
                <w:i w:val="off"/>
              </w:rPr>
              <w:t>[21]</w:t>
            </w:r>
            <w:r>
              <w:rPr>
                <w:rFonts w:ascii="Arial" w:hAnsi="Arial"/>
                <w:sz w:val="18"/>
              </w:rPr>
              <w:t>2021-02: Mr Descartes KOUMBA</w:t>
            </w:r>
          </w:p>
        </w:tc>
      </w:tr>
      <w:tr w14:paraId="66016211" w14:textId="77777777">
        <w:trPr>
          <w:trHeight w:val="491"/>
        </w:trPr>
        <w:tc>
          <w:tcPr>
            <w:tcW w:w="2271" w:type="dxa"/>
            <w:tcBorders>
              <w:bottom w:val="single" w:color="7F7F7F" w:themeColor="text1" w:themeTint="80" w:sz="2" w:space="0"/>
            </w:tcBorders>
          </w:tcPr>
          <w:p w14:paraId="30C03273" w14:textId="77777777">
            <w:pPr>
              <w:spacing w:before="60" w:after="60"/>
              <w:rPr>
                <w:rFonts w:ascii="Arial" w:hAnsi="Arial" w:eastAsia="Times"/>
                <w:b/>
                <w:bCs/>
                <w:sz w:val="18"/>
                <w:szCs w:val="18"/>
              </w:rPr>
            </w:pPr>
            <w:r>
              <w:rPr>
                <w:rStyle w:val="PleaseReviewParagraphId"/>
                <w:b w:val="off"/>
                <w:i w:val="off"/>
              </w:rPr>
              <w:t>[22]</w:t>
            </w:r>
            <w:r>
              <w:rPr>
                <w:rFonts w:ascii="Arial" w:hAnsi="Arial"/>
                <w:b/>
                <w:sz w:val="18"/>
              </w:rPr>
              <w:t xml:space="preserve">Working Group experts </w:t>
            </w:r>
          </w:p>
        </w:tc>
        <w:tc>
          <w:tcPr>
            <w:tcW w:w="6749" w:type="dxa"/>
            <w:tcBorders>
              <w:bottom w:val="single" w:color="7F7F7F" w:themeColor="text1" w:themeTint="80" w:sz="2" w:space="0"/>
            </w:tcBorders>
          </w:tcPr>
          <w:p w14:paraId="585C3F9D" w14:textId="77777777">
            <w:pPr>
              <w:spacing w:before="60" w:after="60"/>
              <w:rPr>
                <w:rFonts w:ascii="Arial" w:hAnsi="Arial" w:eastAsia="Times"/>
                <w:sz w:val="18"/>
                <w:szCs w:val="18"/>
              </w:rPr>
            </w:pPr>
            <w:r>
              <w:rPr>
                <w:rStyle w:val="PleaseReviewParagraphId"/>
                <w:b w:val="off"/>
                <w:i w:val="off"/>
              </w:rPr>
              <w:t>[23]</w:t>
            </w:r>
          </w:p>
        </w:tc>
      </w:tr>
      <w:tr w14:paraId="73FCD0B0" w14:textId="77777777">
        <w:trPr>
          <w:trHeight w:val="491"/>
        </w:trPr>
        <w:tc>
          <w:tcPr>
            <w:tcW w:w="2271" w:type="dxa"/>
            <w:tcBorders>
              <w:bottom w:val="single" w:color="auto" w:sz="4" w:space="0"/>
            </w:tcBorders>
          </w:tcPr>
          <w:p w14:paraId="5E1C25ED" w14:textId="77777777">
            <w:pPr>
              <w:spacing w:before="60" w:after="60"/>
              <w:rPr>
                <w:rFonts w:ascii="Arial" w:hAnsi="Arial" w:eastAsia="Times"/>
                <w:b/>
                <w:bCs/>
                <w:sz w:val="18"/>
                <w:szCs w:val="18"/>
              </w:rPr>
            </w:pPr>
            <w:r>
              <w:rPr>
                <w:rStyle w:val="PleaseReviewParagraphId"/>
                <w:b w:val="off"/>
                <w:i w:val="off"/>
              </w:rPr>
              <w:t>[24]</w:t>
            </w:r>
            <w:r>
              <w:rPr>
                <w:rFonts w:ascii="Arial" w:hAnsi="Arial"/>
                <w:b/>
                <w:sz w:val="18"/>
              </w:rPr>
              <w:t>Notes</w:t>
            </w:r>
          </w:p>
        </w:tc>
        <w:tc>
          <w:tcPr>
            <w:tcW w:w="6749" w:type="dxa"/>
            <w:tcBorders>
              <w:bottom w:val="single" w:color="auto" w:sz="4" w:space="0"/>
            </w:tcBorders>
          </w:tcPr>
          <w:p w14:paraId="78E7E9AF" w14:textId="77777777">
            <w:pPr>
              <w:spacing w:after="180"/>
              <w:rPr>
                <w:rFonts w:ascii="Arial" w:hAnsi="Arial" w:eastAsia="Times"/>
                <w:sz w:val="18"/>
                <w:szCs w:val="18"/>
              </w:rPr>
            </w:pPr>
            <w:r>
              <w:rPr>
                <w:rStyle w:val="PleaseReviewParagraphId"/>
                <w:b w:val="off"/>
                <w:i w:val="off"/>
              </w:rPr>
              <w:t>[25]</w:t>
            </w:r>
          </w:p>
        </w:tc>
      </w:tr>
    </w:tbl>
    <w:p w14:paraId="359E7E9F" w14:textId="77777777">
      <w:pPr>
        <w:spacing w:after="0" w:line="240" w:lineRule="auto"/>
        <w:rPr>
          <w:rFonts w:ascii="Times New Roman" w:hAnsi="Times New Roman" w:cs="Times New Roman"/>
          <w:bCs/>
          <w:iCs/>
        </w:rPr>
      </w:pPr>
      <w:r>
        <w:rPr>
          <w:rStyle w:val="PleaseReviewParagraphId"/>
          <w:b w:val="off"/>
          <w:i w:val="off"/>
        </w:rPr>
        <w:t>[26]</w:t>
      </w:r>
      <w:r>
        <w:br w:type="page"/>
      </w:r>
    </w:p>
    <w:p w14:paraId="43265C65" w14:textId="63A99BDB">
      <w:pPr>
        <w:pStyle w:val="IPPHeading1"/>
        <w:rPr>
          <w:rFonts w:ascii="Times New Roman" w:hAnsi="Times New Roman" w:cs="Times New Roman"/>
          <w:sz w:val="22"/>
          <w:szCs w:val="24"/>
        </w:rPr>
      </w:pPr>
      <w:r>
        <w:rPr>
          <w:rStyle w:val="PleaseReviewParagraphId"/>
          <w:b w:val="off"/>
          <w:i w:val="off"/>
        </w:rPr>
        <w:t>[27]</w:t>
      </w:r>
      <w:r>
        <w:rPr>
          <w:rFonts w:ascii="Times New Roman" w:hAnsi="Times New Roman"/>
          <w:bCs/>
          <w:sz w:val="22"/>
        </w:rPr>
        <w:lastRenderedPageBreak/>
        <w:t>1.</w:t>
      </w:r>
      <w:r>
        <w:rPr>
          <w:rFonts w:ascii="Times New Roman" w:hAnsi="Times New Roman"/>
          <w:sz w:val="22"/>
        </w:rPr>
        <w:t xml:space="preserve"> Titre</w:t>
      </w:r>
    </w:p>
    <w:p w14:paraId="31B376EB" w14:textId="6EFAC869">
      <w:pPr>
        <w:pStyle w:val="IPPHeading1"/>
        <w:ind w:left="0" w:firstLine="0"/>
        <w:rPr>
          <w:rFonts w:ascii="Times New Roman" w:hAnsi="Times New Roman" w:cs="Times New Roman"/>
          <w:b w:val="0"/>
          <w:sz w:val="22"/>
        </w:rPr>
      </w:pPr>
      <w:r>
        <w:rPr>
          <w:rStyle w:val="PleaseReviewParagraphId"/>
          <w:b w:val="off"/>
          <w:i w:val="off"/>
        </w:rPr>
        <w:t>[28]</w:t>
      </w:r>
      <w:r>
        <w:rPr>
          <w:rFonts w:ascii="Times New Roman" w:hAnsi="Times New Roman"/>
          <w:b w:val="0"/>
          <w:sz w:val="22"/>
        </w:rPr>
        <w:t>Guide pour l’élaboration de procédures de sécurité phytosanitaire visant à maintenir l’intégrité phytosanitaire des envois destinés à l’exportation (2018-028)</w:t>
      </w:r>
    </w:p>
    <w:p w14:paraId="4CE5E23F" w14:textId="77777777">
      <w:pPr>
        <w:pStyle w:val="IPPHeading1"/>
        <w:rPr>
          <w:rFonts w:ascii="Times New Roman" w:hAnsi="Times New Roman" w:cs="Times New Roman"/>
          <w:b w:val="0"/>
          <w:sz w:val="22"/>
          <w:szCs w:val="24"/>
        </w:rPr>
      </w:pPr>
      <w:r>
        <w:rPr>
          <w:rStyle w:val="PleaseReviewParagraphId"/>
          <w:b w:val="off"/>
          <w:i w:val="off"/>
        </w:rPr>
        <w:t>[29]</w:t>
      </w:r>
      <w:r>
        <w:rPr>
          <w:rFonts w:ascii="Times New Roman" w:hAnsi="Times New Roman"/>
          <w:sz w:val="22"/>
        </w:rPr>
        <w:t>2. Ressource nécessaire à la mise en œuvre</w:t>
      </w:r>
    </w:p>
    <w:p w14:paraId="2A2572AA" w14:textId="1D5515EC">
      <w:pPr>
        <w:pStyle w:val="IPPParagraphnumbering"/>
        <w:numPr>
          <w:ilvl w:val="0"/>
          <w:numId w:val="0"/>
        </w:numPr>
        <w:tabs>
          <w:tab w:val="left" w:pos="720"/>
        </w:tabs>
        <w:rPr>
          <w:rFonts w:ascii="Times New Roman" w:hAnsi="Times New Roman" w:eastAsia="MS Mincho" w:cs="Times New Roman"/>
          <w:bCs/>
          <w:iCs/>
        </w:rPr>
      </w:pPr>
      <w:r>
        <w:rPr>
          <w:rStyle w:val="PleaseReviewParagraphId"/>
          <w:b w:val="off"/>
          <w:i w:val="off"/>
        </w:rPr>
        <w:t>[30]</w:t>
      </w:r>
      <w:r>
        <w:rPr>
          <w:rFonts w:ascii="Times New Roman" w:hAnsi="Times New Roman"/>
        </w:rPr>
        <w:t>Guide de la CIPV</w:t>
      </w:r>
    </w:p>
    <w:p w14:paraId="79ACAD2F" w14:textId="77777777">
      <w:pPr>
        <w:pStyle w:val="IPPHeading1"/>
        <w:rPr>
          <w:rFonts w:ascii="Times New Roman" w:hAnsi="Times New Roman" w:cs="Times New Roman"/>
          <w:b w:val="0"/>
          <w:sz w:val="22"/>
          <w:szCs w:val="24"/>
        </w:rPr>
      </w:pPr>
      <w:r>
        <w:rPr>
          <w:rStyle w:val="PleaseReviewParagraphId"/>
          <w:b w:val="off"/>
          <w:i w:val="off"/>
        </w:rPr>
        <w:t>[31]</w:t>
      </w:r>
      <w:r>
        <w:rPr>
          <w:rFonts w:ascii="Times New Roman" w:hAnsi="Times New Roman"/>
          <w:sz w:val="22"/>
        </w:rPr>
        <w:t xml:space="preserve">3. Articles de la Convention, NIMP et recommandations de la CMP devant être traités par la ressource proposée pour la mise en œuvre </w:t>
      </w:r>
    </w:p>
    <w:p w14:paraId="707CE493" w14:textId="25E76852">
      <w:pPr>
        <w:pStyle w:val="IPPNormal"/>
        <w:rPr>
          <w:rFonts w:ascii="Times New Roman" w:hAnsi="Times New Roman" w:cs="Times New Roman"/>
        </w:rPr>
      </w:pPr>
      <w:r>
        <w:rPr>
          <w:rStyle w:val="PleaseReviewParagraphId"/>
          <w:b w:val="off"/>
          <w:i w:val="off"/>
        </w:rPr>
        <w:t>[32]</w:t>
      </w:r>
      <w:r>
        <w:rPr>
          <w:rFonts w:ascii="Times New Roman" w:hAnsi="Times New Roman"/>
        </w:rPr>
        <w:t>Convention internationale pour la protection des végétaux</w:t>
      </w:r>
      <w:r>
        <w:rPr>
          <w:rStyle w:val="FootnoteReference"/>
          <w:rFonts w:ascii="Times New Roman" w:hAnsi="Times New Roman" w:eastAsia="MS Mincho" w:cs="Times New Roman"/>
          <w:bCs/>
          <w:iCs/>
          <w:color w:val="0000FF"/>
          <w:u w:val="single"/>
        </w:rPr>
        <w:footnoteReference w:id="1"/>
      </w:r>
      <w:r>
        <w:rPr>
          <w:rFonts w:ascii="Times New Roman" w:hAnsi="Times New Roman"/>
        </w:rPr>
        <w:t xml:space="preserve"> (articles IV. 2. g) et VII. 2 e) en particulier)</w:t>
      </w:r>
    </w:p>
    <w:p w14:paraId="0259C907" w14:textId="3999D526">
      <w:pPr>
        <w:pStyle w:val="IPPNormal"/>
        <w:rPr>
          <w:rStyle w:val="normaltextrun"/>
          <w:rFonts w:ascii="Times New Roman" w:hAnsi="Times New Roman" w:cs="Times New Roman"/>
          <w:color w:val="000000"/>
          <w:shd w:val="clear" w:color="auto" w:fill="FFFFFF"/>
        </w:rPr>
      </w:pPr>
      <w:r>
        <w:rPr>
          <w:rStyle w:val="PleaseReviewParagraphId"/>
          <w:b w:val="off"/>
          <w:i w:val="off"/>
        </w:rPr>
        <w:t>[34]</w:t>
      </w:r>
      <w:r>
        <w:rPr>
          <w:rStyle w:val="normaltextrun"/>
          <w:rFonts w:ascii="Times New Roman" w:hAnsi="Times New Roman"/>
          <w:color w:val="000000"/>
          <w:shd w:val="clear" w:color="auto" w:fill="FFFFFF"/>
        </w:rPr>
        <w:t>NIMP 07: Système de certification phytosanitaire</w:t>
      </w:r>
      <w:r>
        <w:rPr>
          <w:rStyle w:val="FootnoteReference"/>
          <w:rFonts w:ascii="Times New Roman" w:hAnsi="Times New Roman" w:cs="Times New Roman"/>
          <w:color w:val="000000"/>
          <w:shd w:val="clear" w:color="auto" w:fill="FFFFFF"/>
          <w:lang w:val="en-GB"/>
        </w:rPr>
        <w:footnoteReference w:id="2"/>
      </w:r>
    </w:p>
    <w:p w14:paraId="4981BB21" w14:textId="5D92F7F5">
      <w:pPr>
        <w:pStyle w:val="IPPNormal"/>
        <w:rPr>
          <w:rStyle w:val="normaltextrun"/>
          <w:rFonts w:ascii="Times New Roman" w:hAnsi="Times New Roman" w:cs="Times New Roman"/>
          <w:iCs/>
          <w:color w:val="000000"/>
          <w:shd w:val="clear" w:color="auto" w:fill="FFFFFF"/>
        </w:rPr>
      </w:pPr>
      <w:r>
        <w:rPr>
          <w:rStyle w:val="PleaseReviewParagraphId"/>
          <w:b w:val="off"/>
          <w:i w:val="off"/>
        </w:rPr>
        <w:t>[36]</w:t>
      </w:r>
      <w:r>
        <w:rPr>
          <w:rStyle w:val="normaltextrun"/>
          <w:rFonts w:ascii="Times New Roman" w:hAnsi="Times New Roman"/>
          <w:color w:val="000000"/>
          <w:shd w:val="clear" w:color="auto" w:fill="FFFFFF"/>
        </w:rPr>
        <w:t>NIMP 12: Certificats phytosanitaires</w:t>
      </w:r>
      <w:r>
        <w:rPr>
          <w:rStyle w:val="FootnoteReference"/>
          <w:rFonts w:ascii="Times New Roman" w:hAnsi="Times New Roman" w:cs="Times New Roman"/>
          <w:iCs/>
          <w:color w:val="000000"/>
          <w:shd w:val="clear" w:color="auto" w:fill="FFFFFF"/>
          <w:lang w:val="en-GB"/>
        </w:rPr>
        <w:footnoteReference w:id="3"/>
      </w:r>
    </w:p>
    <w:p w14:paraId="10F4B391" w14:textId="6A3F5415">
      <w:pPr>
        <w:pStyle w:val="IPPNormal"/>
        <w:rPr>
          <w:rFonts w:ascii="Times New Roman" w:hAnsi="Times New Roman" w:cs="Times New Roman"/>
        </w:rPr>
      </w:pPr>
      <w:r>
        <w:rPr>
          <w:rStyle w:val="PleaseReviewParagraphId"/>
          <w:b w:val="off"/>
          <w:i w:val="off"/>
        </w:rPr>
        <w:t>[38]</w:t>
      </w:r>
      <w:r>
        <w:rPr>
          <w:rFonts w:ascii="Times New Roman" w:hAnsi="Times New Roman"/>
        </w:rPr>
        <w:t>NIMP 23: Directives pour l’inspection</w:t>
      </w:r>
      <w:r>
        <w:rPr>
          <w:rStyle w:val="FootnoteReference"/>
          <w:rFonts w:ascii="Times New Roman" w:hAnsi="Times New Roman" w:cs="Times New Roman"/>
        </w:rPr>
        <w:footnoteReference w:id="4"/>
      </w:r>
    </w:p>
    <w:p w14:paraId="16996C3D" w14:textId="2CEF1171">
      <w:pPr>
        <w:shd w:val="clear" w:color="auto" w:fill="FFFFFF"/>
        <w:spacing w:before="100" w:beforeAutospacing="1" w:after="100" w:afterAutospacing="1" w:line="240" w:lineRule="auto"/>
        <w:rPr>
          <w:rStyle w:val="normaltextrun"/>
          <w:rFonts w:ascii="Times New Roman" w:hAnsi="Times New Roman" w:eastAsia="Times New Roman" w:cs="Times New Roman"/>
          <w:color w:val="1B1E24"/>
        </w:rPr>
      </w:pPr>
      <w:r>
        <w:rPr>
          <w:rStyle w:val="PleaseReviewParagraphId"/>
          <w:b w:val="off"/>
          <w:i w:val="off"/>
        </w:rPr>
        <w:t>[40]</w:t>
      </w:r>
      <w:hyperlink w:history="1" r:id="rId8">
        <w:r>
          <w:rPr>
            <w:rFonts w:ascii="Times New Roman" w:hAnsi="Times New Roman"/>
          </w:rPr>
          <w:t>NIMP 31:</w:t>
        </w:r>
      </w:hyperlink>
      <w:hyperlink w:history="1" r:id="rId9">
        <w:r>
          <w:rPr>
            <w:rFonts w:ascii="Times New Roman" w:hAnsi="Times New Roman"/>
          </w:rPr>
          <w:t xml:space="preserve"> Méthodes d</w:t>
        </w:r>
        <w:r>
          <w:rPr>
            <w:rFonts w:ascii="Times New Roman" w:hAnsi="Times New Roman"/>
          </w:rPr>
          <w:t>’</w:t>
        </w:r>
        <w:r>
          <w:rPr>
            <w:rFonts w:ascii="Times New Roman" w:hAnsi="Times New Roman"/>
          </w:rPr>
          <w:t>échantillonnage des envois</w:t>
        </w:r>
      </w:hyperlink>
      <w:r>
        <w:rPr>
          <w:rStyle w:val="FootnoteReference"/>
          <w:rFonts w:ascii="Times New Roman" w:hAnsi="Times New Roman" w:cs="Times New Roman"/>
          <w:color w:val="1B1E24"/>
        </w:rPr>
        <w:footnoteReference w:id="5"/>
      </w:r>
    </w:p>
    <w:p w14:paraId="482D1A81" w14:textId="6A7CED1F">
      <w:pPr>
        <w:pStyle w:val="Heading1"/>
        <w:numPr>
          <w:ilvl w:val="0"/>
          <w:numId w:val="0"/>
        </w:numPr>
        <w:shd w:val="clear" w:color="auto" w:fill="FFFFFF"/>
        <w:ind w:left="432" w:hanging="432"/>
        <w:rPr>
          <w:rFonts w:ascii="Times New Roman" w:hAnsi="Times New Roman" w:cs="Times New Roman"/>
          <w:bCs/>
          <w:color w:val="auto"/>
          <w:sz w:val="22"/>
          <w:szCs w:val="22"/>
        </w:rPr>
      </w:pPr>
      <w:r>
        <w:rPr>
          <w:rStyle w:val="PleaseReviewParagraphId"/>
          <w:b w:val="off"/>
          <w:i w:val="off"/>
        </w:rPr>
        <w:t>[42]</w:t>
      </w:r>
      <w:r>
        <w:rPr>
          <w:rFonts w:ascii="Times New Roman" w:hAnsi="Times New Roman"/>
          <w:color w:val="auto"/>
          <w:sz w:val="22"/>
        </w:rPr>
        <w:t>NIMP 32: Classification des marchandises selon le risque phytosanitaire qu’elles présentent</w:t>
      </w:r>
      <w:r>
        <w:rPr>
          <w:rStyle w:val="FootnoteReference"/>
          <w:rFonts w:ascii="Times New Roman" w:hAnsi="Times New Roman" w:cs="Times New Roman"/>
          <w:bCs/>
          <w:color w:val="auto"/>
          <w:sz w:val="22"/>
          <w:szCs w:val="22"/>
        </w:rPr>
        <w:footnoteReference w:id="6"/>
      </w:r>
    </w:p>
    <w:p w14:paraId="055EB53D" w14:textId="666AB5D1">
      <w:pPr>
        <w:pStyle w:val="IPPNormal"/>
        <w:spacing w:before="240"/>
        <w:rPr>
          <w:rFonts w:ascii="Times New Roman" w:hAnsi="Times New Roman" w:eastAsia="MS Mincho" w:cs="Times New Roman"/>
          <w:b/>
          <w:bCs/>
          <w:iCs/>
        </w:rPr>
      </w:pPr>
      <w:r>
        <w:rPr>
          <w:rStyle w:val="PleaseReviewParagraphId"/>
          <w:b w:val="off"/>
          <w:i w:val="off"/>
        </w:rPr>
        <w:t>[44]</w:t>
      </w:r>
      <w:r>
        <w:rPr>
          <w:rFonts w:ascii="Times New Roman" w:hAnsi="Times New Roman"/>
          <w:b/>
        </w:rPr>
        <w:t xml:space="preserve">4. Champ d’application </w:t>
      </w:r>
    </w:p>
    <w:p w14:paraId="1D5B87A1" w14:textId="07DE8608">
      <w:pPr>
        <w:pStyle w:val="IPPHeading1"/>
        <w:tabs>
          <w:tab w:val="clear" w:pos="567"/>
        </w:tabs>
        <w:ind w:left="0" w:firstLine="0"/>
        <w:jc w:val="both"/>
        <w:rPr>
          <w:rFonts w:ascii="Times New Roman" w:hAnsi="Times New Roman" w:eastAsia="MS Mincho" w:cs="Times New Roman"/>
          <w:b w:val="0"/>
          <w:sz w:val="22"/>
        </w:rPr>
      </w:pPr>
      <w:r>
        <w:rPr>
          <w:rStyle w:val="PleaseReviewParagraphId"/>
          <w:b w:val="off"/>
          <w:i w:val="off"/>
        </w:rPr>
        <w:t>[45]</w:t>
      </w:r>
      <w:r>
        <w:rPr>
          <w:rFonts w:ascii="Times New Roman" w:hAnsi="Times New Roman"/>
          <w:b w:val="0"/>
          <w:sz w:val="22"/>
        </w:rPr>
        <w:t xml:space="preserve">Le présent Guide de la CIPV est conçu pour permettre d’élaborer des procédures de sécurité phytosanitaire </w:t>
      </w:r>
      <w:r>
        <w:rPr>
          <w:rFonts w:ascii="Times New Roman" w:hAnsi="Times New Roman"/>
          <w:b w:val="0"/>
          <w:color w:val="000000"/>
          <w:sz w:val="22"/>
          <w:shd w:val="clear" w:color="auto" w:fill="FFFFFF"/>
        </w:rPr>
        <w:t>applicables à tous les envois soumis à la certification phytosanitaire à l’exportation</w:t>
      </w:r>
      <w:r>
        <w:rPr>
          <w:color w:val="000000"/>
          <w:sz w:val="20"/>
          <w:shd w:val="clear" w:color="auto" w:fill="FFFFFF"/>
        </w:rPr>
        <w:t>.</w:t>
      </w:r>
      <w:r>
        <w:rPr>
          <w:rFonts w:ascii="Times New Roman" w:hAnsi="Times New Roman"/>
          <w:b w:val="0"/>
          <w:sz w:val="22"/>
        </w:rPr>
        <w:t xml:space="preserve">  </w:t>
      </w:r>
    </w:p>
    <w:p w14:paraId="5B6EF43E" w14:textId="77777777">
      <w:pPr>
        <w:pStyle w:val="IPPHeading1"/>
        <w:tabs>
          <w:tab w:val="clear" w:pos="567"/>
        </w:tabs>
        <w:ind w:left="0" w:firstLine="0"/>
        <w:rPr>
          <w:rFonts w:ascii="Times New Roman" w:hAnsi="Times New Roman" w:eastAsia="MS Mincho" w:cs="Times New Roman"/>
          <w:sz w:val="22"/>
        </w:rPr>
      </w:pPr>
      <w:r>
        <w:rPr>
          <w:rStyle w:val="PleaseReviewParagraphId"/>
          <w:b w:val="off"/>
          <w:i w:val="off"/>
        </w:rPr>
        <w:t>[46]</w:t>
      </w:r>
      <w:r>
        <w:rPr>
          <w:rFonts w:ascii="Times New Roman" w:hAnsi="Times New Roman"/>
          <w:sz w:val="22"/>
        </w:rPr>
        <w:t xml:space="preserve">5. Objet </w:t>
      </w:r>
    </w:p>
    <w:p w14:paraId="63AA323F" w14:textId="55A1ACA1">
      <w:pPr>
        <w:pStyle w:val="Default"/>
        <w:rPr>
          <w:rFonts w:ascii="Times New Roman" w:hAnsi="Times New Roman" w:cs="Times New Roman"/>
          <w:color w:val="auto"/>
          <w:sz w:val="20"/>
          <w:szCs w:val="20"/>
        </w:rPr>
      </w:pPr>
      <w:r>
        <w:rPr>
          <w:rStyle w:val="PleaseReviewParagraphId"/>
          <w:b w:val="off"/>
          <w:i w:val="off"/>
        </w:rPr>
        <w:t>[47]</w:t>
      </w:r>
      <w:r>
        <w:rPr>
          <w:rFonts w:ascii="Times New Roman" w:hAnsi="Times New Roman"/>
          <w:color w:val="auto"/>
          <w:sz w:val="22"/>
        </w:rPr>
        <w:t xml:space="preserve">Fournir des conseils aux décideurs des ONPV sur les procédures de sécurité phytosanitaire, y compris les installations et les équipements nécessaires pour maintenir l’intégrité phytosanitaire et l’absence d’organismes nuisibles dans les envois de produits végétaux destinés à l’exportation. </w:t>
      </w:r>
      <w:r>
        <w:rPr>
          <w:rFonts w:ascii="Times New Roman" w:hAnsi="Times New Roman"/>
          <w:sz w:val="22"/>
          <w:szCs w:val="22"/>
        </w:rPr>
        <w:t>Le maintien de l’intégrité phytosanitaire des envois est effectivement une exigence du pays importateur (NIMP 7).</w:t>
      </w:r>
      <w:r>
        <w:rPr>
          <w:rFonts w:ascii="Times New Roman" w:hAnsi="Times New Roman"/>
          <w:color w:val="auto"/>
          <w:sz w:val="20"/>
        </w:rPr>
        <w:t xml:space="preserve">   </w:t>
      </w:r>
    </w:p>
    <w:p w14:paraId="7A431892" w14:textId="77777777">
      <w:pPr>
        <w:pStyle w:val="Default"/>
        <w:rPr>
          <w:rFonts w:ascii="Times New Roman" w:hAnsi="Times New Roman" w:cs="Times New Roman"/>
          <w:color w:val="auto"/>
          <w:sz w:val="20"/>
          <w:szCs w:val="22"/>
        </w:rPr>
      </w:pPr>
      <w:r>
        <w:rPr>
          <w:rStyle w:val="PleaseReviewParagraphId"/>
          <w:b w:val="off"/>
          <w:i w:val="off"/>
        </w:rPr>
        <w:t>[48]</w:t>
      </w:r>
    </w:p>
    <w:p w14:paraId="0597B0AD" w14:textId="59E98CC4">
      <w:pPr>
        <w:pStyle w:val="Heading2"/>
        <w:numPr>
          <w:ilvl w:val="0"/>
          <w:numId w:val="0"/>
        </w:numPr>
        <w:pBdr>
          <w:bottom w:val="single" w:color="ECECEC" w:sz="8" w:space="0"/>
        </w:pBdr>
        <w:shd w:val="clear" w:color="auto" w:fill="FFFFFF"/>
        <w:spacing w:before="0"/>
        <w:ind w:right="300"/>
        <w:rPr>
          <w:rStyle w:val="normaltextrun"/>
          <w:rFonts w:ascii="Times New Roman" w:hAnsi="Times New Roman" w:cs="Times New Roman" w:eastAsiaTheme="minorHAnsi"/>
          <w:color w:val="000000"/>
          <w:sz w:val="22"/>
          <w:szCs w:val="22"/>
          <w:shd w:val="clear" w:color="auto" w:fill="FFFFFF"/>
        </w:rPr>
      </w:pPr>
      <w:r>
        <w:rPr>
          <w:rStyle w:val="PleaseReviewParagraphId"/>
          <w:b w:val="off"/>
          <w:i w:val="off"/>
        </w:rPr>
        <w:t>[49]</w:t>
      </w:r>
      <w:r>
        <w:rPr>
          <w:rStyle w:val="normaltextrun"/>
          <w:rFonts w:ascii="Times New Roman" w:hAnsi="Times New Roman"/>
          <w:color w:val="000000"/>
          <w:sz w:val="22"/>
          <w:shd w:val="clear" w:color="auto" w:fill="FFFFFF"/>
        </w:rPr>
        <w:t xml:space="preserve">Dans la NIMP 5, la sécurité phytosanitaire (d’un envoi) est définie comme étant le maintien de l’intégrité d’un envoi et la prévention de son infestation et de sa contamination par des organismes nuisibles réglementés, grâce à l’application de mesures phytosanitaires appropriées. </w:t>
      </w:r>
    </w:p>
    <w:p w14:paraId="26CB9305" w14:textId="77777777">
      <w:pPr>
        <w:pStyle w:val="Default"/>
        <w:rPr>
          <w:rStyle w:val="normaltextrun"/>
          <w:rFonts w:ascii="Times New Roman" w:hAnsi="Times New Roman" w:cs="Times New Roman"/>
          <w:sz w:val="22"/>
          <w:szCs w:val="22"/>
          <w:shd w:val="clear" w:color="auto" w:fill="FFFFFF"/>
        </w:rPr>
      </w:pPr>
      <w:r>
        <w:rPr>
          <w:rStyle w:val="PleaseReviewParagraphId"/>
          <w:b w:val="off"/>
          <w:i w:val="off"/>
        </w:rPr>
        <w:t>[50]</w:t>
      </w:r>
    </w:p>
    <w:p w14:paraId="4A9CD6AC" w14:textId="3AD787A7">
      <w:pPr>
        <w:pStyle w:val="Default"/>
        <w:rPr>
          <w:rFonts w:ascii="Times New Roman" w:hAnsi="Times New Roman" w:eastAsia="MS Mincho" w:cs="Times New Roman"/>
          <w:color w:val="auto"/>
          <w:sz w:val="22"/>
          <w:szCs w:val="22"/>
        </w:rPr>
      </w:pPr>
      <w:r>
        <w:rPr>
          <w:rStyle w:val="PleaseReviewParagraphId"/>
          <w:b w:val="off"/>
          <w:i w:val="off"/>
        </w:rPr>
        <w:t>[51]</w:t>
      </w:r>
      <w:r>
        <w:rPr>
          <w:rStyle w:val="normaltextrun"/>
          <w:rFonts w:ascii="Times New Roman" w:hAnsi="Times New Roman"/>
          <w:sz w:val="22"/>
          <w:szCs w:val="22"/>
          <w:shd w:val="clear" w:color="auto" w:fill="FFFFFF"/>
        </w:rPr>
        <w:t>Le Guide contribuera à prévenir l’introduction et la dissémination d’organismes nuisibles de végétaux et de produits végétaux en fournissant des orientations pour la prise de décision concernant l’application efficace de mesures de sécurité phytosanitaire, et renforcera les garanties phytosanitaires attestées par les certificats phytosanitaires.</w:t>
      </w:r>
      <w:r>
        <w:rPr>
          <w:rStyle w:val="eop"/>
          <w:rFonts w:ascii="Times New Roman" w:hAnsi="Times New Roman"/>
          <w:sz w:val="22"/>
          <w:szCs w:val="22"/>
          <w:shd w:val="clear" w:color="auto" w:fill="FFFFFF"/>
        </w:rPr>
        <w:t> </w:t>
      </w:r>
    </w:p>
    <w:p w14:paraId="7DE470C1" w14:textId="77777777">
      <w:pPr>
        <w:pStyle w:val="IPPHeading1"/>
        <w:rPr>
          <w:rFonts w:ascii="Times New Roman" w:hAnsi="Times New Roman" w:cs="Times New Roman"/>
          <w:sz w:val="22"/>
        </w:rPr>
      </w:pPr>
      <w:r>
        <w:rPr>
          <w:rStyle w:val="PleaseReviewParagraphId"/>
          <w:b w:val="off"/>
          <w:i w:val="off"/>
        </w:rPr>
        <w:t>[52]</w:t>
      </w:r>
      <w:r>
        <w:rPr>
          <w:rFonts w:ascii="Times New Roman" w:hAnsi="Times New Roman"/>
          <w:sz w:val="22"/>
        </w:rPr>
        <w:lastRenderedPageBreak/>
        <w:t>6. Contenu de la ressource proposée pour la mise en œuvre</w:t>
      </w:r>
    </w:p>
    <w:p w14:paraId="3FC68803" w14:textId="2043FB26">
      <w:pPr>
        <w:pStyle w:val="IPPNormal"/>
        <w:rPr>
          <w:rFonts w:ascii="Times New Roman" w:hAnsi="Times New Roman" w:cs="Times New Roman"/>
        </w:rPr>
      </w:pPr>
      <w:r>
        <w:rPr>
          <w:rStyle w:val="PleaseReviewParagraphId"/>
          <w:b w:val="off"/>
          <w:i w:val="off"/>
        </w:rPr>
        <w:t>[53]</w:t>
      </w:r>
      <w:r>
        <w:rPr>
          <w:rFonts w:ascii="Times New Roman" w:hAnsi="Times New Roman"/>
        </w:rPr>
        <w:t>Tâches proposées pour le groupe de travail:</w:t>
      </w:r>
    </w:p>
    <w:p w14:paraId="3E5CA425" w14:textId="41A612DC">
      <w:pPr>
        <w:pStyle w:val="IPPNormal"/>
        <w:numPr>
          <w:ilvl w:val="0"/>
          <w:numId w:val="8"/>
        </w:numPr>
        <w:rPr>
          <w:rFonts w:ascii="Times New Roman" w:hAnsi="Times New Roman" w:cs="Times New Roman"/>
        </w:rPr>
      </w:pPr>
      <w:r>
        <w:rPr>
          <w:rStyle w:val="PleaseReviewParagraphId"/>
          <w:b w:val="off"/>
          <w:i w:val="off"/>
        </w:rPr>
        <w:t>[54]</w:t>
      </w:r>
      <w:r>
        <w:rPr>
          <w:rFonts w:ascii="Times New Roman" w:hAnsi="Times New Roman"/>
        </w:rPr>
        <w:t>Décrire les responsabilités et obligations des ONPV en matière de certification des exportations, y compris la sécurité phytosanitaire des envois.</w:t>
      </w:r>
    </w:p>
    <w:p w14:paraId="60BA86D4" w14:textId="462FF6D4">
      <w:pPr>
        <w:pStyle w:val="IPPNormal"/>
        <w:numPr>
          <w:ilvl w:val="0"/>
          <w:numId w:val="8"/>
        </w:numPr>
        <w:tabs>
          <w:tab w:val="left" w:pos="5954"/>
        </w:tabs>
        <w:rPr>
          <w:rFonts w:ascii="Times New Roman" w:hAnsi="Times New Roman" w:cs="Times New Roman"/>
        </w:rPr>
      </w:pPr>
      <w:r>
        <w:rPr>
          <w:rStyle w:val="PleaseReviewParagraphId"/>
          <w:b w:val="off"/>
          <w:i w:val="off"/>
        </w:rPr>
        <w:t>[55]</w:t>
      </w:r>
      <w:r>
        <w:rPr>
          <w:rFonts w:ascii="Times New Roman" w:hAnsi="Times New Roman"/>
        </w:rPr>
        <w:t>Décrire l’importance de la mise en œuvre de procédures de sécurité phytosanitaire pour maintenir l’intégrité phytosanitaire des envois et l’absence d’organismes nuisibles.</w:t>
      </w:r>
    </w:p>
    <w:p w14:paraId="6ED36B59" w14:textId="48DFAB72">
      <w:pPr>
        <w:pStyle w:val="IPPNormal"/>
        <w:numPr>
          <w:ilvl w:val="0"/>
          <w:numId w:val="8"/>
        </w:numPr>
        <w:tabs>
          <w:tab w:val="left" w:pos="5954"/>
        </w:tabs>
        <w:rPr>
          <w:rFonts w:ascii="Times New Roman" w:hAnsi="Times New Roman" w:cs="Times New Roman"/>
        </w:rPr>
      </w:pPr>
      <w:r>
        <w:rPr>
          <w:rStyle w:val="PleaseReviewParagraphId"/>
          <w:b w:val="off"/>
          <w:i w:val="off"/>
        </w:rPr>
        <w:t>[56]</w:t>
      </w:r>
      <w:r>
        <w:rPr>
          <w:rFonts w:ascii="Times New Roman" w:hAnsi="Times New Roman"/>
        </w:rPr>
        <w:t>Décrire les points de contrôle critiques de la chaîne d’exportation au niveau desquels des mesures de sécurité phytosanitaire peuvent être appliquées</w:t>
      </w:r>
      <w:r>
        <w:rPr>
          <w:rStyle w:val="FootnoteReference"/>
          <w:rFonts w:ascii="Times New Roman" w:hAnsi="Times New Roman" w:cs="Times New Roman"/>
        </w:rPr>
        <w:footnoteReference w:id="7"/>
      </w:r>
      <w:r>
        <w:rPr>
          <w:rFonts w:ascii="Times New Roman" w:hAnsi="Times New Roman"/>
        </w:rPr>
        <w:t xml:space="preserve"> afin de maintenir l’intégrité de l’envoi et l’absence d’organismes nuisibles au moment de la certification, notamment: </w:t>
      </w:r>
    </w:p>
    <w:p w14:paraId="42DD4948" w14:textId="77777777">
      <w:pPr>
        <w:pStyle w:val="IPPNormal"/>
        <w:numPr>
          <w:ilvl w:val="1"/>
          <w:numId w:val="8"/>
        </w:numPr>
        <w:tabs>
          <w:tab w:val="left" w:pos="5954"/>
        </w:tabs>
        <w:rPr>
          <w:rFonts w:ascii="Times New Roman" w:hAnsi="Times New Roman" w:cs="Times New Roman"/>
        </w:rPr>
      </w:pPr>
      <w:r>
        <w:rPr>
          <w:rStyle w:val="PleaseReviewParagraphId"/>
          <w:b w:val="off"/>
          <w:i w:val="off"/>
        </w:rPr>
        <w:t>[58]</w:t>
      </w:r>
      <w:r>
        <w:rPr>
          <w:rFonts w:ascii="Times New Roman" w:hAnsi="Times New Roman"/>
        </w:rPr>
        <w:t xml:space="preserve">le transport à partir du site de production vers des installations de réception ou entre celles-ci; </w:t>
      </w:r>
    </w:p>
    <w:p w14:paraId="3E511BBC" w14:textId="77777777">
      <w:pPr>
        <w:pStyle w:val="IPPNormal"/>
        <w:numPr>
          <w:ilvl w:val="1"/>
          <w:numId w:val="8"/>
        </w:numPr>
        <w:tabs>
          <w:tab w:val="left" w:pos="5954"/>
        </w:tabs>
        <w:rPr>
          <w:rFonts w:ascii="Times New Roman" w:hAnsi="Times New Roman" w:cs="Times New Roman"/>
        </w:rPr>
      </w:pPr>
      <w:r>
        <w:rPr>
          <w:rStyle w:val="PleaseReviewParagraphId"/>
          <w:b w:val="off"/>
          <w:i w:val="off"/>
        </w:rPr>
        <w:t>[59]</w:t>
      </w:r>
      <w:r>
        <w:rPr>
          <w:rFonts w:ascii="Times New Roman" w:hAnsi="Times New Roman"/>
        </w:rPr>
        <w:t>le centre de conditionnement;</w:t>
      </w:r>
    </w:p>
    <w:p w14:paraId="48A1C733" w14:textId="547AA337">
      <w:pPr>
        <w:pStyle w:val="IPPNormal"/>
        <w:numPr>
          <w:ilvl w:val="1"/>
          <w:numId w:val="8"/>
        </w:numPr>
        <w:tabs>
          <w:tab w:val="left" w:pos="5954"/>
        </w:tabs>
        <w:rPr>
          <w:rFonts w:ascii="Times New Roman" w:hAnsi="Times New Roman" w:cs="Times New Roman"/>
        </w:rPr>
      </w:pPr>
      <w:r>
        <w:rPr>
          <w:rStyle w:val="PleaseReviewParagraphId"/>
          <w:b w:val="off"/>
          <w:i w:val="off"/>
        </w:rPr>
        <w:t>[60]</w:t>
      </w:r>
      <w:r>
        <w:rPr>
          <w:rFonts w:ascii="Times New Roman" w:hAnsi="Times New Roman"/>
        </w:rPr>
        <w:t>l’installation de traitement;</w:t>
      </w:r>
    </w:p>
    <w:p w14:paraId="0163C972" w14:textId="106D4E1E">
      <w:pPr>
        <w:pStyle w:val="IPPNormal"/>
        <w:numPr>
          <w:ilvl w:val="1"/>
          <w:numId w:val="8"/>
        </w:numPr>
        <w:tabs>
          <w:tab w:val="left" w:pos="5954"/>
        </w:tabs>
        <w:rPr>
          <w:rFonts w:ascii="Times New Roman" w:hAnsi="Times New Roman" w:cs="Times New Roman"/>
        </w:rPr>
      </w:pPr>
      <w:r>
        <w:rPr>
          <w:rStyle w:val="PleaseReviewParagraphId"/>
          <w:b w:val="off"/>
          <w:i w:val="off"/>
        </w:rPr>
        <w:t>[61]</w:t>
      </w:r>
      <w:r>
        <w:rPr>
          <w:rFonts w:ascii="Times New Roman" w:hAnsi="Times New Roman"/>
        </w:rPr>
        <w:t>l’installation de stockage;</w:t>
      </w:r>
    </w:p>
    <w:p w14:paraId="6C33CCB0" w14:textId="0AA73683">
      <w:pPr>
        <w:pStyle w:val="IPPNormal"/>
        <w:numPr>
          <w:ilvl w:val="1"/>
          <w:numId w:val="8"/>
        </w:numPr>
        <w:tabs>
          <w:tab w:val="left" w:pos="5954"/>
        </w:tabs>
        <w:rPr>
          <w:rFonts w:ascii="Times New Roman" w:hAnsi="Times New Roman" w:cs="Times New Roman"/>
        </w:rPr>
      </w:pPr>
      <w:r>
        <w:rPr>
          <w:rStyle w:val="PleaseReviewParagraphId"/>
          <w:b w:val="off"/>
          <w:i w:val="off"/>
        </w:rPr>
        <w:t>[62]</w:t>
      </w:r>
      <w:r>
        <w:rPr>
          <w:rFonts w:ascii="Times New Roman" w:hAnsi="Times New Roman"/>
        </w:rPr>
        <w:t>l’installation d’expédition;</w:t>
      </w:r>
    </w:p>
    <w:p w14:paraId="482CF8E4" w14:textId="5C20AA05">
      <w:pPr>
        <w:pStyle w:val="IPPNormal"/>
        <w:numPr>
          <w:ilvl w:val="1"/>
          <w:numId w:val="8"/>
        </w:numPr>
        <w:tabs>
          <w:tab w:val="left" w:pos="5954"/>
        </w:tabs>
        <w:rPr>
          <w:rFonts w:ascii="Times New Roman" w:hAnsi="Times New Roman" w:cs="Times New Roman"/>
        </w:rPr>
      </w:pPr>
      <w:r>
        <w:rPr>
          <w:rStyle w:val="PleaseReviewParagraphId"/>
          <w:b w:val="off"/>
          <w:i w:val="off"/>
        </w:rPr>
        <w:t>[63]</w:t>
      </w:r>
      <w:r>
        <w:rPr>
          <w:rFonts w:ascii="Times New Roman" w:hAnsi="Times New Roman"/>
        </w:rPr>
        <w:t>le chargement pour l’exportation.</w:t>
      </w:r>
    </w:p>
    <w:p w14:paraId="3FCA2A98" w14:textId="6A6C426C">
      <w:pPr>
        <w:pStyle w:val="IPPNormal"/>
        <w:numPr>
          <w:ilvl w:val="0"/>
          <w:numId w:val="8"/>
        </w:numPr>
        <w:tabs>
          <w:tab w:val="left" w:pos="5954"/>
        </w:tabs>
        <w:rPr>
          <w:rFonts w:asciiTheme="minorHAnsi" w:hAnsiTheme="minorHAnsi" w:eastAsiaTheme="minorEastAsia" w:cstheme="minorBidi"/>
        </w:rPr>
      </w:pPr>
      <w:r>
        <w:rPr>
          <w:rStyle w:val="PleaseReviewParagraphId"/>
          <w:b w:val="off"/>
          <w:i w:val="off"/>
        </w:rPr>
        <w:t>[64]</w:t>
      </w:r>
      <w:r>
        <w:rPr>
          <w:rFonts w:ascii="Times New Roman" w:hAnsi="Times New Roman"/>
        </w:rPr>
        <w:t>Fournir des exemples de mesures phytosanitaires qui peuvent être appliquées, notamment des procédures de prévention/exclusion, de réduction/contrôle et de surveillance/vérification.</w:t>
      </w:r>
    </w:p>
    <w:p w14:paraId="49D0ED66" w14:textId="2B44093A">
      <w:pPr>
        <w:pStyle w:val="IPPNormal"/>
        <w:numPr>
          <w:ilvl w:val="0"/>
          <w:numId w:val="8"/>
        </w:numPr>
        <w:tabs>
          <w:tab w:val="left" w:pos="5954"/>
        </w:tabs>
        <w:rPr>
          <w:rFonts w:ascii="Times New Roman" w:hAnsi="Times New Roman" w:cs="Times New Roman"/>
        </w:rPr>
      </w:pPr>
      <w:r>
        <w:rPr>
          <w:rStyle w:val="PleaseReviewParagraphId"/>
          <w:b w:val="off"/>
          <w:i w:val="off"/>
        </w:rPr>
        <w:t>[65]</w:t>
      </w:r>
      <w:r>
        <w:rPr>
          <w:rFonts w:ascii="Times New Roman" w:hAnsi="Times New Roman"/>
        </w:rPr>
        <w:t>Décrire les mesures qui peuvent être prises lorsque la sécurité phytosanitaire a été compromise.</w:t>
      </w:r>
    </w:p>
    <w:p w14:paraId="697A7183" w14:textId="3DC12C74">
      <w:pPr>
        <w:pStyle w:val="IPPNormal"/>
        <w:numPr>
          <w:ilvl w:val="0"/>
          <w:numId w:val="8"/>
        </w:numPr>
        <w:rPr>
          <w:rFonts w:ascii="Times New Roman" w:hAnsi="Times New Roman" w:cs="Times New Roman"/>
        </w:rPr>
      </w:pPr>
      <w:r>
        <w:rPr>
          <w:rStyle w:val="PleaseReviewParagraphId"/>
          <w:b w:val="off"/>
          <w:i w:val="off"/>
        </w:rPr>
        <w:t>[66]</w:t>
      </w:r>
      <w:r>
        <w:rPr>
          <w:rFonts w:ascii="Times New Roman" w:hAnsi="Times New Roman"/>
        </w:rPr>
        <w:t>Suggérer des études de cas qui illustrent comment les procédures de sécurité phytosanitaire ont été appliquées à la certification des exportations de végétaux et de produits végétaux.</w:t>
      </w:r>
    </w:p>
    <w:p w14:paraId="19259EF4" w14:textId="77777777">
      <w:pPr>
        <w:keepNext/>
        <w:tabs>
          <w:tab w:val="left" w:pos="567"/>
        </w:tabs>
        <w:spacing w:before="240" w:after="120"/>
        <w:ind w:left="567" w:hanging="567"/>
        <w:outlineLvl w:val="1"/>
        <w:rPr>
          <w:rFonts w:ascii="Times New Roman" w:hAnsi="Times New Roman" w:cs="Times New Roman"/>
          <w:b/>
          <w:bCs/>
        </w:rPr>
      </w:pPr>
      <w:r>
        <w:rPr>
          <w:rStyle w:val="PleaseReviewParagraphId"/>
          <w:b w:val="off"/>
          <w:i w:val="off"/>
        </w:rPr>
        <w:t>[67]</w:t>
      </w:r>
      <w:r>
        <w:rPr>
          <w:rFonts w:ascii="Times New Roman" w:hAnsi="Times New Roman"/>
          <w:b/>
        </w:rPr>
        <w:t>7. Références et documents complémentaires</w:t>
      </w:r>
    </w:p>
    <w:p w14:paraId="50064D04" w14:textId="3E97BAD2">
      <w:pPr>
        <w:pStyle w:val="ListParagraph"/>
        <w:numPr>
          <w:ilvl w:val="0"/>
          <w:numId w:val="11"/>
        </w:numPr>
        <w:rPr>
          <w:rFonts w:ascii="Times New Roman" w:hAnsi="Times New Roman" w:cs="Times New Roman"/>
        </w:rPr>
      </w:pPr>
      <w:r>
        <w:rPr>
          <w:rStyle w:val="PleaseReviewParagraphId"/>
          <w:b w:val="off"/>
          <w:i w:val="off"/>
        </w:rPr>
        <w:t>[68]</w:t>
      </w:r>
      <w:r>
        <w:rPr>
          <w:rFonts w:ascii="Times New Roman" w:hAnsi="Times New Roman"/>
          <w:b/>
        </w:rPr>
        <w:t xml:space="preserve">Document d’orientation: </w:t>
      </w:r>
      <w:r>
        <w:rPr>
          <w:rFonts w:ascii="Times New Roman" w:hAnsi="Times New Roman"/>
          <w:b/>
          <w:bCs/>
        </w:rPr>
        <w:t>Developing Phytosanitary Security Procedures, 2017</w:t>
      </w:r>
      <w:r>
        <w:rPr>
          <w:rFonts w:ascii="Times New Roman" w:hAnsi="Times New Roman"/>
        </w:rPr>
        <w:t xml:space="preserve"> (Ministère néo-zélandais des industries primaires).  </w:t>
      </w:r>
    </w:p>
    <w:p w14:paraId="534FAFBC" w14:textId="239D57F4">
      <w:pPr>
        <w:pStyle w:val="ListParagraph"/>
        <w:numPr>
          <w:ilvl w:val="0"/>
          <w:numId w:val="11"/>
        </w:numPr>
        <w:tabs>
          <w:tab w:val="left" w:pos="720"/>
        </w:tabs>
        <w:spacing w:after="180"/>
        <w:rPr>
          <w:rFonts w:ascii="Times New Roman" w:hAnsi="Times New Roman" w:eastAsia="Times" w:cs="Times New Roman"/>
        </w:rPr>
      </w:pPr>
      <w:r>
        <w:rPr>
          <w:rStyle w:val="PleaseReviewParagraphId"/>
          <w:b w:val="off"/>
          <w:i w:val="off"/>
        </w:rPr>
        <w:t>[69]</w:t>
      </w:r>
      <w:r>
        <w:rPr>
          <w:rFonts w:ascii="Times New Roman" w:hAnsi="Times New Roman"/>
          <w:b/>
        </w:rPr>
        <w:t>Certification à l’exportation, Guide de la CIPV</w:t>
      </w:r>
      <w:r>
        <w:rPr>
          <w:rFonts w:ascii="Times New Roman" w:hAnsi="Times New Roman"/>
        </w:rPr>
        <w:t>,</w:t>
      </w:r>
      <w:r>
        <w:rPr>
          <w:rFonts w:ascii="Times New Roman" w:hAnsi="Times New Roman"/>
          <w:b/>
        </w:rPr>
        <w:t xml:space="preserve"> </w:t>
      </w:r>
      <w:r>
        <w:rPr>
          <w:rFonts w:ascii="Times New Roman" w:hAnsi="Times New Roman"/>
        </w:rPr>
        <w:t xml:space="preserve">disponible à l’adresse: </w:t>
      </w:r>
      <w:hyperlink w:history="1" r:id="rId10">
        <w:r>
          <w:rPr>
            <w:rStyle w:val="Hyperlink"/>
            <w:rFonts w:ascii="Times New Roman" w:hAnsi="Times New Roman"/>
          </w:rPr>
          <w:t>https://www.ippc.int/fr/publications/86042/</w:t>
        </w:r>
      </w:hyperlink>
      <w:r>
        <w:t>.</w:t>
      </w:r>
    </w:p>
    <w:p w14:paraId="3315A8DF" w14:textId="6BF54A7C">
      <w:pPr>
        <w:pStyle w:val="ListParagraph"/>
        <w:numPr>
          <w:ilvl w:val="0"/>
          <w:numId w:val="11"/>
        </w:numPr>
        <w:tabs>
          <w:tab w:val="left" w:pos="720"/>
        </w:tabs>
        <w:spacing w:after="180"/>
        <w:rPr>
          <w:rFonts w:ascii="Times New Roman" w:hAnsi="Times New Roman" w:eastAsia="Times" w:cs="Times New Roman"/>
        </w:rPr>
      </w:pPr>
      <w:r>
        <w:rPr>
          <w:rStyle w:val="PleaseReviewParagraphId"/>
          <w:b w:val="off"/>
          <w:i w:val="off"/>
        </w:rPr>
        <w:t>[70]</w:t>
      </w:r>
      <w:r>
        <w:rPr>
          <w:rFonts w:ascii="Times New Roman" w:hAnsi="Times New Roman"/>
          <w:b/>
        </w:rPr>
        <w:t>Fonctionnement d’une organisation nationale de la protection des végétaux, Guide de la CIPV</w:t>
      </w:r>
      <w:r>
        <w:rPr>
          <w:rFonts w:ascii="Times New Roman" w:hAnsi="Times New Roman"/>
        </w:rPr>
        <w:t xml:space="preserve">, disponible à l’adresse: </w:t>
      </w:r>
      <w:hyperlink w:history="1" r:id="rId11">
        <w:r>
          <w:rPr>
            <w:rStyle w:val="Hyperlink"/>
            <w:rFonts w:ascii="Times New Roman" w:hAnsi="Times New Roman"/>
          </w:rPr>
          <w:t>https://www.ippc.int/fr/publications/86039/</w:t>
        </w:r>
      </w:hyperlink>
      <w:r>
        <w:t>.</w:t>
      </w:r>
      <w:r>
        <w:rPr>
          <w:rFonts w:ascii="Times New Roman" w:hAnsi="Times New Roman"/>
        </w:rPr>
        <w:t xml:space="preserve">  </w:t>
      </w:r>
    </w:p>
    <w:p w14:paraId="60FC4A3A" w14:textId="36688BAF">
      <w:pPr>
        <w:pStyle w:val="ListParagraph"/>
        <w:numPr>
          <w:ilvl w:val="0"/>
          <w:numId w:val="11"/>
        </w:numPr>
        <w:rPr>
          <w:rFonts w:ascii="Times New Roman" w:hAnsi="Times New Roman" w:cs="Times New Roman"/>
        </w:rPr>
      </w:pPr>
      <w:r>
        <w:rPr>
          <w:rStyle w:val="PleaseReviewParagraphId"/>
          <w:b w:val="off"/>
          <w:i w:val="off"/>
        </w:rPr>
        <w:t>[71]</w:t>
      </w:r>
      <w:r>
        <w:rPr>
          <w:rFonts w:ascii="Times New Roman" w:hAnsi="Times New Roman"/>
          <w:b/>
        </w:rPr>
        <w:t>Plant Export Requirement – MPI Technical Standard: Phytosanitary Inspection</w:t>
      </w:r>
      <w:r>
        <w:rPr>
          <w:rFonts w:ascii="Times New Roman" w:hAnsi="Times New Roman"/>
        </w:rPr>
        <w:t xml:space="preserve">, 2015 (Ministère néo-zélandais des industries primaires): </w:t>
      </w:r>
      <w:hyperlink w:history="1" r:id="rId12">
        <w:r>
          <w:rPr>
            <w:rStyle w:val="Hyperlink"/>
            <w:rFonts w:ascii="Times New Roman" w:hAnsi="Times New Roman"/>
          </w:rPr>
          <w:t>https://www.mpi.govt.nz/dmsdocument/7968-mpi-technical-standard-phytosanitary-inspection</w:t>
        </w:r>
      </w:hyperlink>
      <w:r>
        <w:t>.</w:t>
      </w:r>
      <w:r>
        <w:rPr>
          <w:rFonts w:ascii="Times New Roman" w:hAnsi="Times New Roman"/>
        </w:rPr>
        <w:t xml:space="preserve"> </w:t>
      </w:r>
    </w:p>
    <w:p w14:paraId="49B87D65" w14:textId="337FAB1C">
      <w:pPr>
        <w:pStyle w:val="ListParagraph"/>
        <w:numPr>
          <w:ilvl w:val="0"/>
          <w:numId w:val="11"/>
        </w:numPr>
        <w:rPr>
          <w:rFonts w:ascii="Times New Roman" w:hAnsi="Times New Roman" w:eastAsia="Times" w:cs="Times New Roman"/>
        </w:rPr>
      </w:pPr>
      <w:r>
        <w:rPr>
          <w:rStyle w:val="PleaseReviewParagraphId"/>
          <w:b w:val="off"/>
          <w:i w:val="off"/>
        </w:rPr>
        <w:t>[72]</w:t>
      </w:r>
      <w:r>
        <w:rPr>
          <w:rFonts w:ascii="Times New Roman" w:hAnsi="Times New Roman"/>
          <w:b/>
        </w:rPr>
        <w:lastRenderedPageBreak/>
        <w:t>Export Manual Program</w:t>
      </w:r>
      <w:r>
        <w:rPr>
          <w:rFonts w:ascii="Times New Roman" w:hAnsi="Times New Roman"/>
        </w:rPr>
        <w:t xml:space="preserve">, ONPV des États-Unis d’Amérique: </w:t>
      </w:r>
      <w:hyperlink w:history="1" r:id="rId13">
        <w:r>
          <w:rPr>
            <w:rStyle w:val="Hyperlink"/>
            <w:rFonts w:ascii="Times New Roman" w:hAnsi="Times New Roman"/>
          </w:rPr>
          <w:t>https://www.ippc.int/en/core-activities/capacity-development/guides-and-training-materials/contributed-resource-detail/export-manual-program/</w:t>
        </w:r>
      </w:hyperlink>
      <w:r>
        <w:t>.</w:t>
      </w:r>
      <w:r>
        <w:rPr>
          <w:rFonts w:ascii="Times New Roman" w:hAnsi="Times New Roman"/>
        </w:rPr>
        <w:t xml:space="preserve"> </w:t>
      </w:r>
    </w:p>
    <w:p w14:paraId="45AF5BDD" w14:textId="63C38154">
      <w:pPr>
        <w:pStyle w:val="ListParagraph"/>
        <w:numPr>
          <w:ilvl w:val="0"/>
          <w:numId w:val="11"/>
        </w:numPr>
        <w:tabs>
          <w:tab w:val="left" w:pos="720"/>
        </w:tabs>
        <w:spacing w:after="180"/>
        <w:rPr>
          <w:rFonts w:ascii="Times New Roman" w:hAnsi="Times New Roman" w:eastAsia="Times" w:cs="Times New Roman"/>
          <w:lang w:val="en-GB"/>
        </w:rPr>
      </w:pPr>
      <w:r>
        <w:rPr>
          <w:rStyle w:val="PleaseReviewParagraphId"/>
          <w:b w:val="off"/>
          <w:i w:val="off"/>
        </w:rPr>
        <w:t>[73]</w:t>
      </w:r>
      <w:r>
        <w:rPr>
          <w:rFonts w:ascii="Times New Roman" w:hAnsi="Times New Roman"/>
          <w:b/>
          <w:lang w:val="en-GB"/>
        </w:rPr>
        <w:t>Exporting from Australia: Includes quarantine information on the export of plants and plant products from Australia</w:t>
      </w:r>
      <w:r>
        <w:rPr>
          <w:rFonts w:ascii="Times New Roman" w:hAnsi="Times New Roman"/>
          <w:lang w:val="en-GB"/>
        </w:rPr>
        <w:t xml:space="preserve">: </w:t>
      </w:r>
      <w:hyperlink w:history="1" r:id="rId14">
        <w:r>
          <w:rPr>
            <w:rStyle w:val="Hyperlink"/>
            <w:rFonts w:ascii="Times New Roman" w:hAnsi="Times New Roman"/>
            <w:lang w:val="en-GB"/>
          </w:rPr>
          <w:t>https://www.ippc.int/en/core-activities/capacity-development/guides-and-training-materials/contributed-resource-detail/exporting-australia-includes-quarantine-information-export-plants-and-plant-products/</w:t>
        </w:r>
      </w:hyperlink>
      <w:r>
        <w:rPr>
          <w:lang w:val="en-GB"/>
        </w:rPr>
        <w:t>.</w:t>
      </w:r>
      <w:r>
        <w:rPr>
          <w:rFonts w:ascii="Times New Roman" w:hAnsi="Times New Roman"/>
          <w:lang w:val="en-GB"/>
        </w:rPr>
        <w:t xml:space="preserve"> </w:t>
      </w:r>
    </w:p>
    <w:p w14:paraId="119CE858" w14:textId="3AD9A26A">
      <w:pPr>
        <w:pStyle w:val="ListParagraph"/>
        <w:numPr>
          <w:ilvl w:val="0"/>
          <w:numId w:val="11"/>
        </w:numPr>
        <w:rPr>
          <w:rFonts w:ascii="Times New Roman" w:hAnsi="Times New Roman" w:cs="Times New Roman"/>
        </w:rPr>
      </w:pPr>
      <w:r>
        <w:rPr>
          <w:rStyle w:val="PleaseReviewParagraphId"/>
          <w:b w:val="off"/>
          <w:i w:val="off"/>
        </w:rPr>
        <w:t>[74]</w:t>
      </w:r>
      <w:r>
        <w:rPr>
          <w:rFonts w:ascii="Times New Roman" w:hAnsi="Times New Roman"/>
          <w:b/>
        </w:rPr>
        <w:t xml:space="preserve">Système de certification phytosanitaire des exportations, cours de formation en ligne de la CIPV </w:t>
      </w:r>
      <w:r>
        <w:rPr>
          <w:rFonts w:ascii="Times New Roman" w:hAnsi="Times New Roman"/>
        </w:rPr>
        <w:t>(en cours d’élaboration en 2021).</w:t>
      </w:r>
    </w:p>
    <w:p w14:paraId="07B3DC78" w14:textId="74BF2A9A">
      <w:pPr>
        <w:pStyle w:val="ListParagraph"/>
        <w:numPr>
          <w:ilvl w:val="0"/>
          <w:numId w:val="11"/>
        </w:numPr>
        <w:tabs>
          <w:tab w:val="left" w:pos="720"/>
        </w:tabs>
        <w:spacing w:after="180"/>
        <w:rPr>
          <w:rFonts w:ascii="Times New Roman" w:hAnsi="Times New Roman" w:cs="Times New Roman"/>
          <w:b/>
        </w:rPr>
      </w:pPr>
      <w:r>
        <w:rPr>
          <w:rStyle w:val="PleaseReviewParagraphId"/>
          <w:b w:val="off"/>
          <w:i w:val="off"/>
        </w:rPr>
        <w:t>[75]</w:t>
      </w:r>
      <w:r>
        <w:rPr>
          <w:rFonts w:ascii="Times New Roman" w:hAnsi="Times New Roman"/>
          <w:b/>
        </w:rPr>
        <w:t xml:space="preserve">Inspection, cours de formation en ligne de la CIPV </w:t>
      </w:r>
      <w:r>
        <w:rPr>
          <w:rFonts w:ascii="Times New Roman" w:hAnsi="Times New Roman"/>
        </w:rPr>
        <w:t>(en cours d’élaboration en 2021).</w:t>
      </w:r>
    </w:p>
    <w:p w14:paraId="09CBCEBB" w14:textId="4DB0838F">
      <w:pPr>
        <w:tabs>
          <w:tab w:val="left" w:pos="720"/>
        </w:tabs>
        <w:spacing w:after="180"/>
        <w:rPr>
          <w:rFonts w:ascii="Times New Roman" w:hAnsi="Times New Roman" w:eastAsia="Times" w:cs="Times New Roman"/>
          <w:bCs/>
          <w:iCs/>
        </w:rPr>
      </w:pPr>
      <w:r>
        <w:rPr>
          <w:rStyle w:val="PleaseReviewParagraphId"/>
          <w:b w:val="off"/>
          <w:i w:val="off"/>
        </w:rPr>
        <w:t>[76]</w:t>
      </w:r>
      <w:r>
        <w:rPr>
          <w:rFonts w:ascii="Times New Roman" w:hAnsi="Times New Roman"/>
          <w:b/>
        </w:rPr>
        <w:t xml:space="preserve">8. Dons et contributions en nature </w:t>
      </w:r>
    </w:p>
    <w:p w14:paraId="6AC68F68" w14:textId="3F275ECF">
      <w:pPr>
        <w:tabs>
          <w:tab w:val="left" w:pos="720"/>
        </w:tabs>
        <w:spacing w:after="180"/>
        <w:rPr>
          <w:rFonts w:ascii="Times New Roman" w:hAnsi="Times New Roman" w:eastAsia="Times" w:cs="Times New Roman"/>
          <w:b/>
          <w:bCs/>
        </w:rPr>
      </w:pPr>
      <w:r>
        <w:rPr>
          <w:rStyle w:val="PleaseReviewParagraphId"/>
          <w:b w:val="off"/>
          <w:i w:val="off"/>
        </w:rPr>
        <w:t>[77]</w:t>
      </w:r>
      <w:r>
        <w:rPr>
          <w:rFonts w:ascii="Times New Roman" w:hAnsi="Times New Roman"/>
          <w:i/>
        </w:rPr>
        <w:t>Les parties contractantes sont encouragées à indiquer toute contribution financière ou en nature qui sera fournie à l’appui de l’élaboration de ce guide ou pour faciliter la traduction du produit final.</w:t>
      </w:r>
      <w:r>
        <w:rPr>
          <w:rFonts w:ascii="Times New Roman" w:hAnsi="Times New Roman"/>
          <w:b/>
        </w:rPr>
        <w:t xml:space="preserve">      </w:t>
      </w:r>
    </w:p>
    <w:p w14:paraId="1F900D1A" w14:textId="50ADDA01">
      <w:pPr>
        <w:pStyle w:val="IPPHeading1"/>
        <w:rPr>
          <w:rFonts w:ascii="Times New Roman" w:hAnsi="Times New Roman" w:cs="Times New Roman"/>
          <w:i/>
          <w:iCs/>
          <w:sz w:val="22"/>
        </w:rPr>
      </w:pPr>
      <w:r>
        <w:rPr>
          <w:rStyle w:val="PleaseReviewParagraphId"/>
          <w:b w:val="off"/>
          <w:i w:val="off"/>
        </w:rPr>
        <w:t>[78]</w:t>
      </w:r>
      <w:r>
        <w:rPr>
          <w:rFonts w:ascii="Times New Roman" w:hAnsi="Times New Roman"/>
          <w:sz w:val="22"/>
        </w:rPr>
        <w:t xml:space="preserve">9. Critères de sélection des spécialistes des groupes de travail </w:t>
      </w:r>
    </w:p>
    <w:p w14:paraId="73DFC7EA" w14:textId="48EB7F7C">
      <w:pPr>
        <w:pStyle w:val="IPPNormal"/>
        <w:rPr>
          <w:rFonts w:ascii="Times New Roman" w:hAnsi="Times New Roman" w:cs="Times New Roman"/>
        </w:rPr>
      </w:pPr>
      <w:r>
        <w:rPr>
          <w:rStyle w:val="PleaseReviewParagraphId"/>
          <w:b w:val="off"/>
          <w:i w:val="off"/>
        </w:rPr>
        <w:t>[79]</w:t>
      </w:r>
      <w:r>
        <w:rPr>
          <w:rFonts w:ascii="Times New Roman" w:hAnsi="Times New Roman"/>
        </w:rPr>
        <w:t xml:space="preserve">Il est souhaitable de constituer un groupe de travail chargé de contribuer à l’élaboration de ce guide et que ce groupe de travail soit composé de spécialistes ayant une expertise technique et pratique pertinente dans le domaine. La composition du groupe doit tenir compte de la représentation géographique des pays en développement et des pays développés afin de veiller à ce que la documentation élaborée soit applicable à l’échelle mondiale. Elle doit également assurer une représentation équilibrée des hommes et des femmes. </w:t>
      </w:r>
    </w:p>
    <w:p w14:paraId="74536420" w14:textId="27C60CA4">
      <w:pPr>
        <w:pStyle w:val="IPPNormal"/>
        <w:rPr>
          <w:rFonts w:ascii="Times New Roman" w:hAnsi="Times New Roman" w:cs="Times New Roman"/>
        </w:rPr>
      </w:pPr>
      <w:r>
        <w:rPr>
          <w:rStyle w:val="PleaseReviewParagraphId"/>
          <w:b w:val="off"/>
          <w:i w:val="off"/>
        </w:rPr>
        <w:t>[80]</w:t>
      </w:r>
      <w:r>
        <w:rPr>
          <w:rFonts w:ascii="Times New Roman" w:hAnsi="Times New Roman"/>
        </w:rPr>
        <w:t>Les membres du groupe de travail doivent être sélectionnés sur la base des critères suivants:</w:t>
      </w:r>
    </w:p>
    <w:p w14:paraId="3E351CFB" w14:textId="77777777">
      <w:pPr>
        <w:pStyle w:val="IPPBullet2"/>
        <w:numPr>
          <w:ilvl w:val="0"/>
          <w:numId w:val="6"/>
        </w:numPr>
        <w:ind w:left="709"/>
        <w:rPr>
          <w:rFonts w:cs="Times New Roman"/>
        </w:rPr>
      </w:pPr>
      <w:r>
        <w:rPr>
          <w:rStyle w:val="PleaseReviewParagraphId"/>
          <w:b w:val="off"/>
          <w:i w:val="off"/>
        </w:rPr>
        <w:t>[81]</w:t>
      </w:r>
      <w:r>
        <w:t>Compétences et connaissances pratiques dans un ou plusieurs des domaines suivants:</w:t>
      </w:r>
    </w:p>
    <w:p w14:paraId="16A59EAE" w14:textId="57E0C74B">
      <w:pPr>
        <w:pStyle w:val="ListParagraph"/>
        <w:numPr>
          <w:ilvl w:val="0"/>
          <w:numId w:val="7"/>
        </w:numPr>
        <w:rPr>
          <w:rFonts w:ascii="Times New Roman" w:hAnsi="Times New Roman" w:cs="Times New Roman"/>
        </w:rPr>
      </w:pPr>
      <w:r>
        <w:rPr>
          <w:rStyle w:val="PleaseReviewParagraphId"/>
          <w:b w:val="off"/>
          <w:i w:val="off"/>
        </w:rPr>
        <w:t>[82]</w:t>
      </w:r>
      <w:r>
        <w:rPr>
          <w:rFonts w:ascii="Times New Roman" w:hAnsi="Times New Roman"/>
        </w:rPr>
        <w:t>Inspection des végétaux et des produits végétaux.</w:t>
      </w:r>
    </w:p>
    <w:p w14:paraId="613907CA" w14:textId="29A78351">
      <w:pPr>
        <w:pStyle w:val="ListParagraph"/>
        <w:numPr>
          <w:ilvl w:val="0"/>
          <w:numId w:val="7"/>
        </w:numPr>
        <w:rPr>
          <w:rFonts w:ascii="Times New Roman" w:hAnsi="Times New Roman" w:cs="Times New Roman"/>
        </w:rPr>
      </w:pPr>
      <w:r>
        <w:rPr>
          <w:rStyle w:val="PleaseReviewParagraphId"/>
          <w:b w:val="off"/>
          <w:i w:val="off"/>
        </w:rPr>
        <w:t>[83]</w:t>
      </w:r>
      <w:r>
        <w:rPr>
          <w:rFonts w:ascii="Times New Roman" w:hAnsi="Times New Roman"/>
        </w:rPr>
        <w:t>Certification à l’exportation.</w:t>
      </w:r>
    </w:p>
    <w:p w14:paraId="45943842" w14:textId="40DFA0F6">
      <w:pPr>
        <w:pStyle w:val="ListParagraph"/>
        <w:numPr>
          <w:ilvl w:val="0"/>
          <w:numId w:val="7"/>
        </w:numPr>
        <w:rPr>
          <w:rFonts w:ascii="Times New Roman" w:hAnsi="Times New Roman" w:cs="Times New Roman"/>
        </w:rPr>
      </w:pPr>
      <w:r>
        <w:rPr>
          <w:rStyle w:val="PleaseReviewParagraphId"/>
          <w:b w:val="off"/>
          <w:i w:val="off"/>
        </w:rPr>
        <w:t>[84]</w:t>
      </w:r>
      <w:r>
        <w:rPr>
          <w:rFonts w:ascii="Times New Roman" w:hAnsi="Times New Roman"/>
        </w:rPr>
        <w:t>Mise au point ou gestion de systèmes d’exportation phytosanitaires.</w:t>
      </w:r>
    </w:p>
    <w:p w14:paraId="28E1685A" w14:textId="104954D2">
      <w:pPr>
        <w:pStyle w:val="ListParagraph"/>
        <w:numPr>
          <w:ilvl w:val="0"/>
          <w:numId w:val="7"/>
        </w:numPr>
        <w:rPr>
          <w:rFonts w:ascii="Times New Roman" w:hAnsi="Times New Roman" w:cs="Times New Roman"/>
        </w:rPr>
      </w:pPr>
      <w:r>
        <w:rPr>
          <w:rStyle w:val="PleaseReviewParagraphId"/>
          <w:b w:val="off"/>
          <w:i w:val="off"/>
        </w:rPr>
        <w:t>[85]</w:t>
      </w:r>
      <w:r>
        <w:rPr>
          <w:rFonts w:ascii="Times New Roman" w:hAnsi="Times New Roman"/>
        </w:rPr>
        <w:t>Élaboration de documents ou de manuels de formation à l’intention du personnel d’inspection de l’ONPV.</w:t>
      </w:r>
    </w:p>
    <w:sectPr>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4431F" w14:textId="77777777">
      <w:pPr>
        <w:spacing w:after="0" w:line="240" w:lineRule="auto"/>
      </w:pPr>
      <w:r>
        <w:rPr>
          <w:rStyle w:val="PleaseReviewParagraphId"/>
          <w:b w:val="off"/>
          <w:i w:val="off"/>
        </w:rPr>
        <w:t>[]</w:t>
      </w:r>
      <w:r>
        <w:separator/>
      </w:r>
    </w:p>
  </w:endnote>
  <w:endnote w:type="continuationSeparator" w:id="0">
    <w:p w14:paraId="274061AB"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Quay Sans">
    <w:altName w:val="Quay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FBD48" w14:textId="77777777">
      <w:pPr>
        <w:spacing w:after="0" w:line="240" w:lineRule="auto"/>
      </w:pPr>
      <w:r>
        <w:rPr>
          <w:rStyle w:val="PleaseReviewParagraphId"/>
          <w:b w:val="off"/>
          <w:i w:val="off"/>
        </w:rPr>
        <w:t>[]</w:t>
      </w:r>
      <w:r>
        <w:separator/>
      </w:r>
    </w:p>
  </w:footnote>
  <w:footnote w:type="continuationSeparator" w:id="0">
    <w:p w14:paraId="041559A7" w14:textId="77777777">
      <w:pPr>
        <w:spacing w:after="0" w:line="240" w:lineRule="auto"/>
      </w:pPr>
      <w:r>
        <w:rPr>
          <w:rStyle w:val="PleaseReviewParagraphId"/>
          <w:b w:val="off"/>
          <w:i w:val="off"/>
        </w:rPr>
        <w:t>[]</w:t>
      </w:r>
      <w:r>
        <w:continuationSeparator/>
      </w:r>
    </w:p>
  </w:footnote>
  <w:footnote w:id="1">
    <w:p w14:paraId="331EC70B" w14:textId="04083C74">
      <w:pPr>
        <w:pStyle w:val="FootnoteText"/>
      </w:pPr>
      <w:r>
        <w:rPr>
          <w:rStyle w:val="PleaseReviewParagraphId"/>
          <w:b w:val="off"/>
          <w:i w:val="off"/>
        </w:rPr>
        <w:t>[33]</w:t>
      </w:r>
      <w:r>
        <w:rPr>
          <w:rStyle w:val="FootnoteReference"/>
        </w:rPr>
        <w:footnoteRef/>
      </w:r>
      <w:r>
        <w:t xml:space="preserve"> </w:t>
      </w:r>
      <w:hyperlink w:history="1" r:id="rId1">
        <w:r>
          <w:rPr>
            <w:rStyle w:val="Hyperlink"/>
          </w:rPr>
          <w:t>https://www.ippc.int/fr/publications/131/</w:t>
        </w:r>
      </w:hyperlink>
      <w:r>
        <w:t xml:space="preserve">. </w:t>
      </w:r>
    </w:p>
  </w:footnote>
  <w:footnote w:id="2">
    <w:p w14:paraId="3EC6C18B" w14:textId="2751CF23">
      <w:pPr>
        <w:pStyle w:val="FootnoteText"/>
      </w:pPr>
      <w:r>
        <w:rPr>
          <w:rStyle w:val="PleaseReviewParagraphId"/>
          <w:b w:val="off"/>
          <w:i w:val="off"/>
        </w:rPr>
        <w:t>[35]</w:t>
      </w:r>
      <w:r>
        <w:rPr>
          <w:rStyle w:val="FootnoteReference"/>
        </w:rPr>
        <w:footnoteRef/>
      </w:r>
      <w:r>
        <w:t xml:space="preserve"> </w:t>
      </w:r>
      <w:hyperlink w:history="1" r:id="rId2">
        <w:r>
          <w:rPr>
            <w:rStyle w:val="Hyperlink"/>
          </w:rPr>
          <w:t>https://www.ippc.int/fr/publications/613/</w:t>
        </w:r>
      </w:hyperlink>
      <w:r>
        <w:t xml:space="preserve">. </w:t>
      </w:r>
    </w:p>
  </w:footnote>
  <w:footnote w:id="3">
    <w:p w14:paraId="69FBD573" w14:textId="7306929C">
      <w:pPr>
        <w:pStyle w:val="FootnoteText"/>
      </w:pPr>
      <w:r>
        <w:rPr>
          <w:rStyle w:val="PleaseReviewParagraphId"/>
          <w:b w:val="off"/>
          <w:i w:val="off"/>
        </w:rPr>
        <w:t>[37]</w:t>
      </w:r>
      <w:r>
        <w:rPr>
          <w:rStyle w:val="FootnoteReference"/>
        </w:rPr>
        <w:footnoteRef/>
      </w:r>
      <w:r>
        <w:t xml:space="preserve"> </w:t>
      </w:r>
      <w:hyperlink w:history="1" r:id="rId3">
        <w:r>
          <w:rPr>
            <w:rStyle w:val="Hyperlink"/>
          </w:rPr>
          <w:t>https://www.ippc.int/fr/publications/609/</w:t>
        </w:r>
      </w:hyperlink>
      <w:r>
        <w:t xml:space="preserve">. </w:t>
      </w:r>
    </w:p>
  </w:footnote>
  <w:footnote w:id="4">
    <w:p w14:paraId="7D388274" w14:textId="0E1EC342">
      <w:pPr>
        <w:pStyle w:val="FootnoteText"/>
      </w:pPr>
      <w:r>
        <w:rPr>
          <w:rStyle w:val="PleaseReviewParagraphId"/>
          <w:b w:val="off"/>
          <w:i w:val="off"/>
        </w:rPr>
        <w:t>[39]</w:t>
      </w:r>
      <w:r>
        <w:rPr>
          <w:rStyle w:val="FootnoteReference"/>
        </w:rPr>
        <w:footnoteRef/>
      </w:r>
      <w:r>
        <w:t xml:space="preserve"> </w:t>
      </w:r>
      <w:hyperlink w:history="1" r:id="rId4">
        <w:r>
          <w:rPr>
            <w:rStyle w:val="Hyperlink"/>
          </w:rPr>
          <w:t>https://www.ippc.int/fr/publications/598/</w:t>
        </w:r>
      </w:hyperlink>
      <w:r>
        <w:t xml:space="preserve">. </w:t>
      </w:r>
    </w:p>
  </w:footnote>
  <w:footnote w:id="5">
    <w:p w14:paraId="7BF188A2" w14:textId="33DE6700">
      <w:pPr>
        <w:pStyle w:val="FootnoteText"/>
      </w:pPr>
      <w:r>
        <w:rPr>
          <w:rStyle w:val="PleaseReviewParagraphId"/>
          <w:b w:val="off"/>
          <w:i w:val="off"/>
        </w:rPr>
        <w:t>[41]</w:t>
      </w:r>
      <w:r>
        <w:rPr>
          <w:rStyle w:val="FootnoteReference"/>
        </w:rPr>
        <w:footnoteRef/>
      </w:r>
      <w:r>
        <w:t xml:space="preserve"> </w:t>
      </w:r>
      <w:hyperlink w:history="1" r:id="rId5">
        <w:r>
          <w:rPr>
            <w:rStyle w:val="Hyperlink"/>
          </w:rPr>
          <w:t>https://www.ippc.int/fr/publications/588/</w:t>
        </w:r>
      </w:hyperlink>
      <w:r>
        <w:t xml:space="preserve">. </w:t>
      </w:r>
    </w:p>
  </w:footnote>
  <w:footnote w:id="6">
    <w:p w14:paraId="7C13AFA6" w14:textId="1DC2A21C">
      <w:pPr>
        <w:pStyle w:val="FootnoteText"/>
      </w:pPr>
      <w:r>
        <w:rPr>
          <w:rStyle w:val="PleaseReviewParagraphId"/>
          <w:b w:val="off"/>
          <w:i w:val="off"/>
        </w:rPr>
        <w:t>[43]</w:t>
      </w:r>
      <w:r>
        <w:rPr>
          <w:rStyle w:val="FootnoteReference"/>
        </w:rPr>
        <w:footnoteRef/>
      </w:r>
      <w:r>
        <w:t xml:space="preserve"> </w:t>
      </w:r>
      <w:hyperlink w:history="1" r:id="rId6">
        <w:r>
          <w:rPr>
            <w:rStyle w:val="Hyperlink"/>
          </w:rPr>
          <w:t>https://www.ippc.int/fr/publications/587/</w:t>
        </w:r>
      </w:hyperlink>
      <w:r>
        <w:t xml:space="preserve">. </w:t>
      </w:r>
    </w:p>
  </w:footnote>
  <w:footnote w:id="7">
    <w:p w14:paraId="6C18B5A9" w14:textId="5E455BAA">
      <w:pPr>
        <w:pStyle w:val="FootnoteText"/>
        <w:rPr>
          <w:rFonts w:ascii="Times New Roman" w:hAnsi="Times New Roman" w:cs="Times New Roman"/>
        </w:rPr>
      </w:pPr>
      <w:r>
        <w:rPr>
          <w:rStyle w:val="PleaseReviewParagraphId"/>
          <w:b w:val="off"/>
          <w:i w:val="off"/>
        </w:rPr>
        <w:t>[57]</w:t>
      </w:r>
      <w:r>
        <w:rPr>
          <w:rStyle w:val="FootnoteReference"/>
          <w:rFonts w:ascii="Times New Roman" w:hAnsi="Times New Roman" w:cs="Times New Roman"/>
        </w:rPr>
        <w:footnoteRef/>
      </w:r>
      <w:r>
        <w:rPr>
          <w:rFonts w:ascii="Times New Roman" w:hAnsi="Times New Roman" w:cs="Times New Roman"/>
        </w:rPr>
        <w:t xml:space="preserve"> Il est important de déterminer si les résultats pris en compte pour la certification concernent la culture (inspection sur le terrain) ou le stockage (inspection des produits en vrac ou tests en laboratoire).</w:t>
      </w:r>
    </w:p>
  </w:footnote>
</w:footnotes>
</file>

<file path=word/intelligence.xml><?xml version="1.0" encoding="utf-8"?>
<int:Intelligence xmlns:int="http://schemas.microsoft.com/office/intelligence/2019/intelligence">
  <int:IntelligenceSettings/>
  <int:Manifest>
    <int:WordHash hashCode="cp5GNJp8Us6qo2" id="11TqMxfm"/>
  </int:Manifest>
  <int:Observations>
    <int:Content id="11TqMxfm">
      <int:Rejection type="LegacyProofing"/>
    </int:Content>
  </int:Observations>
</int: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427"/>
    <w:multiLevelType w:val="hybridMultilevel"/>
    <w:tmpl w:val="343AFB6E"/>
    <w:lvl w:ilvl="0" w:tplc="5CD0F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786"/>
    <w:multiLevelType w:val="hybridMultilevel"/>
    <w:tmpl w:val="6A386862"/>
    <w:lvl w:ilvl="0" w:tplc="08090011">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91E6F"/>
    <w:multiLevelType w:val="hybridMultilevel"/>
    <w:tmpl w:val="97701C6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6737921"/>
    <w:multiLevelType w:val="multilevel"/>
    <w:tmpl w:val="E0C0A7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AA159F8"/>
    <w:multiLevelType w:val="hybridMultilevel"/>
    <w:tmpl w:val="445AC782"/>
    <w:lvl w:ilvl="0" w:tplc="656C3ED0">
      <w:start w:val="1"/>
      <w:numFmt w:val="decimal"/>
      <w:lvlText w:val="%1)"/>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hybridMultilevel"/>
    <w:tmpl w:val="06E871E4"/>
    <w:styleLink w:val="IPPParagraphnumberedlist"/>
    <w:lvl w:ilvl="0" w:tplc="6A12B776">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DE5033F8">
      <w:start w:val="1"/>
      <w:numFmt w:val="none"/>
      <w:lvlRestart w:val="0"/>
      <w:lvlText w:val=""/>
      <w:lvlJc w:val="left"/>
      <w:pPr>
        <w:tabs>
          <w:tab w:val="num" w:pos="0"/>
        </w:tabs>
        <w:ind w:left="0" w:hanging="482"/>
      </w:pPr>
    </w:lvl>
    <w:lvl w:ilvl="2" w:tplc="35BE14BE">
      <w:start w:val="1"/>
      <w:numFmt w:val="none"/>
      <w:lvlRestart w:val="0"/>
      <w:lvlText w:val=""/>
      <w:lvlJc w:val="left"/>
      <w:pPr>
        <w:tabs>
          <w:tab w:val="num" w:pos="0"/>
        </w:tabs>
        <w:ind w:left="0" w:hanging="482"/>
      </w:pPr>
    </w:lvl>
    <w:lvl w:ilvl="3" w:tplc="23A0066E">
      <w:start w:val="1"/>
      <w:numFmt w:val="none"/>
      <w:lvlRestart w:val="0"/>
      <w:lvlText w:val=""/>
      <w:lvlJc w:val="left"/>
      <w:pPr>
        <w:tabs>
          <w:tab w:val="num" w:pos="0"/>
        </w:tabs>
        <w:ind w:left="0" w:hanging="482"/>
      </w:pPr>
    </w:lvl>
    <w:lvl w:ilvl="4" w:tplc="146237F0">
      <w:start w:val="1"/>
      <w:numFmt w:val="none"/>
      <w:lvlRestart w:val="0"/>
      <w:lvlText w:val=""/>
      <w:lvlJc w:val="left"/>
      <w:pPr>
        <w:tabs>
          <w:tab w:val="num" w:pos="0"/>
        </w:tabs>
        <w:ind w:left="0" w:hanging="482"/>
      </w:pPr>
    </w:lvl>
    <w:lvl w:ilvl="5" w:tplc="65D046D8">
      <w:start w:val="1"/>
      <w:numFmt w:val="none"/>
      <w:lvlRestart w:val="0"/>
      <w:lvlText w:val=""/>
      <w:lvlJc w:val="left"/>
      <w:pPr>
        <w:tabs>
          <w:tab w:val="num" w:pos="0"/>
        </w:tabs>
        <w:ind w:left="0" w:hanging="482"/>
      </w:pPr>
    </w:lvl>
    <w:lvl w:ilvl="6" w:tplc="3B766EA6">
      <w:start w:val="1"/>
      <w:numFmt w:val="none"/>
      <w:lvlRestart w:val="0"/>
      <w:lvlText w:val=""/>
      <w:lvlJc w:val="left"/>
      <w:pPr>
        <w:tabs>
          <w:tab w:val="num" w:pos="0"/>
        </w:tabs>
        <w:ind w:left="0" w:hanging="482"/>
      </w:pPr>
    </w:lvl>
    <w:lvl w:ilvl="7" w:tplc="62E2DAC4">
      <w:start w:val="1"/>
      <w:numFmt w:val="none"/>
      <w:lvlRestart w:val="0"/>
      <w:lvlText w:val=""/>
      <w:lvlJc w:val="left"/>
      <w:pPr>
        <w:tabs>
          <w:tab w:val="num" w:pos="0"/>
        </w:tabs>
        <w:ind w:left="0" w:hanging="482"/>
      </w:pPr>
    </w:lvl>
    <w:lvl w:ilvl="8" w:tplc="446AFA56">
      <w:start w:val="1"/>
      <w:numFmt w:val="none"/>
      <w:lvlRestart w:val="0"/>
      <w:lvlText w:val=""/>
      <w:lvlJc w:val="left"/>
      <w:pPr>
        <w:tabs>
          <w:tab w:val="num" w:pos="0"/>
        </w:tabs>
        <w:ind w:left="0" w:hanging="482"/>
      </w:pPr>
    </w:lvl>
  </w:abstractNum>
  <w:abstractNum w:abstractNumId="6" w15:restartNumberingAfterBreak="0">
    <w:nsid w:val="350C53A6"/>
    <w:multiLevelType w:val="hybridMultilevel"/>
    <w:tmpl w:val="8D6270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51D4A"/>
    <w:multiLevelType w:val="hybridMultilevel"/>
    <w:tmpl w:val="43708A36"/>
    <w:lvl w:ilvl="0" w:tplc="759EC85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4886078D"/>
    <w:multiLevelType w:val="hybridMultilevel"/>
    <w:tmpl w:val="A0FA44DE"/>
    <w:lvl w:ilvl="0" w:tplc="8230C9BC">
      <w:start w:val="1"/>
      <w:numFmt w:val="bullet"/>
      <w:lvlText w:val=""/>
      <w:lvlJc w:val="left"/>
      <w:pPr>
        <w:tabs>
          <w:tab w:val="num" w:pos="720"/>
        </w:tabs>
        <w:ind w:left="720" w:hanging="360"/>
      </w:pPr>
      <w:rPr>
        <w:rFonts w:ascii="Symbol" w:hAnsi="Symbol" w:hint="default"/>
        <w:sz w:val="20"/>
      </w:rPr>
    </w:lvl>
    <w:lvl w:ilvl="1" w:tplc="CD18A432" w:tentative="1">
      <w:start w:val="1"/>
      <w:numFmt w:val="bullet"/>
      <w:lvlText w:val="o"/>
      <w:lvlJc w:val="left"/>
      <w:pPr>
        <w:tabs>
          <w:tab w:val="num" w:pos="1440"/>
        </w:tabs>
        <w:ind w:left="1440" w:hanging="360"/>
      </w:pPr>
      <w:rPr>
        <w:rFonts w:ascii="Courier New" w:hAnsi="Courier New" w:hint="default"/>
        <w:sz w:val="20"/>
      </w:rPr>
    </w:lvl>
    <w:lvl w:ilvl="2" w:tplc="BB9E56C6" w:tentative="1">
      <w:start w:val="1"/>
      <w:numFmt w:val="bullet"/>
      <w:lvlText w:val=""/>
      <w:lvlJc w:val="left"/>
      <w:pPr>
        <w:tabs>
          <w:tab w:val="num" w:pos="2160"/>
        </w:tabs>
        <w:ind w:left="2160" w:hanging="360"/>
      </w:pPr>
      <w:rPr>
        <w:rFonts w:ascii="Wingdings" w:hAnsi="Wingdings" w:hint="default"/>
        <w:sz w:val="20"/>
      </w:rPr>
    </w:lvl>
    <w:lvl w:ilvl="3" w:tplc="850477F6" w:tentative="1">
      <w:start w:val="1"/>
      <w:numFmt w:val="bullet"/>
      <w:lvlText w:val=""/>
      <w:lvlJc w:val="left"/>
      <w:pPr>
        <w:tabs>
          <w:tab w:val="num" w:pos="2880"/>
        </w:tabs>
        <w:ind w:left="2880" w:hanging="360"/>
      </w:pPr>
      <w:rPr>
        <w:rFonts w:ascii="Wingdings" w:hAnsi="Wingdings" w:hint="default"/>
        <w:sz w:val="20"/>
      </w:rPr>
    </w:lvl>
    <w:lvl w:ilvl="4" w:tplc="A912C1CA" w:tentative="1">
      <w:start w:val="1"/>
      <w:numFmt w:val="bullet"/>
      <w:lvlText w:val=""/>
      <w:lvlJc w:val="left"/>
      <w:pPr>
        <w:tabs>
          <w:tab w:val="num" w:pos="3600"/>
        </w:tabs>
        <w:ind w:left="3600" w:hanging="360"/>
      </w:pPr>
      <w:rPr>
        <w:rFonts w:ascii="Wingdings" w:hAnsi="Wingdings" w:hint="default"/>
        <w:sz w:val="20"/>
      </w:rPr>
    </w:lvl>
    <w:lvl w:ilvl="5" w:tplc="EF58A55A" w:tentative="1">
      <w:start w:val="1"/>
      <w:numFmt w:val="bullet"/>
      <w:lvlText w:val=""/>
      <w:lvlJc w:val="left"/>
      <w:pPr>
        <w:tabs>
          <w:tab w:val="num" w:pos="4320"/>
        </w:tabs>
        <w:ind w:left="4320" w:hanging="360"/>
      </w:pPr>
      <w:rPr>
        <w:rFonts w:ascii="Wingdings" w:hAnsi="Wingdings" w:hint="default"/>
        <w:sz w:val="20"/>
      </w:rPr>
    </w:lvl>
    <w:lvl w:ilvl="6" w:tplc="E2022666" w:tentative="1">
      <w:start w:val="1"/>
      <w:numFmt w:val="bullet"/>
      <w:lvlText w:val=""/>
      <w:lvlJc w:val="left"/>
      <w:pPr>
        <w:tabs>
          <w:tab w:val="num" w:pos="5040"/>
        </w:tabs>
        <w:ind w:left="5040" w:hanging="360"/>
      </w:pPr>
      <w:rPr>
        <w:rFonts w:ascii="Wingdings" w:hAnsi="Wingdings" w:hint="default"/>
        <w:sz w:val="20"/>
      </w:rPr>
    </w:lvl>
    <w:lvl w:ilvl="7" w:tplc="6D2ED798" w:tentative="1">
      <w:start w:val="1"/>
      <w:numFmt w:val="bullet"/>
      <w:lvlText w:val=""/>
      <w:lvlJc w:val="left"/>
      <w:pPr>
        <w:tabs>
          <w:tab w:val="num" w:pos="5760"/>
        </w:tabs>
        <w:ind w:left="5760" w:hanging="360"/>
      </w:pPr>
      <w:rPr>
        <w:rFonts w:ascii="Wingdings" w:hAnsi="Wingdings" w:hint="default"/>
        <w:sz w:val="20"/>
      </w:rPr>
    </w:lvl>
    <w:lvl w:ilvl="8" w:tplc="87CAE05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F5289"/>
    <w:multiLevelType w:val="hybridMultilevel"/>
    <w:tmpl w:val="4056742A"/>
    <w:lvl w:ilvl="0" w:tplc="F5380E0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3071A8"/>
    <w:multiLevelType w:val="hybridMultilevel"/>
    <w:tmpl w:val="2C566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9751E2"/>
    <w:multiLevelType w:val="hybridMultilevel"/>
    <w:tmpl w:val="23640DE8"/>
    <w:lvl w:ilvl="0" w:tplc="22880AA8">
      <w:start w:val="1"/>
      <w:numFmt w:val="bullet"/>
      <w:lvlText w:val=""/>
      <w:lvlJc w:val="left"/>
      <w:pPr>
        <w:tabs>
          <w:tab w:val="num" w:pos="720"/>
        </w:tabs>
        <w:ind w:left="720" w:hanging="360"/>
      </w:pPr>
      <w:rPr>
        <w:rFonts w:ascii="Symbol" w:hAnsi="Symbol" w:hint="default"/>
        <w:sz w:val="20"/>
      </w:rPr>
    </w:lvl>
    <w:lvl w:ilvl="1" w:tplc="1E201D2C" w:tentative="1">
      <w:start w:val="1"/>
      <w:numFmt w:val="bullet"/>
      <w:lvlText w:val="o"/>
      <w:lvlJc w:val="left"/>
      <w:pPr>
        <w:tabs>
          <w:tab w:val="num" w:pos="1440"/>
        </w:tabs>
        <w:ind w:left="1440" w:hanging="360"/>
      </w:pPr>
      <w:rPr>
        <w:rFonts w:ascii="Courier New" w:hAnsi="Courier New" w:hint="default"/>
        <w:sz w:val="20"/>
      </w:rPr>
    </w:lvl>
    <w:lvl w:ilvl="2" w:tplc="8CE6E908" w:tentative="1">
      <w:start w:val="1"/>
      <w:numFmt w:val="bullet"/>
      <w:lvlText w:val=""/>
      <w:lvlJc w:val="left"/>
      <w:pPr>
        <w:tabs>
          <w:tab w:val="num" w:pos="2160"/>
        </w:tabs>
        <w:ind w:left="2160" w:hanging="360"/>
      </w:pPr>
      <w:rPr>
        <w:rFonts w:ascii="Wingdings" w:hAnsi="Wingdings" w:hint="default"/>
        <w:sz w:val="20"/>
      </w:rPr>
    </w:lvl>
    <w:lvl w:ilvl="3" w:tplc="72A0C264" w:tentative="1">
      <w:start w:val="1"/>
      <w:numFmt w:val="bullet"/>
      <w:lvlText w:val=""/>
      <w:lvlJc w:val="left"/>
      <w:pPr>
        <w:tabs>
          <w:tab w:val="num" w:pos="2880"/>
        </w:tabs>
        <w:ind w:left="2880" w:hanging="360"/>
      </w:pPr>
      <w:rPr>
        <w:rFonts w:ascii="Wingdings" w:hAnsi="Wingdings" w:hint="default"/>
        <w:sz w:val="20"/>
      </w:rPr>
    </w:lvl>
    <w:lvl w:ilvl="4" w:tplc="EEDACC6A" w:tentative="1">
      <w:start w:val="1"/>
      <w:numFmt w:val="bullet"/>
      <w:lvlText w:val=""/>
      <w:lvlJc w:val="left"/>
      <w:pPr>
        <w:tabs>
          <w:tab w:val="num" w:pos="3600"/>
        </w:tabs>
        <w:ind w:left="3600" w:hanging="360"/>
      </w:pPr>
      <w:rPr>
        <w:rFonts w:ascii="Wingdings" w:hAnsi="Wingdings" w:hint="default"/>
        <w:sz w:val="20"/>
      </w:rPr>
    </w:lvl>
    <w:lvl w:ilvl="5" w:tplc="7CCC2818" w:tentative="1">
      <w:start w:val="1"/>
      <w:numFmt w:val="bullet"/>
      <w:lvlText w:val=""/>
      <w:lvlJc w:val="left"/>
      <w:pPr>
        <w:tabs>
          <w:tab w:val="num" w:pos="4320"/>
        </w:tabs>
        <w:ind w:left="4320" w:hanging="360"/>
      </w:pPr>
      <w:rPr>
        <w:rFonts w:ascii="Wingdings" w:hAnsi="Wingdings" w:hint="default"/>
        <w:sz w:val="20"/>
      </w:rPr>
    </w:lvl>
    <w:lvl w:ilvl="6" w:tplc="7F68539E" w:tentative="1">
      <w:start w:val="1"/>
      <w:numFmt w:val="bullet"/>
      <w:lvlText w:val=""/>
      <w:lvlJc w:val="left"/>
      <w:pPr>
        <w:tabs>
          <w:tab w:val="num" w:pos="5040"/>
        </w:tabs>
        <w:ind w:left="5040" w:hanging="360"/>
      </w:pPr>
      <w:rPr>
        <w:rFonts w:ascii="Wingdings" w:hAnsi="Wingdings" w:hint="default"/>
        <w:sz w:val="20"/>
      </w:rPr>
    </w:lvl>
    <w:lvl w:ilvl="7" w:tplc="34C616D4" w:tentative="1">
      <w:start w:val="1"/>
      <w:numFmt w:val="bullet"/>
      <w:lvlText w:val=""/>
      <w:lvlJc w:val="left"/>
      <w:pPr>
        <w:tabs>
          <w:tab w:val="num" w:pos="5760"/>
        </w:tabs>
        <w:ind w:left="5760" w:hanging="360"/>
      </w:pPr>
      <w:rPr>
        <w:rFonts w:ascii="Wingdings" w:hAnsi="Wingdings" w:hint="default"/>
        <w:sz w:val="20"/>
      </w:rPr>
    </w:lvl>
    <w:lvl w:ilvl="8" w:tplc="40D0E54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3"/>
  </w:num>
  <w:num w:numId="5">
    <w:abstractNumId w:val="6"/>
  </w:num>
  <w:num w:numId="6">
    <w:abstractNumId w:val="1"/>
  </w:num>
  <w:num w:numId="7">
    <w:abstractNumId w:val="12"/>
  </w:num>
  <w:num w:numId="8">
    <w:abstractNumId w:val="4"/>
  </w:num>
  <w:num w:numId="9">
    <w:abstractNumId w:val="8"/>
  </w:num>
  <w:num w:numId="10">
    <w:abstractNumId w:val="11"/>
  </w:num>
  <w:num w:numId="11">
    <w:abstractNumId w:val="0"/>
  </w:num>
  <w:num w:numId="12">
    <w:abstractNumId w:val="7"/>
  </w:num>
  <w:num w:numId="13">
    <w:abstractNumId w:val="2"/>
  </w:num>
  <w:num w:numId="14">
    <w:abstractNumId w:val="9"/>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11"/>
    <w:rsid w:val="00013DC2"/>
    <w:rsid w:val="000909E2"/>
    <w:rsid w:val="000B574D"/>
    <w:rsid w:val="000D2461"/>
    <w:rsid w:val="001172F6"/>
    <w:rsid w:val="001B1180"/>
    <w:rsid w:val="001B1B90"/>
    <w:rsid w:val="001E6BAF"/>
    <w:rsid w:val="001F65B9"/>
    <w:rsid w:val="002439FF"/>
    <w:rsid w:val="00244491"/>
    <w:rsid w:val="00276196"/>
    <w:rsid w:val="002D1495"/>
    <w:rsid w:val="002E28FF"/>
    <w:rsid w:val="002E4938"/>
    <w:rsid w:val="002F63FF"/>
    <w:rsid w:val="0032643B"/>
    <w:rsid w:val="0034055B"/>
    <w:rsid w:val="00344109"/>
    <w:rsid w:val="00346951"/>
    <w:rsid w:val="00350915"/>
    <w:rsid w:val="00372187"/>
    <w:rsid w:val="003851DF"/>
    <w:rsid w:val="003A2118"/>
    <w:rsid w:val="003F159B"/>
    <w:rsid w:val="00407BD3"/>
    <w:rsid w:val="004335D8"/>
    <w:rsid w:val="00445346"/>
    <w:rsid w:val="00475D9A"/>
    <w:rsid w:val="00487217"/>
    <w:rsid w:val="00493AED"/>
    <w:rsid w:val="00520613"/>
    <w:rsid w:val="00551610"/>
    <w:rsid w:val="005634DC"/>
    <w:rsid w:val="005E7397"/>
    <w:rsid w:val="00612A84"/>
    <w:rsid w:val="006608FA"/>
    <w:rsid w:val="006D23E5"/>
    <w:rsid w:val="006F2C6F"/>
    <w:rsid w:val="006F5A84"/>
    <w:rsid w:val="00745925"/>
    <w:rsid w:val="00745EAB"/>
    <w:rsid w:val="007848B6"/>
    <w:rsid w:val="00792494"/>
    <w:rsid w:val="00796481"/>
    <w:rsid w:val="007E6BFB"/>
    <w:rsid w:val="007F7A50"/>
    <w:rsid w:val="007F7C6A"/>
    <w:rsid w:val="008422A5"/>
    <w:rsid w:val="008439A7"/>
    <w:rsid w:val="00883EC1"/>
    <w:rsid w:val="008A116C"/>
    <w:rsid w:val="00912C6A"/>
    <w:rsid w:val="00966469"/>
    <w:rsid w:val="009837F1"/>
    <w:rsid w:val="009D55D3"/>
    <w:rsid w:val="00A00841"/>
    <w:rsid w:val="00A223B3"/>
    <w:rsid w:val="00A531F6"/>
    <w:rsid w:val="00A6098C"/>
    <w:rsid w:val="00A915EC"/>
    <w:rsid w:val="00AB4F25"/>
    <w:rsid w:val="00B05BC3"/>
    <w:rsid w:val="00B74BEF"/>
    <w:rsid w:val="00B941B0"/>
    <w:rsid w:val="00B95ADA"/>
    <w:rsid w:val="00BA078F"/>
    <w:rsid w:val="00BB569B"/>
    <w:rsid w:val="00BD1338"/>
    <w:rsid w:val="00BE79FC"/>
    <w:rsid w:val="00C272DB"/>
    <w:rsid w:val="00C32579"/>
    <w:rsid w:val="00C53856"/>
    <w:rsid w:val="00CA2CDB"/>
    <w:rsid w:val="00CC02B7"/>
    <w:rsid w:val="00CC6F5A"/>
    <w:rsid w:val="00CF05AB"/>
    <w:rsid w:val="00CF389D"/>
    <w:rsid w:val="00D610AD"/>
    <w:rsid w:val="00D62BAD"/>
    <w:rsid w:val="00D74F81"/>
    <w:rsid w:val="00D87747"/>
    <w:rsid w:val="00DA49E0"/>
    <w:rsid w:val="00DB0CFF"/>
    <w:rsid w:val="00DD7EEA"/>
    <w:rsid w:val="00E14A08"/>
    <w:rsid w:val="00E25898"/>
    <w:rsid w:val="00E46712"/>
    <w:rsid w:val="00E84779"/>
    <w:rsid w:val="00E944EC"/>
    <w:rsid w:val="00EA2CA3"/>
    <w:rsid w:val="00F0514A"/>
    <w:rsid w:val="00F76C52"/>
    <w:rsid w:val="00F83F11"/>
    <w:rsid w:val="00F976C5"/>
    <w:rsid w:val="00FB55B7"/>
    <w:rsid w:val="092D2044"/>
    <w:rsid w:val="26D60134"/>
    <w:rsid w:val="4558A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6242"/>
  <w15:chartTrackingRefBased/>
  <w15:docId w15:val="{F5665368-9717-4C4F-A112-B96BAAAAAB4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lang w:eastAsia="ja-JP"/>
    </w:rPr>
  </w:style>
  <w:style w:type="paragraph" w:styleId="Heading1">
    <w:name w:val="heading 1"/>
    <w:basedOn w:val="Normal"/>
    <w:next w:val="Normal"/>
    <w:link w:val="Heading1Char"/>
    <w:uiPriority w:val="9"/>
    <w:qFormat/>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numString="1.1 "/>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fr-FR"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fr-FR"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fr-FR"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lang w:val="fr-FR"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lang w:val="fr-FR"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fr-FR"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fr-FR"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fr-FR"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fr-FR" w:eastAsia="ja-JP"/>
    </w:rPr>
  </w:style>
  <w:style w:type="character" w:styleId="Hyperlink">
    <w:name w:val="Hyperlink"/>
    <w:basedOn w:val="DefaultParagraphFont"/>
    <w:uiPriority w:val="99"/>
    <w:unhideWhenUsed/>
    <w:rPr>
      <w:color w:val="0563C1" w:themeColor="hyperlink"/>
      <w:u w:val="single"/>
    </w:rPr>
  </w:style>
  <w:style w:type="character" w:customStyle="1" w:styleId="IPPNormalChar">
    <w:name w:val="IPP Normal Char"/>
    <w:link w:val="IPPNormal"/>
    <w:locked/>
    <w:rPr>
      <w:rFonts w:ascii="Calibri" w:eastAsia="Times" w:hAnsi="Calibri" w:cs="Arial"/>
    </w:rPr>
  </w:style>
  <w:style w:type="paragraph" w:customStyle="1" w:styleId="IPPNormal">
    <w:name w:val="IPP Normal"/>
    <w:basedOn w:val="Normal"/>
    <w:link w:val="IPPNormalChar"/>
    <w:qFormat/>
    <w:pPr>
      <w:spacing w:after="180"/>
    </w:pPr>
    <w:rPr>
      <w:rFonts w:eastAsia="Times"/>
      <w:lang w:eastAsia="en-US"/>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Paragraphnumbering">
    <w:name w:val="IPP Paragraph numbering"/>
    <w:basedOn w:val="IPPNormal"/>
    <w:qFormat/>
    <w:pPr>
      <w:numPr>
        <w:numId w:val="1"/>
      </w:numPr>
      <w:tabs>
        <w:tab w:val="clear" w:pos="0"/>
        <w:tab w:val="num" w:pos="360"/>
      </w:tabs>
      <w:ind w:firstLine="0"/>
    </w:pPr>
  </w:style>
  <w:style w:type="numbering" w:customStyle="1" w:styleId="IPPParagraphnumberedlist">
    <w:name w:val="IPP Paragraph numbered list"/>
    <w:pPr>
      <w:numPr>
        <w:numId w:val="1"/>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sz w:val="20"/>
      <w:szCs w:val="20"/>
      <w:lang w:val="fr-FR" w:eastAsia="ja-JP"/>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IPPBullet2">
    <w:name w:val="IPP Bullet2"/>
    <w:basedOn w:val="Normal"/>
    <w:next w:val="Normal"/>
    <w:qFormat/>
    <w:pPr>
      <w:numPr>
        <w:numId w:val="4"/>
      </w:numPr>
      <w:tabs>
        <w:tab w:val="left" w:pos="1134"/>
      </w:tabs>
      <w:spacing w:after="60" w:line="240" w:lineRule="auto"/>
      <w:jc w:val="both"/>
    </w:pPr>
    <w:rPr>
      <w:rFonts w:ascii="Times New Roman" w:eastAsia="Times" w:hAnsi="Times New Roman" w:cstheme="minorBidi"/>
      <w:szCs w:val="24"/>
      <w:lang w:eastAsia="zh-CN"/>
    </w:rPr>
  </w:style>
  <w:style w:type="paragraph" w:customStyle="1" w:styleId="Default">
    <w:name w:val="Default"/>
    <w:pPr>
      <w:autoSpaceDE w:val="0"/>
      <w:autoSpaceDN w:val="0"/>
      <w:adjustRightInd w:val="0"/>
      <w:spacing w:after="0" w:line="240" w:lineRule="auto"/>
    </w:pPr>
    <w:rPr>
      <w:rFonts w:ascii="Quay Sans" w:hAnsi="Quay Sans" w:cs="Quay Sans"/>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fr-FR" w:eastAsia="ja-JP"/>
    </w:rPr>
  </w:style>
  <w:style w:type="character" w:customStyle="1" w:styleId="PleaseReviewParagraphId">
    <w:name w:val="PleaseReviewParagraphId"/>
    <w:basedOn w:val="DefaultParagraphFont"/>
    <w:rPr>
      <w:rFonts w:ascii="Arial" w:hAnsi="Arial"/>
      <w:b w:val="0"/>
      <w:i w:val="0"/>
      <w:color w:val="000080"/>
      <w:sz w:val="16"/>
      <w:u w:val="none"/>
    </w:rPr>
  </w:style>
  <w:style w:type="character" w:customStyle="1" w:styleId="normaltextrun">
    <w:name w:val="normaltextrun"/>
    <w:basedOn w:val="DefaultParagraphFont"/>
  </w:style>
  <w:style w:type="character" w:customStyle="1" w:styleId="contextualspellingandgrammarerror">
    <w:name w:val="contextualspellingandgrammarerror"/>
    <w:basedOn w:val="DefaultParagraphFont"/>
  </w:style>
  <w:style w:type="character" w:customStyle="1" w:styleId="eop">
    <w:name w:val="eop"/>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MS Mincho" w:hAnsi="Calibri" w:cs="Arial"/>
      <w:sz w:val="20"/>
      <w:szCs w:val="20"/>
      <w:lang w:val="fr-FR"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sz w:val="20"/>
      <w:szCs w:val="20"/>
      <w:lang w:val="fr-FR" w:eastAsia="ja-JP"/>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3502177">
      <w:bodyDiv w:val="1"/>
      <w:marLeft w:val="0"/>
      <w:marRight w:val="0"/>
      <w:marTop w:val="0"/>
      <w:marBottom w:val="0"/>
      <w:divBdr>
        <w:top w:val="none" w:sz="0" w:space="0" w:color="auto"/>
        <w:left w:val="none" w:sz="0" w:space="0" w:color="auto"/>
        <w:bottom w:val="none" w:sz="0" w:space="0" w:color="auto"/>
        <w:right w:val="none" w:sz="0" w:space="0" w:color="auto"/>
      </w:divBdr>
    </w:div>
    <w:div w:id="58868790">
      <w:bodyDiv w:val="1"/>
      <w:marLeft w:val="0"/>
      <w:marRight w:val="0"/>
      <w:marTop w:val="0"/>
      <w:marBottom w:val="0"/>
      <w:divBdr>
        <w:top w:val="none" w:sz="0" w:space="0" w:color="auto"/>
        <w:left w:val="none" w:sz="0" w:space="0" w:color="auto"/>
        <w:bottom w:val="none" w:sz="0" w:space="0" w:color="auto"/>
        <w:right w:val="none" w:sz="0" w:space="0" w:color="auto"/>
      </w:divBdr>
    </w:div>
    <w:div w:id="164328647">
      <w:bodyDiv w:val="1"/>
      <w:marLeft w:val="0"/>
      <w:marRight w:val="0"/>
      <w:marTop w:val="0"/>
      <w:marBottom w:val="0"/>
      <w:divBdr>
        <w:top w:val="none" w:sz="0" w:space="0" w:color="auto"/>
        <w:left w:val="none" w:sz="0" w:space="0" w:color="auto"/>
        <w:bottom w:val="none" w:sz="0" w:space="0" w:color="auto"/>
        <w:right w:val="none" w:sz="0" w:space="0" w:color="auto"/>
      </w:divBdr>
    </w:div>
    <w:div w:id="402025181">
      <w:bodyDiv w:val="1"/>
      <w:marLeft w:val="0"/>
      <w:marRight w:val="0"/>
      <w:marTop w:val="0"/>
      <w:marBottom w:val="0"/>
      <w:divBdr>
        <w:top w:val="none" w:sz="0" w:space="0" w:color="auto"/>
        <w:left w:val="none" w:sz="0" w:space="0" w:color="auto"/>
        <w:bottom w:val="none" w:sz="0" w:space="0" w:color="auto"/>
        <w:right w:val="none" w:sz="0" w:space="0" w:color="auto"/>
      </w:divBdr>
    </w:div>
    <w:div w:id="726607405">
      <w:bodyDiv w:val="1"/>
      <w:marLeft w:val="0"/>
      <w:marRight w:val="0"/>
      <w:marTop w:val="0"/>
      <w:marBottom w:val="0"/>
      <w:divBdr>
        <w:top w:val="none" w:sz="0" w:space="0" w:color="auto"/>
        <w:left w:val="none" w:sz="0" w:space="0" w:color="auto"/>
        <w:bottom w:val="none" w:sz="0" w:space="0" w:color="auto"/>
        <w:right w:val="none" w:sz="0" w:space="0" w:color="auto"/>
      </w:divBdr>
    </w:div>
    <w:div w:id="759133874">
      <w:bodyDiv w:val="1"/>
      <w:marLeft w:val="0"/>
      <w:marRight w:val="0"/>
      <w:marTop w:val="0"/>
      <w:marBottom w:val="0"/>
      <w:divBdr>
        <w:top w:val="none" w:sz="0" w:space="0" w:color="auto"/>
        <w:left w:val="none" w:sz="0" w:space="0" w:color="auto"/>
        <w:bottom w:val="none" w:sz="0" w:space="0" w:color="auto"/>
        <w:right w:val="none" w:sz="0" w:space="0" w:color="auto"/>
      </w:divBdr>
    </w:div>
    <w:div w:id="909465023">
      <w:bodyDiv w:val="1"/>
      <w:marLeft w:val="0"/>
      <w:marRight w:val="0"/>
      <w:marTop w:val="0"/>
      <w:marBottom w:val="0"/>
      <w:divBdr>
        <w:top w:val="none" w:sz="0" w:space="0" w:color="auto"/>
        <w:left w:val="none" w:sz="0" w:space="0" w:color="auto"/>
        <w:bottom w:val="none" w:sz="0" w:space="0" w:color="auto"/>
        <w:right w:val="none" w:sz="0" w:space="0" w:color="auto"/>
      </w:divBdr>
    </w:div>
    <w:div w:id="948313793">
      <w:bodyDiv w:val="1"/>
      <w:marLeft w:val="0"/>
      <w:marRight w:val="0"/>
      <w:marTop w:val="0"/>
      <w:marBottom w:val="0"/>
      <w:divBdr>
        <w:top w:val="none" w:sz="0" w:space="0" w:color="auto"/>
        <w:left w:val="none" w:sz="0" w:space="0" w:color="auto"/>
        <w:bottom w:val="none" w:sz="0" w:space="0" w:color="auto"/>
        <w:right w:val="none" w:sz="0" w:space="0" w:color="auto"/>
      </w:divBdr>
    </w:div>
    <w:div w:id="957832394">
      <w:bodyDiv w:val="1"/>
      <w:marLeft w:val="0"/>
      <w:marRight w:val="0"/>
      <w:marTop w:val="0"/>
      <w:marBottom w:val="0"/>
      <w:divBdr>
        <w:top w:val="none" w:sz="0" w:space="0" w:color="auto"/>
        <w:left w:val="none" w:sz="0" w:space="0" w:color="auto"/>
        <w:bottom w:val="none" w:sz="0" w:space="0" w:color="auto"/>
        <w:right w:val="none" w:sz="0" w:space="0" w:color="auto"/>
      </w:divBdr>
    </w:div>
    <w:div w:id="982076127">
      <w:bodyDiv w:val="1"/>
      <w:marLeft w:val="0"/>
      <w:marRight w:val="0"/>
      <w:marTop w:val="0"/>
      <w:marBottom w:val="0"/>
      <w:divBdr>
        <w:top w:val="none" w:sz="0" w:space="0" w:color="auto"/>
        <w:left w:val="none" w:sz="0" w:space="0" w:color="auto"/>
        <w:bottom w:val="none" w:sz="0" w:space="0" w:color="auto"/>
        <w:right w:val="none" w:sz="0" w:space="0" w:color="auto"/>
      </w:divBdr>
    </w:div>
    <w:div w:id="1023553900">
      <w:bodyDiv w:val="1"/>
      <w:marLeft w:val="0"/>
      <w:marRight w:val="0"/>
      <w:marTop w:val="0"/>
      <w:marBottom w:val="0"/>
      <w:divBdr>
        <w:top w:val="none" w:sz="0" w:space="0" w:color="auto"/>
        <w:left w:val="none" w:sz="0" w:space="0" w:color="auto"/>
        <w:bottom w:val="none" w:sz="0" w:space="0" w:color="auto"/>
        <w:right w:val="none" w:sz="0" w:space="0" w:color="auto"/>
      </w:divBdr>
    </w:div>
    <w:div w:id="1218661852">
      <w:bodyDiv w:val="1"/>
      <w:marLeft w:val="0"/>
      <w:marRight w:val="0"/>
      <w:marTop w:val="0"/>
      <w:marBottom w:val="0"/>
      <w:divBdr>
        <w:top w:val="none" w:sz="0" w:space="0" w:color="auto"/>
        <w:left w:val="none" w:sz="0" w:space="0" w:color="auto"/>
        <w:bottom w:val="none" w:sz="0" w:space="0" w:color="auto"/>
        <w:right w:val="none" w:sz="0" w:space="0" w:color="auto"/>
      </w:divBdr>
    </w:div>
    <w:div w:id="1248418142">
      <w:bodyDiv w:val="1"/>
      <w:marLeft w:val="0"/>
      <w:marRight w:val="0"/>
      <w:marTop w:val="0"/>
      <w:marBottom w:val="0"/>
      <w:divBdr>
        <w:top w:val="none" w:sz="0" w:space="0" w:color="auto"/>
        <w:left w:val="none" w:sz="0" w:space="0" w:color="auto"/>
        <w:bottom w:val="none" w:sz="0" w:space="0" w:color="auto"/>
        <w:right w:val="none" w:sz="0" w:space="0" w:color="auto"/>
      </w:divBdr>
    </w:div>
    <w:div w:id="1395155308">
      <w:bodyDiv w:val="1"/>
      <w:marLeft w:val="0"/>
      <w:marRight w:val="0"/>
      <w:marTop w:val="0"/>
      <w:marBottom w:val="0"/>
      <w:divBdr>
        <w:top w:val="none" w:sz="0" w:space="0" w:color="auto"/>
        <w:left w:val="none" w:sz="0" w:space="0" w:color="auto"/>
        <w:bottom w:val="none" w:sz="0" w:space="0" w:color="auto"/>
        <w:right w:val="none" w:sz="0" w:space="0" w:color="auto"/>
      </w:divBdr>
    </w:div>
    <w:div w:id="1557012238">
      <w:bodyDiv w:val="1"/>
      <w:marLeft w:val="0"/>
      <w:marRight w:val="0"/>
      <w:marTop w:val="0"/>
      <w:marBottom w:val="0"/>
      <w:divBdr>
        <w:top w:val="none" w:sz="0" w:space="0" w:color="auto"/>
        <w:left w:val="none" w:sz="0" w:space="0" w:color="auto"/>
        <w:bottom w:val="none" w:sz="0" w:space="0" w:color="auto"/>
        <w:right w:val="none" w:sz="0" w:space="0" w:color="auto"/>
      </w:divBdr>
    </w:div>
    <w:div w:id="2066180008">
      <w:bodyDiv w:val="1"/>
      <w:marLeft w:val="0"/>
      <w:marRight w:val="0"/>
      <w:marTop w:val="0"/>
      <w:marBottom w:val="0"/>
      <w:divBdr>
        <w:top w:val="none" w:sz="0" w:space="0" w:color="auto"/>
        <w:left w:val="none" w:sz="0" w:space="0" w:color="auto"/>
        <w:bottom w:val="none" w:sz="0" w:space="0" w:color="auto"/>
        <w:right w:val="none" w:sz="0" w:space="0" w:color="auto"/>
      </w:divBdr>
    </w:div>
    <w:div w:id="21128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ppc.int/fr/publications/588/" TargetMode="External" Id="rId8" /><Relationship Type="http://schemas.openxmlformats.org/officeDocument/2006/relationships/hyperlink" Target="https://www.ippc.int/en/core-activities/capacity-development/guides-and-training-materials/contributed-resource-detail/export-manual-progra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mpi.govt.nz/dmsdocument/7968-mpi-technical-standard-phytosanitary-inspection" TargetMode="External" Id="rId12" /><Relationship Type="http://schemas.microsoft.com/office/2019/09/relationships/intelligence" Target="intelligence.xml" Id="R10b5e9fdaf6046ec"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ippc.int/fr/publications/86039/"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ippc.int/fr/publications/86042/" TargetMode="External" Id="rId10" /><Relationship Type="http://schemas.openxmlformats.org/officeDocument/2006/relationships/settings" Target="settings.xml" Id="rId4" /><Relationship Type="http://schemas.openxmlformats.org/officeDocument/2006/relationships/hyperlink" Target="https://www.ippc.int/fr/publications/588/" TargetMode="External" Id="rId9" /><Relationship Type="http://schemas.openxmlformats.org/officeDocument/2006/relationships/hyperlink" Target="https://www.ippc.int/en/core-activities/capacity-development/guides-and-training-materials/contributed-resource-detail/exporting-australia-includes-quarantine-information-export-plants-and-plant-products/" TargetMode="External" Id="rId14" /></Relationships>
</file>

<file path=word/_rels/footnotes.xml.rels>&#65279;<?xml version="1.0" encoding="utf-8"?><Relationships xmlns="http://schemas.openxmlformats.org/package/2006/relationships"><Relationship Type="http://schemas.openxmlformats.org/officeDocument/2006/relationships/hyperlink" Target="https://www.ippc.int/fr/publications/609/" TargetMode="External" Id="rId3" /><Relationship Type="http://schemas.openxmlformats.org/officeDocument/2006/relationships/hyperlink" Target="https://www.ippc.int/fr/publications/613/" TargetMode="External" Id="rId2" /><Relationship Type="http://schemas.openxmlformats.org/officeDocument/2006/relationships/hyperlink" Target="https://www.ippc.int/fr/publications/131/" TargetMode="External" Id="rId1" /><Relationship Type="http://schemas.openxmlformats.org/officeDocument/2006/relationships/hyperlink" Target="https://www.ippc.int/fr/publications/587/" TargetMode="External" Id="rId6" /><Relationship Type="http://schemas.openxmlformats.org/officeDocument/2006/relationships/hyperlink" Target="https://www.ippc.int/fr/publications/588/" TargetMode="External" Id="rId5" /><Relationship Type="http://schemas.openxmlformats.org/officeDocument/2006/relationships/hyperlink" Target="https://www.ippc.int/fr/publications/598/"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923B153-DBDC-46A9-BF90-0097E71D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6619</Characters>
  <Application>Microsoft Office Word</Application>
  <DocSecurity>0</DocSecurity>
  <Lines>55</Lines>
  <Paragraphs>15</Paragraphs>
  <ScaleCrop>false</ScaleCrop>
  <Company>FAO of the UN</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Czerwien, Ewa (NSP)</cp:lastModifiedBy>
  <cp:revision>23</cp:revision>
  <cp:lastPrinted>2021-06-14T13:20:00Z</cp:lastPrinted>
  <dcterms:created xsi:type="dcterms:W3CDTF">2021-05-27T18:05:00Z</dcterms:created>
  <dcterms:modified xsi:type="dcterms:W3CDTF">2021-06-30T15:00:00Z</dcterms:modified>
</cp:coreProperties>
</file>