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intelligence.xml" ContentType="application/vnd.ms-office.intelligenc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2023 Consultation: Draft Specification for Guide to phytosanitary audits (2021-009). Document title: 2021-009_draft Specification_Audit Guide_fr.docx]</w:t>
      </w:r>
    </w:p>
    <w:p w14:paraId="7B449207" w14:textId="54073832">
      <w:pPr>
        <w:spacing w:before="60" w:after="60" w:line="276" w:lineRule="auto"/>
        <w:rPr>
          <w:b/>
          <w:bCs/>
          <w:sz w:val="28"/>
          <w:szCs w:val="28"/>
        </w:rPr>
      </w:pPr>
      <w:r>
        <w:rPr>
          <w:rStyle w:val="PleaseReviewParagraphId"/>
          <w:b w:val="off"/>
          <w:i w:val="off"/>
        </w:rPr>
        <w:t>[1]</w:t>
      </w:r>
      <w:r>
        <w:rPr>
          <w:b/>
          <w:bCs/>
          <w:sz w:val="28"/>
          <w:szCs w:val="28"/>
        </w:rPr>
        <w:t>Projet de spécification: Guide des audits phytosanitaires (2021-009)</w:t>
      </w:r>
    </w:p>
    <w:p w14:paraId="10A308D0" w14:textId="77777777">
      <w:pPr>
        <w:spacing w:before="60" w:after="60" w:line="276" w:lineRule="auto"/>
        <w:rPr>
          <w:rFonts w:eastAsia="Times" w:asciiTheme="majorBidi" w:hAnsiTheme="majorBidi" w:cstheme="majorBidi"/>
          <w:b/>
          <w:bCs/>
          <w:lang w:eastAsia="ja-JP"/>
        </w:rPr>
      </w:pPr>
      <w:r>
        <w:rPr>
          <w:rStyle w:val="PleaseReviewParagraphId"/>
          <w:b w:val="off"/>
          <w:i w:val="off"/>
        </w:rPr>
        <w:t>[2]</w:t>
      </w:r>
    </w:p>
    <w:p w14:paraId="5995C730" w14:textId="7A1C9441">
      <w:pPr>
        <w:spacing w:before="60" w:after="60" w:line="276" w:lineRule="auto"/>
        <w:rPr>
          <w:rFonts w:eastAsia="Times" w:asciiTheme="majorBidi" w:hAnsiTheme="majorBidi" w:cstheme="majorBidi"/>
          <w:b/>
          <w:bCs/>
        </w:rPr>
      </w:pPr>
      <w:r>
        <w:rPr>
          <w:rStyle w:val="PleaseReviewParagraphId"/>
          <w:b w:val="off"/>
          <w:i w:val="off"/>
        </w:rPr>
        <w:t>[3]</w:t>
      </w:r>
      <w:r>
        <w:rPr>
          <w:rFonts w:asciiTheme="majorBidi" w:hAnsiTheme="majorBidi"/>
          <w:b/>
          <w:bCs/>
        </w:rPr>
        <w:t>État d’avancement du document</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0"/>
        <w:gridCol w:w="6751"/>
      </w:tblGrid>
      <w:tr w14:paraId="4F630982" w14:textId="77777777">
        <w:trPr>
          <w:trHeight w:val="421"/>
        </w:trPr>
        <w:tc>
          <w:tcPr>
            <w:tcW w:w="9021" w:type="dxa"/>
            <w:gridSpan w:val="2"/>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62075C0B" w14:textId="77777777">
            <w:pPr>
              <w:spacing w:before="60" w:after="60"/>
              <w:rPr>
                <w:rFonts w:eastAsia="Times"/>
                <w:color w:val="FF0000"/>
                <w:lang w:val="es-ES"/>
              </w:rPr>
            </w:pPr>
            <w:r>
              <w:rPr>
                <w:rStyle w:val="PleaseReviewParagraphId"/>
                <w:b w:val="off"/>
                <w:i w:val="off"/>
              </w:rPr>
              <w:t>[4]</w:t>
            </w:r>
            <w:r>
              <w:rPr>
                <w:lang w:val="es-ES"/>
              </w:rPr>
              <w:t>Cet encadré ne fait pas officiellement partie du guide et sera modifié par le secrétariat de la CIPV.</w:t>
            </w:r>
          </w:p>
        </w:tc>
      </w:tr>
      <w:tr w14:paraId="2EC91714" w14:textId="77777777">
        <w:trPr>
          <w:trHeight w:val="286"/>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25708F34" w14:textId="77777777">
            <w:pPr>
              <w:spacing w:before="60" w:after="60"/>
              <w:rPr>
                <w:rFonts w:eastAsia="Times"/>
                <w:b/>
                <w:bCs/>
              </w:rPr>
            </w:pPr>
            <w:r>
              <w:rPr>
                <w:rStyle w:val="PleaseReviewParagraphId"/>
                <w:b w:val="off"/>
                <w:i w:val="off"/>
              </w:rPr>
              <w:t>[5]</w:t>
            </w:r>
            <w:r>
              <w:rPr>
                <w:b/>
                <w:bCs/>
              </w:rPr>
              <w:t>Numéro du thème</w:t>
            </w:r>
          </w:p>
        </w:tc>
        <w:tc>
          <w:tcPr>
            <w:tcW w:w="675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6A328299" w14:textId="096EF80F">
            <w:pPr>
              <w:spacing w:before="60" w:after="60"/>
              <w:rPr>
                <w:rFonts w:eastAsia="Times"/>
              </w:rPr>
            </w:pPr>
            <w:r>
              <w:rPr>
                <w:rStyle w:val="PleaseReviewParagraphId"/>
                <w:b w:val="off"/>
                <w:i w:val="off"/>
              </w:rPr>
              <w:t>[6]</w:t>
            </w:r>
            <w:r>
              <w:t>2021-009</w:t>
            </w:r>
          </w:p>
        </w:tc>
      </w:tr>
      <w:tr w14:paraId="3E612D76" w14:textId="77777777">
        <w:trPr>
          <w:trHeight w:val="286"/>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73871887" w14:textId="77777777">
            <w:pPr>
              <w:spacing w:before="60" w:after="60"/>
              <w:rPr>
                <w:rFonts w:eastAsia="Times"/>
                <w:b/>
                <w:bCs/>
              </w:rPr>
            </w:pPr>
            <w:r>
              <w:rPr>
                <w:rStyle w:val="PleaseReviewParagraphId"/>
                <w:b w:val="off"/>
                <w:i w:val="off"/>
              </w:rPr>
              <w:t>[7]</w:t>
            </w:r>
            <w:r>
              <w:rPr>
                <w:b/>
                <w:bCs/>
              </w:rPr>
              <w:t>Titre</w:t>
            </w:r>
          </w:p>
        </w:tc>
        <w:tc>
          <w:tcPr>
            <w:tcW w:w="675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20C4F113" w14:textId="30EB5A93">
            <w:pPr>
              <w:spacing w:before="60" w:after="60"/>
              <w:rPr>
                <w:rFonts w:eastAsia="Times"/>
              </w:rPr>
            </w:pPr>
            <w:r>
              <w:rPr>
                <w:rStyle w:val="PleaseReviewParagraphId"/>
                <w:b w:val="off"/>
                <w:i w:val="off"/>
              </w:rPr>
              <w:t>[8]</w:t>
            </w:r>
            <w:r>
              <w:t>Guide des audits phytosanitaires</w:t>
            </w:r>
          </w:p>
        </w:tc>
      </w:tr>
      <w:tr w14:paraId="54BD78D6" w14:textId="77777777">
        <w:trPr>
          <w:trHeight w:val="286"/>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3119CD41" w14:textId="77777777">
            <w:pPr>
              <w:spacing w:before="60" w:after="60"/>
              <w:rPr>
                <w:rFonts w:eastAsia="Times"/>
                <w:b/>
                <w:bCs/>
              </w:rPr>
            </w:pPr>
            <w:r>
              <w:rPr>
                <w:rStyle w:val="PleaseReviewParagraphId"/>
                <w:b w:val="off"/>
                <w:i w:val="off"/>
              </w:rPr>
              <w:t>[9]</w:t>
            </w:r>
            <w:r>
              <w:rPr>
                <w:b/>
                <w:bCs/>
              </w:rPr>
              <w:t>Catégorie du document</w:t>
            </w:r>
          </w:p>
        </w:tc>
        <w:tc>
          <w:tcPr>
            <w:tcW w:w="675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45E3F1BB" w14:textId="65A58451">
            <w:pPr>
              <w:spacing w:before="60" w:after="60"/>
              <w:rPr>
                <w:rFonts w:eastAsia="Times"/>
                <w:color w:val="0070C0"/>
                <w:lang w:val="es-ES"/>
              </w:rPr>
            </w:pPr>
            <w:r>
              <w:rPr>
                <w:rStyle w:val="PleaseReviewParagraphId"/>
                <w:b w:val="off"/>
                <w:i w:val="off"/>
              </w:rPr>
              <w:t>[10]</w:t>
            </w:r>
            <w:r>
              <w:rPr>
                <w:lang w:val="es-ES"/>
              </w:rPr>
              <w:t>Nouveau guide de la CIPV</w:t>
            </w:r>
          </w:p>
        </w:tc>
      </w:tr>
      <w:tr w14:paraId="7D0B7C1C" w14:textId="77777777">
        <w:trPr>
          <w:trHeight w:val="299"/>
        </w:trPr>
        <w:tc>
          <w:tcPr>
            <w:tcW w:w="2270" w:type="dxa"/>
          </w:tcPr>
          <w:p w14:paraId="03D184C9" w14:textId="77777777">
            <w:pPr>
              <w:spacing w:before="60" w:after="60"/>
              <w:rPr>
                <w:rFonts w:eastAsia="Times"/>
                <w:b/>
                <w:bCs/>
              </w:rPr>
            </w:pPr>
            <w:r>
              <w:rPr>
                <w:rStyle w:val="PleaseReviewParagraphId"/>
                <w:b w:val="off"/>
                <w:i w:val="off"/>
              </w:rPr>
              <w:t>[11]</w:t>
            </w:r>
            <w:r>
              <w:rPr>
                <w:b/>
                <w:bCs/>
              </w:rPr>
              <w:t>Date du présent document</w:t>
            </w:r>
          </w:p>
        </w:tc>
        <w:tc>
          <w:tcPr>
            <w:tcW w:w="675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17DFBABC" w14:textId="022E91D4">
            <w:pPr>
              <w:spacing w:before="60" w:after="60"/>
              <w:rPr>
                <w:rFonts w:eastAsia="Times"/>
              </w:rPr>
            </w:pPr>
            <w:r>
              <w:rPr>
                <w:rStyle w:val="PleaseReviewParagraphId"/>
                <w:b w:val="off"/>
                <w:i w:val="off"/>
              </w:rPr>
              <w:t>[12]</w:t>
            </w:r>
            <w:r>
              <w:t>2023-06-12</w:t>
            </w:r>
          </w:p>
        </w:tc>
      </w:tr>
      <w:tr w14:paraId="0FE6F445" w14:textId="77777777">
        <w:trPr>
          <w:trHeight w:val="299"/>
        </w:trPr>
        <w:tc>
          <w:tcPr>
            <w:tcW w:w="2270" w:type="dxa"/>
            <w:hideMark/>
          </w:tcPr>
          <w:p w14:paraId="3CA538C1" w14:textId="3459ECE7">
            <w:pPr>
              <w:spacing w:before="60" w:after="60"/>
              <w:rPr>
                <w:rFonts w:eastAsia="Times"/>
                <w:b/>
                <w:bCs/>
                <w:lang w:val="es-ES"/>
              </w:rPr>
            </w:pPr>
            <w:r>
              <w:rPr>
                <w:rStyle w:val="PleaseReviewParagraphId"/>
                <w:b w:val="off"/>
                <w:i w:val="off"/>
              </w:rPr>
              <w:t>[13]</w:t>
            </w:r>
            <w:r>
              <w:rPr>
                <w:b/>
                <w:bCs/>
                <w:lang w:val="es-ES"/>
              </w:rPr>
              <w:t>Étape de l’élaboration du document</w:t>
            </w:r>
          </w:p>
        </w:tc>
        <w:tc>
          <w:tcPr>
            <w:tcW w:w="675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0D9E6074" w14:textId="10EDF4BC">
            <w:pPr>
              <w:spacing w:before="60" w:after="60"/>
              <w:rPr>
                <w:rFonts w:eastAsia="Times"/>
                <w:highlight w:val="yellow"/>
              </w:rPr>
            </w:pPr>
            <w:r>
              <w:rPr>
                <w:rStyle w:val="PleaseReviewParagraphId"/>
                <w:b w:val="off"/>
                <w:i w:val="off"/>
              </w:rPr>
              <w:t>[14]</w:t>
            </w:r>
            <w:r>
              <w:t>Projet de spécification devant faire l’objet d’une consultation en 2023 (IC_2023_May)</w:t>
            </w:r>
          </w:p>
        </w:tc>
      </w:tr>
      <w:tr w14:paraId="64264232" w14:textId="77777777">
        <w:trPr>
          <w:trHeight w:val="491"/>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2A35C266" w14:textId="77777777">
            <w:pPr>
              <w:spacing w:before="60" w:after="60"/>
              <w:rPr>
                <w:rFonts w:eastAsia="Times"/>
                <w:b/>
                <w:bCs/>
              </w:rPr>
            </w:pPr>
            <w:r>
              <w:rPr>
                <w:rStyle w:val="PleaseReviewParagraphId"/>
                <w:b w:val="off"/>
                <w:i w:val="off"/>
              </w:rPr>
              <w:t>[15]</w:t>
            </w:r>
            <w:r>
              <w:rPr>
                <w:b/>
                <w:bCs/>
              </w:rPr>
              <w:t>Principales étapes achevées</w:t>
            </w:r>
          </w:p>
        </w:tc>
        <w:tc>
          <w:tcPr>
            <w:tcW w:w="675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7A293F29" w14:textId="68C8422C">
            <w:pPr>
              <w:spacing w:before="60" w:after="60"/>
              <w:rPr>
                <w:rFonts w:eastAsia="Times"/>
                <w:b/>
                <w:bCs/>
                <w:lang w:val="es-ES"/>
              </w:rPr>
            </w:pPr>
            <w:r>
              <w:rPr>
                <w:rStyle w:val="PleaseReviewParagraphId"/>
                <w:b w:val="off"/>
                <w:i w:val="off"/>
              </w:rPr>
              <w:t>[16]</w:t>
            </w:r>
            <w:r>
              <w:rPr>
                <w:b/>
                <w:bCs/>
                <w:lang w:val="es-ES"/>
              </w:rPr>
              <w:t>2022-03:</w:t>
            </w:r>
            <w:r>
              <w:rPr>
                <w:lang w:val="es-ES"/>
              </w:rPr>
              <w:t xml:space="preserve"> La Commission des mesures phytosanitaires (CMP), à sa 16</w:t>
            </w:r>
            <w:r>
              <w:rPr>
                <w:vertAlign w:val="superscript"/>
                <w:lang w:val="es-ES"/>
              </w:rPr>
              <w:t>e</w:t>
            </w:r>
            <w:r>
              <w:rPr>
                <w:lang w:val="es-ES"/>
              </w:rPr>
              <w:t> session (2022), ajoute ce thème à la Liste de thèmes relatifs à la mise en œuvre et au renforcement des capacités, et lui attribue le niveau de priorité 1.</w:t>
            </w:r>
          </w:p>
          <w:p w14:paraId="71DA1CC0" w14:textId="31D299FD">
            <w:pPr>
              <w:spacing w:before="60" w:after="60"/>
              <w:rPr>
                <w:rFonts w:eastAsia="Times"/>
                <w:lang w:val="es-ES"/>
              </w:rPr>
            </w:pPr>
            <w:r>
              <w:rPr>
                <w:rStyle w:val="PleaseReviewParagraphId"/>
                <w:b w:val="off"/>
                <w:i w:val="off"/>
              </w:rPr>
              <w:t>[17]</w:t>
            </w:r>
            <w:r>
              <w:rPr>
                <w:b/>
                <w:bCs/>
                <w:lang w:val="es-ES"/>
              </w:rPr>
              <w:t>2022-11:</w:t>
            </w:r>
            <w:r>
              <w:rPr>
                <w:lang w:val="es-ES"/>
              </w:rPr>
              <w:t xml:space="preserve"> Le Comité chargé de la mise en œuvre et du renforcement des capacités (le Comité) convient que le projet de spécification devrait être élaboré en vue d’une consultation en 2023</w:t>
            </w:r>
          </w:p>
          <w:p w14:paraId="336FD40A" w14:textId="70622B25">
            <w:pPr>
              <w:spacing w:before="60" w:after="60"/>
              <w:rPr>
                <w:rFonts w:eastAsia="Times New Roman"/>
              </w:rPr>
            </w:pPr>
            <w:r>
              <w:rPr>
                <w:rStyle w:val="PleaseReviewParagraphId"/>
                <w:b w:val="off"/>
                <w:i w:val="off"/>
              </w:rPr>
              <w:t>[18]</w:t>
            </w:r>
            <w:r>
              <w:rPr>
                <w:b/>
                <w:bCs/>
              </w:rPr>
              <w:t>2023-05:</w:t>
            </w:r>
            <w:r>
              <w:t xml:space="preserve"> Le Comité examine le projet de spécification et approuve sa communication pour consultation en 2023 après y avoir apporté des changements mineurs, notamment une modification du titre (titre initial: </w:t>
            </w:r>
            <w:r>
              <w:rPr>
                <w:i/>
                <w:iCs/>
              </w:rPr>
              <w:t>Réalisation des audits dans le contexte phytosanitaire</w:t>
            </w:r>
            <w:r>
              <w:t>).</w:t>
            </w:r>
          </w:p>
        </w:tc>
      </w:tr>
      <w:tr w14:paraId="2A30132C" w14:textId="77777777">
        <w:trPr>
          <w:trHeight w:val="491"/>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2AC66BB5" w14:textId="77777777">
            <w:pPr>
              <w:spacing w:before="60" w:after="60"/>
              <w:rPr>
                <w:rFonts w:eastAsia="Times"/>
                <w:b/>
                <w:bCs/>
                <w:lang w:val="es-ES"/>
              </w:rPr>
            </w:pPr>
            <w:r>
              <w:rPr>
                <w:rStyle w:val="PleaseReviewParagraphId"/>
                <w:b w:val="off"/>
                <w:i w:val="off"/>
              </w:rPr>
              <w:t>[19]</w:t>
            </w:r>
            <w:r>
              <w:rPr>
                <w:b/>
                <w:bCs/>
                <w:lang w:val="es-ES"/>
              </w:rPr>
              <w:t>Chef du Comité chargé de la mise en œuvre et du renforcement des capacités</w:t>
            </w:r>
          </w:p>
        </w:tc>
        <w:tc>
          <w:tcPr>
            <w:tcW w:w="675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4A2C8D28" w14:textId="5862A44F">
            <w:pPr>
              <w:spacing w:before="60" w:after="60"/>
              <w:rPr>
                <w:rFonts w:eastAsia="Times"/>
                <w:highlight w:val="yellow"/>
              </w:rPr>
            </w:pPr>
            <w:r>
              <w:rPr>
                <w:rStyle w:val="PleaseReviewParagraphId"/>
                <w:b w:val="off"/>
                <w:i w:val="off"/>
              </w:rPr>
              <w:t>[20]</w:t>
            </w:r>
            <w:r>
              <w:rPr>
                <w:b/>
                <w:bCs/>
              </w:rPr>
              <w:t>2022-04:</w:t>
            </w:r>
            <w:r>
              <w:t xml:space="preserve"> Dominique PELLETIER, Canada</w:t>
            </w:r>
          </w:p>
        </w:tc>
      </w:tr>
      <w:tr w14:paraId="4B244F52" w14:textId="77777777">
        <w:trPr>
          <w:trHeight w:val="491"/>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115C3815" w14:textId="77777777">
            <w:pPr>
              <w:spacing w:before="60" w:after="60"/>
              <w:rPr>
                <w:rFonts w:eastAsia="Times"/>
                <w:b/>
                <w:bCs/>
                <w:lang w:val="es-ES"/>
              </w:rPr>
            </w:pPr>
            <w:r>
              <w:rPr>
                <w:rStyle w:val="PleaseReviewParagraphId"/>
                <w:b w:val="off"/>
                <w:i w:val="off"/>
              </w:rPr>
              <w:t>[21]</w:t>
            </w:r>
            <w:r>
              <w:rPr>
                <w:b/>
                <w:bCs/>
                <w:lang w:val="es-ES"/>
              </w:rPr>
              <w:t>Chef du secrétariat de la CIPV</w:t>
            </w:r>
          </w:p>
        </w:tc>
        <w:tc>
          <w:tcPr>
            <w:tcW w:w="675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shd w:val="clear" w:color="auto" w:fill="auto"/>
          </w:tcPr>
          <w:p w14:paraId="19E040D8" w14:textId="5112CF5E">
            <w:pPr>
              <w:spacing w:before="60" w:after="60"/>
              <w:rPr>
                <w:rFonts w:eastAsia="Times"/>
                <w:color w:val="0070C0"/>
              </w:rPr>
            </w:pPr>
            <w:r>
              <w:rPr>
                <w:rStyle w:val="PleaseReviewParagraphId"/>
                <w:b w:val="off"/>
                <w:i w:val="off"/>
              </w:rPr>
              <w:t>[22]</w:t>
            </w:r>
            <w:r>
              <w:rPr>
                <w:b/>
                <w:bCs/>
              </w:rPr>
              <w:t>2022-11</w:t>
            </w:r>
            <w:r>
              <w:t xml:space="preserve">: Juan RULL </w:t>
            </w:r>
          </w:p>
        </w:tc>
      </w:tr>
      <w:tr w14:paraId="1536216E" w14:textId="77777777">
        <w:trPr>
          <w:trHeight w:val="491"/>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4B03E71D" w14:textId="77777777">
            <w:pPr>
              <w:spacing w:before="60" w:after="60"/>
              <w:rPr>
                <w:rFonts w:eastAsia="Times"/>
                <w:b/>
                <w:bCs/>
              </w:rPr>
            </w:pPr>
            <w:r>
              <w:rPr>
                <w:rStyle w:val="PleaseReviewParagraphId"/>
                <w:b w:val="off"/>
                <w:i w:val="off"/>
              </w:rPr>
              <w:t>[23]</w:t>
            </w:r>
            <w:r>
              <w:rPr>
                <w:b/>
                <w:bCs/>
              </w:rPr>
              <w:t>Experts du groupe de travail</w:t>
            </w:r>
          </w:p>
        </w:tc>
        <w:tc>
          <w:tcPr>
            <w:tcW w:w="675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1CEEEE3B" w14:textId="13D27DA2">
            <w:pPr>
              <w:spacing w:before="60" w:after="60"/>
              <w:rPr>
                <w:rFonts w:eastAsia="Times"/>
              </w:rPr>
            </w:pPr>
            <w:r>
              <w:rPr>
                <w:rStyle w:val="PleaseReviewParagraphId"/>
                <w:b w:val="off"/>
                <w:i w:val="off"/>
              </w:rPr>
              <w:t>[24]</w:t>
            </w:r>
          </w:p>
        </w:tc>
      </w:tr>
      <w:tr w14:paraId="345C4027" w14:textId="77777777">
        <w:trPr>
          <w:trHeight w:val="637"/>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58AD4430" w14:textId="77777777">
            <w:pPr>
              <w:spacing w:before="60" w:after="60"/>
              <w:rPr>
                <w:rFonts w:eastAsia="Times"/>
                <w:b/>
                <w:bCs/>
              </w:rPr>
            </w:pPr>
            <w:r>
              <w:rPr>
                <w:rStyle w:val="PleaseReviewParagraphId"/>
                <w:b w:val="off"/>
                <w:i w:val="off"/>
              </w:rPr>
              <w:t>[25]</w:t>
            </w:r>
            <w:r>
              <w:rPr>
                <w:b/>
                <w:bCs/>
              </w:rPr>
              <w:t>Notes</w:t>
            </w:r>
          </w:p>
        </w:tc>
        <w:tc>
          <w:tcPr>
            <w:tcW w:w="6751"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0A1DCD5E" w14:textId="7B30E73A">
            <w:pPr>
              <w:rPr>
                <w:rFonts w:eastAsia="Times"/>
              </w:rPr>
            </w:pPr>
            <w:r>
              <w:rPr>
                <w:rStyle w:val="PleaseReviewParagraphId"/>
                <w:b w:val="off"/>
                <w:i w:val="off"/>
              </w:rPr>
              <w:t>[26]</w:t>
            </w:r>
            <w:r>
              <w:t xml:space="preserve">L’élaboration se fera compte tenu du guide intitulé </w:t>
            </w:r>
            <w:r>
              <w:rPr>
                <w:i/>
              </w:rPr>
              <w:t>Authorization of entities to perform phytosanitary actions</w:t>
            </w:r>
            <w:r>
              <w:t xml:space="preserve"> (2018-040) (IC_2022_Nov) (autorisation d’entités à mener des actions phytosanitaires) afin d’assurer la complémentarité des deux guides et de réduire le chevauchement de leurs contenus.</w:t>
            </w:r>
          </w:p>
        </w:tc>
      </w:tr>
    </w:tbl>
    <w:p w14:paraId="2DC1561C" w14:textId="77777777">
      <w:pPr>
        <w:rPr>
          <w:rFonts w:eastAsia="Times"/>
          <w:b/>
          <w:bCs/>
          <w:caps/>
        </w:rPr>
      </w:pPr>
      <w:r>
        <w:rPr>
          <w:rStyle w:val="PleaseReviewParagraphId"/>
          <w:b w:val="off"/>
          <w:i w:val="off"/>
        </w:rPr>
        <w:t>[27]</w:t>
      </w:r>
      <w:r>
        <w:br w:type="page"/>
      </w:r>
    </w:p>
    <w:p w14:paraId="4978D50A" w14:textId="5A0A39CA">
      <w:pPr>
        <w:pStyle w:val="IPPHeadSection"/>
        <w:rPr>
          <w:rFonts w:eastAsia="MS Mincho"/>
        </w:rPr>
      </w:pPr>
      <w:r>
        <w:rPr>
          <w:rStyle w:val="PleaseReviewParagraphId"/>
          <w:b w:val="off"/>
          <w:i w:val="off"/>
        </w:rPr>
        <w:t>[28]</w:t>
      </w:r>
      <w:r>
        <w:lastRenderedPageBreak/>
        <w:t>Projet de spécification: Guide des audits phytosanitaires (2021-009)</w:t>
      </w:r>
    </w:p>
    <w:p w14:paraId="47B95025" w14:textId="59D13205">
      <w:pPr>
        <w:pStyle w:val="IPPHeading1"/>
      </w:pPr>
      <w:r>
        <w:rPr>
          <w:rStyle w:val="PleaseReviewParagraphId"/>
          <w:b w:val="off"/>
          <w:i w:val="off"/>
        </w:rPr>
        <w:t>[29]</w:t>
      </w:r>
      <w:r>
        <w:t>1. Titre</w:t>
      </w:r>
    </w:p>
    <w:p w14:paraId="3566713C" w14:textId="0D2A5F36">
      <w:pPr>
        <w:pStyle w:val="IPPParagraphnumbering"/>
        <w:numPr>
          <w:ilvl w:val="0"/>
          <w:numId w:val="0"/>
        </w:numPr>
      </w:pPr>
      <w:r>
        <w:rPr>
          <w:rStyle w:val="PleaseReviewParagraphId"/>
          <w:b w:val="off"/>
          <w:i w:val="off"/>
        </w:rPr>
        <w:t>[30]</w:t>
      </w:r>
      <w:r>
        <w:t>Guide des audits phytosanitaires (2021-009)</w:t>
      </w:r>
    </w:p>
    <w:p w14:paraId="7E708483" w14:textId="5B67BA64">
      <w:pPr>
        <w:pStyle w:val="IPPHeading1"/>
      </w:pPr>
      <w:r>
        <w:rPr>
          <w:rStyle w:val="PleaseReviewParagraphId"/>
          <w:b w:val="off"/>
          <w:i w:val="off"/>
        </w:rPr>
        <w:t>[31]</w:t>
      </w:r>
      <w:r>
        <w:t>2. Type de ressource de mise en œuvre</w:t>
      </w:r>
    </w:p>
    <w:p w14:paraId="3D988DDA" w14:textId="27ABFEED">
      <w:pPr>
        <w:pStyle w:val="IPPParagraphnumbering"/>
        <w:numPr>
          <w:ilvl w:val="0"/>
          <w:numId w:val="0"/>
        </w:numPr>
      </w:pPr>
      <w:r>
        <w:rPr>
          <w:rStyle w:val="PleaseReviewParagraphId"/>
          <w:b w:val="off"/>
          <w:i w:val="off"/>
        </w:rPr>
        <w:t>[32]</w:t>
      </w:r>
      <w:r>
        <w:t>Nouvelle ressource de mise en œuvre, guide.</w:t>
      </w:r>
    </w:p>
    <w:p w14:paraId="2086AC34" w14:textId="7B4289A1">
      <w:pPr>
        <w:pStyle w:val="IPPHeading1"/>
      </w:pPr>
      <w:r>
        <w:rPr>
          <w:rStyle w:val="PleaseReviewParagraphId"/>
          <w:b w:val="off"/>
          <w:i w:val="off"/>
        </w:rPr>
        <w:t>[33]</w:t>
      </w:r>
      <w:r>
        <w:t>3. Articles de la Convention, NIMP et recommandations de la CMP devant être traités par la ressource de mise en œuvre proposée</w:t>
      </w:r>
    </w:p>
    <w:p w14:paraId="0DD3E66A" w14:textId="02928BEA">
      <w:pPr>
        <w:pStyle w:val="IPPParagraphnumbering"/>
        <w:numPr>
          <w:ilvl w:val="0"/>
          <w:numId w:val="0"/>
        </w:numPr>
      </w:pPr>
      <w:r>
        <w:rPr>
          <w:rStyle w:val="PleaseReviewParagraphId"/>
          <w:b w:val="off"/>
          <w:i w:val="off"/>
        </w:rPr>
        <w:t>[34]</w:t>
      </w:r>
      <w:r>
        <w:t>Convention internationale pour la protection des végétaux (article IV.2)</w:t>
      </w:r>
    </w:p>
    <w:p w14:paraId="4FF8B530" w14:textId="63F14EA3">
      <w:pPr>
        <w:pStyle w:val="IPPParagraphnumbering"/>
        <w:numPr>
          <w:ilvl w:val="0"/>
          <w:numId w:val="0"/>
        </w:numPr>
      </w:pPr>
      <w:r>
        <w:rPr>
          <w:rStyle w:val="PleaseReviewParagraphId"/>
          <w:b w:val="off"/>
          <w:i w:val="off"/>
        </w:rPr>
        <w:t>[35]</w:t>
      </w:r>
      <w:r>
        <w:t xml:space="preserve">NIMP 47: Audit dans le contexte phytosanitaire </w:t>
      </w:r>
    </w:p>
    <w:p w14:paraId="58E2D939" w14:textId="555D5020">
      <w:pPr>
        <w:pStyle w:val="IPPHeading1"/>
      </w:pPr>
      <w:r>
        <w:rPr>
          <w:rStyle w:val="PleaseReviewParagraphId"/>
          <w:b w:val="off"/>
          <w:i w:val="off"/>
        </w:rPr>
        <w:t>[36]</w:t>
      </w:r>
      <w:r>
        <w:t xml:space="preserve">4. Champ d’application </w:t>
      </w:r>
    </w:p>
    <w:p w14:paraId="7E65B235" w14:textId="278B3BF7">
      <w:pPr>
        <w:pStyle w:val="IPPParagraphnumbering"/>
        <w:numPr>
          <w:ilvl w:val="0"/>
          <w:numId w:val="0"/>
        </w:numPr>
      </w:pPr>
      <w:r>
        <w:rPr>
          <w:rStyle w:val="PleaseReviewParagraphId"/>
          <w:b w:val="off"/>
          <w:i w:val="off"/>
        </w:rPr>
        <w:t>[37]</w:t>
      </w:r>
      <w:r>
        <w:t>Ce guide de la CIPV fournira des informations destinées à aider les organisations nationales pour la protection des végétaux (ONPV) qui souhaitent mettre en place ou renforcer leurs procédures nationales relatives aux activités d’audit phytosanitaire. Il donnera des indications pratiques visant à aider les ONPV à effectuer des audits sur leur propre territoire ou sur le territoire d’une autre ONPV. Il sera axé sur les aspects phytosanitaires des audits, tels qu’établis dans la NIMP 47 (Audit dans le contexte phytosanitaire) et comprendra des outils pratiques, des exemples et des études de cas que les ONPV pourront adapter pour les appliquer à leur contexte particulier.</w:t>
      </w:r>
    </w:p>
    <w:p w14:paraId="4CC5425D" w14:textId="3EE8B9F1">
      <w:pPr>
        <w:pStyle w:val="IPPHeading1"/>
      </w:pPr>
      <w:r>
        <w:rPr>
          <w:rStyle w:val="PleaseReviewParagraphId"/>
          <w:b w:val="off"/>
          <w:i w:val="off"/>
        </w:rPr>
        <w:t>[38]</w:t>
      </w:r>
      <w:r>
        <w:t xml:space="preserve">5. Objet </w:t>
      </w:r>
    </w:p>
    <w:p w14:paraId="137DDF5B" w14:textId="471023A3">
      <w:pPr>
        <w:pStyle w:val="IPPParagraphnumbering"/>
        <w:numPr>
          <w:ilvl w:val="0"/>
          <w:numId w:val="0"/>
        </w:numPr>
      </w:pPr>
      <w:r>
        <w:rPr>
          <w:rStyle w:val="PleaseReviewParagraphId"/>
          <w:b w:val="off"/>
          <w:i w:val="off"/>
        </w:rPr>
        <w:t>[39]</w:t>
      </w:r>
      <w:r>
        <w:t>Les ONPV ont un certain nombre de responsabilités au titre de la CIPV en lien avec les activités ayant lieu sur leur territoire, notamment la surveillance, les inspections, la conduite d’analyses du risque phytosanitaire, l’établissement d’exigences phytosanitaires à l’importation, la certification phytosanitaire, la conduite ou la supervision de traitements pratiqués à titre de mesure phytosanitaire et la formation du personnel. Afin de s’acquitter efficacement de ces responsabilités, les ONPV ont de plus en plus recours à des audits pour s’assurer que les systèmes et procédures phytosanitaires atteignent leurs objectifs. Un audit mené dans le contexte phytosanitaire consiste à passer en revue de manière documentée et systématique un système ou une procédure phytosanitaires afin d’évaluer s’ils sont conformes aux exigences fixées par l’ONPV et si ce système ou cette procédure permettent d’atteindre les objectifs phytosanitaires visés. Contrairement à la supervision, un audit n’implique pas une observation et une direction constantes des activités, mais donne plutôt une évaluation d’un système ou d’une procédure phytosanitaire, ou de certains éléments particuliers d’un système ou d’une procédure, au moment de l’audit. L’audit consiste à recueillir des éléments factuels objectifs afin de déterminer si les résultats produits par le système ou la procédure phytosanitaires sont conformes aux exigences pertinentes de l’ONPV auditrice et s’il est donné suite efficacement à ces exigences de sorte à atteindre les objectifs phytosanitaires. Ce guide fournit aux ONPV des indications pratiques et décrit des pratiques optimales à l’appui de la réalisation des audits de systèmes et des audits ciblés sur leur propre territoire ou sur le territoire d’une autre ONPV et a pour objectif de favoriser la mise en œuvre harmonisée de la NIMP 47 (</w:t>
      </w:r>
      <w:r>
        <w:rPr>
          <w:i/>
          <w:iCs/>
        </w:rPr>
        <w:t>Audit dans le contexte phytosanitaire)</w:t>
      </w:r>
      <w:r>
        <w:t xml:space="preserve"> et des autres NIMP portant sur les audits, notamment la NIMP 14 (</w:t>
      </w:r>
      <w:r>
        <w:rPr>
          <w:i/>
          <w:iCs/>
        </w:rPr>
        <w:t>L’utilisation de mesures intégrées dans une approche systémique de gestion du risque phytosanitaire</w:t>
      </w:r>
      <w:r>
        <w:t>) et la NIMP 45 (</w:t>
      </w:r>
      <w:r>
        <w:rPr>
          <w:i/>
          <w:iCs/>
        </w:rPr>
        <w:t>Exigences applicables aux ONPV autorisant des entités à mener des actions phytosanitaires</w:t>
      </w:r>
      <w:r>
        <w:t xml:space="preserve">). </w:t>
      </w:r>
    </w:p>
    <w:p w14:paraId="14E33C34" w14:textId="22C5873A">
      <w:pPr>
        <w:pStyle w:val="IPPHeading1"/>
        <w:rPr>
          <w:lang w:val="es-ES"/>
        </w:rPr>
      </w:pPr>
      <w:r>
        <w:rPr>
          <w:rStyle w:val="PleaseReviewParagraphId"/>
          <w:b w:val="off"/>
          <w:i w:val="off"/>
        </w:rPr>
        <w:t>[40]</w:t>
      </w:r>
      <w:r>
        <w:rPr>
          <w:lang w:val="es-ES"/>
        </w:rPr>
        <w:t>6. Contenu de la ressource proposée pour la mise en œuvre</w:t>
      </w:r>
    </w:p>
    <w:p w14:paraId="4CAA6A3B" w14:textId="522CF5A0">
      <w:pPr>
        <w:pStyle w:val="IPPParagraphnumbering"/>
        <w:numPr>
          <w:ilvl w:val="0"/>
          <w:numId w:val="0"/>
        </w:numPr>
      </w:pPr>
      <w:r>
        <w:rPr>
          <w:rStyle w:val="PleaseReviewParagraphId"/>
          <w:b w:val="off"/>
          <w:i w:val="off"/>
        </w:rPr>
        <w:t>[41]</w:t>
      </w:r>
      <w:r>
        <w:t xml:space="preserve">Le groupe de travail devrait élaborer le contenu du guide en se fondant sur les résultats des tâches suivantes: </w:t>
      </w:r>
    </w:p>
    <w:p w14:paraId="40BA306D" w14:textId="06E9A577">
      <w:pPr>
        <w:pStyle w:val="IPPBullet1"/>
      </w:pPr>
      <w:r>
        <w:rPr>
          <w:rStyle w:val="PleaseReviewParagraphId"/>
          <w:b w:val="off"/>
          <w:i w:val="off"/>
        </w:rPr>
        <w:t>[42]</w:t>
      </w:r>
      <w:r>
        <w:lastRenderedPageBreak/>
        <w:t>expliquer l’objectif des audits, leurs avantages et leur utilisation dans le contexte des systèmes phytosanitaires nationaux;</w:t>
      </w:r>
    </w:p>
    <w:p w14:paraId="41E09B04" w14:textId="6BFCED93">
      <w:pPr>
        <w:pStyle w:val="IPPBullet1"/>
        <w:rPr>
          <w:lang w:val="es-ES"/>
        </w:rPr>
      </w:pPr>
      <w:r>
        <w:rPr>
          <w:rStyle w:val="PleaseReviewParagraphId"/>
          <w:b w:val="off"/>
          <w:i w:val="off"/>
        </w:rPr>
        <w:t>[43]</w:t>
      </w:r>
      <w:r>
        <w:rPr>
          <w:lang w:val="es-ES"/>
        </w:rPr>
        <w:t xml:space="preserve">décrire les circonstances pouvant motiver un audit phytosanitaire et les différences et similarités entre les audits menés sur le territoire de l’ONPV et ceux menés par l’ONPV d’un pays importateur sur le territoire d’un pays exportateur; </w:t>
      </w:r>
    </w:p>
    <w:p w14:paraId="09CBB33D" w14:textId="679BFF25">
      <w:pPr>
        <w:pStyle w:val="IPPBullet1"/>
        <w:rPr>
          <w:lang w:val="es-ES"/>
        </w:rPr>
      </w:pPr>
      <w:r>
        <w:rPr>
          <w:rStyle w:val="PleaseReviewParagraphId"/>
          <w:b w:val="off"/>
          <w:i w:val="off"/>
        </w:rPr>
        <w:t>[44]</w:t>
      </w:r>
      <w:r>
        <w:rPr>
          <w:lang w:val="es-ES"/>
        </w:rPr>
        <w:t>examiner le champ d’application, l’objectif et les procédures suivies pour les audits internes, les audits des entités autorisées et les audits à distance, et décrire les similarités et les différences;</w:t>
      </w:r>
    </w:p>
    <w:p w14:paraId="6C23BBFB" w14:textId="76C0E76E">
      <w:pPr>
        <w:pStyle w:val="IPPBullet1"/>
        <w:rPr>
          <w:lang w:val="es-ES"/>
        </w:rPr>
      </w:pPr>
      <w:r>
        <w:rPr>
          <w:rStyle w:val="PleaseReviewParagraphId"/>
          <w:b w:val="off"/>
          <w:i w:val="off"/>
        </w:rPr>
        <w:t>[45]</w:t>
      </w:r>
      <w:r>
        <w:rPr>
          <w:lang w:val="es-ES"/>
        </w:rPr>
        <w:t>examiner les similarités et les différences entre les audits de systèmes et les audits ciblés ainsi que leur champ d’application, leur objectif et leur utilisation;</w:t>
      </w:r>
    </w:p>
    <w:p w14:paraId="1F3D0444" w14:textId="7919451F">
      <w:pPr>
        <w:pStyle w:val="IPPBullet1"/>
        <w:rPr>
          <w:lang w:val="es-ES"/>
        </w:rPr>
      </w:pPr>
      <w:r>
        <w:rPr>
          <w:rStyle w:val="PleaseReviewParagraphId"/>
          <w:b w:val="off"/>
          <w:i w:val="off"/>
        </w:rPr>
        <w:t>[46]</w:t>
      </w:r>
      <w:r>
        <w:rPr>
          <w:lang w:val="es-ES"/>
        </w:rPr>
        <w:t>examiner les rôles et les responsabilités de l’ONPV, de l’auditeur et de l’entité faisant l’objet de l’audit;</w:t>
      </w:r>
    </w:p>
    <w:p w14:paraId="02D95CD4" w14:textId="181EA885">
      <w:pPr>
        <w:pStyle w:val="IPPBullet1"/>
        <w:rPr>
          <w:lang w:val="es-ES"/>
        </w:rPr>
      </w:pPr>
      <w:r>
        <w:rPr>
          <w:rStyle w:val="PleaseReviewParagraphId"/>
          <w:b w:val="off"/>
          <w:i w:val="off"/>
        </w:rPr>
        <w:t>[47]</w:t>
      </w:r>
      <w:r>
        <w:rPr>
          <w:lang w:val="es-ES"/>
        </w:rPr>
        <w:t>examiner les rôles et les responsabilités de l’ONPV en matière de supervision des entités qui sont autorisées à mener des audits phytosanitaires au nom de l’ONPV; examiner les informations fournies au chapitre 6 du guide sur la réglementation des matériaux d’emballage en bois (</w:t>
      </w:r>
      <w:r>
        <w:rPr>
          <w:i/>
          <w:iCs/>
          <w:lang w:val="es-ES"/>
        </w:rPr>
        <w:t>Guide to regulation of wood packaging material</w:t>
      </w:r>
      <w:r>
        <w:rPr>
          <w:lang w:val="es-ES"/>
        </w:rPr>
        <w:t xml:space="preserve"> [IPPC, 2023]); </w:t>
      </w:r>
    </w:p>
    <w:p w14:paraId="67CAE65D" w14:textId="5EAD9D98">
      <w:pPr>
        <w:pStyle w:val="IPPBullet1"/>
      </w:pPr>
      <w:r>
        <w:rPr>
          <w:rStyle w:val="PleaseReviewParagraphId"/>
          <w:b w:val="off"/>
          <w:i w:val="off"/>
        </w:rPr>
        <w:t>[48]</w:t>
      </w:r>
      <w:r>
        <w:t>examiner les étapes et les procédures de planification, d’élaboration, de réalisation et de communication des résultats d’un audit;</w:t>
      </w:r>
    </w:p>
    <w:p w14:paraId="53B56812" w14:textId="32C3001F">
      <w:pPr>
        <w:pStyle w:val="IPPBullet1"/>
      </w:pPr>
      <w:r>
        <w:rPr>
          <w:rStyle w:val="PleaseReviewParagraphId"/>
          <w:b w:val="off"/>
          <w:i w:val="off"/>
        </w:rPr>
        <w:t>[49]</w:t>
      </w:r>
      <w:r>
        <w:t>donner des indications sur la sélection des auditeurs lors de la constitution d’une équipe d’audit, la détermination de la fréquence des audits, le règlement des différends éventuels concernant les constatations des auditeurs, et les arrangements financiers sur lesquels les parties concernées doivent se mettre d’accord;</w:t>
      </w:r>
    </w:p>
    <w:p w14:paraId="71666F80" w14:textId="34ABC7BF">
      <w:pPr>
        <w:pStyle w:val="IPPBullet1"/>
        <w:rPr>
          <w:lang w:val="es-ES"/>
        </w:rPr>
      </w:pPr>
      <w:r>
        <w:rPr>
          <w:rStyle w:val="PleaseReviewParagraphId"/>
          <w:b w:val="off"/>
          <w:i w:val="off"/>
        </w:rPr>
        <w:t>[50]</w:t>
      </w:r>
      <w:r>
        <w:rPr>
          <w:lang w:val="es-ES"/>
        </w:rPr>
        <w:t>décrire les rôles et les responsabilités des différents membres d’une équipe d’audit et décrire les compétences minimales, l’expertise et la formation requises pour chacun d’entre eux;</w:t>
      </w:r>
    </w:p>
    <w:p w14:paraId="01D07019" w14:textId="45F5419B">
      <w:pPr>
        <w:pStyle w:val="IPPBullet1"/>
        <w:rPr>
          <w:lang w:val="es-ES"/>
        </w:rPr>
      </w:pPr>
      <w:r>
        <w:rPr>
          <w:rStyle w:val="PleaseReviewParagraphId"/>
          <w:b w:val="off"/>
          <w:i w:val="off"/>
        </w:rPr>
        <w:t>[51]</w:t>
      </w:r>
      <w:r>
        <w:rPr>
          <w:lang w:val="es-ES"/>
        </w:rPr>
        <w:t>décrire les éléments essentiels d’une liste de contrôle et fournir un exemple pouvant servir de modèle;</w:t>
      </w:r>
    </w:p>
    <w:p w14:paraId="65C9B631" w14:textId="77777777">
      <w:pPr>
        <w:pStyle w:val="IPPBullet1"/>
      </w:pPr>
      <w:r>
        <w:rPr>
          <w:rStyle w:val="PleaseReviewParagraphId"/>
          <w:b w:val="off"/>
          <w:i w:val="off"/>
        </w:rPr>
        <w:t>[52]</w:t>
      </w:r>
      <w:r>
        <w:t>décrire différents types de non-conformités et proposer des activités de suivi appropriées selon le type de non-conformité;</w:t>
      </w:r>
    </w:p>
    <w:p w14:paraId="34692674" w14:textId="16D7E6F5">
      <w:pPr>
        <w:pStyle w:val="IPPBullet1"/>
      </w:pPr>
      <w:r>
        <w:rPr>
          <w:rStyle w:val="PleaseReviewParagraphId"/>
          <w:b w:val="off"/>
          <w:i w:val="off"/>
        </w:rPr>
        <w:t>[53]</w:t>
      </w:r>
      <w:r>
        <w:t>examiner les meilleures pratiques d’audit, notamment l’importance de l’indépendance et de l’objectivité et les avantages de la rotation des auditeurs;</w:t>
      </w:r>
    </w:p>
    <w:p w14:paraId="326BC1AA" w14:textId="77777777">
      <w:pPr>
        <w:pStyle w:val="IPPBullet1"/>
      </w:pPr>
      <w:r>
        <w:rPr>
          <w:rStyle w:val="PleaseReviewParagraphId"/>
          <w:b w:val="off"/>
          <w:i w:val="off"/>
        </w:rPr>
        <w:t>[54]</w:t>
      </w:r>
      <w:r>
        <w:t xml:space="preserve">examiner les documents figurant dans la section des références relatives aux audits phytosanitaires; </w:t>
      </w:r>
    </w:p>
    <w:p w14:paraId="6AF1747E" w14:textId="77777777">
      <w:pPr>
        <w:pStyle w:val="IPPBullet1"/>
        <w:rPr>
          <w:lang w:val="es-ES"/>
        </w:rPr>
      </w:pPr>
      <w:r>
        <w:rPr>
          <w:rStyle w:val="PleaseReviewParagraphId"/>
          <w:b w:val="off"/>
          <w:i w:val="off"/>
        </w:rPr>
        <w:t>[55]</w:t>
      </w:r>
      <w:r>
        <w:rPr>
          <w:lang w:val="es-ES"/>
        </w:rPr>
        <w:t>recommander des ressources nationales ou régionales complémentaires pouvant être partagées avec la communauté de la CIPV pour améliorer la mise en œuvre de la NIMP 47; </w:t>
      </w:r>
    </w:p>
    <w:p w14:paraId="0F9543BD" w14:textId="5D06E7C5">
      <w:pPr>
        <w:pStyle w:val="IPPBullet1"/>
        <w:rPr>
          <w:lang w:val="es-ES"/>
        </w:rPr>
      </w:pPr>
      <w:r>
        <w:rPr>
          <w:rStyle w:val="PleaseReviewParagraphId"/>
          <w:b w:val="off"/>
          <w:i w:val="off"/>
        </w:rPr>
        <w:t>[56]</w:t>
      </w:r>
      <w:r>
        <w:rPr>
          <w:lang w:val="es-ES"/>
        </w:rPr>
        <w:t>examiner les questions relatives à la mise en œuvre recensées par le groupe de travail d’experts chargé d’élaborer la NIMP 47 (</w:t>
      </w:r>
      <w:r>
        <w:rPr>
          <w:i/>
          <w:iCs/>
          <w:lang w:val="es-ES"/>
        </w:rPr>
        <w:t>Audit dans le contexte phytosanitaire</w:t>
      </w:r>
      <w:r>
        <w:rPr>
          <w:lang w:val="es-ES"/>
        </w:rPr>
        <w:t xml:space="preserve">), et décrites dans le rapport de ce dernier (juin 2019); </w:t>
      </w:r>
    </w:p>
    <w:p w14:paraId="4F8DCA11" w14:textId="429F2647">
      <w:pPr>
        <w:pStyle w:val="IPPBullet1"/>
      </w:pPr>
      <w:r>
        <w:rPr>
          <w:rStyle w:val="PleaseReviewParagraphId"/>
          <w:b w:val="off"/>
          <w:i w:val="off"/>
        </w:rPr>
        <w:t>[57]</w:t>
      </w:r>
      <w:r>
        <w:t>examiner le contenu de la NIMP 47 et éviter toute répétition inutile d’informations figurant dans la norme;</w:t>
      </w:r>
    </w:p>
    <w:p w14:paraId="0D8DBCC7" w14:textId="7F27413C">
      <w:pPr>
        <w:pStyle w:val="IPPBullet1"/>
      </w:pPr>
      <w:r>
        <w:rPr>
          <w:rStyle w:val="PleaseReviewParagraphId"/>
          <w:b w:val="off"/>
          <w:i w:val="off"/>
        </w:rPr>
        <w:t>[58]</w:t>
      </w:r>
      <w:r>
        <w:t xml:space="preserve">examiner le champ d’application du guide intitulé </w:t>
      </w:r>
      <w:r>
        <w:rPr>
          <w:i/>
          <w:iCs/>
        </w:rPr>
        <w:t>Authorization of entities to perform phytosanitary actions</w:t>
      </w:r>
      <w:r>
        <w:t xml:space="preserve"> (2018- 040) (autorisation d’entités à mener des actions phytosanitaires), décrit dans la spécification, et veiller à la complémentarité des deux guides et à l’absence de chevauchement inutile de leurs contenus; </w:t>
      </w:r>
    </w:p>
    <w:p w14:paraId="49F385EE" w14:textId="077B8A82">
      <w:pPr>
        <w:pStyle w:val="IPPBullet1"/>
      </w:pPr>
      <w:r>
        <w:rPr>
          <w:rStyle w:val="PleaseReviewParagraphId"/>
          <w:b w:val="off"/>
          <w:i w:val="off"/>
        </w:rPr>
        <w:t>[59]</w:t>
      </w:r>
      <w:r>
        <w:t xml:space="preserve">recenser des études de cas montrant comment les pays ont relevé certains des défis liés à la réalisation d’audits dans le contexte phytosanitaire. </w:t>
      </w:r>
    </w:p>
    <w:p w14:paraId="322B9032" w14:textId="77777777">
      <w:pPr>
        <w:pStyle w:val="IPPHeading1"/>
      </w:pPr>
      <w:r>
        <w:rPr>
          <w:rStyle w:val="PleaseReviewParagraphId"/>
          <w:b w:val="off"/>
          <w:i w:val="off"/>
        </w:rPr>
        <w:t>[60]</w:t>
      </w:r>
      <w:r>
        <w:t xml:space="preserve">7. Contributions financières et en nature </w:t>
      </w:r>
    </w:p>
    <w:p w14:paraId="2ADB4EFE" w14:textId="45CA8F5E">
      <w:pPr>
        <w:pStyle w:val="IPPParagraphnumbering"/>
        <w:numPr>
          <w:ilvl w:val="0"/>
          <w:numId w:val="0"/>
        </w:numPr>
      </w:pPr>
      <w:r>
        <w:rPr>
          <w:rStyle w:val="PleaseReviewParagraphId"/>
          <w:b w:val="off"/>
          <w:i w:val="off"/>
        </w:rPr>
        <w:t>[61]</w:t>
      </w:r>
      <w:r>
        <w:t>L’élaboration de ce guide sera financée en partie par une contribution versée par le Canada au Fonds fiduciaire multidonateurs de la CIPV.</w:t>
      </w:r>
    </w:p>
    <w:p w14:paraId="7061A9EF" w14:textId="6E0E04CE">
      <w:pPr>
        <w:pStyle w:val="IPPHeading1"/>
      </w:pPr>
      <w:r>
        <w:rPr>
          <w:rStyle w:val="PleaseReviewParagraphId"/>
          <w:b w:val="off"/>
          <w:i w:val="off"/>
        </w:rPr>
        <w:t>[62]</w:t>
      </w:r>
      <w:r>
        <w:lastRenderedPageBreak/>
        <w:t xml:space="preserve">8. Critères de sélection des spécialistes des groupes de travail </w:t>
      </w:r>
    </w:p>
    <w:p w14:paraId="2F605290" w14:textId="56FA9864">
      <w:pPr>
        <w:pStyle w:val="IPPParagraphnumbering"/>
        <w:numPr>
          <w:ilvl w:val="0"/>
          <w:numId w:val="0"/>
        </w:numPr>
      </w:pPr>
      <w:r>
        <w:rPr>
          <w:rStyle w:val="PleaseReviewParagraphId"/>
          <w:b w:val="off"/>
          <w:i w:val="off"/>
        </w:rPr>
        <w:t>[63]</w:t>
      </w:r>
      <w:r>
        <w:t>Dans un souci d’équité, de diversité et d’inclusion, le secrétariat de la CIPV et le Comité chargé de la mise en œuvre et du renforcement des capacités encouragent tous les experts intéressés à postuler pour intégrer le groupe de travail qui sera chargé d’élaborer ce guide de la CIPV ou le matériel de formation. Les membres du groupe de travail seront sélectionnés sur la base de leur expertise technique et pratique dans le domaine concerné. La représentation géographique des pays en développement et des pays développés sera également prise en compte afin que le matériel élaboré soit applicable à l’échelle mondiale et reflète les meilleures pratiques recensées dans le monde entier.</w:t>
      </w:r>
    </w:p>
    <w:p w14:paraId="6DC12E15" w14:textId="4497C5D1">
      <w:pPr>
        <w:pStyle w:val="IPPParagraphnumbering"/>
        <w:numPr>
          <w:ilvl w:val="0"/>
          <w:numId w:val="0"/>
        </w:numPr>
      </w:pPr>
      <w:r>
        <w:rPr>
          <w:rStyle w:val="PleaseReviewParagraphId"/>
          <w:b w:val="off"/>
          <w:i w:val="off"/>
        </w:rPr>
        <w:t>[64]</w:t>
      </w:r>
      <w:r>
        <w:t>Les membres du groupe de travail devraient être sélectionnés en fonction des critères qui suivent.</w:t>
      </w:r>
    </w:p>
    <w:p w14:paraId="2711CA00" w14:textId="77777777">
      <w:pPr>
        <w:pStyle w:val="IPPParagraphnumbering"/>
        <w:numPr>
          <w:ilvl w:val="0"/>
          <w:numId w:val="0"/>
        </w:numPr>
      </w:pPr>
      <w:r>
        <w:rPr>
          <w:rStyle w:val="PleaseReviewParagraphId"/>
          <w:b w:val="off"/>
          <w:i w:val="off"/>
        </w:rPr>
        <w:t>[65]</w:t>
      </w:r>
      <w:r>
        <w:t>Compétences et connaissances pratiques dans un ou plusieurs des domaines suivants:</w:t>
      </w:r>
    </w:p>
    <w:p w14:paraId="5E03F87C" w14:textId="192FBA4C">
      <w:pPr>
        <w:pStyle w:val="IPPBullet1"/>
      </w:pPr>
      <w:r>
        <w:rPr>
          <w:rStyle w:val="PleaseReviewParagraphId"/>
          <w:b w:val="off"/>
          <w:i w:val="off"/>
        </w:rPr>
        <w:t>[66]</w:t>
      </w:r>
      <w:r>
        <w:t xml:space="preserve"> audits dans le contexte phytosanitaire, notamment audits d’instances du pays exportateur effectués par l’ONPV du pays exportateur, audits du système de certification phytosanitaire effectués par l’ONPV du pays importateur dans le pays exportateur, et audits d’instances autres que les ONPV qui sont autorisées à mener des actions phytosanitaires;</w:t>
      </w:r>
    </w:p>
    <w:p w14:paraId="3CC77788" w14:textId="42C9E9E8">
      <w:pPr>
        <w:pStyle w:val="IPPBullet1"/>
      </w:pPr>
      <w:r>
        <w:rPr>
          <w:rStyle w:val="PleaseReviewParagraphId"/>
          <w:b w:val="off"/>
          <w:i w:val="off"/>
        </w:rPr>
        <w:t>[67]</w:t>
      </w:r>
      <w:r>
        <w:t xml:space="preserve"> élaboration de matériel de formation, organisation de formations, d’ateliers ou de cours sur les principes d’audit, participation à des audits phytosanitaires ou direction d’équipes d’audit phytosanitaire;</w:t>
      </w:r>
    </w:p>
    <w:p w14:paraId="71658490" w14:textId="6689C07B">
      <w:pPr>
        <w:pStyle w:val="IPPBullet1"/>
      </w:pPr>
      <w:r>
        <w:rPr>
          <w:rStyle w:val="PleaseReviewParagraphId"/>
          <w:b w:val="off"/>
          <w:i w:val="off"/>
        </w:rPr>
        <w:t>[68]</w:t>
      </w:r>
      <w:r>
        <w:rPr>
          <w:color w:val="000000" w:themeColor="text1"/>
        </w:rPr>
        <w:t>solide maîtrise courante de l’anglais et capacité à formuler des idées et à rédiger clairement dans cette langue.</w:t>
      </w:r>
    </w:p>
    <w:p w14:paraId="6C3F90F9" w14:textId="77777777">
      <w:pPr>
        <w:pStyle w:val="IPPHeading1"/>
      </w:pPr>
      <w:r>
        <w:rPr>
          <w:rStyle w:val="PleaseReviewParagraphId"/>
          <w:b w:val="off"/>
          <w:i w:val="off"/>
        </w:rPr>
        <w:t>[69]</w:t>
      </w:r>
      <w:r>
        <w:t>9. Références et documents complémentaires</w:t>
      </w:r>
    </w:p>
    <w:p w14:paraId="1B08AAA9" w14:textId="46E8F3B7">
      <w:pPr>
        <w:pStyle w:val="IPPReferences"/>
      </w:pPr>
      <w:r>
        <w:rPr>
          <w:rStyle w:val="PleaseReviewParagraphId"/>
          <w:b w:val="off"/>
          <w:i w:val="off"/>
        </w:rPr>
        <w:t>[70]</w:t>
      </w:r>
      <w:r>
        <w:rPr>
          <w:rStyle w:val="normaltextrun"/>
          <w:b/>
          <w:bCs/>
          <w:szCs w:val="22"/>
          <w:lang w:val="es-ES"/>
        </w:rPr>
        <w:t>NIMP 5.</w:t>
      </w:r>
      <w:r>
        <w:rPr>
          <w:rStyle w:val="normaltextrun"/>
          <w:szCs w:val="22"/>
          <w:lang w:val="es-ES"/>
        </w:rPr>
        <w:t> </w:t>
      </w:r>
      <w:r>
        <w:rPr>
          <w:rStyle w:val="normaltextrun"/>
          <w:i/>
          <w:iCs/>
          <w:szCs w:val="22"/>
          <w:lang w:val="es-ES"/>
        </w:rPr>
        <w:t>Glossaire des termes phytosanitaires. </w:t>
      </w:r>
      <w:r>
        <w:rPr>
          <w:rStyle w:val="normaltextrun"/>
          <w:szCs w:val="22"/>
          <w:lang w:val="es-ES"/>
        </w:rPr>
        <w:t xml:space="preserve">Rome, secrétariat de la CIPV, FAO </w:t>
      </w:r>
      <w:r>
        <w:t xml:space="preserve">[en ligne]. </w:t>
      </w:r>
      <w:hyperlink r:id="rId11">
        <w:r>
          <w:rPr>
            <w:rStyle w:val="Hyperlink"/>
            <w:szCs w:val="22"/>
          </w:rPr>
          <w:t>https://www.ippc.int/fr/publications/622/</w:t>
        </w:r>
      </w:hyperlink>
      <w:r>
        <w:t>.</w:t>
      </w:r>
    </w:p>
    <w:p w14:paraId="553F5CC9" w14:textId="13C7584C">
      <w:pPr>
        <w:pStyle w:val="IPPReferences"/>
        <w:rPr>
          <w:rFonts w:eastAsia="MS Mincho"/>
        </w:rPr>
      </w:pPr>
      <w:r>
        <w:rPr>
          <w:rStyle w:val="PleaseReviewParagraphId"/>
          <w:b w:val="off"/>
          <w:i w:val="off"/>
        </w:rPr>
        <w:t>[71]</w:t>
      </w:r>
      <w:r>
        <w:rPr>
          <w:rStyle w:val="eop"/>
          <w:b/>
          <w:bCs/>
          <w:szCs w:val="22"/>
        </w:rPr>
        <w:t xml:space="preserve">NIMP 14. 2021. </w:t>
      </w:r>
      <w:r>
        <w:rPr>
          <w:rStyle w:val="eop"/>
          <w:i/>
          <w:iCs/>
          <w:szCs w:val="22"/>
        </w:rPr>
        <w:t xml:space="preserve">L’utilisation de mesures intégrées dans une approche systémique de gestion du risque phytosanitaire. </w:t>
      </w:r>
      <w:r>
        <w:rPr>
          <w:rStyle w:val="normaltextrun"/>
          <w:szCs w:val="22"/>
          <w:lang w:val="es-ES"/>
        </w:rPr>
        <w:t>Rome, secrétariat de la CIPV, FAO</w:t>
      </w:r>
      <w:r>
        <w:t xml:space="preserve">. </w:t>
      </w:r>
      <w:hyperlink r:id="rId12">
        <w:r>
          <w:rPr>
            <w:rStyle w:val="Hyperlink"/>
            <w:szCs w:val="22"/>
            <w:lang w:val="es-ES"/>
          </w:rPr>
          <w:t>https://www.ippc.int/fr/publications/607/</w:t>
        </w:r>
      </w:hyperlink>
      <w:r>
        <w:t>.</w:t>
      </w:r>
    </w:p>
    <w:p w14:paraId="13FDABCE" w14:textId="3B6906C7">
      <w:pPr>
        <w:pStyle w:val="IPPReferences"/>
      </w:pPr>
      <w:r>
        <w:rPr>
          <w:rStyle w:val="PleaseReviewParagraphId"/>
          <w:b w:val="off"/>
          <w:i w:val="off"/>
        </w:rPr>
        <w:t>[72]</w:t>
      </w:r>
      <w:r>
        <w:rPr>
          <w:b/>
          <w:bCs/>
        </w:rPr>
        <w:t>NIMP 45. 2022.</w:t>
      </w:r>
      <w:r>
        <w:t xml:space="preserve"> </w:t>
      </w:r>
      <w:r>
        <w:rPr>
          <w:i/>
          <w:iCs/>
        </w:rPr>
        <w:t>Exigences applicables aux ONPV autorisant des entités à mener des actions phytosanitaires</w:t>
      </w:r>
      <w:r>
        <w:t xml:space="preserve">. Rome, secrétariat de la CIPV, FAO. </w:t>
      </w:r>
      <w:hyperlink r:id="rId13">
        <w:r>
          <w:rPr>
            <w:rStyle w:val="Hyperlink"/>
            <w:szCs w:val="22"/>
            <w:lang w:val="es-ES"/>
          </w:rPr>
          <w:t>https://www.ippc.int/fr/publications/89734/</w:t>
        </w:r>
      </w:hyperlink>
      <w:r>
        <w:t xml:space="preserve">. </w:t>
      </w:r>
    </w:p>
    <w:p w14:paraId="16BA3EE1" w14:textId="5B877305">
      <w:pPr>
        <w:pStyle w:val="IPPReferences"/>
      </w:pPr>
      <w:r>
        <w:rPr>
          <w:rStyle w:val="PleaseReviewParagraphId"/>
          <w:b w:val="off"/>
          <w:i w:val="off"/>
        </w:rPr>
        <w:t>[73]</w:t>
      </w:r>
      <w:r>
        <w:rPr>
          <w:b/>
          <w:bCs/>
        </w:rPr>
        <w:t>NIMP 47. 2023.</w:t>
      </w:r>
      <w:r>
        <w:t xml:space="preserve"> </w:t>
      </w:r>
      <w:r>
        <w:rPr>
          <w:i/>
          <w:iCs/>
        </w:rPr>
        <w:t>Audit dans le contexte phytosanitaire</w:t>
      </w:r>
      <w:r>
        <w:t xml:space="preserve">. Rome, secrétariat de la CIPV, FAO. </w:t>
      </w:r>
      <w:hyperlink r:id="rId14">
        <w:r>
          <w:rPr>
            <w:rStyle w:val="Hyperlink"/>
            <w:szCs w:val="22"/>
            <w:lang w:val="es-ES"/>
          </w:rPr>
          <w:t>https://www.ippc.int/fr/publications/91185/</w:t>
        </w:r>
      </w:hyperlink>
      <w:r>
        <w:t xml:space="preserve">. </w:t>
      </w:r>
    </w:p>
    <w:p w14:paraId="02E59F20" w14:textId="51A7ADEC">
      <w:pPr>
        <w:pStyle w:val="IPPReferences"/>
      </w:pPr>
      <w:r>
        <w:rPr>
          <w:rStyle w:val="PleaseReviewParagraphId"/>
          <w:b w:val="off"/>
          <w:i w:val="off"/>
        </w:rPr>
        <w:t>[74]</w:t>
      </w:r>
      <w:r>
        <w:rPr>
          <w:b/>
        </w:rPr>
        <w:t>Secrétariat de la CIPV. 2015.</w:t>
      </w:r>
      <w:r>
        <w:t xml:space="preserve"> </w:t>
      </w:r>
      <w:r>
        <w:rPr>
          <w:i/>
          <w:iCs/>
        </w:rPr>
        <w:t>Fonctionnement d’une organisation nationale de la protection des végétaux –</w:t>
      </w:r>
      <w:r>
        <w:rPr>
          <w:i/>
        </w:rPr>
        <w:t xml:space="preserve"> </w:t>
      </w:r>
      <w:r>
        <w:rPr>
          <w:i/>
          <w:iCs/>
        </w:rPr>
        <w:t>Un guide pour comprendre les principales exigences relatives au fonctionnement d’une organisation qui protège les ressources végétales nationales des organismes nuisibles.</w:t>
      </w:r>
      <w:r>
        <w:t xml:space="preserve"> Rome, secrétariat de la CIPV, FAO. </w:t>
      </w:r>
      <w:hyperlink w:history="1" r:id="rId15">
        <w:r>
          <w:rPr>
            <w:rStyle w:val="Hyperlink"/>
            <w:lang w:val="es-ES"/>
          </w:rPr>
          <w:t>https://www.ippc.int/fr/publications/90633/</w:t>
        </w:r>
      </w:hyperlink>
      <w:r>
        <w:t xml:space="preserve">. </w:t>
      </w:r>
    </w:p>
    <w:p w14:paraId="35097AEA" w14:textId="25FBA616">
      <w:pPr>
        <w:pStyle w:val="IPPReferences"/>
        <w:rPr>
          <w:rStyle w:val="Hyperlink"/>
          <w:rFonts w:eastAsia="Times New Roman"/>
          <w:szCs w:val="22"/>
        </w:rPr>
      </w:pPr>
      <w:r>
        <w:rPr>
          <w:rStyle w:val="PleaseReviewParagraphId"/>
          <w:b w:val="off"/>
          <w:i w:val="off"/>
        </w:rPr>
        <w:t>[75]</w:t>
      </w:r>
      <w:r>
        <w:rPr>
          <w:rStyle w:val="eop"/>
          <w:b/>
          <w:bCs/>
          <w:szCs w:val="22"/>
        </w:rPr>
        <w:t>Secrétariat de la CIPV. 2019.</w:t>
      </w:r>
      <w:r>
        <w:t xml:space="preserve"> </w:t>
      </w:r>
      <w:r>
        <w:rPr>
          <w:i/>
          <w:iCs/>
        </w:rPr>
        <w:t>Report of the Expert Working Group on Audit in the phytosanitary context (2015-014)</w:t>
      </w:r>
      <w:r>
        <w:t xml:space="preserve"> </w:t>
      </w:r>
      <w:hyperlink r:id="rId16">
        <w:r>
          <w:rPr>
            <w:rStyle w:val="Hyperlink"/>
            <w:szCs w:val="22"/>
          </w:rPr>
          <w:t>https://www.ippc.int/fr/publications/87497/</w:t>
        </w:r>
      </w:hyperlink>
      <w:r>
        <w:t>.</w:t>
      </w:r>
    </w:p>
    <w:p w14:paraId="7FE82997" w14:textId="41FF0C65">
      <w:pPr>
        <w:pStyle w:val="IPPReferences"/>
        <w:rPr>
          <w:rFonts w:eastAsia="Times New Roman"/>
        </w:rPr>
      </w:pPr>
      <w:r>
        <w:rPr>
          <w:rStyle w:val="PleaseReviewParagraphId"/>
          <w:b w:val="off"/>
          <w:i w:val="off"/>
        </w:rPr>
        <w:t>[76]</w:t>
      </w:r>
      <w:r>
        <w:rPr>
          <w:b/>
          <w:bCs/>
          <w:color w:val="545454"/>
        </w:rPr>
        <w:t>Secrétariat de la CIPV. 2023.</w:t>
      </w:r>
      <w:r>
        <w:rPr>
          <w:color w:val="545454"/>
        </w:rPr>
        <w:t xml:space="preserve"> </w:t>
      </w:r>
      <w:r>
        <w:rPr>
          <w:i/>
          <w:iCs/>
          <w:color w:val="545454"/>
        </w:rPr>
        <w:t>Guide to regulation of wood packaging material – Understanding the phytosanitary requirements for the movement of wood packaging material in international trade.</w:t>
      </w:r>
      <w:r>
        <w:rPr>
          <w:color w:val="545454"/>
        </w:rPr>
        <w:t xml:space="preserve"> Rome, FAO au nom du secrétariat de la Convention internationale pour la protection des végétaux. </w:t>
      </w:r>
      <w:hyperlink r:id="rId17">
        <w:r>
          <w:rPr>
            <w:rStyle w:val="Hyperlink"/>
            <w:lang w:val="es-ES"/>
          </w:rPr>
          <w:t>https://www.fao.org/documents/card/fr/c/cc5059en</w:t>
        </w:r>
      </w:hyperlink>
      <w:r>
        <w:t>.</w:t>
      </w:r>
    </w:p>
    <w:p w14:paraId="1897451A" w14:textId="6A041509">
      <w:pPr>
        <w:pStyle w:val="IPPReferences"/>
        <w:rPr>
          <w:rFonts w:eastAsia="Times New Roman"/>
          <w:i/>
          <w:iCs/>
        </w:rPr>
      </w:pPr>
      <w:r>
        <w:rPr>
          <w:rStyle w:val="PleaseReviewParagraphId"/>
          <w:b w:val="off"/>
          <w:i w:val="off"/>
        </w:rPr>
        <w:t>[77]</w:t>
      </w:r>
      <w:r>
        <w:rPr>
          <w:b/>
          <w:bCs/>
        </w:rPr>
        <w:t xml:space="preserve">Organisation nord-américaine pour la protection des plantes 2021. </w:t>
      </w:r>
      <w:r>
        <w:t xml:space="preserve">Normes régionales pour les mesures phytosanitaires (NRMP) 9. </w:t>
      </w:r>
      <w:r>
        <w:rPr>
          <w:i/>
          <w:iCs/>
        </w:rPr>
        <w:t xml:space="preserve">Authorization of Laboratories for Phytosanitary Testing. </w:t>
      </w:r>
      <w:hyperlink w:history="1" r:id="rId18">
        <w:r>
          <w:rPr>
            <w:rStyle w:val="Hyperlink"/>
          </w:rPr>
          <w:t>https://nappo.org/application/files/9216/1676/6222/20210319_RS</w:t>
        </w:r>
        <w:r>
          <w:rPr>
            <w:rStyle w:val="Hyperlink"/>
          </w:rPr>
          <w:t>PM9-e.pdf</w:t>
        </w:r>
      </w:hyperlink>
      <w:r>
        <w:t>.</w:t>
      </w:r>
    </w:p>
    <w:sectPr>
      <w:pgSz w:w="12240" w:h="15840"/>
      <w:pgMar w:top="1440" w:right="1440" w:bottom="1440" w:left="1440" w:header="720" w:footer="720" w:gutter="0"/>
      <w:cols w:space="720"/>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AB907" w14:textId="77777777">
      <w:r>
        <w:rPr>
          <w:rStyle w:val="PleaseReviewParagraphId"/>
          <w:b w:val="off"/>
          <w:i w:val="off"/>
        </w:rPr>
        <w:t>[]</w:t>
      </w:r>
      <w:r>
        <w:separator/>
      </w:r>
    </w:p>
  </w:endnote>
  <w:endnote w:type="continuationSeparator" w:id="0">
    <w:p w14:paraId="7BE09F33" w14:textId="77777777">
      <w:r>
        <w:rPr>
          <w:rStyle w:val="PleaseReviewParagraphId"/>
          <w:b w:val="off"/>
          <w:i w:val="off"/>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A74A2" w14:textId="77777777">
      <w:r>
        <w:rPr>
          <w:rStyle w:val="PleaseReviewParagraphId"/>
          <w:b w:val="off"/>
          <w:i w:val="off"/>
        </w:rPr>
        <w:t>[]</w:t>
      </w:r>
      <w:r>
        <w:separator/>
      </w:r>
    </w:p>
  </w:footnote>
  <w:footnote w:type="continuationSeparator" w:id="0">
    <w:p w14:paraId="6B13F621" w14:textId="77777777">
      <w:r>
        <w:rPr>
          <w:rStyle w:val="PleaseReviewParagraphId"/>
          <w:b w:val="off"/>
          <w:i w:val="off"/>
        </w:rPr>
        <w:t>[]</w:t>
      </w:r>
      <w:r>
        <w:continuationSeparator/>
      </w:r>
    </w:p>
  </w:footnote>
</w:footnotes>
</file>

<file path=word/intelligence.xml><?xml version="1.0" encoding="utf-8"?>
<int:Intelligence xmlns:int="http://schemas.microsoft.com/office/intelligence/2019/intelligence">
  <int:IntelligenceSettings/>
  <int:Manifest>
    <int:WordHash hashCode="fEkrY0I5lN3uz1" id="GD8/0s4+"/>
  </int:Manifest>
  <int:Observations>
    <int:Content id="GD8/0s4+">
      <int:Rejection type="LegacyProofing"/>
    </int:Content>
  </int:Observations>
</int:Intelligence>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23500"/>
    <w:multiLevelType w:val="multilevel"/>
    <w:tmpl w:val="1A50DC8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751786"/>
    <w:multiLevelType w:val="hybridMultilevel"/>
    <w:tmpl w:val="02B89F90"/>
    <w:lvl w:ilvl="0" w:tplc="BE1A9A1E">
      <w:start w:val="1"/>
      <w:numFmt w:val="decimal"/>
      <w:lvlText w:val="%1)"/>
      <w:lvlJc w:val="left"/>
      <w:pPr>
        <w:ind w:left="927" w:hanging="360"/>
      </w:pPr>
      <w:rPr>
        <w:rFonts w:ascii="Times New Roman" w:hAnsi="Times New Roman" w:cs="Times New Roman" w:hint="default"/>
        <w:b w:val="0"/>
        <w:i w:val="0"/>
        <w:color w:val="auto"/>
        <w:sz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84DCE"/>
    <w:multiLevelType w:val="hybridMultilevel"/>
    <w:tmpl w:val="0630C84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311C45"/>
    <w:multiLevelType w:val="hybridMultilevel"/>
    <w:tmpl w:val="70D8679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9516C76"/>
    <w:multiLevelType w:val="hybridMultilevel"/>
    <w:tmpl w:val="7CA09158"/>
    <w:lvl w:ilvl="0" w:tplc="664E137E">
      <w:start w:val="3"/>
      <w:numFmt w:val="bullet"/>
      <w:lvlText w:val="-"/>
      <w:lvlJc w:val="center"/>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AA159F8"/>
    <w:multiLevelType w:val="hybridMultilevel"/>
    <w:tmpl w:val="D176451E"/>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21EE61FD"/>
    <w:multiLevelType w:val="multilevel"/>
    <w:tmpl w:val="CD82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821D4C"/>
    <w:multiLevelType w:val="hybridMultilevel"/>
    <w:tmpl w:val="A726C5EE"/>
    <w:lvl w:ilvl="0" w:tplc="04090003">
      <w:start w:val="1"/>
      <w:numFmt w:val="bullet"/>
      <w:lvlText w:val="o"/>
      <w:lvlJc w:val="left"/>
      <w:pPr>
        <w:ind w:left="2136" w:hanging="360"/>
      </w:pPr>
      <w:rPr>
        <w:rFonts w:ascii="Courier New" w:hAnsi="Courier New" w:cs="Courier New" w:hint="default"/>
      </w:rPr>
    </w:lvl>
    <w:lvl w:ilvl="1" w:tplc="10090003" w:tentative="1">
      <w:start w:val="1"/>
      <w:numFmt w:val="bullet"/>
      <w:lvlText w:val="o"/>
      <w:lvlJc w:val="left"/>
      <w:pPr>
        <w:ind w:left="2856" w:hanging="360"/>
      </w:pPr>
      <w:rPr>
        <w:rFonts w:ascii="Courier New" w:hAnsi="Courier New" w:cs="Courier New" w:hint="default"/>
      </w:rPr>
    </w:lvl>
    <w:lvl w:ilvl="2" w:tplc="10090005" w:tentative="1">
      <w:start w:val="1"/>
      <w:numFmt w:val="bullet"/>
      <w:lvlText w:val=""/>
      <w:lvlJc w:val="left"/>
      <w:pPr>
        <w:ind w:left="3576" w:hanging="360"/>
      </w:pPr>
      <w:rPr>
        <w:rFonts w:ascii="Wingdings" w:hAnsi="Wingdings" w:hint="default"/>
      </w:rPr>
    </w:lvl>
    <w:lvl w:ilvl="3" w:tplc="10090001" w:tentative="1">
      <w:start w:val="1"/>
      <w:numFmt w:val="bullet"/>
      <w:lvlText w:val=""/>
      <w:lvlJc w:val="left"/>
      <w:pPr>
        <w:ind w:left="4296" w:hanging="360"/>
      </w:pPr>
      <w:rPr>
        <w:rFonts w:ascii="Symbol" w:hAnsi="Symbol" w:hint="default"/>
      </w:rPr>
    </w:lvl>
    <w:lvl w:ilvl="4" w:tplc="10090003" w:tentative="1">
      <w:start w:val="1"/>
      <w:numFmt w:val="bullet"/>
      <w:lvlText w:val="o"/>
      <w:lvlJc w:val="left"/>
      <w:pPr>
        <w:ind w:left="5016" w:hanging="360"/>
      </w:pPr>
      <w:rPr>
        <w:rFonts w:ascii="Courier New" w:hAnsi="Courier New" w:cs="Courier New" w:hint="default"/>
      </w:rPr>
    </w:lvl>
    <w:lvl w:ilvl="5" w:tplc="10090005" w:tentative="1">
      <w:start w:val="1"/>
      <w:numFmt w:val="bullet"/>
      <w:lvlText w:val=""/>
      <w:lvlJc w:val="left"/>
      <w:pPr>
        <w:ind w:left="5736" w:hanging="360"/>
      </w:pPr>
      <w:rPr>
        <w:rFonts w:ascii="Wingdings" w:hAnsi="Wingdings" w:hint="default"/>
      </w:rPr>
    </w:lvl>
    <w:lvl w:ilvl="6" w:tplc="10090001" w:tentative="1">
      <w:start w:val="1"/>
      <w:numFmt w:val="bullet"/>
      <w:lvlText w:val=""/>
      <w:lvlJc w:val="left"/>
      <w:pPr>
        <w:ind w:left="6456" w:hanging="360"/>
      </w:pPr>
      <w:rPr>
        <w:rFonts w:ascii="Symbol" w:hAnsi="Symbol" w:hint="default"/>
      </w:rPr>
    </w:lvl>
    <w:lvl w:ilvl="7" w:tplc="10090003" w:tentative="1">
      <w:start w:val="1"/>
      <w:numFmt w:val="bullet"/>
      <w:lvlText w:val="o"/>
      <w:lvlJc w:val="left"/>
      <w:pPr>
        <w:ind w:left="7176" w:hanging="360"/>
      </w:pPr>
      <w:rPr>
        <w:rFonts w:ascii="Courier New" w:hAnsi="Courier New" w:cs="Courier New" w:hint="default"/>
      </w:rPr>
    </w:lvl>
    <w:lvl w:ilvl="8" w:tplc="10090005" w:tentative="1">
      <w:start w:val="1"/>
      <w:numFmt w:val="bullet"/>
      <w:lvlText w:val=""/>
      <w:lvlJc w:val="left"/>
      <w:pPr>
        <w:ind w:left="7896" w:hanging="360"/>
      </w:pPr>
      <w:rPr>
        <w:rFonts w:ascii="Wingdings" w:hAnsi="Wingdings" w:hint="default"/>
      </w:rPr>
    </w:lvl>
  </w:abstractNum>
  <w:abstractNum w:abstractNumId="12"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3" w15:restartNumberingAfterBreak="0">
    <w:nsid w:val="335B633A"/>
    <w:multiLevelType w:val="hybridMultilevel"/>
    <w:tmpl w:val="321A5D84"/>
    <w:lvl w:ilvl="0" w:tplc="1009000F">
      <w:start w:val="1"/>
      <w:numFmt w:val="decimal"/>
      <w:lvlText w:val="%1."/>
      <w:lvlJc w:val="left"/>
      <w:pPr>
        <w:ind w:left="720" w:hanging="360"/>
      </w:pPr>
      <w:rPr>
        <w:rFonts w:hint="default"/>
        <w:b w:val="0"/>
        <w:i w:val="0"/>
        <w:color w:val="auto"/>
        <w:sz w:val="22"/>
        <w:lang w:val="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C41F4D"/>
    <w:multiLevelType w:val="hybridMultilevel"/>
    <w:tmpl w:val="1A767A18"/>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5EE3310"/>
    <w:multiLevelType w:val="hybridMultilevel"/>
    <w:tmpl w:val="BC5CC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0C234B"/>
    <w:multiLevelType w:val="multilevel"/>
    <w:tmpl w:val="615A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0A6394"/>
    <w:multiLevelType w:val="multilevel"/>
    <w:tmpl w:val="E91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2A16B6"/>
    <w:multiLevelType w:val="multilevel"/>
    <w:tmpl w:val="B73282F0"/>
    <w:lvl w:ilvl="0">
      <w:start w:val="1"/>
      <w:numFmt w:val="decimal"/>
      <w:lvlText w:val="%1."/>
      <w:lvlJc w:val="left"/>
      <w:pPr>
        <w:ind w:left="720" w:hanging="360"/>
      </w:pPr>
      <w:rPr>
        <w:rFonts w:hint="default"/>
      </w:rPr>
    </w:lvl>
    <w:lvl w:ilvl="1">
      <w:start w:val="2"/>
      <w:numFmt w:val="decimal"/>
      <w:isLgl/>
      <w:lvlText w:val="%1.%2"/>
      <w:lvlJc w:val="left"/>
      <w:pPr>
        <w:ind w:left="1422" w:hanging="855"/>
      </w:pPr>
      <w:rPr>
        <w:rFonts w:hint="default"/>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15:restartNumberingAfterBreak="0">
    <w:nsid w:val="45B62AFC"/>
    <w:multiLevelType w:val="multilevel"/>
    <w:tmpl w:val="9F2A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372953"/>
    <w:multiLevelType w:val="multilevel"/>
    <w:tmpl w:val="2028E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542A1E82"/>
    <w:multiLevelType w:val="hybridMultilevel"/>
    <w:tmpl w:val="1804C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AA2DEA"/>
    <w:multiLevelType w:val="hybridMultilevel"/>
    <w:tmpl w:val="22BE1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A5892"/>
    <w:multiLevelType w:val="hybridMultilevel"/>
    <w:tmpl w:val="70D8679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20B63D7"/>
    <w:multiLevelType w:val="hybridMultilevel"/>
    <w:tmpl w:val="2758ACF6"/>
    <w:lvl w:ilvl="0" w:tplc="9C32ABD2">
      <w:start w:val="8"/>
      <w:numFmt w:val="bullet"/>
      <w:lvlText w:val="-"/>
      <w:lvlJc w:val="left"/>
      <w:pPr>
        <w:ind w:left="1069" w:hanging="360"/>
      </w:pPr>
      <w:rPr>
        <w:rFonts w:ascii="Times New Roman" w:eastAsia="Times"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9"/>
  </w:num>
  <w:num w:numId="3">
    <w:abstractNumId w:val="0"/>
  </w:num>
  <w:num w:numId="4">
    <w:abstractNumId w:val="11"/>
  </w:num>
  <w:num w:numId="5">
    <w:abstractNumId w:val="5"/>
  </w:num>
  <w:num w:numId="6">
    <w:abstractNumId w:val="4"/>
  </w:num>
  <w:num w:numId="7">
    <w:abstractNumId w:val="29"/>
  </w:num>
  <w:num w:numId="8">
    <w:abstractNumId w:val="8"/>
  </w:num>
  <w:num w:numId="9">
    <w:abstractNumId w:val="10"/>
  </w:num>
  <w:num w:numId="10">
    <w:abstractNumId w:val="1"/>
  </w:num>
  <w:num w:numId="11">
    <w:abstractNumId w:val="20"/>
  </w:num>
  <w:num w:numId="12">
    <w:abstractNumId w:val="18"/>
  </w:num>
  <w:num w:numId="13">
    <w:abstractNumId w:val="16"/>
  </w:num>
  <w:num w:numId="14">
    <w:abstractNumId w:val="7"/>
  </w:num>
  <w:num w:numId="15">
    <w:abstractNumId w:val="25"/>
  </w:num>
  <w:num w:numId="16">
    <w:abstractNumId w:val="6"/>
  </w:num>
  <w:num w:numId="17">
    <w:abstractNumId w:val="28"/>
  </w:num>
  <w:num w:numId="18">
    <w:abstractNumId w:val="14"/>
  </w:num>
  <w:num w:numId="19">
    <w:abstractNumId w:val="24"/>
  </w:num>
  <w:num w:numId="20">
    <w:abstractNumId w:val="15"/>
  </w:num>
  <w:num w:numId="21">
    <w:abstractNumId w:val="13"/>
  </w:num>
  <w:num w:numId="22">
    <w:abstractNumId w:val="26"/>
  </w:num>
  <w:num w:numId="23">
    <w:abstractNumId w:val="3"/>
  </w:num>
  <w:num w:numId="24">
    <w:abstractNumId w:val="2"/>
  </w:num>
  <w:num w:numId="25">
    <w:abstractNumId w:val="12"/>
  </w:num>
  <w:num w:numId="26">
    <w:abstractNumId w:val="30"/>
  </w:num>
  <w:num w:numId="27">
    <w:abstractNumId w:val="23"/>
  </w:num>
  <w:num w:numId="28">
    <w:abstractNumId w:val="17"/>
  </w:num>
  <w:num w:numId="29">
    <w:abstractNumId w:val="31"/>
  </w:num>
  <w:num w:numId="30">
    <w:abstractNumId w:val="9"/>
  </w:num>
  <w:num w:numId="3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abstractNumId w:val="21"/>
  </w:num>
  <w:num w:numId="38">
    <w:abstractNumId w:val="27"/>
  </w:num>
  <w:num w:numId="39">
    <w:abstractNumId w:val="2"/>
  </w:num>
  <w:num w:numId="40">
    <w:abstractNumId w:val="2"/>
  </w:num>
  <w:num w:numId="41">
    <w:abstractNumId w:val="2"/>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linkStyl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E2"/>
    <w:rsid w:val="00002658"/>
    <w:rsid w:val="00023950"/>
    <w:rsid w:val="00023CE0"/>
    <w:rsid w:val="000321B4"/>
    <w:rsid w:val="00033240"/>
    <w:rsid w:val="000338CF"/>
    <w:rsid w:val="0003446F"/>
    <w:rsid w:val="00062972"/>
    <w:rsid w:val="00066187"/>
    <w:rsid w:val="000B031D"/>
    <w:rsid w:val="000B06DD"/>
    <w:rsid w:val="000C578A"/>
    <w:rsid w:val="000E1A88"/>
    <w:rsid w:val="000E3AB9"/>
    <w:rsid w:val="00105B12"/>
    <w:rsid w:val="001147B6"/>
    <w:rsid w:val="001358B0"/>
    <w:rsid w:val="00142950"/>
    <w:rsid w:val="00152F0A"/>
    <w:rsid w:val="001B7F38"/>
    <w:rsid w:val="001D09B4"/>
    <w:rsid w:val="001D1817"/>
    <w:rsid w:val="001E0A21"/>
    <w:rsid w:val="001E3C0D"/>
    <w:rsid w:val="00227D3C"/>
    <w:rsid w:val="00242A8F"/>
    <w:rsid w:val="00255CEF"/>
    <w:rsid w:val="002811CE"/>
    <w:rsid w:val="002931DA"/>
    <w:rsid w:val="002B65E8"/>
    <w:rsid w:val="002D0DCB"/>
    <w:rsid w:val="002E7CAA"/>
    <w:rsid w:val="003034C0"/>
    <w:rsid w:val="00333462"/>
    <w:rsid w:val="003605DF"/>
    <w:rsid w:val="003B453F"/>
    <w:rsid w:val="00404288"/>
    <w:rsid w:val="00406857"/>
    <w:rsid w:val="00437121"/>
    <w:rsid w:val="00444BFA"/>
    <w:rsid w:val="00451136"/>
    <w:rsid w:val="00475B98"/>
    <w:rsid w:val="00485D88"/>
    <w:rsid w:val="00490789"/>
    <w:rsid w:val="004F0B34"/>
    <w:rsid w:val="005267F5"/>
    <w:rsid w:val="00530B96"/>
    <w:rsid w:val="00556673"/>
    <w:rsid w:val="00570C4C"/>
    <w:rsid w:val="00583FFF"/>
    <w:rsid w:val="005E557E"/>
    <w:rsid w:val="00613EBE"/>
    <w:rsid w:val="0065540A"/>
    <w:rsid w:val="0066315B"/>
    <w:rsid w:val="00691FF4"/>
    <w:rsid w:val="006B2295"/>
    <w:rsid w:val="006B4F38"/>
    <w:rsid w:val="007007C3"/>
    <w:rsid w:val="007041A0"/>
    <w:rsid w:val="00715726"/>
    <w:rsid w:val="00716F89"/>
    <w:rsid w:val="00732D21"/>
    <w:rsid w:val="00732DC5"/>
    <w:rsid w:val="00740D31"/>
    <w:rsid w:val="0074719F"/>
    <w:rsid w:val="0076448F"/>
    <w:rsid w:val="00775B12"/>
    <w:rsid w:val="00777A5A"/>
    <w:rsid w:val="007814CA"/>
    <w:rsid w:val="007830AC"/>
    <w:rsid w:val="007A57EA"/>
    <w:rsid w:val="007A5FB9"/>
    <w:rsid w:val="007B123A"/>
    <w:rsid w:val="007D17DA"/>
    <w:rsid w:val="00847E47"/>
    <w:rsid w:val="0086706B"/>
    <w:rsid w:val="00896DA4"/>
    <w:rsid w:val="008C51AB"/>
    <w:rsid w:val="008F0788"/>
    <w:rsid w:val="00907FAE"/>
    <w:rsid w:val="00947C61"/>
    <w:rsid w:val="0097183F"/>
    <w:rsid w:val="009B65C3"/>
    <w:rsid w:val="009C7BB7"/>
    <w:rsid w:val="009E5E20"/>
    <w:rsid w:val="009F28C5"/>
    <w:rsid w:val="009F5751"/>
    <w:rsid w:val="00A172E2"/>
    <w:rsid w:val="00A173C3"/>
    <w:rsid w:val="00A222C2"/>
    <w:rsid w:val="00A454CC"/>
    <w:rsid w:val="00A553A8"/>
    <w:rsid w:val="00AA2BFB"/>
    <w:rsid w:val="00AA4477"/>
    <w:rsid w:val="00AB3548"/>
    <w:rsid w:val="00AD5DAA"/>
    <w:rsid w:val="00AF42D6"/>
    <w:rsid w:val="00B040EA"/>
    <w:rsid w:val="00B06FE2"/>
    <w:rsid w:val="00B44759"/>
    <w:rsid w:val="00B86F57"/>
    <w:rsid w:val="00B92CF6"/>
    <w:rsid w:val="00BA23FB"/>
    <w:rsid w:val="00BD4735"/>
    <w:rsid w:val="00BD7C67"/>
    <w:rsid w:val="00BF487D"/>
    <w:rsid w:val="00BF674D"/>
    <w:rsid w:val="00C24059"/>
    <w:rsid w:val="00C35EF0"/>
    <w:rsid w:val="00C42D13"/>
    <w:rsid w:val="00C45A01"/>
    <w:rsid w:val="00C54E97"/>
    <w:rsid w:val="00C6066C"/>
    <w:rsid w:val="00C736AA"/>
    <w:rsid w:val="00C83FF3"/>
    <w:rsid w:val="00CE27AB"/>
    <w:rsid w:val="00D12277"/>
    <w:rsid w:val="00D30502"/>
    <w:rsid w:val="00DB1201"/>
    <w:rsid w:val="00DB2192"/>
    <w:rsid w:val="00DEE304"/>
    <w:rsid w:val="00E0366A"/>
    <w:rsid w:val="00E04908"/>
    <w:rsid w:val="00E219FF"/>
    <w:rsid w:val="00E34607"/>
    <w:rsid w:val="00E3B75B"/>
    <w:rsid w:val="00E41EF0"/>
    <w:rsid w:val="00E52C5F"/>
    <w:rsid w:val="00E565F7"/>
    <w:rsid w:val="00E5722C"/>
    <w:rsid w:val="00E96847"/>
    <w:rsid w:val="00E97C5E"/>
    <w:rsid w:val="00EC142A"/>
    <w:rsid w:val="00EC2849"/>
    <w:rsid w:val="00EC2931"/>
    <w:rsid w:val="00EC4ED0"/>
    <w:rsid w:val="00EC6F5D"/>
    <w:rsid w:val="00ED73C3"/>
    <w:rsid w:val="00EF2DD3"/>
    <w:rsid w:val="00F105D9"/>
    <w:rsid w:val="00F34A6C"/>
    <w:rsid w:val="00FA2C31"/>
    <w:rsid w:val="00FB30DA"/>
    <w:rsid w:val="00FB5E92"/>
    <w:rsid w:val="00FC480C"/>
    <w:rsid w:val="01202720"/>
    <w:rsid w:val="01D81C4B"/>
    <w:rsid w:val="020371B6"/>
    <w:rsid w:val="027AB365"/>
    <w:rsid w:val="030C0C85"/>
    <w:rsid w:val="03573B4E"/>
    <w:rsid w:val="039A2B9F"/>
    <w:rsid w:val="041386BA"/>
    <w:rsid w:val="0457C7E2"/>
    <w:rsid w:val="04D9DE65"/>
    <w:rsid w:val="0534DA60"/>
    <w:rsid w:val="053E7B45"/>
    <w:rsid w:val="059567FB"/>
    <w:rsid w:val="05AB8F2C"/>
    <w:rsid w:val="05C6005E"/>
    <w:rsid w:val="06160319"/>
    <w:rsid w:val="063C16ED"/>
    <w:rsid w:val="06787A6C"/>
    <w:rsid w:val="068822FB"/>
    <w:rsid w:val="07BCFEA5"/>
    <w:rsid w:val="07D7E74E"/>
    <w:rsid w:val="08248BF7"/>
    <w:rsid w:val="084FE1C0"/>
    <w:rsid w:val="08610905"/>
    <w:rsid w:val="089D6D3A"/>
    <w:rsid w:val="08ADCFDF"/>
    <w:rsid w:val="08AE00F7"/>
    <w:rsid w:val="08C45ECB"/>
    <w:rsid w:val="08E6F7DD"/>
    <w:rsid w:val="0924F641"/>
    <w:rsid w:val="092B700C"/>
    <w:rsid w:val="09957B9A"/>
    <w:rsid w:val="09B01B2E"/>
    <w:rsid w:val="09B6838F"/>
    <w:rsid w:val="0A16DC9C"/>
    <w:rsid w:val="0A8F550A"/>
    <w:rsid w:val="0AC74431"/>
    <w:rsid w:val="0AE9743C"/>
    <w:rsid w:val="0B0F8810"/>
    <w:rsid w:val="0B491FE9"/>
    <w:rsid w:val="0B522858"/>
    <w:rsid w:val="0C34F556"/>
    <w:rsid w:val="0C6FFCFB"/>
    <w:rsid w:val="0C70FDE9"/>
    <w:rsid w:val="0C7A28E8"/>
    <w:rsid w:val="0CAB5871"/>
    <w:rsid w:val="0CD57EAA"/>
    <w:rsid w:val="0DBC3979"/>
    <w:rsid w:val="0DC13703"/>
    <w:rsid w:val="0E0E91E5"/>
    <w:rsid w:val="0E20D951"/>
    <w:rsid w:val="0E80C0AB"/>
    <w:rsid w:val="0E906539"/>
    <w:rsid w:val="0EB40505"/>
    <w:rsid w:val="0F239300"/>
    <w:rsid w:val="0F3F1ED6"/>
    <w:rsid w:val="0F52D321"/>
    <w:rsid w:val="0F5545F1"/>
    <w:rsid w:val="0F5C9B04"/>
    <w:rsid w:val="0F64C11E"/>
    <w:rsid w:val="107365DB"/>
    <w:rsid w:val="11357C87"/>
    <w:rsid w:val="1150450C"/>
    <w:rsid w:val="11587A13"/>
    <w:rsid w:val="1190A513"/>
    <w:rsid w:val="11946E6A"/>
    <w:rsid w:val="11B8616D"/>
    <w:rsid w:val="11BFCBE2"/>
    <w:rsid w:val="120F1F18"/>
    <w:rsid w:val="127E94C6"/>
    <w:rsid w:val="12A5FDD2"/>
    <w:rsid w:val="13102B6A"/>
    <w:rsid w:val="13440984"/>
    <w:rsid w:val="1356002D"/>
    <w:rsid w:val="1366AC68"/>
    <w:rsid w:val="13B40D9A"/>
    <w:rsid w:val="13B4525E"/>
    <w:rsid w:val="14221A13"/>
    <w:rsid w:val="145357BB"/>
    <w:rsid w:val="146EBDEF"/>
    <w:rsid w:val="14C6562D"/>
    <w:rsid w:val="14DAA81A"/>
    <w:rsid w:val="15087096"/>
    <w:rsid w:val="151069E3"/>
    <w:rsid w:val="15952839"/>
    <w:rsid w:val="15AD5E80"/>
    <w:rsid w:val="15CA2D54"/>
    <w:rsid w:val="15CBDC88"/>
    <w:rsid w:val="15FE82EC"/>
    <w:rsid w:val="16482923"/>
    <w:rsid w:val="16567674"/>
    <w:rsid w:val="16961A33"/>
    <w:rsid w:val="16D51FA7"/>
    <w:rsid w:val="173CD252"/>
    <w:rsid w:val="175E8832"/>
    <w:rsid w:val="181272C2"/>
    <w:rsid w:val="18DDF826"/>
    <w:rsid w:val="19624DD0"/>
    <w:rsid w:val="197513D2"/>
    <w:rsid w:val="1A047E55"/>
    <w:rsid w:val="1A052B5B"/>
    <w:rsid w:val="1A7DEF2D"/>
    <w:rsid w:val="1AFE1E31"/>
    <w:rsid w:val="1B080173"/>
    <w:rsid w:val="1B109A0F"/>
    <w:rsid w:val="1B942DC3"/>
    <w:rsid w:val="1BE02DE5"/>
    <w:rsid w:val="1C28D4F9"/>
    <w:rsid w:val="1C4ECEED"/>
    <w:rsid w:val="1D0A2ACB"/>
    <w:rsid w:val="1D217445"/>
    <w:rsid w:val="1D9C16D1"/>
    <w:rsid w:val="1D9E3251"/>
    <w:rsid w:val="1DF9A37F"/>
    <w:rsid w:val="1E24807F"/>
    <w:rsid w:val="1E361CE2"/>
    <w:rsid w:val="1E4CD075"/>
    <w:rsid w:val="1E9E2082"/>
    <w:rsid w:val="1EAAD226"/>
    <w:rsid w:val="1F69E0D3"/>
    <w:rsid w:val="1F8D25AC"/>
    <w:rsid w:val="20432FD2"/>
    <w:rsid w:val="2092D566"/>
    <w:rsid w:val="20A17DFC"/>
    <w:rsid w:val="20CF975B"/>
    <w:rsid w:val="20F6F2B5"/>
    <w:rsid w:val="210D4F6C"/>
    <w:rsid w:val="21E272E8"/>
    <w:rsid w:val="22025222"/>
    <w:rsid w:val="226F87F4"/>
    <w:rsid w:val="23734544"/>
    <w:rsid w:val="238CE3D2"/>
    <w:rsid w:val="23A8BFC8"/>
    <w:rsid w:val="23B20C70"/>
    <w:rsid w:val="23BEA6B1"/>
    <w:rsid w:val="244F7091"/>
    <w:rsid w:val="24F8A18C"/>
    <w:rsid w:val="254712D6"/>
    <w:rsid w:val="2573074E"/>
    <w:rsid w:val="2580D935"/>
    <w:rsid w:val="258114E2"/>
    <w:rsid w:val="25E01BE1"/>
    <w:rsid w:val="2601E64A"/>
    <w:rsid w:val="26A0ADEE"/>
    <w:rsid w:val="26FA7A6D"/>
    <w:rsid w:val="2758E861"/>
    <w:rsid w:val="27663439"/>
    <w:rsid w:val="2776C2C5"/>
    <w:rsid w:val="2785BE39"/>
    <w:rsid w:val="27C721F4"/>
    <w:rsid w:val="27D2CD24"/>
    <w:rsid w:val="2821C13E"/>
    <w:rsid w:val="29186151"/>
    <w:rsid w:val="2991AA3E"/>
    <w:rsid w:val="29CC12AF"/>
    <w:rsid w:val="29ECE697"/>
    <w:rsid w:val="29F19C82"/>
    <w:rsid w:val="2AA5E3B4"/>
    <w:rsid w:val="2AC57E54"/>
    <w:rsid w:val="2AD99DCA"/>
    <w:rsid w:val="2AF2D068"/>
    <w:rsid w:val="2B413096"/>
    <w:rsid w:val="2B77AEB8"/>
    <w:rsid w:val="2C5EAA50"/>
    <w:rsid w:val="2D03B371"/>
    <w:rsid w:val="2E1EFF0D"/>
    <w:rsid w:val="2E255D55"/>
    <w:rsid w:val="2E290E6B"/>
    <w:rsid w:val="2F52527C"/>
    <w:rsid w:val="2FF5DEDB"/>
    <w:rsid w:val="307CA58B"/>
    <w:rsid w:val="307FBBFD"/>
    <w:rsid w:val="3160AF2D"/>
    <w:rsid w:val="31637AFD"/>
    <w:rsid w:val="31834577"/>
    <w:rsid w:val="31B8903A"/>
    <w:rsid w:val="3216A5DF"/>
    <w:rsid w:val="324E55B3"/>
    <w:rsid w:val="3302B343"/>
    <w:rsid w:val="331F6427"/>
    <w:rsid w:val="337CDF5C"/>
    <w:rsid w:val="33E7A642"/>
    <w:rsid w:val="344FA1D3"/>
    <w:rsid w:val="34533EFE"/>
    <w:rsid w:val="3463017E"/>
    <w:rsid w:val="3497351C"/>
    <w:rsid w:val="34BAE639"/>
    <w:rsid w:val="351A4A68"/>
    <w:rsid w:val="35224EE3"/>
    <w:rsid w:val="356F3ADF"/>
    <w:rsid w:val="35788862"/>
    <w:rsid w:val="35C44784"/>
    <w:rsid w:val="35E022F9"/>
    <w:rsid w:val="35E4EAE1"/>
    <w:rsid w:val="35EF0F5F"/>
    <w:rsid w:val="3665AD7F"/>
    <w:rsid w:val="3691CB8B"/>
    <w:rsid w:val="376017E5"/>
    <w:rsid w:val="376334F1"/>
    <w:rsid w:val="378ADFC0"/>
    <w:rsid w:val="37A21934"/>
    <w:rsid w:val="37B7588B"/>
    <w:rsid w:val="386B7782"/>
    <w:rsid w:val="389184AB"/>
    <w:rsid w:val="38C17F52"/>
    <w:rsid w:val="38E51785"/>
    <w:rsid w:val="38FBE846"/>
    <w:rsid w:val="397B7A63"/>
    <w:rsid w:val="3987092E"/>
    <w:rsid w:val="398B858D"/>
    <w:rsid w:val="39F3C7C5"/>
    <w:rsid w:val="3A0BEB57"/>
    <w:rsid w:val="3A1FB96A"/>
    <w:rsid w:val="3A8C5CED"/>
    <w:rsid w:val="3B018295"/>
    <w:rsid w:val="3B751557"/>
    <w:rsid w:val="3C034C01"/>
    <w:rsid w:val="3C41BB2A"/>
    <w:rsid w:val="3D3AC4A2"/>
    <w:rsid w:val="3D4C09B7"/>
    <w:rsid w:val="3D575A2C"/>
    <w:rsid w:val="3D8F8FF0"/>
    <w:rsid w:val="3DB9BB11"/>
    <w:rsid w:val="3E248478"/>
    <w:rsid w:val="3E2A58B5"/>
    <w:rsid w:val="3E371669"/>
    <w:rsid w:val="3E478457"/>
    <w:rsid w:val="3E60A16F"/>
    <w:rsid w:val="3E745D13"/>
    <w:rsid w:val="3EE3AA49"/>
    <w:rsid w:val="3EE5BE1D"/>
    <w:rsid w:val="3EF7F0C7"/>
    <w:rsid w:val="3EF81B0F"/>
    <w:rsid w:val="3F0CAA75"/>
    <w:rsid w:val="3F138CA3"/>
    <w:rsid w:val="3F138CA6"/>
    <w:rsid w:val="3F5149DA"/>
    <w:rsid w:val="3F9C85DF"/>
    <w:rsid w:val="3FB291F1"/>
    <w:rsid w:val="3FFECF36"/>
    <w:rsid w:val="40596583"/>
    <w:rsid w:val="40FA5FE8"/>
    <w:rsid w:val="4119F676"/>
    <w:rsid w:val="411C176C"/>
    <w:rsid w:val="41896114"/>
    <w:rsid w:val="4197CDDD"/>
    <w:rsid w:val="41BFB902"/>
    <w:rsid w:val="42138CE8"/>
    <w:rsid w:val="428A9F49"/>
    <w:rsid w:val="42B393D8"/>
    <w:rsid w:val="4370234C"/>
    <w:rsid w:val="43C69BB0"/>
    <w:rsid w:val="445B211A"/>
    <w:rsid w:val="45626C11"/>
    <w:rsid w:val="46111505"/>
    <w:rsid w:val="4620579E"/>
    <w:rsid w:val="4640D50E"/>
    <w:rsid w:val="4661E3D6"/>
    <w:rsid w:val="4662A8EC"/>
    <w:rsid w:val="468FF52E"/>
    <w:rsid w:val="46F0D002"/>
    <w:rsid w:val="46FE3C72"/>
    <w:rsid w:val="47590F43"/>
    <w:rsid w:val="47747D6B"/>
    <w:rsid w:val="477BB9FF"/>
    <w:rsid w:val="47AB00F5"/>
    <w:rsid w:val="47DCA56F"/>
    <w:rsid w:val="489A0CD3"/>
    <w:rsid w:val="489D3AE6"/>
    <w:rsid w:val="48F0EC90"/>
    <w:rsid w:val="493321C1"/>
    <w:rsid w:val="4957F860"/>
    <w:rsid w:val="49B45D17"/>
    <w:rsid w:val="49BCD034"/>
    <w:rsid w:val="49BF4652"/>
    <w:rsid w:val="49D88302"/>
    <w:rsid w:val="4A010BC6"/>
    <w:rsid w:val="4A35DD34"/>
    <w:rsid w:val="4A392EF5"/>
    <w:rsid w:val="4B48875C"/>
    <w:rsid w:val="4BD1AD95"/>
    <w:rsid w:val="4BE384C7"/>
    <w:rsid w:val="4BFAA9C0"/>
    <w:rsid w:val="4C953B7D"/>
    <w:rsid w:val="4C9BF811"/>
    <w:rsid w:val="4CFD71E6"/>
    <w:rsid w:val="4D91C4B8"/>
    <w:rsid w:val="4DC931FC"/>
    <w:rsid w:val="4E33F53F"/>
    <w:rsid w:val="4EA3D754"/>
    <w:rsid w:val="4EB68DD8"/>
    <w:rsid w:val="4F094E57"/>
    <w:rsid w:val="4F169E7D"/>
    <w:rsid w:val="4F516AC4"/>
    <w:rsid w:val="5036107E"/>
    <w:rsid w:val="505F33EA"/>
    <w:rsid w:val="50967285"/>
    <w:rsid w:val="50D190A9"/>
    <w:rsid w:val="50ED213E"/>
    <w:rsid w:val="50EEA58F"/>
    <w:rsid w:val="5172539C"/>
    <w:rsid w:val="5177CBC8"/>
    <w:rsid w:val="51800AC7"/>
    <w:rsid w:val="51F7EE54"/>
    <w:rsid w:val="528312C5"/>
    <w:rsid w:val="52AB0D85"/>
    <w:rsid w:val="53871295"/>
    <w:rsid w:val="53CE1347"/>
    <w:rsid w:val="546A6FB8"/>
    <w:rsid w:val="54B75A10"/>
    <w:rsid w:val="5516F3B0"/>
    <w:rsid w:val="55487998"/>
    <w:rsid w:val="5573B857"/>
    <w:rsid w:val="558B0963"/>
    <w:rsid w:val="55CAEDA6"/>
    <w:rsid w:val="56A61DCC"/>
    <w:rsid w:val="56B63D66"/>
    <w:rsid w:val="56EB8F63"/>
    <w:rsid w:val="56F5BFB3"/>
    <w:rsid w:val="573A96D5"/>
    <w:rsid w:val="5782DD57"/>
    <w:rsid w:val="5896B859"/>
    <w:rsid w:val="58E6B7FC"/>
    <w:rsid w:val="58E9A929"/>
    <w:rsid w:val="5908B959"/>
    <w:rsid w:val="595D7DCA"/>
    <w:rsid w:val="5975DC23"/>
    <w:rsid w:val="59902564"/>
    <w:rsid w:val="5A2F06CD"/>
    <w:rsid w:val="5A3912F4"/>
    <w:rsid w:val="5A63055E"/>
    <w:rsid w:val="5A8DB982"/>
    <w:rsid w:val="5AB6465B"/>
    <w:rsid w:val="5AF2323C"/>
    <w:rsid w:val="5B160EB4"/>
    <w:rsid w:val="5B2BF5C5"/>
    <w:rsid w:val="5BDAF38B"/>
    <w:rsid w:val="5C1508ED"/>
    <w:rsid w:val="5C3945BC"/>
    <w:rsid w:val="5C9F131E"/>
    <w:rsid w:val="5D4FFE18"/>
    <w:rsid w:val="5D650137"/>
    <w:rsid w:val="5D76C3EC"/>
    <w:rsid w:val="5D8561A3"/>
    <w:rsid w:val="5DD5161D"/>
    <w:rsid w:val="5E50CFE6"/>
    <w:rsid w:val="5F00D198"/>
    <w:rsid w:val="5F12944D"/>
    <w:rsid w:val="5F2AE1EB"/>
    <w:rsid w:val="5F612AA5"/>
    <w:rsid w:val="6022E71C"/>
    <w:rsid w:val="602C8A5B"/>
    <w:rsid w:val="60A4C155"/>
    <w:rsid w:val="60E08D13"/>
    <w:rsid w:val="610C6890"/>
    <w:rsid w:val="617BBEBD"/>
    <w:rsid w:val="618870A8"/>
    <w:rsid w:val="6189FC8B"/>
    <w:rsid w:val="61EF5FA8"/>
    <w:rsid w:val="624E0C0F"/>
    <w:rsid w:val="62636106"/>
    <w:rsid w:val="628B725A"/>
    <w:rsid w:val="62E8278E"/>
    <w:rsid w:val="630150C9"/>
    <w:rsid w:val="63673B42"/>
    <w:rsid w:val="63E3590D"/>
    <w:rsid w:val="640E3205"/>
    <w:rsid w:val="64874CF8"/>
    <w:rsid w:val="649D212A"/>
    <w:rsid w:val="64A979BB"/>
    <w:rsid w:val="64AC1032"/>
    <w:rsid w:val="659A5518"/>
    <w:rsid w:val="66454A1C"/>
    <w:rsid w:val="6656A35B"/>
    <w:rsid w:val="665AB21E"/>
    <w:rsid w:val="66D376EF"/>
    <w:rsid w:val="6741E25A"/>
    <w:rsid w:val="6831908D"/>
    <w:rsid w:val="68DBBBCE"/>
    <w:rsid w:val="69595E97"/>
    <w:rsid w:val="69F677C4"/>
    <w:rsid w:val="6A0665B5"/>
    <w:rsid w:val="6A448A89"/>
    <w:rsid w:val="6A842510"/>
    <w:rsid w:val="6B2D9E76"/>
    <w:rsid w:val="6B2EB354"/>
    <w:rsid w:val="6B6FE74C"/>
    <w:rsid w:val="6BA7E618"/>
    <w:rsid w:val="6BEAF692"/>
    <w:rsid w:val="6C135C90"/>
    <w:rsid w:val="6C4D7FD3"/>
    <w:rsid w:val="6CDB36EF"/>
    <w:rsid w:val="6D097860"/>
    <w:rsid w:val="6D6381C9"/>
    <w:rsid w:val="6DC3DCAC"/>
    <w:rsid w:val="6DDC1856"/>
    <w:rsid w:val="6DE95034"/>
    <w:rsid w:val="6E2CBE24"/>
    <w:rsid w:val="6E55BF97"/>
    <w:rsid w:val="6E6EB388"/>
    <w:rsid w:val="6EAC9BD9"/>
    <w:rsid w:val="6F1DC46D"/>
    <w:rsid w:val="6FD4F1C9"/>
    <w:rsid w:val="6FF33650"/>
    <w:rsid w:val="6FF5D36C"/>
    <w:rsid w:val="706A5020"/>
    <w:rsid w:val="709B6086"/>
    <w:rsid w:val="70BFE279"/>
    <w:rsid w:val="70F68704"/>
    <w:rsid w:val="710215CF"/>
    <w:rsid w:val="710CC151"/>
    <w:rsid w:val="7114B752"/>
    <w:rsid w:val="71185AE2"/>
    <w:rsid w:val="7129B0A3"/>
    <w:rsid w:val="713D7649"/>
    <w:rsid w:val="716530A0"/>
    <w:rsid w:val="71A79874"/>
    <w:rsid w:val="721B89A1"/>
    <w:rsid w:val="72A46343"/>
    <w:rsid w:val="732930BA"/>
    <w:rsid w:val="737801F7"/>
    <w:rsid w:val="73FC834C"/>
    <w:rsid w:val="7439B691"/>
    <w:rsid w:val="744033A4"/>
    <w:rsid w:val="74561111"/>
    <w:rsid w:val="745C2167"/>
    <w:rsid w:val="749CD162"/>
    <w:rsid w:val="74EA1720"/>
    <w:rsid w:val="7534C7B2"/>
    <w:rsid w:val="7598CC94"/>
    <w:rsid w:val="75D586F2"/>
    <w:rsid w:val="761E33F1"/>
    <w:rsid w:val="7638A1C3"/>
    <w:rsid w:val="7684222D"/>
    <w:rsid w:val="76FC6A6B"/>
    <w:rsid w:val="771403AE"/>
    <w:rsid w:val="775366F8"/>
    <w:rsid w:val="77715753"/>
    <w:rsid w:val="786CB6C3"/>
    <w:rsid w:val="78C3C5DA"/>
    <w:rsid w:val="78C7F31C"/>
    <w:rsid w:val="78FD3402"/>
    <w:rsid w:val="794980B4"/>
    <w:rsid w:val="79783241"/>
    <w:rsid w:val="79F8CB4B"/>
    <w:rsid w:val="7A1B52CA"/>
    <w:rsid w:val="7A674A38"/>
    <w:rsid w:val="7AAE6E5B"/>
    <w:rsid w:val="7AE6A05B"/>
    <w:rsid w:val="7B3C5B3A"/>
    <w:rsid w:val="7B9CBB08"/>
    <w:rsid w:val="7BD03EE6"/>
    <w:rsid w:val="7C37553A"/>
    <w:rsid w:val="7CD6472D"/>
    <w:rsid w:val="7CEBB24A"/>
    <w:rsid w:val="7CF0A4E9"/>
    <w:rsid w:val="7D5AF63F"/>
    <w:rsid w:val="7D9B643F"/>
    <w:rsid w:val="7D9D0040"/>
    <w:rsid w:val="7DA74241"/>
    <w:rsid w:val="7E6D6886"/>
    <w:rsid w:val="7E72178E"/>
    <w:rsid w:val="7E73FBFC"/>
    <w:rsid w:val="7F05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2694"/>
  <w15:chartTrackingRefBased/>
  <w15:docId w15:val="{7FD0C01A-A0F7-4BF1-8ECD-5A8897E52AEA}"/>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cs="Times New Roman"/>
      <w:szCs w:val="24"/>
      <w:lang w:val="en-GB"/>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IPPContentsHead">
    <w:name w:val="IPP ContentsHead"/>
    <w:basedOn w:val="IPPSubhead"/>
    <w:next w:val="IPPNormal"/>
    <w:qFormat/>
    <w:pPr>
      <w:spacing w:after="240"/>
    </w:pPr>
    <w:rPr>
      <w:sz w:val="24"/>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customStyle="1" w:styleId="IPPArialTable">
    <w:name w:val="IPP Arial Table"/>
    <w:basedOn w:val="IPPArial"/>
    <w:qFormat/>
    <w:pPr>
      <w:spacing w:before="60" w:after="60"/>
      <w:jc w:val="left"/>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 w:val="20"/>
      <w:szCs w:val="24"/>
      <w:lang w:val="en-GB"/>
    </w:rPr>
  </w:style>
  <w:style w:type="character" w:styleId="FootnoteReference">
    <w:name w:val="footnote reference"/>
    <w:aliases w:val="16 Point,Superscript 6 Point,Ref,de nota al pie,Footnote Reference1,Ref1,de nota al pie1,註腳內容,de nota al pie + (Asian) MS Mincho,11 pt"/>
    <w:basedOn w:val="DefaultParagraphFont"/>
    <w:rPr>
      <w:vertAlign w:val="superscript"/>
    </w:rPr>
  </w:style>
  <w:style w:type="paragraph" w:customStyle="1" w:styleId="IPPNormal">
    <w:name w:val="IPP Normal"/>
    <w:basedOn w:val="Normal"/>
    <w:link w:val="IPPNormalChar"/>
    <w:qFormat/>
    <w:pPr>
      <w:spacing w:after="180"/>
    </w:pPr>
    <w:rPr>
      <w:rFonts w:eastAsia="Times"/>
    </w:rPr>
  </w:style>
  <w:style w:type="character" w:customStyle="1" w:styleId="IPPNormalChar">
    <w:name w:val="IPP Normal Char"/>
    <w:link w:val="IPPNormal"/>
    <w:rPr>
      <w:rFonts w:ascii="Times New Roman" w:eastAsia="Times" w:hAnsi="Times New Roman" w:cs="Times New Roman"/>
      <w:szCs w:val="24"/>
      <w:lang w:val="en-GB"/>
    </w:rPr>
  </w:style>
  <w:style w:type="paragraph" w:customStyle="1" w:styleId="IPPNumberedList">
    <w:name w:val="IPP NumberedList"/>
    <w:basedOn w:val="IPPBullet1"/>
    <w:qFormat/>
    <w:pPr>
      <w:numPr>
        <w:numId w:val="3"/>
      </w:numPr>
    </w:pPr>
  </w:style>
  <w:style w:type="paragraph" w:customStyle="1" w:styleId="paragraph">
    <w:name w:val="paragraph"/>
    <w:basedOn w:val="Normal"/>
    <w:pPr>
      <w:spacing w:before="100" w:beforeAutospacing="1" w:after="100" w:afterAutospacing="1"/>
    </w:pPr>
    <w:rPr>
      <w:rFonts w:eastAsia="Times New Roman"/>
      <w:sz w:val="24"/>
      <w:lang w:eastAsia="en-CA"/>
    </w:rPr>
  </w:style>
  <w:style w:type="character" w:customStyle="1" w:styleId="normaltextrun">
    <w:name w:val="normaltextrun"/>
    <w:basedOn w:val="DefaultParagraphFont"/>
  </w:style>
  <w:style w:type="character" w:customStyle="1" w:styleId="eop">
    <w:name w:val="eop"/>
    <w:basedOn w:val="DefaultParagraphFont"/>
  </w:style>
  <w:style w:type="table" w:styleId="TableGrid">
    <w:name w:val="Table Grid"/>
    <w:basedOn w:val="TableNormal"/>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Times New Roman" w:eastAsia="MS Mincho" w:hAnsi="Times New Roman" w:cs="Times New Roman"/>
      <w:b/>
      <w:bCs/>
      <w:szCs w:val="24"/>
      <w:lang w:val="en-GB"/>
    </w:rPr>
  </w:style>
  <w:style w:type="paragraph" w:styleId="Revision">
    <w:name w:val="Revision"/>
    <w:hidden/>
    <w:uiPriority w:val="99"/>
    <w:semiHidden/>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rPr>
      <w:rFonts w:ascii="Calibri" w:eastAsia="MS Mincho" w:hAnsi="Calibri" w:cs="Times New Roman"/>
      <w:b/>
      <w:bCs/>
      <w:i/>
      <w:iCs/>
      <w:sz w:val="28"/>
      <w:szCs w:val="28"/>
      <w:lang w:val="en-GB"/>
    </w:rPr>
  </w:style>
  <w:style w:type="character" w:customStyle="1" w:styleId="Heading3Char">
    <w:name w:val="Heading 3 Char"/>
    <w:basedOn w:val="DefaultParagraphFont"/>
    <w:link w:val="Heading3"/>
    <w:rPr>
      <w:rFonts w:ascii="Calibri" w:eastAsia="MS Mincho" w:hAnsi="Calibri" w:cs="Times New Roman"/>
      <w:b/>
      <w:bCs/>
      <w:sz w:val="26"/>
      <w:szCs w:val="26"/>
      <w:lang w:val="en-GB"/>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szCs w:val="24"/>
      <w:lang w:val="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Bullet2">
    <w:name w:val="IPP Bullet2"/>
    <w:basedOn w:val="IPPNormal"/>
    <w:next w:val="IPPBullet1"/>
    <w:qFormat/>
    <w:pPr>
      <w:numPr>
        <w:numId w:val="26"/>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cs="Times New Roman"/>
      <w:b/>
      <w:sz w:val="22"/>
      <w:szCs w:val="21"/>
      <w:lang w:val="en-AU"/>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38"/>
      </w:numPr>
      <w:spacing w:after="60"/>
      <w:ind w:left="567" w:hanging="567"/>
    </w:pPr>
    <w:rPr>
      <w:lang w:val="en-US"/>
    </w:rPr>
  </w:style>
  <w:style w:type="paragraph" w:customStyle="1" w:styleId="IPPBullet1Last">
    <w:name w:val="IPP Bullet1Last"/>
    <w:basedOn w:val="IPPNormal"/>
    <w:next w:val="IPPNormal"/>
    <w:autoRedefine/>
    <w:qFormat/>
    <w:pPr>
      <w:numPr>
        <w:numId w:val="27"/>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25"/>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n-AU"/>
    </w:rPr>
  </w:style>
  <w:style w:type="paragraph" w:customStyle="1" w:styleId="IPPLetterList">
    <w:name w:val="IPP LetterList"/>
    <w:basedOn w:val="IPPBullet2"/>
    <w:qFormat/>
    <w:pPr>
      <w:numPr>
        <w:numId w:val="22"/>
      </w:numPr>
      <w:jc w:val="left"/>
    </w:pPr>
  </w:style>
  <w:style w:type="paragraph" w:customStyle="1" w:styleId="IPPLetterListIndent">
    <w:name w:val="IPP LetterList Indent"/>
    <w:basedOn w:val="IPPLetterList"/>
    <w:qFormat/>
    <w:pPr>
      <w:numPr>
        <w:numId w:val="23"/>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28"/>
      </w:numPr>
    </w:pPr>
  </w:style>
  <w:style w:type="paragraph" w:customStyle="1" w:styleId="IPPHdg2Num">
    <w:name w:val="IPP Hdg2Num"/>
    <w:basedOn w:val="IPPHeading2"/>
    <w:next w:val="IPPNormal"/>
    <w:qFormat/>
    <w:pPr>
      <w:numPr>
        <w:ilvl w:val="1" numString="1.1. "/>
        <w:numId w:val="29"/>
      </w:numPr>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Cs w:val="24"/>
      <w:lang w:val="en-GB"/>
    </w:rPr>
  </w:style>
  <w:style w:type="character" w:styleId="Strong">
    <w:name w:val="Strong"/>
    <w:basedOn w:val="DefaultParagraphFont"/>
    <w:qFormat/>
    <w:rPr>
      <w:b/>
      <w:bCs/>
    </w:rPr>
  </w:style>
  <w:style w:type="paragraph" w:customStyle="1" w:styleId="IPPParagraphnumbering">
    <w:name w:val="IPP Paragraph numbering"/>
    <w:basedOn w:val="IPPNormal"/>
    <w:qFormat/>
    <w:pPr>
      <w:numPr>
        <w:numId w:val="24"/>
      </w:numPr>
    </w:pPr>
    <w:rPr>
      <w:lang w:val="en-US"/>
    </w:r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300886338">
      <w:bodyDiv w:val="1"/>
      <w:marLeft w:val="0"/>
      <w:marRight w:val="0"/>
      <w:marTop w:val="0"/>
      <w:marBottom w:val="0"/>
      <w:divBdr>
        <w:top w:val="none" w:sz="0" w:space="0" w:color="auto"/>
        <w:left w:val="none" w:sz="0" w:space="0" w:color="auto"/>
        <w:bottom w:val="none" w:sz="0" w:space="0" w:color="auto"/>
        <w:right w:val="none" w:sz="0" w:space="0" w:color="auto"/>
      </w:divBdr>
      <w:divsChild>
        <w:div w:id="1121000415">
          <w:marLeft w:val="0"/>
          <w:marRight w:val="0"/>
          <w:marTop w:val="0"/>
          <w:marBottom w:val="0"/>
          <w:divBdr>
            <w:top w:val="none" w:sz="0" w:space="0" w:color="auto"/>
            <w:left w:val="none" w:sz="0" w:space="0" w:color="auto"/>
            <w:bottom w:val="none" w:sz="0" w:space="0" w:color="auto"/>
            <w:right w:val="none" w:sz="0" w:space="0" w:color="auto"/>
          </w:divBdr>
        </w:div>
        <w:div w:id="1005326267">
          <w:marLeft w:val="0"/>
          <w:marRight w:val="0"/>
          <w:marTop w:val="0"/>
          <w:marBottom w:val="0"/>
          <w:divBdr>
            <w:top w:val="none" w:sz="0" w:space="0" w:color="auto"/>
            <w:left w:val="none" w:sz="0" w:space="0" w:color="auto"/>
            <w:bottom w:val="none" w:sz="0" w:space="0" w:color="auto"/>
            <w:right w:val="none" w:sz="0" w:space="0" w:color="auto"/>
          </w:divBdr>
        </w:div>
      </w:divsChild>
    </w:div>
    <w:div w:id="697506768">
      <w:bodyDiv w:val="1"/>
      <w:marLeft w:val="0"/>
      <w:marRight w:val="0"/>
      <w:marTop w:val="0"/>
      <w:marBottom w:val="0"/>
      <w:divBdr>
        <w:top w:val="none" w:sz="0" w:space="0" w:color="auto"/>
        <w:left w:val="none" w:sz="0" w:space="0" w:color="auto"/>
        <w:bottom w:val="none" w:sz="0" w:space="0" w:color="auto"/>
        <w:right w:val="none" w:sz="0" w:space="0" w:color="auto"/>
      </w:divBdr>
    </w:div>
    <w:div w:id="1327829862">
      <w:bodyDiv w:val="1"/>
      <w:marLeft w:val="0"/>
      <w:marRight w:val="0"/>
      <w:marTop w:val="0"/>
      <w:marBottom w:val="0"/>
      <w:divBdr>
        <w:top w:val="none" w:sz="0" w:space="0" w:color="auto"/>
        <w:left w:val="none" w:sz="0" w:space="0" w:color="auto"/>
        <w:bottom w:val="none" w:sz="0" w:space="0" w:color="auto"/>
        <w:right w:val="none" w:sz="0" w:space="0" w:color="auto"/>
      </w:divBdr>
      <w:divsChild>
        <w:div w:id="554395750">
          <w:marLeft w:val="0"/>
          <w:marRight w:val="0"/>
          <w:marTop w:val="0"/>
          <w:marBottom w:val="0"/>
          <w:divBdr>
            <w:top w:val="none" w:sz="0" w:space="0" w:color="auto"/>
            <w:left w:val="none" w:sz="0" w:space="0" w:color="auto"/>
            <w:bottom w:val="none" w:sz="0" w:space="0" w:color="auto"/>
            <w:right w:val="none" w:sz="0" w:space="0" w:color="auto"/>
          </w:divBdr>
        </w:div>
        <w:div w:id="853155610">
          <w:marLeft w:val="0"/>
          <w:marRight w:val="0"/>
          <w:marTop w:val="0"/>
          <w:marBottom w:val="0"/>
          <w:divBdr>
            <w:top w:val="none" w:sz="0" w:space="0" w:color="auto"/>
            <w:left w:val="none" w:sz="0" w:space="0" w:color="auto"/>
            <w:bottom w:val="none" w:sz="0" w:space="0" w:color="auto"/>
            <w:right w:val="none" w:sz="0" w:space="0" w:color="auto"/>
          </w:divBdr>
        </w:div>
        <w:div w:id="1757675645">
          <w:marLeft w:val="0"/>
          <w:marRight w:val="0"/>
          <w:marTop w:val="0"/>
          <w:marBottom w:val="0"/>
          <w:divBdr>
            <w:top w:val="none" w:sz="0" w:space="0" w:color="auto"/>
            <w:left w:val="none" w:sz="0" w:space="0" w:color="auto"/>
            <w:bottom w:val="none" w:sz="0" w:space="0" w:color="auto"/>
            <w:right w:val="none" w:sz="0" w:space="0" w:color="auto"/>
          </w:divBdr>
        </w:div>
      </w:divsChild>
    </w:div>
    <w:div w:id="1698851656">
      <w:bodyDiv w:val="1"/>
      <w:marLeft w:val="0"/>
      <w:marRight w:val="0"/>
      <w:marTop w:val="0"/>
      <w:marBottom w:val="0"/>
      <w:divBdr>
        <w:top w:val="none" w:sz="0" w:space="0" w:color="auto"/>
        <w:left w:val="none" w:sz="0" w:space="0" w:color="auto"/>
        <w:bottom w:val="none" w:sz="0" w:space="0" w:color="auto"/>
        <w:right w:val="none" w:sz="0" w:space="0" w:color="auto"/>
      </w:divBdr>
      <w:divsChild>
        <w:div w:id="268121984">
          <w:marLeft w:val="0"/>
          <w:marRight w:val="0"/>
          <w:marTop w:val="0"/>
          <w:marBottom w:val="0"/>
          <w:divBdr>
            <w:top w:val="none" w:sz="0" w:space="0" w:color="auto"/>
            <w:left w:val="none" w:sz="0" w:space="0" w:color="auto"/>
            <w:bottom w:val="none" w:sz="0" w:space="0" w:color="auto"/>
            <w:right w:val="none" w:sz="0" w:space="0" w:color="auto"/>
          </w:divBdr>
        </w:div>
        <w:div w:id="1308825820">
          <w:marLeft w:val="0"/>
          <w:marRight w:val="0"/>
          <w:marTop w:val="0"/>
          <w:marBottom w:val="0"/>
          <w:divBdr>
            <w:top w:val="none" w:sz="0" w:space="0" w:color="auto"/>
            <w:left w:val="none" w:sz="0" w:space="0" w:color="auto"/>
            <w:bottom w:val="none" w:sz="0" w:space="0" w:color="auto"/>
            <w:right w:val="none" w:sz="0" w:space="0" w:color="auto"/>
          </w:divBdr>
        </w:div>
        <w:div w:id="1301379193">
          <w:marLeft w:val="0"/>
          <w:marRight w:val="0"/>
          <w:marTop w:val="0"/>
          <w:marBottom w:val="0"/>
          <w:divBdr>
            <w:top w:val="none" w:sz="0" w:space="0" w:color="auto"/>
            <w:left w:val="none" w:sz="0" w:space="0" w:color="auto"/>
            <w:bottom w:val="none" w:sz="0" w:space="0" w:color="auto"/>
            <w:right w:val="none" w:sz="0" w:space="0" w:color="auto"/>
          </w:divBdr>
        </w:div>
      </w:divsChild>
    </w:div>
    <w:div w:id="1883439270">
      <w:bodyDiv w:val="1"/>
      <w:marLeft w:val="0"/>
      <w:marRight w:val="0"/>
      <w:marTop w:val="0"/>
      <w:marBottom w:val="0"/>
      <w:divBdr>
        <w:top w:val="none" w:sz="0" w:space="0" w:color="auto"/>
        <w:left w:val="none" w:sz="0" w:space="0" w:color="auto"/>
        <w:bottom w:val="none" w:sz="0" w:space="0" w:color="auto"/>
        <w:right w:val="none" w:sz="0" w:space="0" w:color="auto"/>
      </w:divBdr>
      <w:divsChild>
        <w:div w:id="8485312">
          <w:marLeft w:val="0"/>
          <w:marRight w:val="0"/>
          <w:marTop w:val="0"/>
          <w:marBottom w:val="0"/>
          <w:divBdr>
            <w:top w:val="none" w:sz="0" w:space="0" w:color="auto"/>
            <w:left w:val="none" w:sz="0" w:space="0" w:color="auto"/>
            <w:bottom w:val="none" w:sz="0" w:space="0" w:color="auto"/>
            <w:right w:val="none" w:sz="0" w:space="0" w:color="auto"/>
          </w:divBdr>
        </w:div>
        <w:div w:id="1715421915">
          <w:marLeft w:val="0"/>
          <w:marRight w:val="0"/>
          <w:marTop w:val="0"/>
          <w:marBottom w:val="0"/>
          <w:divBdr>
            <w:top w:val="none" w:sz="0" w:space="0" w:color="auto"/>
            <w:left w:val="none" w:sz="0" w:space="0" w:color="auto"/>
            <w:bottom w:val="none" w:sz="0" w:space="0" w:color="auto"/>
            <w:right w:val="none" w:sz="0" w:space="0" w:color="auto"/>
          </w:divBdr>
        </w:div>
      </w:divsChild>
    </w:div>
    <w:div w:id="1925604754">
      <w:bodyDiv w:val="1"/>
      <w:marLeft w:val="0"/>
      <w:marRight w:val="0"/>
      <w:marTop w:val="0"/>
      <w:marBottom w:val="0"/>
      <w:divBdr>
        <w:top w:val="none" w:sz="0" w:space="0" w:color="auto"/>
        <w:left w:val="none" w:sz="0" w:space="0" w:color="auto"/>
        <w:bottom w:val="none" w:sz="0" w:space="0" w:color="auto"/>
        <w:right w:val="none" w:sz="0" w:space="0" w:color="auto"/>
      </w:divBdr>
      <w:divsChild>
        <w:div w:id="470681265">
          <w:marLeft w:val="0"/>
          <w:marRight w:val="0"/>
          <w:marTop w:val="0"/>
          <w:marBottom w:val="0"/>
          <w:divBdr>
            <w:top w:val="none" w:sz="0" w:space="0" w:color="auto"/>
            <w:left w:val="none" w:sz="0" w:space="0" w:color="auto"/>
            <w:bottom w:val="none" w:sz="0" w:space="0" w:color="auto"/>
            <w:right w:val="none" w:sz="0" w:space="0" w:color="auto"/>
          </w:divBdr>
        </w:div>
        <w:div w:id="908542720">
          <w:marLeft w:val="0"/>
          <w:marRight w:val="0"/>
          <w:marTop w:val="0"/>
          <w:marBottom w:val="0"/>
          <w:divBdr>
            <w:top w:val="none" w:sz="0" w:space="0" w:color="auto"/>
            <w:left w:val="none" w:sz="0" w:space="0" w:color="auto"/>
            <w:bottom w:val="none" w:sz="0" w:space="0" w:color="auto"/>
            <w:right w:val="none" w:sz="0" w:space="0" w:color="auto"/>
          </w:divBdr>
        </w:div>
      </w:divsChild>
    </w:div>
    <w:div w:id="1994016851">
      <w:bodyDiv w:val="1"/>
      <w:marLeft w:val="0"/>
      <w:marRight w:val="0"/>
      <w:marTop w:val="0"/>
      <w:marBottom w:val="0"/>
      <w:divBdr>
        <w:top w:val="none" w:sz="0" w:space="0" w:color="auto"/>
        <w:left w:val="none" w:sz="0" w:space="0" w:color="auto"/>
        <w:bottom w:val="none" w:sz="0" w:space="0" w:color="auto"/>
        <w:right w:val="none" w:sz="0" w:space="0" w:color="auto"/>
      </w:divBdr>
      <w:divsChild>
        <w:div w:id="1270771520">
          <w:marLeft w:val="0"/>
          <w:marRight w:val="0"/>
          <w:marTop w:val="0"/>
          <w:marBottom w:val="0"/>
          <w:divBdr>
            <w:top w:val="none" w:sz="0" w:space="0" w:color="auto"/>
            <w:left w:val="none" w:sz="0" w:space="0" w:color="auto"/>
            <w:bottom w:val="none" w:sz="0" w:space="0" w:color="auto"/>
            <w:right w:val="none" w:sz="0" w:space="0" w:color="auto"/>
          </w:divBdr>
        </w:div>
        <w:div w:id="429935247">
          <w:marLeft w:val="0"/>
          <w:marRight w:val="0"/>
          <w:marTop w:val="0"/>
          <w:marBottom w:val="0"/>
          <w:divBdr>
            <w:top w:val="none" w:sz="0" w:space="0" w:color="auto"/>
            <w:left w:val="none" w:sz="0" w:space="0" w:color="auto"/>
            <w:bottom w:val="none" w:sz="0" w:space="0" w:color="auto"/>
            <w:right w:val="none" w:sz="0" w:space="0" w:color="auto"/>
          </w:divBdr>
        </w:div>
        <w:div w:id="1909222464">
          <w:marLeft w:val="0"/>
          <w:marRight w:val="0"/>
          <w:marTop w:val="0"/>
          <w:marBottom w:val="0"/>
          <w:divBdr>
            <w:top w:val="none" w:sz="0" w:space="0" w:color="auto"/>
            <w:left w:val="none" w:sz="0" w:space="0" w:color="auto"/>
            <w:bottom w:val="none" w:sz="0" w:space="0" w:color="auto"/>
            <w:right w:val="none" w:sz="0" w:space="0" w:color="auto"/>
          </w:divBdr>
        </w:div>
        <w:div w:id="2012944691">
          <w:marLeft w:val="0"/>
          <w:marRight w:val="0"/>
          <w:marTop w:val="0"/>
          <w:marBottom w:val="0"/>
          <w:divBdr>
            <w:top w:val="none" w:sz="0" w:space="0" w:color="auto"/>
            <w:left w:val="none" w:sz="0" w:space="0" w:color="auto"/>
            <w:bottom w:val="none" w:sz="0" w:space="0" w:color="auto"/>
            <w:right w:val="none" w:sz="0" w:space="0" w:color="auto"/>
          </w:divBdr>
        </w:div>
        <w:div w:id="1186410634">
          <w:marLeft w:val="0"/>
          <w:marRight w:val="0"/>
          <w:marTop w:val="0"/>
          <w:marBottom w:val="0"/>
          <w:divBdr>
            <w:top w:val="none" w:sz="0" w:space="0" w:color="auto"/>
            <w:left w:val="none" w:sz="0" w:space="0" w:color="auto"/>
            <w:bottom w:val="none" w:sz="0" w:space="0" w:color="auto"/>
            <w:right w:val="none" w:sz="0" w:space="0" w:color="auto"/>
          </w:divBdr>
        </w:div>
        <w:div w:id="1130199696">
          <w:marLeft w:val="0"/>
          <w:marRight w:val="0"/>
          <w:marTop w:val="0"/>
          <w:marBottom w:val="0"/>
          <w:divBdr>
            <w:top w:val="none" w:sz="0" w:space="0" w:color="auto"/>
            <w:left w:val="none" w:sz="0" w:space="0" w:color="auto"/>
            <w:bottom w:val="none" w:sz="0" w:space="0" w:color="auto"/>
            <w:right w:val="none" w:sz="0" w:space="0" w:color="auto"/>
          </w:divBdr>
        </w:div>
        <w:div w:id="5932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ppc.int/fr/publications/89734/" TargetMode="External" Id="rId13" /><Relationship Type="http://schemas.openxmlformats.org/officeDocument/2006/relationships/hyperlink" Target="https://nappo.org/application/files/9216/1676/6222/20210319_RSPM9-e.pdf" TargetMode="External" Id="rId18" /><Relationship Type="http://schemas.openxmlformats.org/officeDocument/2006/relationships/customXml" Target="../customXml/item3.xml" Id="rId3" /><Relationship Type="http://schemas.microsoft.com/office/2019/09/relationships/intelligence" Target="intelligence.xml" Id="R6cd035318c6f475c" /><Relationship Type="http://schemas.openxmlformats.org/officeDocument/2006/relationships/settings" Target="settings.xml" Id="rId7" /><Relationship Type="http://schemas.openxmlformats.org/officeDocument/2006/relationships/hyperlink" Target="https://www.ippc.int/fr/publications/607/" TargetMode="External" Id="rId12" /><Relationship Type="http://schemas.openxmlformats.org/officeDocument/2006/relationships/hyperlink" Target="https://www.fao.org/documents/card/fr/c/cc5059en" TargetMode="External" Id="rId17" /><Relationship Type="http://schemas.openxmlformats.org/officeDocument/2006/relationships/customXml" Target="../customXml/item2.xml" Id="rId2" /><Relationship Type="http://schemas.openxmlformats.org/officeDocument/2006/relationships/hyperlink" Target="https://www.ippc.int/fr/publications/87497/"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fr/publications/622/&#160;&#160;&#160;" TargetMode="External" Id="rId11" /><Relationship Type="http://schemas.openxmlformats.org/officeDocument/2006/relationships/numbering" Target="numbering.xml" Id="rId5" /><Relationship Type="http://schemas.openxmlformats.org/officeDocument/2006/relationships/hyperlink" Target="https://www.ippc.int/fr/publications/90633/"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ppc.int/fr/publications/91185/" TargetMode="External" Id="rId14" /></Relationships>
</file>

<file path=word/_rels/settings.xml.rels>&#65279;<?xml version="1.0" encoding="utf-8"?><Relationships xmlns="http://schemas.openxmlformats.org/package/2006/relationships"><Relationship Type="http://schemas.openxmlformats.org/officeDocument/2006/relationships/attachedTemplate" Target="file:///C:\Users\Tiscioni\AppData\Roaming\Microsoft\Templates\IPPC1.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F00453A-8A91-4A8C-A1D5-94D887113152}">
  <ds:schemaRefs>
    <ds:schemaRef ds:uri="http://schemas.microsoft.com/sharepoint/v3/contenttype/forms"/>
  </ds:schemaRefs>
</ds:datastoreItem>
</file>

<file path=customXml/itemProps2.xml><?xml version="1.0" encoding="utf-8"?>
<ds:datastoreItem xmlns:ds="http://schemas.openxmlformats.org/officeDocument/2006/customXml" ds:itemID="{BEE3F591-F3E6-4D98-9F66-5AD1B2068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C497B-48AA-4D89-88B6-433C6184AFD2}">
  <ds:schemaRefs>
    <ds:schemaRef ds:uri="http://schemas.microsoft.com/office/2006/metadata/properties"/>
    <ds:schemaRef ds:uri="http://schemas.microsoft.com/office/infopath/2007/PartnerControls"/>
    <ds:schemaRef ds:uri="ea6feb38-a85a-45e8-92e9-814486bbe375"/>
    <ds:schemaRef ds:uri="a05d7f75-f42e-4288-8809-604fd4d9691f"/>
  </ds:schemaRefs>
</ds:datastoreItem>
</file>

<file path=customXml/itemProps4.xml><?xml version="1.0" encoding="utf-8"?>
<ds:datastoreItem xmlns:ds="http://schemas.openxmlformats.org/officeDocument/2006/customXml" ds:itemID="{767B8638-F368-43BB-BE4D-59A263A3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IPPC1.dotx</Template>
  <TotalTime>14</TotalTime>
  <Pages>4</Pages>
  <Words>1878</Words>
  <Characters>10708</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Barbara</dc:creator>
  <cp:keywords/>
  <dc:description/>
  <cp:lastModifiedBy>Krah, Emmanuel (NSPD)</cp:lastModifiedBy>
  <cp:revision>6</cp:revision>
  <dcterms:created xsi:type="dcterms:W3CDTF">2023-06-27T06:41:00Z</dcterms:created>
  <dcterms:modified xsi:type="dcterms:W3CDTF">2023-06-30T10:07:00Z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