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B8B6" w14:textId="7526A2A3" w:rsidR="0096599A" w:rsidRPr="005C660F" w:rsidRDefault="0096599A" w:rsidP="0096599A">
      <w:pPr>
        <w:pStyle w:val="IPPHeading1"/>
      </w:pPr>
      <w:r>
        <w:rPr>
          <w:bCs/>
        </w:rPr>
        <w:t>1.</w:t>
      </w:r>
      <w:r>
        <w:tab/>
        <w:t>Ouverture de la session</w:t>
      </w:r>
    </w:p>
    <w:p w14:paraId="3243E095" w14:textId="7D02529A" w:rsidR="00B2035B" w:rsidRDefault="00B2035B" w:rsidP="00B2035B">
      <w:pPr>
        <w:pStyle w:val="IPPParagraphnumbering"/>
      </w:pPr>
      <w:r>
        <w:t>Le Directeur de la Division de la production végétale et de la protection des plantes de la FAO, M. Yurdi Yasmi, a souhaité la bienvenue aux participants à la 20</w:t>
      </w:r>
      <w:r>
        <w:rPr>
          <w:vertAlign w:val="superscript"/>
        </w:rPr>
        <w:t>e</w:t>
      </w:r>
      <w:r>
        <w:t> session de la Commission des mesures phytosanitaires (</w:t>
      </w:r>
      <w:proofErr w:type="spellStart"/>
      <w:r>
        <w:t>CMP</w:t>
      </w:r>
      <w:proofErr w:type="spellEnd"/>
      <w:r>
        <w:t>), qui s</w:t>
      </w:r>
      <w:r w:rsidR="00097A03">
        <w:t>’</w:t>
      </w:r>
      <w:r>
        <w:t>est tenue selon des modalités hybrides (en ligne et en présentiel)</w:t>
      </w:r>
      <w:r w:rsidRPr="005C660F">
        <w:rPr>
          <w:rStyle w:val="Appelnotedebasdep"/>
          <w:lang w:val="en-GB"/>
        </w:rPr>
        <w:footnoteReference w:id="1"/>
      </w:r>
      <w:r>
        <w:t>.</w:t>
      </w:r>
    </w:p>
    <w:p w14:paraId="666BF1F1" w14:textId="73FDFE53" w:rsidR="00B2035B" w:rsidRPr="005C660F" w:rsidRDefault="0043458E" w:rsidP="00B2035B">
      <w:pPr>
        <w:pStyle w:val="IPPParagraphnumbering"/>
      </w:pPr>
      <w:r>
        <w:t xml:space="preserve">La </w:t>
      </w:r>
      <w:proofErr w:type="spellStart"/>
      <w:r>
        <w:t>CMP</w:t>
      </w:r>
      <w:proofErr w:type="spellEnd"/>
      <w:r>
        <w:t xml:space="preserve"> a observé une minute de silence en souvenir de M. Ian Smith (ancien Directeur général de l</w:t>
      </w:r>
      <w:r w:rsidR="00097A03">
        <w:t>’</w:t>
      </w:r>
      <w:r>
        <w:t>Organisation européenne et méditerranéenne pour la protection des plantes).</w:t>
      </w:r>
    </w:p>
    <w:p w14:paraId="15628C70" w14:textId="0705D3C0" w:rsidR="00BA506F" w:rsidRDefault="00F620D6" w:rsidP="0075343F">
      <w:pPr>
        <w:pStyle w:val="IPPParagraphnumbering"/>
      </w:pPr>
      <w:r>
        <w:t xml:space="preserve">Le Directeur général de la FAO, M. Qu Dongyu, a souhaité la bienvenue à tous les participants et a mentionné le travail de la </w:t>
      </w:r>
      <w:proofErr w:type="spellStart"/>
      <w:r>
        <w:t>CMP</w:t>
      </w:r>
      <w:proofErr w:type="spellEnd"/>
      <w:r>
        <w:t xml:space="preserve"> concernant l</w:t>
      </w:r>
      <w:r w:rsidR="00097A03">
        <w:t>’</w:t>
      </w:r>
      <w:r>
        <w:t>adoption de normes internationales pour lutter contre les organismes nuisibles touchant les végétaux, l</w:t>
      </w:r>
      <w:r w:rsidR="00097A03">
        <w:t>’</w:t>
      </w:r>
      <w:r>
        <w:t xml:space="preserve">élaboration de la solution </w:t>
      </w:r>
      <w:proofErr w:type="spellStart"/>
      <w:r>
        <w:t>ePhyto</w:t>
      </w:r>
      <w:proofErr w:type="spellEnd"/>
      <w:r>
        <w:t xml:space="preserve"> de la Convention internationale pour la protection des végétaux (CIPV) et le renforcement de la capacité phytosanitaire. Il a expliqué comment les activités conjointes de la </w:t>
      </w:r>
      <w:proofErr w:type="spellStart"/>
      <w:r>
        <w:t>CMP</w:t>
      </w:r>
      <w:proofErr w:type="spellEnd"/>
      <w:r>
        <w:t xml:space="preserve"> et de la FAO contribuaient aux quatre améliorations visées par l</w:t>
      </w:r>
      <w:r w:rsidR="00097A03">
        <w:t>’</w:t>
      </w:r>
      <w:r>
        <w:t>Organisation, lesquelles consistent à apporter des améliorations en matière de production, de nutrition, d</w:t>
      </w:r>
      <w:r w:rsidR="00097A03">
        <w:t>’</w:t>
      </w:r>
      <w:r>
        <w:t xml:space="preserve">environnement et de conditions de vie, sans laisser personne de côté. Cependant, il a aussi souligné la nécessité pour la </w:t>
      </w:r>
      <w:proofErr w:type="spellStart"/>
      <w:r>
        <w:t>CMP</w:t>
      </w:r>
      <w:proofErr w:type="spellEnd"/>
      <w:r>
        <w:t xml:space="preserve"> de rester vigilante et de continuer à innover face au développement du commerce international et au risque de plus en plus grand que les organismes nuisibles touchant les végétaux traversent les frontières. Dans ce contexte, le Directeur général a évoqué la foire de l</w:t>
      </w:r>
      <w:r w:rsidR="00097A03">
        <w:t>’</w:t>
      </w:r>
      <w:r>
        <w:t>innovation sur la santé des végétaux et les séances d</w:t>
      </w:r>
      <w:r w:rsidR="00097A03">
        <w:t>’</w:t>
      </w:r>
      <w:r>
        <w:t>exposition d</w:t>
      </w:r>
      <w:r w:rsidR="00097A03">
        <w:t>’</w:t>
      </w:r>
      <w:r>
        <w:t>affiches scientifiques prévues pendant la semaine de la session, qui constitueraient une plateforme de partage de connaissances en temps réel.</w:t>
      </w:r>
    </w:p>
    <w:p w14:paraId="3A906CDB" w14:textId="6799FB0D" w:rsidR="00E4306B" w:rsidRPr="00E4306B" w:rsidRDefault="00E4306B" w:rsidP="00E4306B">
      <w:pPr>
        <w:pStyle w:val="IPPParagraphnumbering"/>
      </w:pPr>
      <w:r>
        <w:t>M</w:t>
      </w:r>
      <w:r>
        <w:rPr>
          <w:vertAlign w:val="superscript"/>
        </w:rPr>
        <w:t>me</w:t>
      </w:r>
      <w:r>
        <w:t> Beth Bechdol, Directrice générale adjointe de la FAO, a insisté sur l</w:t>
      </w:r>
      <w:r w:rsidR="00097A03">
        <w:t>’</w:t>
      </w:r>
      <w:r>
        <w:t xml:space="preserve">importance cruciale du travail de la </w:t>
      </w:r>
      <w:proofErr w:type="spellStart"/>
      <w:r>
        <w:t>CMP</w:t>
      </w:r>
      <w:proofErr w:type="spellEnd"/>
      <w:r>
        <w:t xml:space="preserve"> pour ce qui est de renforcer les systèmes phytosanitaires, et ainsi de protéger la production végétale, l</w:t>
      </w:r>
      <w:r w:rsidR="00097A03">
        <w:t>’</w:t>
      </w:r>
      <w:r>
        <w:t>alimentation et les moyens de subsistance au niveau mondial. Elle a fait remarquer que la santé des végétaux était une question de politiques stratégiques et non une problématique technique de niche, que des politiques phytosanitaires fortes permettaient un commerce sans risque et protégeaient les économies et les moyens de subsistance, et que la cohérence des politiques favorisait des innovations qui parvenaient jusqu</w:t>
      </w:r>
      <w:r w:rsidR="00097A03">
        <w:t>’</w:t>
      </w:r>
      <w:r>
        <w:t xml:space="preserve">aux agriculteurs. Elle a ajouté que la force de la </w:t>
      </w:r>
      <w:proofErr w:type="spellStart"/>
      <w:r>
        <w:t>CMP</w:t>
      </w:r>
      <w:proofErr w:type="spellEnd"/>
      <w:r>
        <w:t xml:space="preserve"> résidait non seulement dans les normes qu</w:t>
      </w:r>
      <w:r w:rsidR="00097A03">
        <w:t>’</w:t>
      </w:r>
      <w:r>
        <w:t>elle adoptait, mais aussi dans l</w:t>
      </w:r>
      <w:r w:rsidR="00097A03">
        <w:t>’</w:t>
      </w:r>
      <w:r>
        <w:t>esprit de coopération qui sous-tendait ce travail.</w:t>
      </w:r>
    </w:p>
    <w:p w14:paraId="56BD147B" w14:textId="0B3094F0" w:rsidR="00953AE0" w:rsidRDefault="00953AE0" w:rsidP="00953AE0">
      <w:pPr>
        <w:pStyle w:val="IPPParagraphnumbering"/>
      </w:pPr>
      <w:r>
        <w:t xml:space="preserve">Le Secrétaire de la CIPV, M. Enrico Perotti, a indiqué que les sessions de la </w:t>
      </w:r>
      <w:proofErr w:type="spellStart"/>
      <w:r>
        <w:t>CMP</w:t>
      </w:r>
      <w:proofErr w:type="spellEnd"/>
      <w:r>
        <w:t xml:space="preserve"> étaient essentielles pour produire des systèmes et des outils qui empêchent les organismes nuisibles de traverser les frontières, de détruire la biodiversité et de perturber le commerce international. Il s</w:t>
      </w:r>
      <w:r w:rsidR="00097A03">
        <w:t>’</w:t>
      </w:r>
      <w:r>
        <w:t>est référé aux questions soumises à l</w:t>
      </w:r>
      <w:r w:rsidR="00097A03">
        <w:t>’</w:t>
      </w:r>
      <w:r>
        <w:t>examen lors de la session – l</w:t>
      </w:r>
      <w:r w:rsidR="00097A03">
        <w:t>’</w:t>
      </w:r>
      <w:r>
        <w:t>adoption de normes internationales pour les mesures phytosanitaires (</w:t>
      </w:r>
      <w:proofErr w:type="spellStart"/>
      <w:r>
        <w:t>NIMP</w:t>
      </w:r>
      <w:proofErr w:type="spellEnd"/>
      <w:r>
        <w:t>), la progression de la mise en œuvre du Cadre stratégique de la CIPV 2020-2030 et les rapports des organes de la CIPV – et a encouragé les participants à profiter de la 20</w:t>
      </w:r>
      <w:r>
        <w:rPr>
          <w:vertAlign w:val="superscript"/>
        </w:rPr>
        <w:t>e</w:t>
      </w:r>
      <w:r>
        <w:t xml:space="preserve"> session de la </w:t>
      </w:r>
      <w:proofErr w:type="spellStart"/>
      <w:r>
        <w:t>CMP</w:t>
      </w:r>
      <w:proofErr w:type="spellEnd"/>
      <w:r>
        <w:t xml:space="preserve"> pour réaffirmer leur engagement commun à l</w:t>
      </w:r>
      <w:r w:rsidR="00097A03">
        <w:t>’</w:t>
      </w:r>
      <w:r>
        <w:t xml:space="preserve">égard de la mission de la CIPV, à savoir protéger les ressources végétales mondiales des organismes nuisibles et garantir un commerce sans risque pour que la sécurité alimentaire règne aux quatre coins du globe. </w:t>
      </w:r>
    </w:p>
    <w:p w14:paraId="7F437005" w14:textId="4683EC6C" w:rsidR="004F0226" w:rsidRPr="005C660F" w:rsidRDefault="004F0226" w:rsidP="004F0226">
      <w:pPr>
        <w:pStyle w:val="IPPHeading1"/>
      </w:pPr>
      <w:r>
        <w:rPr>
          <w:bCs/>
        </w:rPr>
        <w:t>2.</w:t>
      </w:r>
      <w:r>
        <w:tab/>
        <w:t>Discours d</w:t>
      </w:r>
      <w:r w:rsidR="00097A03">
        <w:t>’</w:t>
      </w:r>
      <w:r>
        <w:t>ouverture</w:t>
      </w:r>
    </w:p>
    <w:p w14:paraId="592D745D" w14:textId="1B7193B0" w:rsidR="004F0226" w:rsidRDefault="004F0226" w:rsidP="004F0226">
      <w:pPr>
        <w:pStyle w:val="IPPHeading2"/>
        <w:ind w:left="0" w:firstLine="0"/>
      </w:pPr>
      <w:r>
        <w:t>2.1</w:t>
      </w:r>
      <w:r>
        <w:tab/>
        <w:t>Discours de la Ministre de la biosécurité, des frontières et des animaux du Royaume-Uni de Grande-Bretagne et d</w:t>
      </w:r>
      <w:r w:rsidR="00097A03">
        <w:t>’</w:t>
      </w:r>
      <w:r>
        <w:t>Irlande du Nord</w:t>
      </w:r>
    </w:p>
    <w:p w14:paraId="3FD5FA10" w14:textId="026CD561" w:rsidR="004F0226" w:rsidRPr="000079EC" w:rsidRDefault="004F0226" w:rsidP="004F0226">
      <w:pPr>
        <w:pStyle w:val="IPPParagraphnumbering"/>
      </w:pPr>
      <w:r>
        <w:t>M</w:t>
      </w:r>
      <w:r>
        <w:rPr>
          <w:vertAlign w:val="superscript"/>
        </w:rPr>
        <w:t>me</w:t>
      </w:r>
      <w:r>
        <w:t> Susan Mary Hayman, Ministre de la biosécurité, des frontières et des animaux du Royaume-Uni de Grande-Bretagne et d</w:t>
      </w:r>
      <w:r w:rsidR="00097A03">
        <w:t>’</w:t>
      </w:r>
      <w:r>
        <w:t xml:space="preserve">Irlande du Nord, a salué le travail de la </w:t>
      </w:r>
      <w:proofErr w:type="spellStart"/>
      <w:r>
        <w:t>CMP</w:t>
      </w:r>
      <w:proofErr w:type="spellEnd"/>
      <w:r>
        <w:t xml:space="preserve"> en matière de protection et de promotion de la santé des végétaux et de la biosécurité au niveau mondial, qui est au cœur du mandat de la FAO. Elle a souligné que les normes communes et la gestion efficace d</w:t>
      </w:r>
      <w:r w:rsidR="00097A03">
        <w:t>’</w:t>
      </w:r>
      <w:r>
        <w:t>un système alimentaire de plus en plus mondialisé bénéficiaient à tous, quels que soient le pays et la région. Elle a expliqué que c</w:t>
      </w:r>
      <w:r w:rsidR="00097A03">
        <w:t>’</w:t>
      </w:r>
      <w:r>
        <w:t>était la raison pour laquelle le Royaume-Uni continuait à soutenir fortement la CIPV et son approche «Une seule santé», notamment par un appui financier au Programme phytosanitaire pour l</w:t>
      </w:r>
      <w:r w:rsidR="00097A03">
        <w:t>’</w:t>
      </w:r>
      <w:r>
        <w:t xml:space="preserve">Afrique </w:t>
      </w:r>
      <w:r>
        <w:lastRenderedPageBreak/>
        <w:t>(</w:t>
      </w:r>
      <w:proofErr w:type="spellStart"/>
      <w:r>
        <w:t>PPA</w:t>
      </w:r>
      <w:proofErr w:type="spellEnd"/>
      <w:r>
        <w:t>). La Ministre a souhaité aux participants à la session une semaine de débats aussi fructueuse que possible et s</w:t>
      </w:r>
      <w:r w:rsidR="00097A03">
        <w:t>’</w:t>
      </w:r>
      <w:r>
        <w:t xml:space="preserve">est dite impatiente que le Royaume-Uni poursuive sa collaboration avec la </w:t>
      </w:r>
      <w:proofErr w:type="spellStart"/>
      <w:r>
        <w:t>CMP</w:t>
      </w:r>
      <w:proofErr w:type="spellEnd"/>
      <w:r>
        <w:t xml:space="preserve">. </w:t>
      </w:r>
    </w:p>
    <w:p w14:paraId="0EE70F55" w14:textId="3568B1D6" w:rsidR="004F0226" w:rsidRPr="00875635" w:rsidRDefault="004F0226" w:rsidP="004F0226">
      <w:pPr>
        <w:pStyle w:val="IPPHeading2"/>
        <w:ind w:left="0" w:firstLine="0"/>
        <w:rPr>
          <w:bCs/>
        </w:rPr>
      </w:pPr>
      <w:r>
        <w:t>2.2 Discours du Ministre de l</w:t>
      </w:r>
      <w:r w:rsidR="00097A03">
        <w:t>’</w:t>
      </w:r>
      <w:r>
        <w:t>Autorité de quarantaine de l</w:t>
      </w:r>
      <w:r w:rsidR="00097A03">
        <w:t>’</w:t>
      </w:r>
      <w:r>
        <w:t>Indonésie</w:t>
      </w:r>
    </w:p>
    <w:p w14:paraId="5143E959" w14:textId="2E5A347E" w:rsidR="004F0226" w:rsidRPr="00E956B9" w:rsidRDefault="004F0226" w:rsidP="004F0226">
      <w:pPr>
        <w:pStyle w:val="IPPParagraphnumbering"/>
      </w:pPr>
      <w:r>
        <w:t>L</w:t>
      </w:r>
      <w:r w:rsidR="00097A03">
        <w:t>’</w:t>
      </w:r>
      <w:r>
        <w:t>Ambassadeur de l</w:t>
      </w:r>
      <w:r w:rsidR="00097A03">
        <w:t>’</w:t>
      </w:r>
      <w:r>
        <w:t>Indonésie auprès de la FAO a prononcé un discours d</w:t>
      </w:r>
      <w:r w:rsidR="00097A03">
        <w:t>’</w:t>
      </w:r>
      <w:r>
        <w:t>ouverture au nom de M. Sahat Manaor Panggabean, Ministre de l</w:t>
      </w:r>
      <w:r w:rsidR="00097A03">
        <w:t>’</w:t>
      </w:r>
      <w:r>
        <w:t>Autorité de quarantaine de l</w:t>
      </w:r>
      <w:r w:rsidR="00097A03">
        <w:t>’</w:t>
      </w:r>
      <w:r>
        <w:t xml:space="preserve">Indonésie. Il a fait part à la </w:t>
      </w:r>
      <w:proofErr w:type="spellStart"/>
      <w:r>
        <w:t>CMP</w:t>
      </w:r>
      <w:proofErr w:type="spellEnd"/>
      <w:r>
        <w:t xml:space="preserve"> de la longue histoire de la quarantaine végétale en Indonésie et a insisté sur l</w:t>
      </w:r>
      <w:r w:rsidR="00097A03">
        <w:t>’</w:t>
      </w:r>
      <w:r>
        <w:t>importance de la sécurité alimentaire et sur la menace que représentent des organismes nuisibles comme la légionnaire d</w:t>
      </w:r>
      <w:r w:rsidR="00097A03">
        <w:t>’</w:t>
      </w:r>
      <w:r>
        <w:t xml:space="preserve">automne et </w:t>
      </w:r>
      <w:r>
        <w:rPr>
          <w:i/>
          <w:iCs/>
        </w:rPr>
        <w:t>Fusarium</w:t>
      </w:r>
      <w:r>
        <w:t xml:space="preserve"> TR4. Il a souligné la nécessité de rester attentifs aux effets du changement climatique et a fait référence à l</w:t>
      </w:r>
      <w:r w:rsidR="00097A03">
        <w:t>’</w:t>
      </w:r>
      <w:r>
        <w:t>utilisation d</w:t>
      </w:r>
      <w:r w:rsidR="00097A03">
        <w:t>’</w:t>
      </w:r>
      <w:r>
        <w:t>agents de lutte biologique, à la gestion intégrée des organismes nuisibles et aux approches «Une seule santé». Il a également souligné la nécessité de disposer de stocks de semences saines en cas d</w:t>
      </w:r>
      <w:r w:rsidR="00097A03">
        <w:t>’</w:t>
      </w:r>
      <w:r>
        <w:t>inondation et de nouvelles technologies adaptatives aux fins de la surveillance. L</w:t>
      </w:r>
      <w:r w:rsidR="00097A03">
        <w:t>’</w:t>
      </w:r>
      <w:r>
        <w:t xml:space="preserve">Ambassadeur a évoqué les avantages de la solution </w:t>
      </w:r>
      <w:proofErr w:type="spellStart"/>
      <w:r>
        <w:t>ePhyto</w:t>
      </w:r>
      <w:proofErr w:type="spellEnd"/>
      <w:r>
        <w:t xml:space="preserve"> de la CIPV et des mesures de biosécurité mises en place avant le passage des frontières, tout en précisant les défis liés au commerce électronique. Pour conclure, il a remercié les autres parties contractantes et le secrétariat de la CIPV (dénommé ci-après «le secrétariat»).</w:t>
      </w:r>
    </w:p>
    <w:p w14:paraId="355BE163" w14:textId="191DBE72" w:rsidR="004F0226" w:rsidRPr="003A1E70" w:rsidRDefault="004F0226" w:rsidP="004F0226">
      <w:pPr>
        <w:pStyle w:val="IPPParagraphnumbering"/>
      </w:pPr>
      <w:r>
        <w:t xml:space="preserve">Le Président de la </w:t>
      </w:r>
      <w:proofErr w:type="spellStart"/>
      <w:r>
        <w:t>CMP</w:t>
      </w:r>
      <w:proofErr w:type="spellEnd"/>
      <w:r>
        <w:t xml:space="preserve"> a ensuite prononcé une allocution d</w:t>
      </w:r>
      <w:r w:rsidR="00097A03">
        <w:t>’</w:t>
      </w:r>
      <w:r>
        <w:t>ouverture. Il a dit attendre avec intérêt que soient examinés les points figurant à l</w:t>
      </w:r>
      <w:r w:rsidR="00097A03">
        <w:t>’</w:t>
      </w:r>
      <w:r>
        <w:t xml:space="preserve">ordre du jour et a souhaité la bienvenue à tous les participants, en particulier ceux qui assistaient à la session en ligne. </w:t>
      </w:r>
    </w:p>
    <w:p w14:paraId="78734ED9" w14:textId="4F765C54" w:rsidR="001A2904" w:rsidRPr="005C660F" w:rsidRDefault="001A2904" w:rsidP="001A2904">
      <w:pPr>
        <w:pStyle w:val="IPPHeading1"/>
      </w:pPr>
      <w:r>
        <w:rPr>
          <w:bCs/>
        </w:rPr>
        <w:t>3.</w:t>
      </w:r>
      <w:r>
        <w:tab/>
        <w:t>Adoption de l</w:t>
      </w:r>
      <w:r w:rsidR="00097A03">
        <w:t>’</w:t>
      </w:r>
      <w:r>
        <w:t>ordre du jour</w:t>
      </w:r>
    </w:p>
    <w:p w14:paraId="7AA4E2C0" w14:textId="77777777" w:rsidR="001A2904" w:rsidRPr="005C660F" w:rsidRDefault="001A2904" w:rsidP="001A2904">
      <w:pPr>
        <w:pStyle w:val="IPPParagraphnumberingclose"/>
      </w:pPr>
      <w:r>
        <w:t xml:space="preserve">La </w:t>
      </w:r>
      <w:proofErr w:type="spellStart"/>
      <w:r>
        <w:t>CMP</w:t>
      </w:r>
      <w:proofErr w:type="spellEnd"/>
      <w:r>
        <w:t>:</w:t>
      </w:r>
    </w:p>
    <w:p w14:paraId="229BCCC6" w14:textId="24B296A5" w:rsidR="001A2904" w:rsidRPr="005C660F" w:rsidRDefault="001A2904" w:rsidP="00E72B8D">
      <w:pPr>
        <w:pStyle w:val="IPPNumberedList"/>
      </w:pPr>
      <w:r>
        <w:rPr>
          <w:i/>
          <w:iCs/>
        </w:rPr>
        <w:t>a adopté</w:t>
      </w:r>
      <w:r>
        <w:t xml:space="preserve"> l</w:t>
      </w:r>
      <w:r w:rsidR="00097A03">
        <w:t>’</w:t>
      </w:r>
      <w:r>
        <w:t xml:space="preserve">ordre du jour (appendice 1) et </w:t>
      </w:r>
      <w:r>
        <w:rPr>
          <w:i/>
          <w:iCs/>
        </w:rPr>
        <w:t>a pris note</w:t>
      </w:r>
      <w:r>
        <w:t xml:space="preserve"> de la liste des documents (appendice 2).</w:t>
      </w:r>
    </w:p>
    <w:p w14:paraId="4E0B867F" w14:textId="1C5A1132" w:rsidR="001A2904" w:rsidRPr="005C660F" w:rsidRDefault="001A2904" w:rsidP="001A2904">
      <w:pPr>
        <w:pStyle w:val="IPPHeading2"/>
      </w:pPr>
      <w:r>
        <w:t>3.1</w:t>
      </w:r>
      <w:r>
        <w:tab/>
        <w:t>Déclaration relative aux compétences présentée par l</w:t>
      </w:r>
      <w:r w:rsidR="00097A03">
        <w:t>’</w:t>
      </w:r>
      <w:r>
        <w:t>Union européenne</w:t>
      </w:r>
    </w:p>
    <w:p w14:paraId="2B338351" w14:textId="77777777" w:rsidR="001A2904" w:rsidRPr="005C660F" w:rsidRDefault="001A2904" w:rsidP="001A2904">
      <w:pPr>
        <w:pStyle w:val="IPPParagraphnumberingclose"/>
      </w:pPr>
      <w:r>
        <w:t xml:space="preserve">La </w:t>
      </w:r>
      <w:proofErr w:type="spellStart"/>
      <w:r>
        <w:t>CMP</w:t>
      </w:r>
      <w:proofErr w:type="spellEnd"/>
      <w:r>
        <w:t>:</w:t>
      </w:r>
    </w:p>
    <w:p w14:paraId="72417158" w14:textId="63C2EBB1" w:rsidR="001A2904" w:rsidRPr="005C660F" w:rsidRDefault="001A2904" w:rsidP="001A2904">
      <w:pPr>
        <w:pStyle w:val="IPPNumberedList"/>
        <w:numPr>
          <w:ilvl w:val="0"/>
          <w:numId w:val="10"/>
        </w:numPr>
        <w:spacing w:after="180"/>
      </w:pPr>
      <w:r>
        <w:rPr>
          <w:i/>
          <w:iCs/>
        </w:rPr>
        <w:t>a pris note</w:t>
      </w:r>
      <w:r>
        <w:t xml:space="preserve"> de la Déclaration relative aux compétences et aux droits de vote présentée par l</w:t>
      </w:r>
      <w:r w:rsidR="00097A03">
        <w:t>’</w:t>
      </w:r>
      <w:r>
        <w:t>Union européenne et ses 27 États membres</w:t>
      </w:r>
      <w:r w:rsidRPr="005C660F">
        <w:rPr>
          <w:rStyle w:val="Appelnotedebasdep"/>
          <w:lang w:val="en-GB"/>
        </w:rPr>
        <w:footnoteReference w:id="2"/>
      </w:r>
      <w:r>
        <w:t>.</w:t>
      </w:r>
    </w:p>
    <w:p w14:paraId="7508ABF7" w14:textId="77777777" w:rsidR="001A2904" w:rsidRPr="005C660F" w:rsidRDefault="001A2904" w:rsidP="001A2904">
      <w:pPr>
        <w:pStyle w:val="IPPHeading1"/>
      </w:pPr>
      <w:r>
        <w:rPr>
          <w:bCs/>
        </w:rPr>
        <w:t>4.</w:t>
      </w:r>
      <w:r>
        <w:tab/>
        <w:t>Élection du rapporteur</w:t>
      </w:r>
    </w:p>
    <w:p w14:paraId="68BA2B53" w14:textId="77777777" w:rsidR="001A2904" w:rsidRPr="005C660F" w:rsidRDefault="001A2904" w:rsidP="001A2904">
      <w:pPr>
        <w:pStyle w:val="IPPParagraphnumberingclose"/>
      </w:pPr>
      <w:r>
        <w:t xml:space="preserve">La </w:t>
      </w:r>
      <w:proofErr w:type="spellStart"/>
      <w:r>
        <w:t>CMP</w:t>
      </w:r>
      <w:proofErr w:type="spellEnd"/>
      <w:r>
        <w:t>:</w:t>
      </w:r>
    </w:p>
    <w:p w14:paraId="491CEE16" w14:textId="77777777" w:rsidR="001A2904" w:rsidRPr="008A40A5" w:rsidRDefault="001A2904" w:rsidP="008A40A5">
      <w:pPr>
        <w:pStyle w:val="IPPNumberedList"/>
        <w:numPr>
          <w:ilvl w:val="0"/>
          <w:numId w:val="60"/>
        </w:numPr>
        <w:spacing w:after="180"/>
      </w:pPr>
      <w:r>
        <w:rPr>
          <w:i/>
          <w:iCs/>
        </w:rPr>
        <w:t>a élu</w:t>
      </w:r>
      <w:r>
        <w:t xml:space="preserve"> M. Steve Côté (Canada) rapporteur.</w:t>
      </w:r>
    </w:p>
    <w:p w14:paraId="244F8FB1" w14:textId="77777777" w:rsidR="000E6892" w:rsidRPr="005C660F" w:rsidRDefault="000E6892" w:rsidP="000E6892">
      <w:pPr>
        <w:pStyle w:val="IPPHeading1"/>
      </w:pPr>
      <w:r>
        <w:rPr>
          <w:bCs/>
        </w:rPr>
        <w:t>6.</w:t>
      </w:r>
      <w:r>
        <w:tab/>
        <w:t xml:space="preserve">Rapport du Président de la </w:t>
      </w:r>
      <w:proofErr w:type="spellStart"/>
      <w:r>
        <w:t>CMP</w:t>
      </w:r>
      <w:proofErr w:type="spellEnd"/>
    </w:p>
    <w:p w14:paraId="1B484FC5" w14:textId="185938A6" w:rsidR="000E6892" w:rsidRPr="0018121F" w:rsidRDefault="000E6892" w:rsidP="000E6892">
      <w:pPr>
        <w:pStyle w:val="IPPParagraphnumbering"/>
      </w:pPr>
      <w:r>
        <w:t xml:space="preserve">Le Président de la </w:t>
      </w:r>
      <w:proofErr w:type="spellStart"/>
      <w:r>
        <w:t>CMP</w:t>
      </w:r>
      <w:proofErr w:type="spellEnd"/>
      <w:r>
        <w:t xml:space="preserve"> a invité les délégués à se reporter à son rapport</w:t>
      </w:r>
      <w:r w:rsidRPr="0018121F">
        <w:rPr>
          <w:rStyle w:val="Appelnotedebasdep"/>
          <w:lang w:val="en-GB"/>
        </w:rPr>
        <w:footnoteReference w:id="3"/>
      </w:r>
      <w:r>
        <w:t>. Il a fait remarquer que le Bureau s</w:t>
      </w:r>
      <w:r w:rsidR="00097A03">
        <w:t>’</w:t>
      </w:r>
      <w:r>
        <w:t>était principalement penché sur les questions financières et sur la gouvernance, ainsi que sur certains des programmes phares du secrétariat, et a évoqué la réunion fructueuse du Groupe de la planification stratégique en octobre et la tenue de l</w:t>
      </w:r>
      <w:r w:rsidR="00097A03">
        <w:t>’</w:t>
      </w:r>
      <w:r>
        <w:t>atelier mondial de la CIPV sur les approches systémiques en décembre. Il a mis en avant certaines des grandes réalisations de l</w:t>
      </w:r>
      <w:r w:rsidR="00097A03">
        <w:t>’</w:t>
      </w:r>
      <w:r>
        <w:t>année 2025 et a souligné que l</w:t>
      </w:r>
      <w:r w:rsidR="00097A03">
        <w:t>’</w:t>
      </w:r>
      <w:r>
        <w:t xml:space="preserve">insuffisance des financements et le manque de personnel au sein du secrétariat demeuraient les deux principaux problèmes. </w:t>
      </w:r>
    </w:p>
    <w:p w14:paraId="40290392" w14:textId="77777777" w:rsidR="000E6892" w:rsidRDefault="000E6892" w:rsidP="000E6892">
      <w:pPr>
        <w:pStyle w:val="IPPParagraphnumbering"/>
      </w:pPr>
      <w:r>
        <w:t>Les parties contractantes ont salué le soutien apporté par les donateurs et sous forme de contributions en nature et ont adressé leurs remerciements au secrétariat pour son appui.</w:t>
      </w:r>
    </w:p>
    <w:p w14:paraId="007ACB10" w14:textId="77777777" w:rsidR="000E6892" w:rsidRPr="00005E85" w:rsidRDefault="000E6892" w:rsidP="000E6892">
      <w:pPr>
        <w:pStyle w:val="IPPParagraphnumberingclose"/>
      </w:pPr>
      <w:r>
        <w:t xml:space="preserve">La </w:t>
      </w:r>
      <w:proofErr w:type="spellStart"/>
      <w:r>
        <w:t>CMP</w:t>
      </w:r>
      <w:proofErr w:type="spellEnd"/>
      <w:r>
        <w:t>:</w:t>
      </w:r>
    </w:p>
    <w:p w14:paraId="01CCE22F" w14:textId="77777777" w:rsidR="000E6892" w:rsidRDefault="000E6892" w:rsidP="000E6892">
      <w:pPr>
        <w:pStyle w:val="IPPNumberedList"/>
        <w:numPr>
          <w:ilvl w:val="0"/>
          <w:numId w:val="55"/>
        </w:numPr>
        <w:spacing w:after="180"/>
      </w:pPr>
      <w:r>
        <w:rPr>
          <w:i/>
          <w:iCs/>
        </w:rPr>
        <w:t>a pris note</w:t>
      </w:r>
      <w:r>
        <w:t xml:space="preserve"> du rapport du Président de la </w:t>
      </w:r>
      <w:proofErr w:type="spellStart"/>
      <w:r>
        <w:t>CMP</w:t>
      </w:r>
      <w:proofErr w:type="spellEnd"/>
      <w:r>
        <w:t xml:space="preserve">. </w:t>
      </w:r>
    </w:p>
    <w:p w14:paraId="4D4B912D" w14:textId="77777777" w:rsidR="00CC42CC" w:rsidRDefault="00CC42CC" w:rsidP="00CC42CC">
      <w:pPr>
        <w:pStyle w:val="IPPHeading2"/>
      </w:pPr>
      <w:r>
        <w:lastRenderedPageBreak/>
        <w:t>6.1</w:t>
      </w:r>
      <w:r>
        <w:tab/>
        <w:t>Repenser les normes internationales pour les mesures phytosanitaires</w:t>
      </w:r>
    </w:p>
    <w:p w14:paraId="670D53A5" w14:textId="77777777" w:rsidR="00CC42CC" w:rsidRDefault="00CC42CC" w:rsidP="00CC42CC">
      <w:pPr>
        <w:pStyle w:val="IPPParagraphnumbering"/>
      </w:pPr>
      <w:r>
        <w:t xml:space="preserve">Le Président de la </w:t>
      </w:r>
      <w:proofErr w:type="spellStart"/>
      <w:r>
        <w:t>CMP</w:t>
      </w:r>
      <w:proofErr w:type="spellEnd"/>
      <w:r>
        <w:t xml:space="preserve"> a présenté un document, élaboré par ses soins et examiné par le Bureau, qui fait suite aux débats du Groupe de la planification stratégique sur le thème «Repenser les </w:t>
      </w:r>
      <w:proofErr w:type="spellStart"/>
      <w:r>
        <w:t>NIMP</w:t>
      </w:r>
      <w:proofErr w:type="spellEnd"/>
      <w:r>
        <w:t>»</w:t>
      </w:r>
      <w:r w:rsidRPr="3BA7D772">
        <w:rPr>
          <w:rStyle w:val="Appelnotedebasdep"/>
        </w:rPr>
        <w:footnoteReference w:id="4"/>
      </w:r>
      <w:r>
        <w:t>. Il a également mentionné les diverses interventions reçues par écrit en réponse à ce document</w:t>
      </w:r>
      <w:r w:rsidRPr="3BA7D772">
        <w:rPr>
          <w:rStyle w:val="Appelnotedebasdep"/>
        </w:rPr>
        <w:footnoteReference w:id="5"/>
      </w:r>
      <w:r>
        <w:t>.</w:t>
      </w:r>
    </w:p>
    <w:p w14:paraId="054EDB27" w14:textId="04935493" w:rsidR="00CC42CC" w:rsidRDefault="00CC42CC" w:rsidP="00CC42CC">
      <w:pPr>
        <w:pStyle w:val="IPPParagraphnumbering"/>
      </w:pPr>
      <w:r>
        <w:t>Les parties contractantes ont exprimé leur large soutien à l</w:t>
      </w:r>
      <w:r w:rsidR="00097A03">
        <w:t>’</w:t>
      </w:r>
      <w:r>
        <w:t>amélioration de la rédaction des normes, précisant qu</w:t>
      </w:r>
      <w:r w:rsidR="00097A03">
        <w:t>’</w:t>
      </w:r>
      <w:r>
        <w:t>il ne fallait pas précipiter le processus, qu</w:t>
      </w:r>
      <w:r w:rsidR="00097A03">
        <w:t>’</w:t>
      </w:r>
      <w:r>
        <w:t>il convenait de réfléchir à ce qui était réellement nécessaire et aux incidences des changements qui seraient apportés, et qu</w:t>
      </w:r>
      <w:r w:rsidR="00097A03">
        <w:t>’</w:t>
      </w:r>
      <w:r>
        <w:t>il fallait veiller à ne pas éroder l</w:t>
      </w:r>
      <w:r w:rsidR="00097A03">
        <w:t>’</w:t>
      </w:r>
      <w:r>
        <w:t xml:space="preserve">intégrité scientifique ni technique des </w:t>
      </w:r>
      <w:proofErr w:type="spellStart"/>
      <w:r>
        <w:t>NIMP</w:t>
      </w:r>
      <w:proofErr w:type="spellEnd"/>
      <w:r>
        <w:t xml:space="preserve">. La </w:t>
      </w:r>
      <w:proofErr w:type="spellStart"/>
      <w:r>
        <w:t>CMP</w:t>
      </w:r>
      <w:proofErr w:type="spellEnd"/>
      <w:r>
        <w:t xml:space="preserve"> a noté qu</w:t>
      </w:r>
      <w:r w:rsidR="00097A03">
        <w:t>’</w:t>
      </w:r>
      <w:r>
        <w:t>il pourrait être utile d</w:t>
      </w:r>
      <w:r w:rsidR="00097A03">
        <w:t>’</w:t>
      </w:r>
      <w:r>
        <w:t>engager un spécialiste du langage clair et simple pour faciliter la transition vers l</w:t>
      </w:r>
      <w:r w:rsidR="00097A03">
        <w:t>’</w:t>
      </w:r>
      <w:r>
        <w:t>utilisation de ce type de langage, mais a dit préférer que son intervention se limite dans un premier temps à l</w:t>
      </w:r>
      <w:r w:rsidR="00097A03">
        <w:t>’</w:t>
      </w:r>
      <w:r>
        <w:t>observation des groupes de travail d</w:t>
      </w:r>
      <w:r w:rsidR="00097A03">
        <w:t>’</w:t>
      </w:r>
      <w:r>
        <w:t>experts et à la formulation de recommandations, plutôt qu</w:t>
      </w:r>
      <w:r w:rsidR="00097A03">
        <w:t>’</w:t>
      </w:r>
      <w:r>
        <w:t>à la participation à la rédaction elle</w:t>
      </w:r>
      <w:r w:rsidR="00E72B8D">
        <w:t>‑</w:t>
      </w:r>
      <w:r>
        <w:t>même. L</w:t>
      </w:r>
      <w:r w:rsidR="00097A03">
        <w:t>’</w:t>
      </w:r>
      <w:r>
        <w:t xml:space="preserve">issue de ce processus pourrait déterminer les étapes suivantes. Bien que la </w:t>
      </w:r>
      <w:proofErr w:type="spellStart"/>
      <w:r>
        <w:t>CMP</w:t>
      </w:r>
      <w:proofErr w:type="spellEnd"/>
      <w:r>
        <w:t xml:space="preserve"> ait reconnu l</w:t>
      </w:r>
      <w:r w:rsidR="00097A03">
        <w:t>’</w:t>
      </w:r>
      <w:r>
        <w:t>intérêt que pourrait présenter une enquête ciblée de l</w:t>
      </w:r>
      <w:r w:rsidR="00097A03">
        <w:t>’</w:t>
      </w:r>
      <w:r>
        <w:t>Observatoire de la CIPV pour comprendre les besoins des parties contractantes en ce qui concerne l</w:t>
      </w:r>
      <w:r w:rsidR="00097A03">
        <w:t>’</w:t>
      </w:r>
      <w:r>
        <w:t>utilisation d</w:t>
      </w:r>
      <w:r w:rsidR="00097A03">
        <w:t>’</w:t>
      </w:r>
      <w:r>
        <w:t xml:space="preserve">un langage clair et simple dans les </w:t>
      </w:r>
      <w:proofErr w:type="spellStart"/>
      <w:r>
        <w:t>NIMP</w:t>
      </w:r>
      <w:proofErr w:type="spellEnd"/>
      <w:r>
        <w:t xml:space="preserve">, des points de vue divergents ont été exprimés quant au moment opportun pour mener cette enquête. La </w:t>
      </w:r>
      <w:proofErr w:type="spellStart"/>
      <w:r>
        <w:t>CMP</w:t>
      </w:r>
      <w:proofErr w:type="spellEnd"/>
      <w:r>
        <w:t xml:space="preserve"> a abordé la question de l</w:t>
      </w:r>
      <w:r w:rsidR="00097A03">
        <w:t>’</w:t>
      </w:r>
      <w:r>
        <w:t>élaboration d</w:t>
      </w:r>
      <w:r w:rsidR="00097A03">
        <w:t>’</w:t>
      </w:r>
      <w:r>
        <w:t>orientations sur la manière de rédiger clairement et simplement, mais a estimé qu</w:t>
      </w:r>
      <w:r w:rsidR="00097A03">
        <w:t>’</w:t>
      </w:r>
      <w:r>
        <w:t>il serait prématuré d</w:t>
      </w:r>
      <w:r w:rsidR="00097A03">
        <w:t>’</w:t>
      </w:r>
      <w:r>
        <w:t xml:space="preserve">entreprendre ce travail. </w:t>
      </w:r>
    </w:p>
    <w:p w14:paraId="3D3A2476" w14:textId="77777777" w:rsidR="00CC42CC" w:rsidRDefault="00CC42CC" w:rsidP="00CC42CC">
      <w:pPr>
        <w:pStyle w:val="IPPParagraphnumberingclose"/>
      </w:pPr>
      <w:r>
        <w:t xml:space="preserve">La </w:t>
      </w:r>
      <w:proofErr w:type="spellStart"/>
      <w:r>
        <w:t>CMP</w:t>
      </w:r>
      <w:proofErr w:type="spellEnd"/>
      <w:r>
        <w:t>:</w:t>
      </w:r>
    </w:p>
    <w:p w14:paraId="7A958CAB" w14:textId="3955662C" w:rsidR="00CC42CC" w:rsidRPr="00065613" w:rsidRDefault="00CC42CC" w:rsidP="008A40A5">
      <w:pPr>
        <w:pStyle w:val="IPPNumberedList"/>
        <w:numPr>
          <w:ilvl w:val="0"/>
          <w:numId w:val="61"/>
        </w:numPr>
      </w:pPr>
      <w:r>
        <w:rPr>
          <w:i/>
        </w:rPr>
        <w:t>est convenue</w:t>
      </w:r>
      <w:r>
        <w:t xml:space="preserve"> d</w:t>
      </w:r>
      <w:r w:rsidR="00097A03">
        <w:t>’</w:t>
      </w:r>
      <w:r>
        <w:t>inviter un spécialiste de la rédaction dans un anglais clair et simple à participer aux réunions des groupes de travail d</w:t>
      </w:r>
      <w:r w:rsidR="00097A03">
        <w:t>’</w:t>
      </w:r>
      <w:r>
        <w:t>experts chargés respectivement de l</w:t>
      </w:r>
      <w:r w:rsidR="00097A03">
        <w:t>’</w:t>
      </w:r>
      <w:r>
        <w:t>établissement d</w:t>
      </w:r>
      <w:r w:rsidR="00097A03">
        <w:t>’</w:t>
      </w:r>
      <w:r>
        <w:t xml:space="preserve">un projet de </w:t>
      </w:r>
      <w:proofErr w:type="spellStart"/>
      <w:r>
        <w:t>NIMP</w:t>
      </w:r>
      <w:proofErr w:type="spellEnd"/>
      <w:r>
        <w:t xml:space="preserve"> sur la sécurité de l</w:t>
      </w:r>
      <w:r w:rsidR="00097A03">
        <w:t>’</w:t>
      </w:r>
      <w:r>
        <w:t>aide humanitaire dans le contexte phytosanitaire (2021-020) et de la révision du projet de norme réorganisée relative à l</w:t>
      </w:r>
      <w:r w:rsidR="00097A03">
        <w:t>’</w:t>
      </w:r>
      <w:r>
        <w:t>analyse du risque phytosanitaire (2023-037) afin d</w:t>
      </w:r>
      <w:r w:rsidR="00097A03">
        <w:t>’</w:t>
      </w:r>
      <w:r>
        <w:t>observer leur travail, et à remettre un rapport au Groupe de la planification stratégique sur ses observations et ses suggestions d</w:t>
      </w:r>
      <w:r w:rsidR="00097A03">
        <w:t>’</w:t>
      </w:r>
      <w:r>
        <w:t xml:space="preserve">amélioration; </w:t>
      </w:r>
    </w:p>
    <w:p w14:paraId="5642791A" w14:textId="77777777" w:rsidR="00CC42CC" w:rsidRDefault="00CC42CC" w:rsidP="00CC42CC">
      <w:pPr>
        <w:pStyle w:val="IPPNumberedList"/>
      </w:pPr>
      <w:r>
        <w:rPr>
          <w:i/>
        </w:rPr>
        <w:t>a demandé</w:t>
      </w:r>
      <w:r>
        <w:t xml:space="preserve"> au secrétariat et au Bureau de désigner le spécialiste de la rédaction dans un anglais clair et simple, mentionné dans la décision ci-dessus, en prenant soin de préciser les attentes à son égard;</w:t>
      </w:r>
    </w:p>
    <w:p w14:paraId="4F2CB362" w14:textId="2EFBEFB1" w:rsidR="00CC42CC" w:rsidRDefault="00CC42CC" w:rsidP="00E72B8D">
      <w:pPr>
        <w:pStyle w:val="IPPNumberedList"/>
      </w:pPr>
      <w:r>
        <w:rPr>
          <w:i/>
        </w:rPr>
        <w:t>a demandé</w:t>
      </w:r>
      <w:r>
        <w:t xml:space="preserve"> qu</w:t>
      </w:r>
      <w:r w:rsidR="00097A03">
        <w:t>’</w:t>
      </w:r>
      <w:r>
        <w:t>à la suite de la réunion du Groupe de la planification stratégique, le secrétariat travaille avec le Comité chargé de la mise en œuvre et du renforcement des capacités pour organiser une enquête de l</w:t>
      </w:r>
      <w:r w:rsidR="00097A03">
        <w:t>’</w:t>
      </w:r>
      <w:r>
        <w:t xml:space="preserve">Observatoire de la CIPV, sur la base des recommandations du Groupe de la planification stratégique et des documents communiqués par le Comité des normes et le Comité chargé de la mise en œuvre et du renforcement des capacités à la </w:t>
      </w:r>
      <w:proofErr w:type="spellStart"/>
      <w:r>
        <w:t>CMP</w:t>
      </w:r>
      <w:proofErr w:type="spellEnd"/>
      <w:r>
        <w:t>, à sa 20</w:t>
      </w:r>
      <w:r>
        <w:rPr>
          <w:vertAlign w:val="superscript"/>
        </w:rPr>
        <w:t>e</w:t>
      </w:r>
      <w:r>
        <w:t> session (2026), afin de comprendre les besoins des parties contractantes, puis lance l</w:t>
      </w:r>
      <w:r w:rsidR="00097A03">
        <w:t>’</w:t>
      </w:r>
      <w:r>
        <w:t>enquête au début de 2027.</w:t>
      </w:r>
    </w:p>
    <w:p w14:paraId="78FB0475" w14:textId="77777777" w:rsidR="000E6892" w:rsidRPr="005C660F" w:rsidRDefault="000E6892" w:rsidP="000E6892">
      <w:pPr>
        <w:pStyle w:val="IPPHeading2"/>
      </w:pPr>
      <w:r>
        <w:t>6.2</w:t>
      </w:r>
      <w:r>
        <w:tab/>
        <w:t>Statut futur du Comité financier de la CIPV</w:t>
      </w:r>
    </w:p>
    <w:p w14:paraId="50E6FE5B" w14:textId="01DC808B" w:rsidR="000E6892" w:rsidRPr="00137CCE" w:rsidRDefault="000E6892" w:rsidP="000E6892">
      <w:pPr>
        <w:pStyle w:val="IPPParagraphnumbering"/>
      </w:pPr>
      <w:r>
        <w:t xml:space="preserve">Le Président de la </w:t>
      </w:r>
      <w:proofErr w:type="spellStart"/>
      <w:r>
        <w:t>CMP</w:t>
      </w:r>
      <w:proofErr w:type="spellEnd"/>
      <w:r>
        <w:t xml:space="preserve"> a présenté une proposition du Bureau tendant à dissoudre le Comité financier de la CIPV et à transférer ses responsabilités au Bureau, dans un souci d</w:t>
      </w:r>
      <w:r w:rsidR="00097A03">
        <w:t>’</w:t>
      </w:r>
      <w:r>
        <w:t>efficacité</w:t>
      </w:r>
      <w:r w:rsidRPr="00137CCE">
        <w:rPr>
          <w:rStyle w:val="Appelnotedebasdep"/>
          <w:lang w:val="en-GB"/>
        </w:rPr>
        <w:footnoteReference w:id="6"/>
      </w:r>
      <w:r>
        <w:t>. Il a expliqué que le Règlement intérieur du Bureau</w:t>
      </w:r>
      <w:r w:rsidRPr="00137CCE">
        <w:rPr>
          <w:rStyle w:val="Appelnotedebasdep"/>
          <w:lang w:val="en-GB"/>
        </w:rPr>
        <w:footnoteReference w:id="7"/>
      </w:r>
      <w:r>
        <w:t xml:space="preserve"> contenait une disposition relative à la planification et à la gestion financières.</w:t>
      </w:r>
    </w:p>
    <w:p w14:paraId="48B8C632" w14:textId="77777777" w:rsidR="000E6892" w:rsidRDefault="000E6892" w:rsidP="000E6892">
      <w:pPr>
        <w:pStyle w:val="IPPParagraphnumbering"/>
      </w:pPr>
      <w:r>
        <w:t xml:space="preserve">En réponse à une question, le secrétariat a tenu à rassurer la </w:t>
      </w:r>
      <w:proofErr w:type="spellStart"/>
      <w:r>
        <w:t>CMP</w:t>
      </w:r>
      <w:proofErr w:type="spellEnd"/>
      <w:r>
        <w:t xml:space="preserve"> en précisant que le fonctionnaire chargé des finances au sein du secrétariat assistait les membres du Bureau lors de leurs discussions sur les questions financières.</w:t>
      </w:r>
    </w:p>
    <w:p w14:paraId="73983D89" w14:textId="77777777" w:rsidR="000E6892" w:rsidRPr="005C660F" w:rsidRDefault="000E6892" w:rsidP="000E6892">
      <w:pPr>
        <w:pStyle w:val="IPPParagraphnumberingclose"/>
      </w:pPr>
      <w:r>
        <w:lastRenderedPageBreak/>
        <w:t xml:space="preserve">La </w:t>
      </w:r>
      <w:proofErr w:type="spellStart"/>
      <w:r>
        <w:t>CMP</w:t>
      </w:r>
      <w:proofErr w:type="spellEnd"/>
      <w:r>
        <w:t xml:space="preserve">: </w:t>
      </w:r>
    </w:p>
    <w:p w14:paraId="327D94A6" w14:textId="77777777" w:rsidR="000E6892" w:rsidRDefault="000E6892" w:rsidP="000E6892">
      <w:pPr>
        <w:pStyle w:val="IPPNumberedList"/>
        <w:numPr>
          <w:ilvl w:val="0"/>
          <w:numId w:val="52"/>
        </w:numPr>
      </w:pPr>
      <w:r>
        <w:rPr>
          <w:i/>
        </w:rPr>
        <w:t>est convenue</w:t>
      </w:r>
      <w:r>
        <w:t xml:space="preserve"> de dissoudre le Comité financier de la CIPV; </w:t>
      </w:r>
    </w:p>
    <w:p w14:paraId="16BC8318" w14:textId="77777777" w:rsidR="000E6892" w:rsidRPr="00BD362D" w:rsidRDefault="000E6892" w:rsidP="000E6892">
      <w:pPr>
        <w:pStyle w:val="IPPNumberedList"/>
        <w:numPr>
          <w:ilvl w:val="0"/>
          <w:numId w:val="52"/>
        </w:numPr>
      </w:pPr>
      <w:r>
        <w:rPr>
          <w:i/>
        </w:rPr>
        <w:t>est convenue</w:t>
      </w:r>
      <w:r>
        <w:t xml:space="preserve"> de transférer les responsabilités du Comité financier de la CIPV au Bureau pour assurer à la fois la transparence et la supervision financières; </w:t>
      </w:r>
    </w:p>
    <w:p w14:paraId="58FDDA94" w14:textId="22138116" w:rsidR="000E6892" w:rsidRDefault="000E6892" w:rsidP="000E6892">
      <w:pPr>
        <w:pStyle w:val="IPPNumberedList"/>
        <w:numPr>
          <w:ilvl w:val="0"/>
          <w:numId w:val="52"/>
        </w:numPr>
      </w:pPr>
      <w:r>
        <w:rPr>
          <w:i/>
        </w:rPr>
        <w:t>est convenue</w:t>
      </w:r>
      <w:r>
        <w:t xml:space="preserve"> d</w:t>
      </w:r>
      <w:r w:rsidR="00097A03">
        <w:t>’</w:t>
      </w:r>
      <w:r>
        <w:t>inscrire à l</w:t>
      </w:r>
      <w:r w:rsidR="00097A03">
        <w:t>’</w:t>
      </w:r>
      <w:r>
        <w:t>ordre du jour de chaque réunion du Bureau un point permanent consacré à la planification financière, à l</w:t>
      </w:r>
      <w:r w:rsidR="00097A03">
        <w:t>’</w:t>
      </w:r>
      <w:r>
        <w:t>établissement de rapports financiers, à la mobilisation de ressources et à l</w:t>
      </w:r>
      <w:r w:rsidR="00097A03">
        <w:t>’</w:t>
      </w:r>
      <w:r>
        <w:t>élaboration de procédures relatives à la transparence financière et à la mobilisation de ressources;</w:t>
      </w:r>
    </w:p>
    <w:p w14:paraId="1DB735B6" w14:textId="1DB1161D" w:rsidR="000E6892" w:rsidRPr="00FA4201" w:rsidRDefault="000E6892" w:rsidP="000E6892">
      <w:pPr>
        <w:pStyle w:val="IPPNumberedList"/>
        <w:numPr>
          <w:ilvl w:val="0"/>
          <w:numId w:val="52"/>
        </w:numPr>
      </w:pPr>
      <w:r>
        <w:rPr>
          <w:i/>
        </w:rPr>
        <w:t>a demandé</w:t>
      </w:r>
      <w:r>
        <w:t xml:space="preserve"> au secrétariat de modifier le Règlement intérieur du Bureau pour préciser que la planification et la gestion financières s</w:t>
      </w:r>
      <w:r w:rsidR="00097A03">
        <w:t>’</w:t>
      </w:r>
      <w:r>
        <w:t>inscrivent dans la droite ligne des processus de gouvernance financière de la FAO, et de présenter ces modifications au Bureau afin qu</w:t>
      </w:r>
      <w:r w:rsidR="00097A03">
        <w:t>’</w:t>
      </w:r>
      <w:r>
        <w:t xml:space="preserve">il recommande de les soumettre à la </w:t>
      </w:r>
      <w:proofErr w:type="spellStart"/>
      <w:r>
        <w:t>CMP</w:t>
      </w:r>
      <w:proofErr w:type="spellEnd"/>
      <w:r>
        <w:t>, à sa 21</w:t>
      </w:r>
      <w:r>
        <w:rPr>
          <w:vertAlign w:val="superscript"/>
        </w:rPr>
        <w:t>e</w:t>
      </w:r>
      <w:r>
        <w:t> session (2027), en vue de leur adoption définitive.</w:t>
      </w:r>
    </w:p>
    <w:p w14:paraId="2BC73EDA" w14:textId="77777777" w:rsidR="001A2904" w:rsidRPr="005C660F" w:rsidRDefault="001A2904" w:rsidP="001A2904">
      <w:pPr>
        <w:pStyle w:val="IPPHeading1"/>
      </w:pPr>
      <w:r>
        <w:rPr>
          <w:bCs/>
        </w:rPr>
        <w:t>7.</w:t>
      </w:r>
      <w:r>
        <w:tab/>
        <w:t>Rapport du secrétariat de la CIPV</w:t>
      </w:r>
    </w:p>
    <w:p w14:paraId="15C2F8FB" w14:textId="7006DE7B" w:rsidR="001A2904" w:rsidRPr="00827E10" w:rsidRDefault="001A2904" w:rsidP="001A2904">
      <w:pPr>
        <w:pStyle w:val="IPPParagraphnumbering"/>
      </w:pPr>
      <w:r>
        <w:t xml:space="preserve">Le Secrétaire de la CIPV a prié la </w:t>
      </w:r>
      <w:proofErr w:type="spellStart"/>
      <w:r>
        <w:t>CMP</w:t>
      </w:r>
      <w:proofErr w:type="spellEnd"/>
      <w:r>
        <w:t xml:space="preserve"> de se référer au rapport annuel de 2025 établi par le secrétariat</w:t>
      </w:r>
      <w:r w:rsidRPr="005C660F">
        <w:rPr>
          <w:rStyle w:val="Appelnotedebasdep"/>
          <w:lang w:val="en-GB"/>
        </w:rPr>
        <w:footnoteReference w:id="8"/>
      </w:r>
      <w:r>
        <w:t>. Il a fait savoir que le secrétariat avait accompli des progrès concernant tous les grands axes de son programme de travail, notamment le renforcement des capacités numériques, la facilitation du renforcement des capacités dans les pays et l</w:t>
      </w:r>
      <w:r w:rsidR="00097A03">
        <w:t>’</w:t>
      </w:r>
      <w:r>
        <w:t xml:space="preserve">adoption de la première norme relative à une marchandise par la </w:t>
      </w:r>
      <w:proofErr w:type="spellStart"/>
      <w:r>
        <w:t>CMP</w:t>
      </w:r>
      <w:proofErr w:type="spellEnd"/>
      <w:r>
        <w:t xml:space="preserve"> à sa 19</w:t>
      </w:r>
      <w:r>
        <w:rPr>
          <w:vertAlign w:val="superscript"/>
        </w:rPr>
        <w:t>e</w:t>
      </w:r>
      <w:r>
        <w:t xml:space="preserve"> session (2025).</w:t>
      </w:r>
    </w:p>
    <w:p w14:paraId="73D6691B" w14:textId="2A9F9A5A" w:rsidR="001A2904" w:rsidRDefault="001A2904" w:rsidP="001A2904">
      <w:pPr>
        <w:pStyle w:val="IPPParagraphnumbering"/>
      </w:pPr>
      <w:r>
        <w:t xml:space="preserve">La </w:t>
      </w:r>
      <w:proofErr w:type="spellStart"/>
      <w:r>
        <w:t>CMP</w:t>
      </w:r>
      <w:proofErr w:type="spellEnd"/>
      <w:r>
        <w:t xml:space="preserve"> a noté qu</w:t>
      </w:r>
      <w:r w:rsidR="00097A03">
        <w:t>’</w:t>
      </w:r>
      <w:r>
        <w:t xml:space="preserve">une demande avait été formulée tendant à ce que le rapport de la </w:t>
      </w:r>
      <w:proofErr w:type="spellStart"/>
      <w:r>
        <w:t>CMP</w:t>
      </w:r>
      <w:proofErr w:type="spellEnd"/>
      <w:r>
        <w:t xml:space="preserve"> soit publié rapidement, laquelle demande était accompagnée de suggestions d</w:t>
      </w:r>
      <w:r w:rsidR="00097A03">
        <w:t>’</w:t>
      </w:r>
      <w:r>
        <w:t>améliorations pour l</w:t>
      </w:r>
      <w:r w:rsidR="00097A03">
        <w:t>’</w:t>
      </w:r>
      <w:r>
        <w:t>avenir</w:t>
      </w:r>
      <w:r>
        <w:rPr>
          <w:rStyle w:val="Appelnotedebasdep"/>
        </w:rPr>
        <w:footnoteReference w:id="9"/>
      </w:r>
      <w:r>
        <w:t xml:space="preserve">. Le secrétariat a assuré à la </w:t>
      </w:r>
      <w:proofErr w:type="spellStart"/>
      <w:r>
        <w:t>CMP</w:t>
      </w:r>
      <w:proofErr w:type="spellEnd"/>
      <w:r>
        <w:t xml:space="preserve"> qu</w:t>
      </w:r>
      <w:r w:rsidR="00097A03">
        <w:t>’</w:t>
      </w:r>
      <w:r>
        <w:t>il respecterait les délais fixés et les procédures établies et qu</w:t>
      </w:r>
      <w:r w:rsidR="00097A03">
        <w:t>’</w:t>
      </w:r>
      <w:r>
        <w:t>il tiendrait compte de ces suggestions et d</w:t>
      </w:r>
      <w:r w:rsidR="00097A03">
        <w:t>’</w:t>
      </w:r>
      <w:r>
        <w:t>autres enseignements retenus.</w:t>
      </w:r>
    </w:p>
    <w:p w14:paraId="038B2C4B" w14:textId="77777777" w:rsidR="001A2904" w:rsidRPr="005C660F" w:rsidRDefault="001A2904" w:rsidP="001A2904">
      <w:pPr>
        <w:pStyle w:val="IPPParagraphnumberingclose"/>
      </w:pPr>
      <w:r>
        <w:t xml:space="preserve">La </w:t>
      </w:r>
      <w:proofErr w:type="spellStart"/>
      <w:r>
        <w:t>CMP</w:t>
      </w:r>
      <w:proofErr w:type="spellEnd"/>
      <w:r>
        <w:t>:</w:t>
      </w:r>
    </w:p>
    <w:p w14:paraId="0D2EF9EA" w14:textId="77777777" w:rsidR="001A2904" w:rsidRPr="005C660F" w:rsidRDefault="001A2904" w:rsidP="001A2904">
      <w:pPr>
        <w:pStyle w:val="IPPNumberedList"/>
        <w:numPr>
          <w:ilvl w:val="0"/>
          <w:numId w:val="13"/>
        </w:numPr>
        <w:spacing w:after="180"/>
      </w:pPr>
      <w:r>
        <w:rPr>
          <w:i/>
          <w:iCs/>
        </w:rPr>
        <w:t>a pris</w:t>
      </w:r>
      <w:r>
        <w:rPr>
          <w:i/>
        </w:rPr>
        <w:t xml:space="preserve"> note</w:t>
      </w:r>
      <w:r>
        <w:t xml:space="preserve"> du rapport annuel de 2025 établi par le secrétariat de la CIPV.</w:t>
      </w:r>
    </w:p>
    <w:p w14:paraId="07579DC1" w14:textId="77777777" w:rsidR="001A2904" w:rsidRPr="005C660F" w:rsidRDefault="001A2904" w:rsidP="001A2904">
      <w:pPr>
        <w:pStyle w:val="IPPHeading1"/>
      </w:pPr>
      <w:r>
        <w:rPr>
          <w:bCs/>
        </w:rPr>
        <w:t>8.</w:t>
      </w:r>
      <w:r>
        <w:tab/>
        <w:t>Rapport du Groupe de la planification stratégique</w:t>
      </w:r>
    </w:p>
    <w:p w14:paraId="474B9D33" w14:textId="732FE7B1" w:rsidR="001A2904" w:rsidRDefault="001A2904" w:rsidP="001A2904">
      <w:pPr>
        <w:pStyle w:val="IPPParagraphnumbering"/>
      </w:pPr>
      <w:r>
        <w:t xml:space="preserve">Le Président du Groupe de la planification stratégique et Vice-Président de la </w:t>
      </w:r>
      <w:proofErr w:type="spellStart"/>
      <w:r>
        <w:t>CMP</w:t>
      </w:r>
      <w:proofErr w:type="spellEnd"/>
      <w:r>
        <w:t xml:space="preserve"> a présenté un rapport de synthèse de la réunion du Groupe qui s</w:t>
      </w:r>
      <w:r w:rsidR="00097A03">
        <w:t>’</w:t>
      </w:r>
      <w:r>
        <w:t>était tenue en octobre 2025</w:t>
      </w:r>
      <w:r w:rsidRPr="00F21F31">
        <w:rPr>
          <w:rStyle w:val="Appelnotedebasdep"/>
          <w:lang w:val="en-GB"/>
        </w:rPr>
        <w:footnoteReference w:id="10"/>
      </w:r>
      <w:r>
        <w:t>. Il a souligné l</w:t>
      </w:r>
      <w:r w:rsidR="00097A03">
        <w:t>’</w:t>
      </w:r>
      <w:r>
        <w:t xml:space="preserve">importance des réunions du Groupe, qui constituaient un espace de débat stratégique, et a fait savoir que le principal thème de discussion lors de la réunion de 2025 avait été le remaniement des </w:t>
      </w:r>
      <w:proofErr w:type="spellStart"/>
      <w:r>
        <w:t>NIMP</w:t>
      </w:r>
      <w:proofErr w:type="spellEnd"/>
      <w:r>
        <w:t>.</w:t>
      </w:r>
    </w:p>
    <w:p w14:paraId="3ADA99B0" w14:textId="71967739" w:rsidR="001A2904" w:rsidRDefault="001A2904" w:rsidP="001A2904">
      <w:pPr>
        <w:pStyle w:val="IPPParagraphnumbering"/>
      </w:pPr>
      <w:r>
        <w:t xml:space="preserve">La </w:t>
      </w:r>
      <w:proofErr w:type="spellStart"/>
      <w:r>
        <w:t>CMP</w:t>
      </w:r>
      <w:proofErr w:type="spellEnd"/>
      <w:r>
        <w:t xml:space="preserve"> a pris note d</w:t>
      </w:r>
      <w:r w:rsidR="00097A03">
        <w:t>’</w:t>
      </w:r>
      <w:r>
        <w:t>une proposition tendant à ce qu</w:t>
      </w:r>
      <w:r w:rsidR="00097A03">
        <w:t>’</w:t>
      </w:r>
      <w:r>
        <w:t>une réunion du Groupe de la planification stratégique soit organisée en dehors de Rome, par exemple dans le bâtiment de la FAO à Bangkok, à titre d</w:t>
      </w:r>
      <w:r w:rsidR="00097A03">
        <w:t>’</w:t>
      </w:r>
      <w:r>
        <w:t>essai</w:t>
      </w:r>
      <w:r w:rsidRPr="00F21F31">
        <w:rPr>
          <w:rStyle w:val="Appelnotedebasdep"/>
          <w:lang w:val="en-GB"/>
        </w:rPr>
        <w:footnoteReference w:id="11"/>
      </w:r>
      <w:r>
        <w:t xml:space="preserve">. La </w:t>
      </w:r>
      <w:proofErr w:type="spellStart"/>
      <w:r>
        <w:t>CMP</w:t>
      </w:r>
      <w:proofErr w:type="spellEnd"/>
      <w:r>
        <w:t xml:space="preserve"> a également noté que le Brésil s</w:t>
      </w:r>
      <w:r w:rsidR="00097A03">
        <w:t>’</w:t>
      </w:r>
      <w:r>
        <w:t>était proposé pour l</w:t>
      </w:r>
      <w:r w:rsidR="00097A03">
        <w:t>’</w:t>
      </w:r>
      <w:r>
        <w:t>organisation d</w:t>
      </w:r>
      <w:r w:rsidR="00097A03">
        <w:t>’</w:t>
      </w:r>
      <w:r>
        <w:t>une réunion d</w:t>
      </w:r>
      <w:r w:rsidR="00097A03">
        <w:t>’</w:t>
      </w:r>
      <w:r>
        <w:t>un organe de la CIPV, tel que le Groupe de la planification stratégique ou le Bureau.</w:t>
      </w:r>
    </w:p>
    <w:p w14:paraId="6F46C329" w14:textId="77777777" w:rsidR="001A2904" w:rsidRPr="005C660F" w:rsidRDefault="001A2904" w:rsidP="001A2904">
      <w:pPr>
        <w:pStyle w:val="IPPParagraphnumberingclose"/>
      </w:pPr>
      <w:r>
        <w:t xml:space="preserve">La </w:t>
      </w:r>
      <w:proofErr w:type="spellStart"/>
      <w:r>
        <w:t>CMP</w:t>
      </w:r>
      <w:proofErr w:type="spellEnd"/>
      <w:r>
        <w:t>:</w:t>
      </w:r>
    </w:p>
    <w:p w14:paraId="08B9EE04" w14:textId="77777777" w:rsidR="001A2904" w:rsidRDefault="001A2904" w:rsidP="001A2904">
      <w:pPr>
        <w:pStyle w:val="IPPNumberedList"/>
        <w:numPr>
          <w:ilvl w:val="0"/>
          <w:numId w:val="14"/>
        </w:numPr>
      </w:pPr>
      <w:r>
        <w:rPr>
          <w:i/>
          <w:iCs/>
        </w:rPr>
        <w:t>a pris</w:t>
      </w:r>
      <w:r>
        <w:rPr>
          <w:i/>
        </w:rPr>
        <w:t xml:space="preserve"> note</w:t>
      </w:r>
      <w:r>
        <w:t xml:space="preserve"> du rapport du Groupe de la planification stratégique; </w:t>
      </w:r>
    </w:p>
    <w:p w14:paraId="5FECB524" w14:textId="32636EA2" w:rsidR="001A2904" w:rsidRPr="005C660F" w:rsidRDefault="001A2904" w:rsidP="001A2904">
      <w:pPr>
        <w:pStyle w:val="IPPNumberedList"/>
        <w:numPr>
          <w:ilvl w:val="0"/>
          <w:numId w:val="14"/>
        </w:numPr>
      </w:pPr>
      <w:r>
        <w:rPr>
          <w:i/>
          <w:iCs/>
        </w:rPr>
        <w:t>a demandé</w:t>
      </w:r>
      <w:r>
        <w:t xml:space="preserve"> que le secrétariat analyse, sous trois semaines, les coûts et les avantages de la tenue de réunions du Groupe en dehors de Rome, pour examen par le Bureau lors d</w:t>
      </w:r>
      <w:r w:rsidR="00097A03">
        <w:t>’</w:t>
      </w:r>
      <w:r>
        <w:t xml:space="preserve">une réunion en ligne. </w:t>
      </w:r>
    </w:p>
    <w:p w14:paraId="3AFDAB8A" w14:textId="77777777" w:rsidR="001A2904" w:rsidRPr="004A5365" w:rsidRDefault="001A2904" w:rsidP="001A2904">
      <w:pPr>
        <w:pStyle w:val="IPPHeading1"/>
      </w:pPr>
      <w:r>
        <w:rPr>
          <w:bCs/>
        </w:rPr>
        <w:lastRenderedPageBreak/>
        <w:t>9.</w:t>
      </w:r>
      <w:r>
        <w:tab/>
        <w:t xml:space="preserve">Rapport des organes subsidiaires de la </w:t>
      </w:r>
      <w:proofErr w:type="spellStart"/>
      <w:r>
        <w:t>CMP</w:t>
      </w:r>
      <w:proofErr w:type="spellEnd"/>
    </w:p>
    <w:p w14:paraId="30AAA673" w14:textId="77777777" w:rsidR="001A2904" w:rsidRPr="004A5365" w:rsidRDefault="001A2904" w:rsidP="001A2904">
      <w:pPr>
        <w:pStyle w:val="IPPHeading2"/>
      </w:pPr>
      <w:r>
        <w:t>9.1</w:t>
      </w:r>
      <w:r>
        <w:tab/>
        <w:t>Rapport du Comité des normes</w:t>
      </w:r>
    </w:p>
    <w:p w14:paraId="1DC05109" w14:textId="4AC8B132" w:rsidR="001A2904" w:rsidRPr="006B5DB5" w:rsidRDefault="001A2904" w:rsidP="001A2904">
      <w:pPr>
        <w:pStyle w:val="IPPParagraphnumbering"/>
      </w:pPr>
      <w:r>
        <w:t>La Présidente du Comité des normes</w:t>
      </w:r>
      <w:r w:rsidR="00097A03">
        <w:t xml:space="preserve"> (CN)</w:t>
      </w:r>
      <w:r>
        <w:t xml:space="preserve"> a présenté le rapport sur les activités menées par le Comité en 2025</w:t>
      </w:r>
      <w:r w:rsidRPr="006B5DB5">
        <w:rPr>
          <w:rStyle w:val="Appelnotedebasdep"/>
          <w:lang w:val="en-GB"/>
        </w:rPr>
        <w:footnoteReference w:id="12"/>
      </w:r>
      <w:r>
        <w:t>. Parmi ces activités figuraient la révision et l</w:t>
      </w:r>
      <w:r w:rsidR="00097A03">
        <w:t>’</w:t>
      </w:r>
      <w:r>
        <w:t xml:space="preserve">approbation de projets de spécifications et de projets de </w:t>
      </w:r>
      <w:proofErr w:type="spellStart"/>
      <w:r>
        <w:t>NIMP</w:t>
      </w:r>
      <w:proofErr w:type="spellEnd"/>
      <w:r>
        <w:t xml:space="preserve">, pour consultation ou pour adoption par la </w:t>
      </w:r>
      <w:proofErr w:type="spellStart"/>
      <w:r>
        <w:t>CMP</w:t>
      </w:r>
      <w:proofErr w:type="spellEnd"/>
      <w:r>
        <w:t xml:space="preserve">, ainsi que des débats au sujet des éventuelles marches à suivre pour des projets de </w:t>
      </w:r>
      <w:proofErr w:type="spellStart"/>
      <w:r>
        <w:t>NIMP</w:t>
      </w:r>
      <w:proofErr w:type="spellEnd"/>
      <w:r>
        <w:t xml:space="preserve"> plus anciens et de questions soulevées lors de la rédaction de projets. Le CN avait en outre commencé à examiner le </w:t>
      </w:r>
      <w:r>
        <w:rPr>
          <w:i/>
          <w:iCs/>
        </w:rPr>
        <w:t>Manuel de procédure pour l</w:t>
      </w:r>
      <w:r w:rsidR="00097A03">
        <w:rPr>
          <w:i/>
          <w:iCs/>
        </w:rPr>
        <w:t>’</w:t>
      </w:r>
      <w:r>
        <w:rPr>
          <w:i/>
          <w:iCs/>
        </w:rPr>
        <w:t>établissement de normes de la CIPV</w:t>
      </w:r>
      <w:r>
        <w:t xml:space="preserve">, en particulier les lignes directrices sur le rôle du responsable principal et du responsable adjoint. La Présidente du Comité des normes a indiqué que le CN avait envisagé des solutions provisoires en ce qui concernait le maintien des informations retirées de </w:t>
      </w:r>
      <w:proofErr w:type="spellStart"/>
      <w:r>
        <w:t>NIMP</w:t>
      </w:r>
      <w:proofErr w:type="spellEnd"/>
      <w:r>
        <w:t>, avait établi une note d</w:t>
      </w:r>
      <w:r w:rsidR="00097A03">
        <w:t>’</w:t>
      </w:r>
      <w:r>
        <w:t xml:space="preserve">information afin de contribuer aux débats du Groupe de la planification stratégique sur le remaniement des </w:t>
      </w:r>
      <w:proofErr w:type="spellStart"/>
      <w:r>
        <w:t>NIMP</w:t>
      </w:r>
      <w:proofErr w:type="spellEnd"/>
      <w:r>
        <w:t xml:space="preserve"> et avait examiné et recommandé des propositions issues de l</w:t>
      </w:r>
      <w:r w:rsidR="00097A03">
        <w:t>’</w:t>
      </w:r>
      <w:r>
        <w:t>appel ouvert à propositions de thèmes. En outre, le CN avait contribué à l</w:t>
      </w:r>
      <w:r w:rsidR="00097A03">
        <w:t>’</w:t>
      </w:r>
      <w:r>
        <w:t>organisation des ateliers régionaux 2025 de la CIPV et avait supervisé les quatre groupes techniques de la CIPV.</w:t>
      </w:r>
    </w:p>
    <w:p w14:paraId="75F19624" w14:textId="2C8FAB64" w:rsidR="001A2904" w:rsidRPr="005C660F" w:rsidRDefault="001A2904" w:rsidP="001A2904">
      <w:pPr>
        <w:pStyle w:val="IPPParagraphnumbering"/>
      </w:pPr>
      <w:r>
        <w:t xml:space="preserve">La </w:t>
      </w:r>
      <w:proofErr w:type="spellStart"/>
      <w:r>
        <w:t>CMP</w:t>
      </w:r>
      <w:proofErr w:type="spellEnd"/>
      <w:r>
        <w:t xml:space="preserve"> a souligné qu</w:t>
      </w:r>
      <w:r w:rsidR="00097A03">
        <w:t>’</w:t>
      </w:r>
      <w:r>
        <w:t>il était important que les parties contractantes participent activement à l</w:t>
      </w:r>
      <w:r w:rsidR="00097A03">
        <w:t>’</w:t>
      </w:r>
      <w:r>
        <w:t>élaboration des projets de normes relatives à des marchandises en répondant aux appels à communication d</w:t>
      </w:r>
      <w:r w:rsidR="00097A03">
        <w:t>’</w:t>
      </w:r>
      <w:r>
        <w:t>informations.</w:t>
      </w:r>
    </w:p>
    <w:p w14:paraId="5019D50B" w14:textId="77777777" w:rsidR="001A2904" w:rsidRPr="004A5365" w:rsidRDefault="001A2904" w:rsidP="001A2904">
      <w:pPr>
        <w:pStyle w:val="IPPParagraphnumberingclose"/>
      </w:pPr>
      <w:r>
        <w:t xml:space="preserve">La </w:t>
      </w:r>
      <w:proofErr w:type="spellStart"/>
      <w:r>
        <w:t>CMP</w:t>
      </w:r>
      <w:proofErr w:type="spellEnd"/>
      <w:r>
        <w:t>:</w:t>
      </w:r>
    </w:p>
    <w:p w14:paraId="0A0EEB7B" w14:textId="77777777" w:rsidR="001A2904" w:rsidRPr="004A5365" w:rsidRDefault="001A2904" w:rsidP="001A2904">
      <w:pPr>
        <w:pStyle w:val="IPPNumberedList"/>
        <w:numPr>
          <w:ilvl w:val="0"/>
          <w:numId w:val="33"/>
        </w:numPr>
      </w:pPr>
      <w:r>
        <w:rPr>
          <w:i/>
        </w:rPr>
        <w:t>a pris note</w:t>
      </w:r>
      <w:r>
        <w:t xml:space="preserve"> du rapport sur les activités menées par le Comité des normes en 2025;</w:t>
      </w:r>
    </w:p>
    <w:p w14:paraId="796C710C" w14:textId="4223A658" w:rsidR="001A2904" w:rsidRPr="004A5365" w:rsidRDefault="001A2904" w:rsidP="001A2904">
      <w:pPr>
        <w:pStyle w:val="IPPNumberedList"/>
      </w:pPr>
      <w:r>
        <w:rPr>
          <w:i/>
          <w:iCs/>
        </w:rPr>
        <w:t>a remercié</w:t>
      </w:r>
      <w:r>
        <w:t xml:space="preserve"> les parties contractantes et les membres du Comité des normes, tant anciens qu</w:t>
      </w:r>
      <w:r w:rsidR="00097A03">
        <w:t>’</w:t>
      </w:r>
      <w:r>
        <w:t>actuels, pour leur contribution au processus d</w:t>
      </w:r>
      <w:r w:rsidR="00097A03">
        <w:t>’</w:t>
      </w:r>
      <w:r>
        <w:t>établissement de normes;</w:t>
      </w:r>
    </w:p>
    <w:p w14:paraId="5039CF5F" w14:textId="77777777" w:rsidR="001A2904" w:rsidRPr="004A5365" w:rsidRDefault="001A2904" w:rsidP="001A2904">
      <w:pPr>
        <w:pStyle w:val="IPPNumberedList"/>
      </w:pPr>
      <w:r>
        <w:rPr>
          <w:i/>
          <w:iCs/>
        </w:rPr>
        <w:t>a</w:t>
      </w:r>
      <w:r>
        <w:t xml:space="preserve"> </w:t>
      </w:r>
      <w:r>
        <w:rPr>
          <w:i/>
          <w:iCs/>
        </w:rPr>
        <w:t>salué</w:t>
      </w:r>
      <w:r>
        <w:t xml:space="preserve"> les contributions apportées par les membres du Groupe technique sur les protocoles de diagnostic qui ont quitté ce dernier en 2025:</w:t>
      </w:r>
    </w:p>
    <w:p w14:paraId="54D54CA6" w14:textId="699F5C16" w:rsidR="001A2904" w:rsidRPr="004A5365" w:rsidRDefault="001A2904" w:rsidP="001A2904">
      <w:pPr>
        <w:pStyle w:val="IPPBullet2"/>
      </w:pPr>
      <w:r>
        <w:t>M</w:t>
      </w:r>
      <w:r>
        <w:rPr>
          <w:vertAlign w:val="superscript"/>
        </w:rPr>
        <w:t>me</w:t>
      </w:r>
      <w:r>
        <w:t> Vessela Mavrodieva (États-Unis d</w:t>
      </w:r>
      <w:r w:rsidR="00097A03">
        <w:t>’</w:t>
      </w:r>
      <w:r>
        <w:t>Amérique);</w:t>
      </w:r>
    </w:p>
    <w:p w14:paraId="15EA4DAE" w14:textId="1150CA80" w:rsidR="001A2904" w:rsidRPr="004A5365" w:rsidRDefault="001A2904" w:rsidP="001A2904">
      <w:pPr>
        <w:pStyle w:val="IPPBullet2"/>
      </w:pPr>
      <w:r>
        <w:t>M</w:t>
      </w:r>
      <w:r>
        <w:rPr>
          <w:vertAlign w:val="superscript"/>
        </w:rPr>
        <w:t>me</w:t>
      </w:r>
      <w:r>
        <w:t> Yazmin Rivera (États-Unis d</w:t>
      </w:r>
      <w:r w:rsidR="00097A03">
        <w:t>’</w:t>
      </w:r>
      <w:r>
        <w:t>Amérique);</w:t>
      </w:r>
    </w:p>
    <w:p w14:paraId="58B2C9BA" w14:textId="77777777" w:rsidR="001A2904" w:rsidRPr="004A5365" w:rsidRDefault="001A2904" w:rsidP="001A2904">
      <w:pPr>
        <w:pStyle w:val="IPPNumberedList"/>
      </w:pPr>
      <w:r>
        <w:rPr>
          <w:i/>
          <w:iCs/>
        </w:rPr>
        <w:t>a salué</w:t>
      </w:r>
      <w:r>
        <w:t xml:space="preserve"> les contributions apportées par le membre du Groupe technique sur les normes relatives aux marchandises qui a quitté ce dernier en 2025:</w:t>
      </w:r>
    </w:p>
    <w:p w14:paraId="5DF1C347" w14:textId="77777777" w:rsidR="001A2904" w:rsidRPr="004A5365" w:rsidRDefault="001A2904" w:rsidP="001A2904">
      <w:pPr>
        <w:pStyle w:val="IPPBullet2"/>
      </w:pPr>
      <w:r>
        <w:t>M. Douglas Kerruish (Australie);</w:t>
      </w:r>
    </w:p>
    <w:p w14:paraId="1EDD6B6A" w14:textId="77777777" w:rsidR="001A2904" w:rsidRPr="004A5365" w:rsidRDefault="001A2904" w:rsidP="001A2904">
      <w:pPr>
        <w:pStyle w:val="IPPNumberedList"/>
      </w:pPr>
      <w:r>
        <w:rPr>
          <w:i/>
          <w:iCs/>
        </w:rPr>
        <w:t>a</w:t>
      </w:r>
      <w:r>
        <w:t xml:space="preserve"> </w:t>
      </w:r>
      <w:r>
        <w:rPr>
          <w:i/>
          <w:iCs/>
        </w:rPr>
        <w:t>salué</w:t>
      </w:r>
      <w:r>
        <w:t xml:space="preserve"> les contributions apportées par les membres du Groupe technique sur le Glossaire des termes phytosanitaires qui ont quitté ce dernier en 2025:</w:t>
      </w:r>
    </w:p>
    <w:p w14:paraId="2F6E7536" w14:textId="77777777" w:rsidR="001A2904" w:rsidRPr="004A5365" w:rsidRDefault="001A2904" w:rsidP="001A2904">
      <w:pPr>
        <w:pStyle w:val="IPPBullet2"/>
      </w:pPr>
      <w:r>
        <w:t>M. Ebbe Nordbo (Danemark);</w:t>
      </w:r>
    </w:p>
    <w:p w14:paraId="3B9358D5" w14:textId="77777777" w:rsidR="001A2904" w:rsidRPr="004A5365" w:rsidRDefault="001A2904" w:rsidP="001A2904">
      <w:pPr>
        <w:pStyle w:val="IPPBullet2"/>
      </w:pPr>
      <w:r>
        <w:t>M</w:t>
      </w:r>
      <w:r>
        <w:rPr>
          <w:vertAlign w:val="superscript"/>
        </w:rPr>
        <w:t>me</w:t>
      </w:r>
      <w:r>
        <w:t> Shaza Roshdy Omar (Égypte);</w:t>
      </w:r>
    </w:p>
    <w:p w14:paraId="1EC3B068" w14:textId="77777777" w:rsidR="001A2904" w:rsidRPr="004A5365" w:rsidRDefault="001A2904" w:rsidP="001A2904">
      <w:pPr>
        <w:pStyle w:val="IPPNumberedList"/>
      </w:pPr>
      <w:r>
        <w:rPr>
          <w:i/>
          <w:iCs/>
        </w:rPr>
        <w:t>a salué</w:t>
      </w:r>
      <w:r>
        <w:t xml:space="preserve"> les contributions apportées par les membres du Groupe technique sur les traitements phytosanitaires qui ont quitté ce dernier en 2025:</w:t>
      </w:r>
    </w:p>
    <w:p w14:paraId="54535521" w14:textId="77777777" w:rsidR="001A2904" w:rsidRPr="004A5365" w:rsidRDefault="001A2904" w:rsidP="001A2904">
      <w:pPr>
        <w:pStyle w:val="IPPBullet2"/>
      </w:pPr>
      <w:r>
        <w:t>M. Toshiyuki Dohino (Japon);</w:t>
      </w:r>
    </w:p>
    <w:p w14:paraId="1BF5BA8B" w14:textId="77777777" w:rsidR="001A2904" w:rsidRPr="004A5365" w:rsidRDefault="001A2904" w:rsidP="001A2904">
      <w:pPr>
        <w:pStyle w:val="IPPBullet2"/>
      </w:pPr>
      <w:r>
        <w:t>M. Eduardo Willink (Argentine);</w:t>
      </w:r>
    </w:p>
    <w:p w14:paraId="3D021B05" w14:textId="2BA5285F" w:rsidR="001A2904" w:rsidRPr="004A5365" w:rsidRDefault="001A2904" w:rsidP="001A2904">
      <w:pPr>
        <w:pStyle w:val="IPPNumberedList"/>
      </w:pPr>
      <w:r>
        <w:rPr>
          <w:i/>
          <w:iCs/>
        </w:rPr>
        <w:t xml:space="preserve">a </w:t>
      </w:r>
      <w:r>
        <w:rPr>
          <w:i/>
        </w:rPr>
        <w:t>approuvé</w:t>
      </w:r>
      <w:r>
        <w:t xml:space="preserve"> la révision du mandat du Comité des normes consistant à remplacer «membre du Comité chargé de la mise en œuvre et du renforcement des capacités peut assister en qualité d</w:t>
      </w:r>
      <w:r w:rsidR="00097A03">
        <w:t>’</w:t>
      </w:r>
      <w:r>
        <w:t>observateur» par «représentant du Comité chargé de la mise en œuvre et du renforcement des capacités assiste en qualité d</w:t>
      </w:r>
      <w:r w:rsidR="00097A03">
        <w:t>’</w:t>
      </w:r>
      <w:r>
        <w:t>observateur»;</w:t>
      </w:r>
    </w:p>
    <w:p w14:paraId="14D37552" w14:textId="7DC577A8" w:rsidR="001A2904" w:rsidRPr="004A5365" w:rsidRDefault="001A2904" w:rsidP="00E72B8D">
      <w:pPr>
        <w:pStyle w:val="IPPNumberedList"/>
      </w:pPr>
      <w:r>
        <w:rPr>
          <w:i/>
          <w:iCs/>
        </w:rPr>
        <w:t>a</w:t>
      </w:r>
      <w:r>
        <w:t xml:space="preserve"> </w:t>
      </w:r>
      <w:r>
        <w:rPr>
          <w:i/>
        </w:rPr>
        <w:t>encourag</w:t>
      </w:r>
      <w:r>
        <w:rPr>
          <w:i/>
          <w:iCs/>
        </w:rPr>
        <w:t>é</w:t>
      </w:r>
      <w:r>
        <w:t xml:space="preserve"> les parties contractantes à soumettre des organismes nuisibles et des mesures en vue de leur inclusion dans les projets d</w:t>
      </w:r>
      <w:r w:rsidR="00097A03">
        <w:t>’</w:t>
      </w:r>
      <w:r>
        <w:t xml:space="preserve">annexe à la </w:t>
      </w:r>
      <w:proofErr w:type="spellStart"/>
      <w:r>
        <w:t>NIMP</w:t>
      </w:r>
      <w:proofErr w:type="spellEnd"/>
      <w:r>
        <w:t> 46 (</w:t>
      </w:r>
      <w:r>
        <w:rPr>
          <w:i/>
          <w:iCs/>
        </w:rPr>
        <w:t>Normes pour des mesures phytosanitaires relatives à des marchandises</w:t>
      </w:r>
      <w:r>
        <w:t>) lors de l</w:t>
      </w:r>
      <w:r w:rsidR="00097A03">
        <w:t>’</w:t>
      </w:r>
      <w:r>
        <w:t>appel d</w:t>
      </w:r>
      <w:r w:rsidR="00097A03">
        <w:t>’</w:t>
      </w:r>
      <w:r>
        <w:t>informations, les organismes nuisibles et les mesures supplémentaires étant proposés au cours de la première consultation.</w:t>
      </w:r>
    </w:p>
    <w:p w14:paraId="0F4890DA" w14:textId="17F2F8F3" w:rsidR="001A2904" w:rsidRDefault="001A2904" w:rsidP="001A2904">
      <w:pPr>
        <w:pStyle w:val="IPPParagraphnumbering"/>
      </w:pPr>
      <w:r>
        <w:rPr>
          <w:highlight w:val="yellow"/>
        </w:rPr>
        <w:lastRenderedPageBreak/>
        <w:t>[</w:t>
      </w:r>
      <w:r>
        <w:rPr>
          <w:i/>
          <w:highlight w:val="yellow"/>
        </w:rPr>
        <w:t>Note (à supprimer à l</w:t>
      </w:r>
      <w:r w:rsidR="00097A03">
        <w:rPr>
          <w:i/>
          <w:highlight w:val="yellow"/>
        </w:rPr>
        <w:t>’</w:t>
      </w:r>
      <w:r>
        <w:rPr>
          <w:i/>
          <w:highlight w:val="yellow"/>
        </w:rPr>
        <w:t>adoption du rapport): La décision remerciant les membres du Comité des normes qui ont quitté ce dernier en 2025 s</w:t>
      </w:r>
      <w:r w:rsidR="00097A03">
        <w:rPr>
          <w:i/>
          <w:highlight w:val="yellow"/>
        </w:rPr>
        <w:t>’</w:t>
      </w:r>
      <w:r>
        <w:rPr>
          <w:i/>
          <w:highlight w:val="yellow"/>
        </w:rPr>
        <w:t>inscrit dans le cadre du point 23 de l</w:t>
      </w:r>
      <w:r w:rsidR="00097A03">
        <w:rPr>
          <w:i/>
          <w:highlight w:val="yellow"/>
        </w:rPr>
        <w:t>’</w:t>
      </w:r>
      <w:r>
        <w:rPr>
          <w:i/>
          <w:highlight w:val="yellow"/>
        </w:rPr>
        <w:t>ordre du jour à des fins de cohérence avec la décision remerciant les membres du Comité chargé de la mise en œuvre et du renforcement des capacités</w:t>
      </w:r>
      <w:r>
        <w:rPr>
          <w:highlight w:val="yellow"/>
        </w:rPr>
        <w:t>.]</w:t>
      </w:r>
      <w:r>
        <w:t xml:space="preserve"> </w:t>
      </w:r>
    </w:p>
    <w:p w14:paraId="6DE9A84D" w14:textId="7CBBE3D3" w:rsidR="001A2904" w:rsidRPr="004A5365" w:rsidRDefault="001A2904" w:rsidP="001A2904">
      <w:pPr>
        <w:pStyle w:val="IPPHeading3"/>
      </w:pPr>
      <w:r>
        <w:t>9.1.1</w:t>
      </w:r>
      <w:r>
        <w:tab/>
        <w:t>Liste de thèmes proposés aux fins de l</w:t>
      </w:r>
      <w:r w:rsidR="00097A03">
        <w:t>’</w:t>
      </w:r>
      <w:r>
        <w:t>établissement de normes de la CIPV</w:t>
      </w:r>
    </w:p>
    <w:p w14:paraId="37EA7926" w14:textId="1BF43044" w:rsidR="001A2904" w:rsidRPr="00E26B1C" w:rsidRDefault="001A2904" w:rsidP="001A2904">
      <w:pPr>
        <w:pStyle w:val="IPPParagraphnumbering"/>
      </w:pPr>
      <w:r>
        <w:t xml:space="preserve">La Présidente du CN a présenté un document sur les modifications apportées à la </w:t>
      </w:r>
      <w:r>
        <w:rPr>
          <w:i/>
        </w:rPr>
        <w:t>Liste de thèmes proposés aux fins de l</w:t>
      </w:r>
      <w:r w:rsidR="00097A03">
        <w:rPr>
          <w:i/>
        </w:rPr>
        <w:t>’</w:t>
      </w:r>
      <w:r>
        <w:rPr>
          <w:i/>
        </w:rPr>
        <w:t>établissement de normes de la CIPV</w:t>
      </w:r>
      <w:r w:rsidRPr="00934CCD">
        <w:rPr>
          <w:rStyle w:val="Appelnotedebasdep"/>
          <w:lang w:val="en-GB"/>
        </w:rPr>
        <w:footnoteReference w:id="13"/>
      </w:r>
      <w:r>
        <w:t>. Ce document récapitule les modifications que le CN avait apportées aux thèmes (termes du glossaire, protocoles de diagnostic et traitements phytosanitaires [TP]). Il indique également d</w:t>
      </w:r>
      <w:r w:rsidR="00097A03">
        <w:t>’</w:t>
      </w:r>
      <w:r>
        <w:t>autres modifications que le CN a recommandé d</w:t>
      </w:r>
      <w:r w:rsidR="00097A03">
        <w:t>’</w:t>
      </w:r>
      <w:r>
        <w:t xml:space="preserve">apporter à la </w:t>
      </w:r>
      <w:r>
        <w:rPr>
          <w:i/>
          <w:iCs/>
        </w:rPr>
        <w:t>Liste de thèmes proposés aux fins de l</w:t>
      </w:r>
      <w:r w:rsidR="00097A03">
        <w:rPr>
          <w:i/>
          <w:iCs/>
        </w:rPr>
        <w:t>’</w:t>
      </w:r>
      <w:r>
        <w:rPr>
          <w:i/>
          <w:iCs/>
        </w:rPr>
        <w:t>établissement de normes de la CIPV</w:t>
      </w:r>
      <w:r>
        <w:t>, y compris les recommandations du CN concernant les propositions émanant du processus continu d</w:t>
      </w:r>
      <w:r w:rsidR="00097A03">
        <w:t>’</w:t>
      </w:r>
      <w:r>
        <w:t>appel à propositions de thèmes: normes et mise en œuvre.</w:t>
      </w:r>
    </w:p>
    <w:p w14:paraId="3936854A" w14:textId="3F474183" w:rsidR="001A2904" w:rsidRPr="00934CCD" w:rsidRDefault="001A2904" w:rsidP="001A2904">
      <w:pPr>
        <w:pStyle w:val="IPPParagraphnumbering"/>
      </w:pPr>
      <w:r>
        <w:t xml:space="preserve">La </w:t>
      </w:r>
      <w:proofErr w:type="spellStart"/>
      <w:r>
        <w:t>CMP</w:t>
      </w:r>
      <w:proofErr w:type="spellEnd"/>
      <w:r>
        <w:t xml:space="preserve"> a examiné la proposition du CN visant à lever la mise en suspens du thème </w:t>
      </w:r>
      <w:r>
        <w:rPr>
          <w:i/>
          <w:iCs/>
        </w:rPr>
        <w:t>Réduction maximale des déplacements d</w:t>
      </w:r>
      <w:r w:rsidR="00097A03">
        <w:rPr>
          <w:i/>
          <w:iCs/>
        </w:rPr>
        <w:t>’</w:t>
      </w:r>
      <w:r>
        <w:rPr>
          <w:i/>
          <w:iCs/>
        </w:rPr>
        <w:t>organismes nuisibles par les conteneurs aériens et aéronefs</w:t>
      </w:r>
      <w:r>
        <w:t xml:space="preserve"> (2008-002) et à lui attribuer le degré de priorité 2. Toutefois, la </w:t>
      </w:r>
      <w:proofErr w:type="spellStart"/>
      <w:r>
        <w:t>CMP</w:t>
      </w:r>
      <w:proofErr w:type="spellEnd"/>
      <w:r>
        <w:t xml:space="preserve"> est convenue de ne pas modifier le statut de ce thème jusqu</w:t>
      </w:r>
      <w:r w:rsidR="00097A03">
        <w:t>’</w:t>
      </w:r>
      <w:r>
        <w:t>à ce que les travaux sur les conteneurs maritimes aient avancé davantage, car les deux thèmes étaient liés</w:t>
      </w:r>
      <w:r w:rsidRPr="00934CCD">
        <w:rPr>
          <w:rStyle w:val="Appelnotedebasdep"/>
          <w:lang w:val="en-GB"/>
        </w:rPr>
        <w:footnoteReference w:id="14"/>
      </w:r>
      <w:r>
        <w:t xml:space="preserve">. </w:t>
      </w:r>
    </w:p>
    <w:p w14:paraId="7BA44397" w14:textId="77777777" w:rsidR="001A2904" w:rsidRPr="004A5365" w:rsidRDefault="001A2904" w:rsidP="001A2904">
      <w:pPr>
        <w:pStyle w:val="IPPParagraphnumberingclose"/>
      </w:pPr>
      <w:r>
        <w:t xml:space="preserve">La </w:t>
      </w:r>
      <w:proofErr w:type="spellStart"/>
      <w:r>
        <w:t>CMP</w:t>
      </w:r>
      <w:proofErr w:type="spellEnd"/>
      <w:r>
        <w:t xml:space="preserve">: </w:t>
      </w:r>
    </w:p>
    <w:p w14:paraId="67C204A5" w14:textId="107A0CE1" w:rsidR="001A2904" w:rsidRPr="004A5365" w:rsidRDefault="001A2904" w:rsidP="001A2904">
      <w:pPr>
        <w:pStyle w:val="IPPNumberedList"/>
        <w:numPr>
          <w:ilvl w:val="0"/>
          <w:numId w:val="34"/>
        </w:numPr>
      </w:pPr>
      <w:r>
        <w:rPr>
          <w:i/>
        </w:rPr>
        <w:t>a pris note</w:t>
      </w:r>
      <w:r>
        <w:t xml:space="preserve"> des ajustements apportés aux thèmes par le CN dans la </w:t>
      </w:r>
      <w:r>
        <w:rPr>
          <w:i/>
        </w:rPr>
        <w:t>Liste de thèmes proposés aux fins de l</w:t>
      </w:r>
      <w:r w:rsidR="00097A03">
        <w:rPr>
          <w:i/>
        </w:rPr>
        <w:t>’</w:t>
      </w:r>
      <w:r>
        <w:rPr>
          <w:i/>
        </w:rPr>
        <w:t>établissement de normes de la CIPV</w:t>
      </w:r>
      <w:r>
        <w:t xml:space="preserve"> (telles que présentés dans le document </w:t>
      </w:r>
      <w:proofErr w:type="spellStart"/>
      <w:r>
        <w:t>CPM</w:t>
      </w:r>
      <w:proofErr w:type="spellEnd"/>
      <w:r>
        <w:t> 2026/07);</w:t>
      </w:r>
    </w:p>
    <w:p w14:paraId="19391379" w14:textId="06F10C7B" w:rsidR="001A2904" w:rsidRPr="00147AAE" w:rsidRDefault="001A2904" w:rsidP="001A2904">
      <w:pPr>
        <w:pStyle w:val="IPPNumberedList"/>
      </w:pPr>
      <w:r>
        <w:rPr>
          <w:i/>
          <w:iCs/>
        </w:rPr>
        <w:t>a ajouté</w:t>
      </w:r>
      <w:r>
        <w:t xml:space="preserve"> la révision ciblée de la </w:t>
      </w:r>
      <w:proofErr w:type="spellStart"/>
      <w:r>
        <w:t>NIMP</w:t>
      </w:r>
      <w:proofErr w:type="spellEnd"/>
      <w:r>
        <w:t> 8 (</w:t>
      </w:r>
      <w:r>
        <w:rPr>
          <w:i/>
          <w:iCs/>
        </w:rPr>
        <w:t>Détermination de la situation d</w:t>
      </w:r>
      <w:r w:rsidR="00097A03">
        <w:rPr>
          <w:i/>
          <w:iCs/>
        </w:rPr>
        <w:t>’</w:t>
      </w:r>
      <w:r>
        <w:rPr>
          <w:i/>
          <w:iCs/>
        </w:rPr>
        <w:t>un organisme nuisible dans une zone</w:t>
      </w:r>
      <w:r>
        <w:t>) concernant les descriptions relatives à l</w:t>
      </w:r>
      <w:r w:rsidR="00097A03">
        <w:t>’</w:t>
      </w:r>
      <w:r>
        <w:t>«absence d</w:t>
      </w:r>
      <w:r w:rsidR="00097A03">
        <w:t>’</w:t>
      </w:r>
      <w:r>
        <w:t xml:space="preserve">un organisme nuisible» à la </w:t>
      </w:r>
      <w:r>
        <w:rPr>
          <w:i/>
          <w:iCs/>
        </w:rPr>
        <w:t>Liste de thèmes</w:t>
      </w:r>
      <w:r>
        <w:t xml:space="preserve">, avec le degré de priorité 1, afin de lever toute ambiguïté par rapport à la </w:t>
      </w:r>
      <w:proofErr w:type="spellStart"/>
      <w:r>
        <w:t>NIMP</w:t>
      </w:r>
      <w:proofErr w:type="spellEnd"/>
      <w:r>
        <w:t> 5 (</w:t>
      </w:r>
      <w:r>
        <w:rPr>
          <w:i/>
          <w:iCs/>
        </w:rPr>
        <w:t>Glossaire des termes phytosanitaires</w:t>
      </w:r>
      <w:r>
        <w:t>);</w:t>
      </w:r>
    </w:p>
    <w:p w14:paraId="3DACC127" w14:textId="71EE782B" w:rsidR="001A2904" w:rsidRPr="004A5365" w:rsidRDefault="001A2904" w:rsidP="001A2904">
      <w:pPr>
        <w:pStyle w:val="IPPNumberedList"/>
      </w:pPr>
      <w:r>
        <w:rPr>
          <w:i/>
          <w:iCs/>
        </w:rPr>
        <w:t>a</w:t>
      </w:r>
      <w:r>
        <w:t xml:space="preserve"> </w:t>
      </w:r>
      <w:r>
        <w:rPr>
          <w:i/>
          <w:iCs/>
        </w:rPr>
        <w:t>modifié</w:t>
      </w:r>
      <w:r>
        <w:t xml:space="preserve"> le degré de priorité établi pour la révision de la </w:t>
      </w:r>
      <w:proofErr w:type="spellStart"/>
      <w:r>
        <w:t>NIMP</w:t>
      </w:r>
      <w:proofErr w:type="spellEnd"/>
      <w:r>
        <w:t> 23 (</w:t>
      </w:r>
      <w:r>
        <w:rPr>
          <w:i/>
          <w:iCs/>
        </w:rPr>
        <w:t>Directives pour l</w:t>
      </w:r>
      <w:r w:rsidR="00097A03">
        <w:rPr>
          <w:i/>
          <w:iCs/>
        </w:rPr>
        <w:t>’</w:t>
      </w:r>
      <w:r>
        <w:rPr>
          <w:i/>
          <w:iCs/>
        </w:rPr>
        <w:t>inspection</w:t>
      </w:r>
      <w:r>
        <w:t>) (2023-014) en le faisant passer de 2 à 1;</w:t>
      </w:r>
    </w:p>
    <w:p w14:paraId="277AD7DA" w14:textId="28F17F38" w:rsidR="001A2904" w:rsidRPr="004A5365" w:rsidRDefault="001A2904" w:rsidP="001A2904">
      <w:pPr>
        <w:pStyle w:val="IPPNumberedList"/>
      </w:pPr>
      <w:r>
        <w:rPr>
          <w:i/>
          <w:iCs/>
        </w:rPr>
        <w:t>a ajouté</w:t>
      </w:r>
      <w:r>
        <w:t xml:space="preserve"> le thème </w:t>
      </w:r>
      <w:r>
        <w:rPr>
          <w:i/>
          <w:iCs/>
        </w:rPr>
        <w:t xml:space="preserve">Révision de la </w:t>
      </w:r>
      <w:proofErr w:type="spellStart"/>
      <w:r>
        <w:rPr>
          <w:i/>
          <w:iCs/>
        </w:rPr>
        <w:t>NIMP</w:t>
      </w:r>
      <w:proofErr w:type="spellEnd"/>
      <w:r>
        <w:rPr>
          <w:i/>
          <w:iCs/>
        </w:rPr>
        <w:t> 3</w:t>
      </w:r>
      <w:r>
        <w:t xml:space="preserve"> (</w:t>
      </w:r>
      <w:r>
        <w:rPr>
          <w:i/>
          <w:iCs/>
        </w:rPr>
        <w:t>Directives pour l</w:t>
      </w:r>
      <w:r w:rsidR="00097A03">
        <w:rPr>
          <w:i/>
          <w:iCs/>
        </w:rPr>
        <w:t>’</w:t>
      </w:r>
      <w:r>
        <w:rPr>
          <w:i/>
          <w:iCs/>
        </w:rPr>
        <w:t>exportation, l</w:t>
      </w:r>
      <w:r w:rsidR="00097A03">
        <w:rPr>
          <w:i/>
          <w:iCs/>
        </w:rPr>
        <w:t>’</w:t>
      </w:r>
      <w:r>
        <w:rPr>
          <w:i/>
          <w:iCs/>
        </w:rPr>
        <w:t>expédition, l</w:t>
      </w:r>
      <w:r w:rsidR="00097A03">
        <w:rPr>
          <w:i/>
          <w:iCs/>
        </w:rPr>
        <w:t>’</w:t>
      </w:r>
      <w:r>
        <w:rPr>
          <w:i/>
          <w:iCs/>
        </w:rPr>
        <w:t>importation et le lâcher d</w:t>
      </w:r>
      <w:r w:rsidR="00097A03">
        <w:rPr>
          <w:i/>
          <w:iCs/>
        </w:rPr>
        <w:t>’</w:t>
      </w:r>
      <w:r>
        <w:rPr>
          <w:i/>
          <w:iCs/>
        </w:rPr>
        <w:t>agents de lutte biologique et autres organismes utiles</w:t>
      </w:r>
      <w:r>
        <w:t xml:space="preserve">) (2025-010), avec le degré de priorité 1, à la </w:t>
      </w:r>
      <w:r>
        <w:rPr>
          <w:i/>
          <w:iCs/>
        </w:rPr>
        <w:t>Liste de thèmes</w:t>
      </w:r>
      <w:r>
        <w:t>;</w:t>
      </w:r>
    </w:p>
    <w:p w14:paraId="2EB78224" w14:textId="77777777" w:rsidR="001A2904" w:rsidRPr="004A5365" w:rsidRDefault="001A2904" w:rsidP="001A2904">
      <w:pPr>
        <w:pStyle w:val="IPPNumberedList"/>
      </w:pPr>
      <w:r>
        <w:rPr>
          <w:i/>
        </w:rPr>
        <w:t xml:space="preserve">a adopté </w:t>
      </w:r>
      <w:r>
        <w:t xml:space="preserve">la </w:t>
      </w:r>
      <w:r>
        <w:rPr>
          <w:i/>
          <w:iCs/>
        </w:rPr>
        <w:t>Liste de thèmes</w:t>
      </w:r>
      <w:r>
        <w:t xml:space="preserve"> avec les modifications susmentionnées;</w:t>
      </w:r>
    </w:p>
    <w:p w14:paraId="51085E8B" w14:textId="77777777" w:rsidR="001A2904" w:rsidRPr="004A5365" w:rsidRDefault="001A2904" w:rsidP="00E72B8D">
      <w:pPr>
        <w:pStyle w:val="IPPNumberedList"/>
      </w:pPr>
      <w:r>
        <w:rPr>
          <w:i/>
          <w:iCs/>
        </w:rPr>
        <w:t>a demandé</w:t>
      </w:r>
      <w:r>
        <w:t xml:space="preserve"> au secrétariat de mettre à jour en conséquence la base de données contenant la </w:t>
      </w:r>
      <w:r>
        <w:rPr>
          <w:i/>
          <w:iCs/>
        </w:rPr>
        <w:t>Liste de thèmes</w:t>
      </w:r>
      <w:r>
        <w:t xml:space="preserve"> sur le Portail phytosanitaire international (PPI), conformément aux décisions prises par la </w:t>
      </w:r>
      <w:proofErr w:type="spellStart"/>
      <w:r>
        <w:t>CMP</w:t>
      </w:r>
      <w:proofErr w:type="spellEnd"/>
      <w:r>
        <w:t xml:space="preserve"> à sa 20</w:t>
      </w:r>
      <w:r>
        <w:rPr>
          <w:vertAlign w:val="superscript"/>
        </w:rPr>
        <w:t>e</w:t>
      </w:r>
      <w:r>
        <w:t> session (2026).</w:t>
      </w:r>
    </w:p>
    <w:p w14:paraId="2E879FE5" w14:textId="77777777" w:rsidR="001A2904" w:rsidRPr="004A5365" w:rsidRDefault="001A2904" w:rsidP="001A2904">
      <w:pPr>
        <w:pStyle w:val="IPPHeading2"/>
      </w:pPr>
      <w:r>
        <w:t>9.2</w:t>
      </w:r>
      <w:r>
        <w:tab/>
        <w:t>Rapport du Comité chargé de la mise en œuvre et du renforcement des capacités</w:t>
      </w:r>
    </w:p>
    <w:p w14:paraId="240DDF7F" w14:textId="3C7788DE" w:rsidR="001A2904" w:rsidRPr="00B8039B" w:rsidRDefault="001A2904" w:rsidP="001A2904">
      <w:pPr>
        <w:pStyle w:val="IPPParagraphnumbering"/>
      </w:pPr>
      <w:r>
        <w:t>Le Président du Comité chargé de la mise en œuvre et du renforcement des capacités a présenté dans les grandes lignes les activités de mise en œuvre et de renforcement des capacités menées en 2025</w:t>
      </w:r>
      <w:r w:rsidRPr="00B8039B">
        <w:rPr>
          <w:rStyle w:val="Appelnotedebasdep"/>
          <w:lang w:val="en-GB"/>
        </w:rPr>
        <w:footnoteReference w:id="15"/>
      </w:r>
      <w:r>
        <w:t>. Il a expliqué que le Comité chargé de la mise en œuvre et du renforcement des capacités et l</w:t>
      </w:r>
      <w:r w:rsidR="00097A03">
        <w:t>’</w:t>
      </w:r>
      <w:r>
        <w:t>Unité de la facilitation et de la mise en œuvre du secrétariat avaient contribué à faire avancer cinq éléments du programme de développement figurant dans le Cadre stratégique de la CIPV pour 2020-2030, avaient organisé un webinaire ouvert consacré à l</w:t>
      </w:r>
      <w:r w:rsidR="00097A03">
        <w:t>’</w:t>
      </w:r>
      <w:r>
        <w:t>utilisation de nouvelles technologies dans le domaine de la protection des végétaux et avaient consolidé l</w:t>
      </w:r>
      <w:r w:rsidR="00097A03">
        <w:t>’</w:t>
      </w:r>
      <w:r>
        <w:t>évaluation de la capacité phytosanitaire, qui est un moteur de l</w:t>
      </w:r>
      <w:r w:rsidR="00097A03">
        <w:t>’</w:t>
      </w:r>
      <w:r>
        <w:t>investissement et du renforcement institutionnel. En outre, les deux organes avaient élargi le programme de travail de l</w:t>
      </w:r>
      <w:r w:rsidR="00097A03">
        <w:t>’</w:t>
      </w:r>
      <w:r>
        <w:t xml:space="preserve">Observatoire de la CIPV et avaient ajouté de nouveaux cours en ligne au Campus sur la santé végétale. Le Président du Comité chargé de la mise en œuvre et du renforcement </w:t>
      </w:r>
      <w:r>
        <w:lastRenderedPageBreak/>
        <w:t xml:space="preserve">des capacités a indiqué que le Comité avait contribué aux débats du Groupe de la planification stratégique sur le remaniement des </w:t>
      </w:r>
      <w:proofErr w:type="spellStart"/>
      <w:r>
        <w:t>NIMP</w:t>
      </w:r>
      <w:proofErr w:type="spellEnd"/>
      <w:r>
        <w:t xml:space="preserve"> et avait travaillé avec le CN afin de faire en sorte que les supports de mise en œuvre soient plus accessibles sur le Portail phytosanitaire international (PPI). Il a en outre souligné deux recommandations importantes que le Comité avait adressées à la </w:t>
      </w:r>
      <w:proofErr w:type="spellStart"/>
      <w:r>
        <w:t>CMP</w:t>
      </w:r>
      <w:proofErr w:type="spellEnd"/>
      <w:r>
        <w:t>: garantir un financement prévisible et durable pour les activités relatives à la mise en œuvre qui ne bénéficient pas d</w:t>
      </w:r>
      <w:r w:rsidR="00097A03">
        <w:t>’</w:t>
      </w:r>
      <w:r>
        <w:t xml:space="preserve">un financement suffisant (tel que recommandé par la </w:t>
      </w:r>
      <w:proofErr w:type="spellStart"/>
      <w:r>
        <w:t>CMP</w:t>
      </w:r>
      <w:proofErr w:type="spellEnd"/>
      <w:r>
        <w:t>, à sa 19</w:t>
      </w:r>
      <w:r>
        <w:rPr>
          <w:vertAlign w:val="superscript"/>
        </w:rPr>
        <w:t>e</w:t>
      </w:r>
      <w:r w:rsidR="00E529CB">
        <w:t> </w:t>
      </w:r>
      <w:r>
        <w:t xml:space="preserve">session, en 2025) et créer au sein du secrétariat trois postes supplémentaires inscrits au budget ordinaire. </w:t>
      </w:r>
    </w:p>
    <w:p w14:paraId="4343D3AB" w14:textId="530ACE04" w:rsidR="001A2904" w:rsidRPr="00732723" w:rsidRDefault="001A2904" w:rsidP="001A2904">
      <w:pPr>
        <w:pStyle w:val="IPPParagraphnumbering"/>
      </w:pPr>
      <w:r>
        <w:t xml:space="preserve">La </w:t>
      </w:r>
      <w:proofErr w:type="spellStart"/>
      <w:r>
        <w:t>CMP</w:t>
      </w:r>
      <w:proofErr w:type="spellEnd"/>
      <w:r>
        <w:t xml:space="preserve"> a pris note des suggestions formulées quant aux moyens d</w:t>
      </w:r>
      <w:r w:rsidR="00097A03">
        <w:t>’</w:t>
      </w:r>
      <w:r>
        <w:t>améliorer la collaboration entre le CN et le Comité chargé de la mise en œuvre et du renforcement des capacités, en faisant en sorte que les normes et les supports d</w:t>
      </w:r>
      <w:r w:rsidR="00097A03">
        <w:t>’</w:t>
      </w:r>
      <w:r>
        <w:t>orientation connexes soient mis au point conjointement</w:t>
      </w:r>
      <w:r w:rsidRPr="004A0CEF">
        <w:rPr>
          <w:rStyle w:val="Appelnotedebasdep"/>
          <w:lang w:val="en-GB"/>
        </w:rPr>
        <w:footnoteReference w:id="16"/>
      </w:r>
      <w:r>
        <w:t xml:space="preserve">. La </w:t>
      </w:r>
      <w:proofErr w:type="spellStart"/>
      <w:r>
        <w:t>CMP</w:t>
      </w:r>
      <w:proofErr w:type="spellEnd"/>
      <w:r>
        <w:t xml:space="preserve"> a également pris note d</w:t>
      </w:r>
      <w:r w:rsidR="00097A03">
        <w:t>’</w:t>
      </w:r>
      <w:r>
        <w:t>une demande visant à ce que davantage d</w:t>
      </w:r>
      <w:r w:rsidR="00097A03">
        <w:t>’</w:t>
      </w:r>
      <w:r>
        <w:t>exercices de simulation d</w:t>
      </w:r>
      <w:r w:rsidR="00097A03">
        <w:t>’</w:t>
      </w:r>
      <w:r>
        <w:t>intervention d</w:t>
      </w:r>
      <w:r w:rsidR="00097A03">
        <w:t>’</w:t>
      </w:r>
      <w:r>
        <w:t>urgence soient organisés et est convenu que toute modification concernant les postes inscrits au budget ordinaire au sein du secrétariat nécessiterait un examen minutieux des incidences sur les autres domaines de travail du secrétariat.</w:t>
      </w:r>
    </w:p>
    <w:p w14:paraId="1C1C1A5E" w14:textId="77777777" w:rsidR="001A2904" w:rsidRPr="004A5365" w:rsidRDefault="001A2904" w:rsidP="001A2904">
      <w:pPr>
        <w:pStyle w:val="IPPParagraphnumberingclose"/>
      </w:pPr>
      <w:r>
        <w:t xml:space="preserve">La </w:t>
      </w:r>
      <w:proofErr w:type="spellStart"/>
      <w:r>
        <w:t>CMP</w:t>
      </w:r>
      <w:proofErr w:type="spellEnd"/>
      <w:r>
        <w:t xml:space="preserve">: </w:t>
      </w:r>
    </w:p>
    <w:p w14:paraId="7D2C5A6B" w14:textId="62EF59BF" w:rsidR="001A2904" w:rsidRPr="004A5365" w:rsidRDefault="001A2904" w:rsidP="001A2904">
      <w:pPr>
        <w:pStyle w:val="IPPNumberedList"/>
        <w:numPr>
          <w:ilvl w:val="0"/>
          <w:numId w:val="35"/>
        </w:numPr>
      </w:pPr>
      <w:r>
        <w:rPr>
          <w:i/>
          <w:iCs/>
        </w:rPr>
        <w:t>a</w:t>
      </w:r>
      <w:r>
        <w:t xml:space="preserve"> </w:t>
      </w:r>
      <w:r>
        <w:rPr>
          <w:i/>
          <w:iCs/>
        </w:rPr>
        <w:t>pris no</w:t>
      </w:r>
      <w:r>
        <w:rPr>
          <w:i/>
        </w:rPr>
        <w:t>te</w:t>
      </w:r>
      <w:r>
        <w:t xml:space="preserve"> du travail effectué par le Comité chargé de la mise en œuvre et du renforcement des capacités en 2025, ainsi que des activités du Sous-Groupe du Comité chargé de l</w:t>
      </w:r>
      <w:r w:rsidR="00097A03">
        <w:t>’</w:t>
      </w:r>
      <w:r>
        <w:t xml:space="preserve">Observatoire de la CIPV et des équipes du Comité chargées du commerce électronique, de </w:t>
      </w:r>
      <w:r>
        <w:rPr>
          <w:i/>
          <w:iCs/>
        </w:rPr>
        <w:t>Fusarium</w:t>
      </w:r>
      <w:r>
        <w:t xml:space="preserve"> TR4, de l</w:t>
      </w:r>
      <w:r w:rsidR="00097A03">
        <w:t>’</w:t>
      </w:r>
      <w:r>
        <w:t>agrément d</w:t>
      </w:r>
      <w:r w:rsidR="00097A03">
        <w:t>’</w:t>
      </w:r>
      <w:r>
        <w:t>entités tierces, de l</w:t>
      </w:r>
      <w:r w:rsidR="00097A03">
        <w:t>’</w:t>
      </w:r>
      <w:r>
        <w:t>examen des thèmes relatifs à la mise en œuvre, des obligations nationales en matière de communication d</w:t>
      </w:r>
      <w:r w:rsidR="00097A03">
        <w:t>’</w:t>
      </w:r>
      <w:r>
        <w:t>informations, de l</w:t>
      </w:r>
      <w:r w:rsidR="00097A03">
        <w:t>’</w:t>
      </w:r>
      <w:r>
        <w:t>évaluation de la capacité phytosanitaire, des projets et des ressources mises à disposition;</w:t>
      </w:r>
    </w:p>
    <w:p w14:paraId="2995A5A5" w14:textId="387B322F" w:rsidR="001A2904" w:rsidRPr="004A5365" w:rsidRDefault="001A2904" w:rsidP="001A2904">
      <w:pPr>
        <w:pStyle w:val="IPPNumberedList"/>
      </w:pPr>
      <w:r>
        <w:rPr>
          <w:i/>
          <w:iCs/>
        </w:rPr>
        <w:t xml:space="preserve">a pris note </w:t>
      </w:r>
      <w:r>
        <w:t xml:space="preserve">de la décision prise par la </w:t>
      </w:r>
      <w:proofErr w:type="spellStart"/>
      <w:r>
        <w:t>CMP</w:t>
      </w:r>
      <w:proofErr w:type="spellEnd"/>
      <w:r>
        <w:t>, à sa 19</w:t>
      </w:r>
      <w:r>
        <w:rPr>
          <w:vertAlign w:val="superscript"/>
        </w:rPr>
        <w:t>e</w:t>
      </w:r>
      <w:r>
        <w:t xml:space="preserve"> session (2025), </w:t>
      </w:r>
      <w:r>
        <w:rPr>
          <w:i/>
          <w:iCs/>
        </w:rPr>
        <w:t>demandant</w:t>
      </w:r>
      <w:r>
        <w:t xml:space="preserve"> au Secrétaire de la CIPV, avec les avis et orientations du Comité financier ou du Bureau, d</w:t>
      </w:r>
      <w:r w:rsidR="00097A03">
        <w:t>’</w:t>
      </w:r>
      <w:r>
        <w:t>envisager de créer trois postes supplémentaires inscrits au budget ordinaire dans l</w:t>
      </w:r>
      <w:r w:rsidR="00097A03">
        <w:t>’</w:t>
      </w:r>
      <w:r>
        <w:t>Unité de la facilitation et de la mise en œuvre, en particulier pour l</w:t>
      </w:r>
      <w:r w:rsidR="00097A03">
        <w:t>’</w:t>
      </w:r>
      <w:r>
        <w:t>élaboration de guides et de supports de formation, afin que l</w:t>
      </w:r>
      <w:r w:rsidR="00097A03">
        <w:t>’</w:t>
      </w:r>
      <w:r>
        <w:t>équipe puisse s</w:t>
      </w:r>
      <w:r w:rsidR="00097A03">
        <w:t>’</w:t>
      </w:r>
      <w:r>
        <w:t>acquitter de son mandat principal, comme il a été recommandé dans le cadre de l</w:t>
      </w:r>
      <w:r w:rsidR="00097A03">
        <w:t>’</w:t>
      </w:r>
      <w:r>
        <w:t>évaluation de 2014 relative au renforcement du secrétariat de la CIPV;</w:t>
      </w:r>
    </w:p>
    <w:p w14:paraId="6D007EA2" w14:textId="11184594" w:rsidR="001A2904" w:rsidRPr="004A5365" w:rsidRDefault="001A2904" w:rsidP="001A2904">
      <w:pPr>
        <w:pStyle w:val="IPPNumberedList"/>
      </w:pPr>
      <w:r>
        <w:rPr>
          <w:i/>
          <w:iCs/>
        </w:rPr>
        <w:t>a</w:t>
      </w:r>
      <w:r>
        <w:t xml:space="preserve"> </w:t>
      </w:r>
      <w:r>
        <w:rPr>
          <w:i/>
          <w:iCs/>
        </w:rPr>
        <w:t xml:space="preserve">pris note </w:t>
      </w:r>
      <w:r>
        <w:t xml:space="preserve">de la décision prise par la </w:t>
      </w:r>
      <w:proofErr w:type="spellStart"/>
      <w:r>
        <w:t>CMP</w:t>
      </w:r>
      <w:proofErr w:type="spellEnd"/>
      <w:r>
        <w:t>, à sa 19</w:t>
      </w:r>
      <w:r>
        <w:rPr>
          <w:vertAlign w:val="superscript"/>
        </w:rPr>
        <w:t>e</w:t>
      </w:r>
      <w:r>
        <w:t xml:space="preserve"> session (2025), </w:t>
      </w:r>
      <w:r>
        <w:rPr>
          <w:i/>
          <w:iCs/>
        </w:rPr>
        <w:t>demandant</w:t>
      </w:r>
      <w:r>
        <w:t xml:space="preserve"> au Secrétaire de la CIPV, avec les avis et orientations du Comité financier ou du Bureau, d</w:t>
      </w:r>
      <w:r w:rsidR="00097A03">
        <w:t>’</w:t>
      </w:r>
      <w:r>
        <w:t>envisager que des ressources financières adéquates soient allouées aux activités de base et aux activités prioritaires de la CIPV qui ne sont pas du tout ou pas suffisamment financées, à savoir 50 000 USD par an au titre des obligations nationales en matière de communication d</w:t>
      </w:r>
      <w:r w:rsidR="00097A03">
        <w:t>’</w:t>
      </w:r>
      <w:r>
        <w:t>informations, 50 000 USD par an au titre de l</w:t>
      </w:r>
      <w:r w:rsidR="00097A03">
        <w:t>’</w:t>
      </w:r>
      <w:r>
        <w:t>évaluation de la capacité phytosanitaire, 50 000 USD par an au titre du renforcement du Système d</w:t>
      </w:r>
      <w:r w:rsidR="00097A03">
        <w:t>’</w:t>
      </w:r>
      <w:r>
        <w:t>alerte et d</w:t>
      </w:r>
      <w:r w:rsidR="00097A03">
        <w:t>’</w:t>
      </w:r>
      <w:r>
        <w:t>intervention en cas d</w:t>
      </w:r>
      <w:r w:rsidR="00097A03">
        <w:t>’</w:t>
      </w:r>
      <w:r>
        <w:t>apparition de foyers d</w:t>
      </w:r>
      <w:r w:rsidR="00097A03">
        <w:t>’</w:t>
      </w:r>
      <w:r>
        <w:t>organismes nuisibles, 50 000 USD par an au titre du fonctionnement de l</w:t>
      </w:r>
      <w:r w:rsidR="00097A03">
        <w:t>’</w:t>
      </w:r>
      <w:r>
        <w:t>Observatoire de la CIPV, ainsi que 50 000 USD par an au titre de l</w:t>
      </w:r>
      <w:r w:rsidR="00097A03">
        <w:t>’</w:t>
      </w:r>
      <w:r>
        <w:t>élaboration de guides et de supports de formation;</w:t>
      </w:r>
    </w:p>
    <w:p w14:paraId="470708EF" w14:textId="78886AC6" w:rsidR="001A2904" w:rsidRPr="004A5365" w:rsidRDefault="001A2904" w:rsidP="001A2904">
      <w:pPr>
        <w:pStyle w:val="IPPNumberedList"/>
      </w:pPr>
      <w:r>
        <w:rPr>
          <w:i/>
          <w:iCs/>
        </w:rPr>
        <w:t>a</w:t>
      </w:r>
      <w:r>
        <w:t xml:space="preserve"> </w:t>
      </w:r>
      <w:r>
        <w:rPr>
          <w:i/>
          <w:iCs/>
        </w:rPr>
        <w:t>demandé</w:t>
      </w:r>
      <w:r>
        <w:t xml:space="preserve"> au Secrétaire de la CIPV de travailler en collaboration avec le Bureau afin de classer par ordre de priorité les mesures et activités susmentionnées prévues en 2026, et </w:t>
      </w:r>
      <w:r>
        <w:rPr>
          <w:i/>
          <w:iCs/>
        </w:rPr>
        <w:t>a</w:t>
      </w:r>
      <w:r>
        <w:t xml:space="preserve"> </w:t>
      </w:r>
      <w:r>
        <w:rPr>
          <w:i/>
          <w:iCs/>
        </w:rPr>
        <w:t>encouragé</w:t>
      </w:r>
      <w:r>
        <w:t xml:space="preserve"> les parties contractantes et les partenaires à fournir un soutien financier et des contributions en nature à l</w:t>
      </w:r>
      <w:r w:rsidR="00097A03">
        <w:t>’</w:t>
      </w:r>
      <w:r>
        <w:t>appui des activités relatives à la mise en œuvre et au renforcement des capacités;</w:t>
      </w:r>
    </w:p>
    <w:p w14:paraId="73EE8ADE" w14:textId="3FB9919D" w:rsidR="001A2904" w:rsidRPr="004A5365" w:rsidRDefault="001A2904" w:rsidP="001A2904">
      <w:pPr>
        <w:pStyle w:val="IPPNumberedList"/>
      </w:pPr>
      <w:r>
        <w:rPr>
          <w:i/>
          <w:iCs/>
        </w:rPr>
        <w:t>a remercié</w:t>
      </w:r>
      <w:r>
        <w:t xml:space="preserve"> les experts qui ont pris part à l</w:t>
      </w:r>
      <w:r w:rsidR="00097A03">
        <w:t>’</w:t>
      </w:r>
      <w:r>
        <w:t>élaboration des guides et des supports de formation de la CIPV (appendice X) pour leurs contributions exceptionnelles;</w:t>
      </w:r>
    </w:p>
    <w:p w14:paraId="215262E2" w14:textId="55BCBB9B" w:rsidR="001A2904" w:rsidRPr="004A5365" w:rsidRDefault="001A2904" w:rsidP="00E72B8D">
      <w:pPr>
        <w:pStyle w:val="IPPNumberedList"/>
      </w:pPr>
      <w:r>
        <w:rPr>
          <w:i/>
          <w:iCs/>
        </w:rPr>
        <w:t>a</w:t>
      </w:r>
      <w:r>
        <w:t xml:space="preserve"> </w:t>
      </w:r>
      <w:r>
        <w:rPr>
          <w:i/>
          <w:iCs/>
        </w:rPr>
        <w:t>salué</w:t>
      </w:r>
      <w:r>
        <w:t xml:space="preserve"> l</w:t>
      </w:r>
      <w:r w:rsidR="00097A03">
        <w:t>’</w:t>
      </w:r>
      <w:r>
        <w:t>aide précieuse apportée par les partenaires et les correcteurs d</w:t>
      </w:r>
      <w:r w:rsidR="00097A03">
        <w:t>’</w:t>
      </w:r>
      <w:r>
        <w:t>épreuves (appendice X) dans la traduction des guides et des supports de formation de la CIPV, ainsi que la vérification de l</w:t>
      </w:r>
      <w:r w:rsidR="00097A03">
        <w:t>’</w:t>
      </w:r>
      <w:r>
        <w:t>exactitude des traductions.</w:t>
      </w:r>
    </w:p>
    <w:p w14:paraId="70A831DE" w14:textId="77777777" w:rsidR="001A2904" w:rsidRPr="004A5365" w:rsidRDefault="001A2904" w:rsidP="001A2904">
      <w:pPr>
        <w:pStyle w:val="IPPHeading3"/>
      </w:pPr>
      <w:r>
        <w:lastRenderedPageBreak/>
        <w:t>9.2.1</w:t>
      </w:r>
      <w:r>
        <w:tab/>
        <w:t>Liste des thèmes relatifs à la mise en œuvre et au renforcement des capacités</w:t>
      </w:r>
    </w:p>
    <w:p w14:paraId="7F8E1392" w14:textId="542213B6" w:rsidR="001A2904" w:rsidRPr="00732723" w:rsidRDefault="001A2904" w:rsidP="00E529CB">
      <w:pPr>
        <w:pStyle w:val="IPPParagraphnumbering"/>
        <w:keepNext/>
        <w:keepLines/>
      </w:pPr>
      <w:r>
        <w:t xml:space="preserve">Le Président du Comité chargé de la mise en œuvre et du renforcement des capacités a présenté un document concernant les modifications apportées par le Comité à la </w:t>
      </w:r>
      <w:r>
        <w:rPr>
          <w:i/>
          <w:iCs/>
        </w:rPr>
        <w:t>Liste des thèmes relatifs à la mise en œuvre et au renforcement des capacités</w:t>
      </w:r>
      <w:r>
        <w:t>, y compris à la suite de l</w:t>
      </w:r>
      <w:r w:rsidR="00097A03">
        <w:t>’</w:t>
      </w:r>
      <w:r>
        <w:t>examen des propositions par le Comité et dans le cadre du processus continu d</w:t>
      </w:r>
      <w:r w:rsidR="00097A03">
        <w:t>’</w:t>
      </w:r>
      <w:r>
        <w:t>appel à propositions de thèmes: normes et mise en œuvre</w:t>
      </w:r>
      <w:r w:rsidRPr="00732723">
        <w:rPr>
          <w:rStyle w:val="Appelnotedebasdep"/>
          <w:lang w:val="en-GB"/>
        </w:rPr>
        <w:footnoteReference w:id="17"/>
      </w:r>
      <w:r>
        <w:t xml:space="preserve">. </w:t>
      </w:r>
    </w:p>
    <w:p w14:paraId="0891C70C" w14:textId="77777777" w:rsidR="001A2904" w:rsidRDefault="001A2904" w:rsidP="001A2904">
      <w:pPr>
        <w:pStyle w:val="IPPParagraphnumbering"/>
      </w:pPr>
      <w:r>
        <w:t xml:space="preserve">La </w:t>
      </w:r>
      <w:proofErr w:type="spellStart"/>
      <w:r>
        <w:t>CMP</w:t>
      </w:r>
      <w:proofErr w:type="spellEnd"/>
      <w:r>
        <w:t xml:space="preserve"> a noté que le thème </w:t>
      </w:r>
      <w:r>
        <w:rPr>
          <w:i/>
          <w:iCs/>
        </w:rPr>
        <w:t>Cours de formation sur Fusarium TR4</w:t>
      </w:r>
      <w:r>
        <w:t xml:space="preserve"> (2023-002) avait été retiré de la liste des thèmes car il avait été conclu, mais que les supports resteraient disponibles.</w:t>
      </w:r>
    </w:p>
    <w:p w14:paraId="5B8DC657" w14:textId="77777777" w:rsidR="001A2904" w:rsidRPr="004A5365" w:rsidRDefault="001A2904" w:rsidP="001A2904">
      <w:pPr>
        <w:pStyle w:val="IPPParagraphnumberingclose"/>
      </w:pPr>
      <w:r>
        <w:t xml:space="preserve">La </w:t>
      </w:r>
      <w:proofErr w:type="spellStart"/>
      <w:r>
        <w:t>CMP</w:t>
      </w:r>
      <w:proofErr w:type="spellEnd"/>
      <w:r>
        <w:t xml:space="preserve">: </w:t>
      </w:r>
    </w:p>
    <w:p w14:paraId="68FECD2C" w14:textId="77777777" w:rsidR="001A2904" w:rsidRPr="004A5365" w:rsidRDefault="001A2904" w:rsidP="001A2904">
      <w:pPr>
        <w:pStyle w:val="IPPNumberedList"/>
        <w:numPr>
          <w:ilvl w:val="0"/>
          <w:numId w:val="36"/>
        </w:numPr>
      </w:pPr>
      <w:r>
        <w:rPr>
          <w:i/>
        </w:rPr>
        <w:t xml:space="preserve">a pris note </w:t>
      </w:r>
      <w:r>
        <w:t>des informations actualisées sur les guides et les supports de formation de la CIPV;</w:t>
      </w:r>
    </w:p>
    <w:p w14:paraId="1211FB76" w14:textId="5386AB5C" w:rsidR="001A2904" w:rsidRPr="004A5365" w:rsidRDefault="001A2904" w:rsidP="001A2904">
      <w:pPr>
        <w:pStyle w:val="IPPNumberedList"/>
      </w:pPr>
      <w:r>
        <w:rPr>
          <w:i/>
          <w:iCs/>
        </w:rPr>
        <w:t>a pris note</w:t>
      </w:r>
      <w:r>
        <w:t xml:space="preserve"> des ajustements apportés par le Comité chargé de la mise en œuvre et du renforcement des capacités à la </w:t>
      </w:r>
      <w:r>
        <w:rPr>
          <w:i/>
          <w:iCs/>
        </w:rPr>
        <w:t>Liste des thèmes relatifs à la mise en œuvre et au renforcement des capacités</w:t>
      </w:r>
      <w:r>
        <w:t xml:space="preserve"> (tels que présentés dans le document </w:t>
      </w:r>
      <w:proofErr w:type="spellStart"/>
      <w:r>
        <w:t>CPM</w:t>
      </w:r>
      <w:proofErr w:type="spellEnd"/>
      <w:r>
        <w:t xml:space="preserve"> 2026/28) et </w:t>
      </w:r>
      <w:r>
        <w:rPr>
          <w:i/>
          <w:iCs/>
        </w:rPr>
        <w:t>est convenue</w:t>
      </w:r>
      <w:r>
        <w:t xml:space="preserve"> d</w:t>
      </w:r>
      <w:r w:rsidR="00097A03">
        <w:t>’</w:t>
      </w:r>
      <w:r>
        <w:t xml:space="preserve">ajuster également le degré de priorité du cours de formation en ligne sur le </w:t>
      </w:r>
      <w:r>
        <w:rPr>
          <w:i/>
          <w:iCs/>
        </w:rPr>
        <w:t xml:space="preserve">module de formation sur la mise en œuvre de la solution </w:t>
      </w:r>
      <w:proofErr w:type="spellStart"/>
      <w:r>
        <w:rPr>
          <w:i/>
          <w:iCs/>
        </w:rPr>
        <w:t>ePhyto</w:t>
      </w:r>
      <w:proofErr w:type="spellEnd"/>
      <w:r>
        <w:rPr>
          <w:i/>
          <w:iCs/>
        </w:rPr>
        <w:t xml:space="preserve"> de la CIPV</w:t>
      </w:r>
      <w:r>
        <w:t xml:space="preserve"> (2026-005), en lui attribuant le degré de priorité 1;</w:t>
      </w:r>
    </w:p>
    <w:p w14:paraId="56E8959D" w14:textId="00023E38" w:rsidR="001A2904" w:rsidRPr="004A5365" w:rsidRDefault="001A2904" w:rsidP="00E72B8D">
      <w:pPr>
        <w:pStyle w:val="IPPNumberedList"/>
      </w:pPr>
      <w:r>
        <w:t>a adopté la Liste des thèmes relatifs à la mise en œuvre et au renforcement des capacités telle qu</w:t>
      </w:r>
      <w:r w:rsidR="00097A03">
        <w:t>’</w:t>
      </w:r>
      <w:r>
        <w:t>amendée.</w:t>
      </w:r>
    </w:p>
    <w:p w14:paraId="02EDE16F" w14:textId="0015C3F7" w:rsidR="001A2904" w:rsidRPr="004A5365" w:rsidRDefault="001A2904" w:rsidP="001A2904">
      <w:pPr>
        <w:pStyle w:val="IPPHeading2"/>
      </w:pPr>
      <w:r>
        <w:t>9.3</w:t>
      </w:r>
      <w:r>
        <w:tab/>
        <w:t>Recommandations du Comité des normes et du Comité chargé de la mise en œuvre et du renforcement des capacités de la CIPV concernant l</w:t>
      </w:r>
      <w:r w:rsidR="00097A03">
        <w:t>’</w:t>
      </w:r>
      <w:r>
        <w:t>appel à propositions de thèmes: normes et mise en œuvre</w:t>
      </w:r>
    </w:p>
    <w:p w14:paraId="7AEE0A08" w14:textId="4D2BC767" w:rsidR="001A2904" w:rsidRPr="009226FB" w:rsidRDefault="001A2904" w:rsidP="001A2904">
      <w:pPr>
        <w:pStyle w:val="IPPParagraphnumbering"/>
      </w:pPr>
      <w:r>
        <w:t>Le Président du Comité chargé de la mise en œuvre et du renforcement des capacités a présenté un document, en son nom et en celui de la Présidente du CN, qui portait sur le processus continu d</w:t>
      </w:r>
      <w:r w:rsidR="00097A03">
        <w:t>’</w:t>
      </w:r>
      <w:r>
        <w:t>appel à propositions de thèmes: normes et mise en œuvre</w:t>
      </w:r>
      <w:r w:rsidRPr="009226FB">
        <w:rPr>
          <w:rStyle w:val="Appelnotedebasdep"/>
          <w:lang w:val="en-GB"/>
        </w:rPr>
        <w:footnoteReference w:id="18"/>
      </w:r>
      <w:r>
        <w:t>. Il a résumé les conclusions de l</w:t>
      </w:r>
      <w:r w:rsidR="00097A03">
        <w:t>’</w:t>
      </w:r>
      <w:r>
        <w:t>examen des propositions reçues effectué par le CN et le Comité chargé de la mise en œuvre et du renforcement des capacités, conclusions dont il est rendu compte au titre des points 9.1 et 9.2 de l</w:t>
      </w:r>
      <w:r w:rsidR="00097A03">
        <w:t>’</w:t>
      </w:r>
      <w:r>
        <w:t>ordre du jour de la présente session. Il a en outre fait part de ses observations quant à ce que le CN et le Comité chargé de la mise en œuvre et du renforcement des capacités avaient constaté au sujet de l</w:t>
      </w:r>
      <w:r w:rsidR="00097A03">
        <w:t>’</w:t>
      </w:r>
      <w:r>
        <w:t>appel ouvert.</w:t>
      </w:r>
    </w:p>
    <w:p w14:paraId="1903C348" w14:textId="77777777" w:rsidR="001A2904" w:rsidRPr="004A5365" w:rsidRDefault="001A2904" w:rsidP="001A2904">
      <w:pPr>
        <w:pStyle w:val="IPPParagraphnumberingclose"/>
      </w:pPr>
      <w:r>
        <w:t xml:space="preserve">La </w:t>
      </w:r>
      <w:proofErr w:type="spellStart"/>
      <w:r>
        <w:t>CMP</w:t>
      </w:r>
      <w:proofErr w:type="spellEnd"/>
      <w:r>
        <w:t xml:space="preserve">: </w:t>
      </w:r>
    </w:p>
    <w:p w14:paraId="40675AA0" w14:textId="7ED37A90" w:rsidR="001A2904" w:rsidRPr="004A5365" w:rsidRDefault="001A2904" w:rsidP="001A2904">
      <w:pPr>
        <w:pStyle w:val="IPPNumberedList"/>
        <w:numPr>
          <w:ilvl w:val="0"/>
          <w:numId w:val="37"/>
        </w:numPr>
      </w:pPr>
      <w:r>
        <w:rPr>
          <w:i/>
          <w:iCs/>
        </w:rPr>
        <w:t>a pris note</w:t>
      </w:r>
      <w:r>
        <w:t xml:space="preserve"> des propositions reçues dans le cadre du processus continu d</w:t>
      </w:r>
      <w:r w:rsidR="00097A03">
        <w:t>’</w:t>
      </w:r>
      <w:r>
        <w:t>appel à propositions de thèmes: normes et mise en œuvre, et ce jusqu</w:t>
      </w:r>
      <w:r w:rsidR="00097A03">
        <w:t>’</w:t>
      </w:r>
      <w:r>
        <w:t>à la fin du mois de septembre 2025;</w:t>
      </w:r>
    </w:p>
    <w:p w14:paraId="580C922D" w14:textId="1A47DE23" w:rsidR="001A2904" w:rsidRPr="004A5365" w:rsidRDefault="001A2904" w:rsidP="001A2904">
      <w:pPr>
        <w:pStyle w:val="IPPNumberedList"/>
      </w:pPr>
      <w:r>
        <w:rPr>
          <w:i/>
          <w:iCs/>
        </w:rPr>
        <w:t>a pris note</w:t>
      </w:r>
      <w:r>
        <w:t xml:space="preserve"> des conclusions de l</w:t>
      </w:r>
      <w:r w:rsidR="00097A03">
        <w:t>’</w:t>
      </w:r>
      <w:r>
        <w:t xml:space="preserve">examen des propositions effectué par le Comité des normes et le Comité chargé de la mise en œuvre et du renforcement des capacités ainsi que des décisions correspondantes prises par la </w:t>
      </w:r>
      <w:proofErr w:type="spellStart"/>
      <w:r>
        <w:t>CMP</w:t>
      </w:r>
      <w:proofErr w:type="spellEnd"/>
      <w:r>
        <w:t xml:space="preserve"> lors de la présente session au titre des points 9.1 et 9.2 de l</w:t>
      </w:r>
      <w:r w:rsidR="00097A03">
        <w:t>’</w:t>
      </w:r>
      <w:r>
        <w:t>ordre du jour;</w:t>
      </w:r>
    </w:p>
    <w:p w14:paraId="7550B152" w14:textId="0DD9CAE2" w:rsidR="001A2904" w:rsidRDefault="001A2904" w:rsidP="00E72B8D">
      <w:pPr>
        <w:pStyle w:val="IPPNumberedList"/>
      </w:pPr>
      <w:r>
        <w:rPr>
          <w:i/>
          <w:iCs/>
        </w:rPr>
        <w:t>a</w:t>
      </w:r>
      <w:r>
        <w:t xml:space="preserve"> </w:t>
      </w:r>
      <w:r>
        <w:rPr>
          <w:i/>
          <w:iCs/>
        </w:rPr>
        <w:t>encouragé</w:t>
      </w:r>
      <w:r>
        <w:t xml:space="preserve"> les parties contractantes et les organisations régionales pour la protection des végétaux (</w:t>
      </w:r>
      <w:proofErr w:type="spellStart"/>
      <w:r>
        <w:t>ORPV</w:t>
      </w:r>
      <w:proofErr w:type="spellEnd"/>
      <w:r>
        <w:t>) à participer activement au processus continu d</w:t>
      </w:r>
      <w:r w:rsidR="00097A03">
        <w:t>’</w:t>
      </w:r>
      <w:r>
        <w:t>appel à propositions de thèmes: normes et mise en œuvre, en présentant des propositions de normes, de ressources utiles à leur mise en œuvre et d</w:t>
      </w:r>
      <w:r w:rsidR="00097A03">
        <w:t>’</w:t>
      </w:r>
      <w:r>
        <w:t>études de l</w:t>
      </w:r>
      <w:r w:rsidR="00097A03">
        <w:t>’</w:t>
      </w:r>
      <w:r>
        <w:t>Observatoire de la CIPV préparées avec soin et pertinentes à l</w:t>
      </w:r>
      <w:r w:rsidR="00097A03">
        <w:t>’</w:t>
      </w:r>
      <w:r>
        <w:t>échelle mondiale.</w:t>
      </w:r>
    </w:p>
    <w:p w14:paraId="45684EE5" w14:textId="77777777" w:rsidR="000E6892" w:rsidRPr="004A5365" w:rsidRDefault="000E6892" w:rsidP="000E6892">
      <w:pPr>
        <w:pStyle w:val="IPPHeading1"/>
      </w:pPr>
      <w:r>
        <w:rPr>
          <w:bCs/>
        </w:rPr>
        <w:lastRenderedPageBreak/>
        <w:t>10.</w:t>
      </w:r>
      <w:r>
        <w:tab/>
        <w:t>Rapport financier et budget</w:t>
      </w:r>
    </w:p>
    <w:p w14:paraId="4DA78048" w14:textId="77777777" w:rsidR="000E6892" w:rsidRPr="005C660F" w:rsidRDefault="000E6892" w:rsidP="000E6892">
      <w:pPr>
        <w:pStyle w:val="IPPHeading2"/>
      </w:pPr>
      <w:r>
        <w:t>10.1</w:t>
      </w:r>
      <w:r>
        <w:tab/>
        <w:t>Rapport financier du secrétariat de la CIPV pour 2025</w:t>
      </w:r>
    </w:p>
    <w:p w14:paraId="2DF139E0" w14:textId="6125843D" w:rsidR="000E6892" w:rsidRPr="00643DDF" w:rsidRDefault="000E6892" w:rsidP="007D677E">
      <w:pPr>
        <w:pStyle w:val="IPPParagraphnumbering"/>
        <w:keepNext/>
        <w:keepLines/>
      </w:pPr>
      <w:r>
        <w:t>Le Secrétaire de la CIPV a présenté le rapport financier du secrétariat, qui précise les ressources inscrites au budget du Programme ordinaire de la FAO, les ressources extrabudgétaires et les contributions en nature (non financières) dont il disposait en 2025</w:t>
      </w:r>
      <w:r w:rsidRPr="004A5365">
        <w:rPr>
          <w:rStyle w:val="Appelnotedebasdep"/>
          <w:lang w:val="en-GB"/>
        </w:rPr>
        <w:footnoteReference w:id="19"/>
      </w:r>
      <w:r>
        <w:t xml:space="preserve">. Il a précisé que certaines des contributions effectuées en 2025, par exemple celles destinées à la solution </w:t>
      </w:r>
      <w:proofErr w:type="spellStart"/>
      <w:r>
        <w:t>ePhyto</w:t>
      </w:r>
      <w:proofErr w:type="spellEnd"/>
      <w:r>
        <w:t xml:space="preserve"> de la CIPV, ne concernaient pas uniquement l</w:t>
      </w:r>
      <w:r w:rsidR="00097A03">
        <w:t>’</w:t>
      </w:r>
      <w:r>
        <w:t>année 2025 ou 2026 mais une période plus longue. Le Secrétaire a pris acte de la hausse des financements provenant du Programme ordinaire de la FAO pour l</w:t>
      </w:r>
      <w:r w:rsidR="00097A03">
        <w:t>’</w:t>
      </w:r>
      <w:r>
        <w:t>exercice 2026-2027, a remercié toutes les parties concernées pour leur générosité et a encouragé les parties contractantes et les autres donateurs à continuer d</w:t>
      </w:r>
      <w:r w:rsidR="00097A03">
        <w:t>’</w:t>
      </w:r>
      <w:r>
        <w:t xml:space="preserve">effectuer des contributions. </w:t>
      </w:r>
    </w:p>
    <w:p w14:paraId="1A46198C" w14:textId="77777777" w:rsidR="000E6892" w:rsidRDefault="000E6892" w:rsidP="000E6892">
      <w:pPr>
        <w:pStyle w:val="IPPParagraphnumbering"/>
      </w:pPr>
      <w:r>
        <w:t>Les parties contractantes se sont engagées à verser des contributions financières pour 2026</w:t>
      </w:r>
      <w:r>
        <w:rPr>
          <w:rStyle w:val="Appelnotedebasdep"/>
          <w:lang w:val="en-GB"/>
        </w:rPr>
        <w:footnoteReference w:id="20"/>
      </w:r>
      <w:r>
        <w:t>.</w:t>
      </w:r>
    </w:p>
    <w:p w14:paraId="0E4EDB2A" w14:textId="773ED444" w:rsidR="000E6892" w:rsidRDefault="000E6892" w:rsidP="000E6892">
      <w:pPr>
        <w:pStyle w:val="IPPParagraphnumbering"/>
      </w:pPr>
      <w:r>
        <w:t xml:space="preserve">La </w:t>
      </w:r>
      <w:proofErr w:type="spellStart"/>
      <w:r>
        <w:t>CMP</w:t>
      </w:r>
      <w:proofErr w:type="spellEnd"/>
      <w:r>
        <w:t xml:space="preserve"> a noté qu</w:t>
      </w:r>
      <w:r w:rsidR="00097A03">
        <w:t>’</w:t>
      </w:r>
      <w:r>
        <w:t>il avait été suggéré que le secrétariat continue de développer ses processus de communication de l</w:t>
      </w:r>
      <w:r w:rsidR="00097A03">
        <w:t>’</w:t>
      </w:r>
      <w:r>
        <w:t>information financière en vue d</w:t>
      </w:r>
      <w:r w:rsidR="00097A03">
        <w:t>’</w:t>
      </w:r>
      <w:r>
        <w:t>assurer la transparence en ce qui concernait l</w:t>
      </w:r>
      <w:r w:rsidR="00097A03">
        <w:t>’</w:t>
      </w:r>
      <w:r>
        <w:t>allocation des fonds</w:t>
      </w:r>
      <w:r>
        <w:rPr>
          <w:rStyle w:val="Appelnotedebasdep"/>
          <w:lang w:val="en-GB"/>
        </w:rPr>
        <w:footnoteReference w:id="21"/>
      </w:r>
      <w:r>
        <w:t>, et qu</w:t>
      </w:r>
      <w:r w:rsidR="00097A03">
        <w:t>’</w:t>
      </w:r>
      <w:r>
        <w:t xml:space="preserve">un appel soit lancé pour le versement de dons au profit du </w:t>
      </w:r>
      <w:proofErr w:type="spellStart"/>
      <w:r>
        <w:t>PPA</w:t>
      </w:r>
      <w:proofErr w:type="spellEnd"/>
      <w:r>
        <w:t xml:space="preserve">. La </w:t>
      </w:r>
      <w:proofErr w:type="spellStart"/>
      <w:r>
        <w:t>CMP</w:t>
      </w:r>
      <w:proofErr w:type="spellEnd"/>
      <w:r>
        <w:t xml:space="preserve"> a également noté qu</w:t>
      </w:r>
      <w:r w:rsidR="00097A03">
        <w:t>’</w:t>
      </w:r>
      <w:r>
        <w:t>il importait de s</w:t>
      </w:r>
      <w:r w:rsidR="00097A03">
        <w:t>’</w:t>
      </w:r>
      <w:r>
        <w:t xml:space="preserve">employer à lever les obstacles pratiques à la mise en œuvre de la solution </w:t>
      </w:r>
      <w:proofErr w:type="spellStart"/>
      <w:r>
        <w:t>ePhyto</w:t>
      </w:r>
      <w:proofErr w:type="spellEnd"/>
      <w:r>
        <w:t xml:space="preserve"> de la CIPV dans les pays, tels que l</w:t>
      </w:r>
      <w:r w:rsidR="00097A03">
        <w:t>’</w:t>
      </w:r>
      <w:r>
        <w:t>absence de connexion internet stable.</w:t>
      </w:r>
    </w:p>
    <w:p w14:paraId="023AA2CB" w14:textId="77777777" w:rsidR="000E6892" w:rsidRPr="004A5365" w:rsidRDefault="000E6892" w:rsidP="000E6892">
      <w:pPr>
        <w:pStyle w:val="IPPParagraphnumberingclose"/>
      </w:pPr>
      <w:r>
        <w:t xml:space="preserve">La </w:t>
      </w:r>
      <w:proofErr w:type="spellStart"/>
      <w:r>
        <w:t>CMP</w:t>
      </w:r>
      <w:proofErr w:type="spellEnd"/>
      <w:r>
        <w:t xml:space="preserve">: </w:t>
      </w:r>
    </w:p>
    <w:p w14:paraId="1E83F2A1" w14:textId="77777777" w:rsidR="000E6892" w:rsidRPr="004A5365" w:rsidRDefault="000E6892" w:rsidP="000E6892">
      <w:pPr>
        <w:pStyle w:val="IPPNumberedList"/>
        <w:numPr>
          <w:ilvl w:val="0"/>
          <w:numId w:val="22"/>
        </w:numPr>
      </w:pPr>
      <w:r>
        <w:rPr>
          <w:i/>
          <w:iCs/>
        </w:rPr>
        <w:t>a pris note</w:t>
      </w:r>
      <w:r>
        <w:t xml:space="preserve"> du rapport financier 2025 du secrétariat de la CIPV;</w:t>
      </w:r>
    </w:p>
    <w:p w14:paraId="46FFDCC3" w14:textId="77777777" w:rsidR="000E6892" w:rsidRPr="004A5365" w:rsidRDefault="000E6892" w:rsidP="000E6892">
      <w:pPr>
        <w:pStyle w:val="IPPNumberedList"/>
      </w:pPr>
      <w:r>
        <w:rPr>
          <w:i/>
          <w:iCs/>
        </w:rPr>
        <w:t>a</w:t>
      </w:r>
      <w:r>
        <w:t xml:space="preserve"> </w:t>
      </w:r>
      <w:r>
        <w:rPr>
          <w:i/>
          <w:iCs/>
        </w:rPr>
        <w:t>adopté</w:t>
      </w:r>
      <w:r>
        <w:t xml:space="preserve"> le rapport financier 2025 portant sur le Fonds fiduciaire multidonateurs de la CIPV (Fonds fiduciaire spécial de la CIPV) et le Fonds fiduciaire multidonateurs </w:t>
      </w:r>
      <w:proofErr w:type="spellStart"/>
      <w:r>
        <w:t>ePhyto</w:t>
      </w:r>
      <w:proofErr w:type="spellEnd"/>
      <w:r>
        <w:t xml:space="preserve"> de la CIPV, conformément aux informations présentées respectivement au tableau 3 et au tableau 5 du document </w:t>
      </w:r>
      <w:proofErr w:type="spellStart"/>
      <w:r>
        <w:t>CPM</w:t>
      </w:r>
      <w:proofErr w:type="spellEnd"/>
      <w:r>
        <w:t> 2026/42;</w:t>
      </w:r>
    </w:p>
    <w:p w14:paraId="60C50040" w14:textId="77777777" w:rsidR="000E6892" w:rsidRPr="004A5365" w:rsidRDefault="000E6892" w:rsidP="000E6892">
      <w:pPr>
        <w:pStyle w:val="IPPNumberedList"/>
      </w:pPr>
      <w:r>
        <w:rPr>
          <w:i/>
          <w:iCs/>
        </w:rPr>
        <w:t>a encouragé</w:t>
      </w:r>
      <w:r>
        <w:t xml:space="preserve"> les parties contractantes à contribuer au Fonds fiduciaire multidonateurs de la CIPV (Fonds fiduciaire spécial de la CIPV), au Fonds fiduciaire multidonateurs </w:t>
      </w:r>
      <w:proofErr w:type="spellStart"/>
      <w:r>
        <w:t>ePhyto</w:t>
      </w:r>
      <w:proofErr w:type="spellEnd"/>
      <w:r>
        <w:t xml:space="preserve"> de la CIPV, au Fonds fiduciaire multidonateurs de la CIPV consacré au </w:t>
      </w:r>
      <w:proofErr w:type="spellStart"/>
      <w:r>
        <w:t>PPA</w:t>
      </w:r>
      <w:proofErr w:type="spellEnd"/>
      <w:r>
        <w:t xml:space="preserve"> et aux projets de la CIPV, de préférence de manière suivie; </w:t>
      </w:r>
    </w:p>
    <w:p w14:paraId="00A7882C" w14:textId="77777777" w:rsidR="000E6892" w:rsidRPr="004A5365" w:rsidRDefault="000E6892" w:rsidP="00E72B8D">
      <w:pPr>
        <w:pStyle w:val="IPPNumberedList"/>
      </w:pPr>
      <w:r>
        <w:rPr>
          <w:i/>
          <w:iCs/>
        </w:rPr>
        <w:t>a remercié</w:t>
      </w:r>
      <w:r>
        <w:t xml:space="preserve"> les parties contractantes qui avaient contribué au programme de travail du secrétariat de la CIPV en 2025.</w:t>
      </w:r>
    </w:p>
    <w:p w14:paraId="361FA932" w14:textId="77777777" w:rsidR="000E6892" w:rsidRPr="004A5365" w:rsidRDefault="000E6892" w:rsidP="000E6892">
      <w:pPr>
        <w:pStyle w:val="IPPHeading2"/>
      </w:pPr>
      <w:r>
        <w:t>10.2</w:t>
      </w:r>
      <w:r>
        <w:tab/>
        <w:t>Plan de travail et budget du secrétariat de la CIPV pour 2026</w:t>
      </w:r>
    </w:p>
    <w:p w14:paraId="77AAB941" w14:textId="5C62177E" w:rsidR="000E6892" w:rsidRPr="00C07023" w:rsidRDefault="000E6892" w:rsidP="000E6892">
      <w:pPr>
        <w:pStyle w:val="IPPParagraphnumbering"/>
      </w:pPr>
      <w:r>
        <w:t>Le secrétariat a présenté son plan de travail et budget pour 2026 et expliqué que celui-ci consistait à traduire sur le plan opérationnel le Cadre stratégique de la CIPV pour 2020‑2030 et à faire avancer la mission de la CIPV et concernait l</w:t>
      </w:r>
      <w:r w:rsidR="00097A03">
        <w:t>’</w:t>
      </w:r>
      <w:r>
        <w:t>ensemble du secrétariat</w:t>
      </w:r>
      <w:r w:rsidRPr="00C07023">
        <w:rPr>
          <w:rStyle w:val="Appelnotedebasdep"/>
          <w:lang w:val="en-GB"/>
        </w:rPr>
        <w:footnoteReference w:id="22"/>
      </w:r>
      <w:r>
        <w:t>.</w:t>
      </w:r>
    </w:p>
    <w:p w14:paraId="6B91F2F7" w14:textId="1B881279" w:rsidR="000E6892" w:rsidRDefault="000E6892" w:rsidP="000E6892">
      <w:pPr>
        <w:pStyle w:val="IPPParagraphnumbering"/>
      </w:pPr>
      <w:r>
        <w:t xml:space="preserve">La </w:t>
      </w:r>
      <w:proofErr w:type="spellStart"/>
      <w:r>
        <w:t>CMP</w:t>
      </w:r>
      <w:proofErr w:type="spellEnd"/>
      <w:r>
        <w:t xml:space="preserve"> a noté qu</w:t>
      </w:r>
      <w:r w:rsidR="00097A03">
        <w:t>’</w:t>
      </w:r>
      <w:r>
        <w:t xml:space="preserve">il était nécessaire de fixer les priorités voulues pour protéger le financement de la solution </w:t>
      </w:r>
      <w:proofErr w:type="spellStart"/>
      <w:r>
        <w:t>ePhyto</w:t>
      </w:r>
      <w:proofErr w:type="spellEnd"/>
      <w:r>
        <w:t xml:space="preserve"> de la CIPV, et qu</w:t>
      </w:r>
      <w:r w:rsidR="00097A03">
        <w:t>’</w:t>
      </w:r>
      <w:r>
        <w:t>un appel avait été lancé pour que soit doublé le financement servant à couvrir l</w:t>
      </w:r>
      <w:r w:rsidR="00097A03">
        <w:t>’</w:t>
      </w:r>
      <w:r>
        <w:t xml:space="preserve">achat de tablettes devant être utilisées dans les pays du </w:t>
      </w:r>
      <w:proofErr w:type="spellStart"/>
      <w:r>
        <w:t>PPA</w:t>
      </w:r>
      <w:proofErr w:type="spellEnd"/>
      <w:r>
        <w:t>.</w:t>
      </w:r>
    </w:p>
    <w:p w14:paraId="5922CD6A" w14:textId="369E3D99" w:rsidR="000E6892" w:rsidRDefault="000E6892" w:rsidP="000E6892">
      <w:pPr>
        <w:pStyle w:val="IPPParagraphnumbering"/>
      </w:pPr>
      <w:r>
        <w:t xml:space="preserve">La </w:t>
      </w:r>
      <w:proofErr w:type="spellStart"/>
      <w:r>
        <w:t>CMP</w:t>
      </w:r>
      <w:proofErr w:type="spellEnd"/>
      <w:r>
        <w:t xml:space="preserve"> s</w:t>
      </w:r>
      <w:r w:rsidR="00097A03">
        <w:t>’</w:t>
      </w:r>
      <w:r>
        <w:t>est félicitée de ce que le Japon et la Grèce aient proposé d</w:t>
      </w:r>
      <w:r w:rsidR="00097A03">
        <w:t>’</w:t>
      </w:r>
      <w:r>
        <w:t>accueillir les groupes de travail d</w:t>
      </w:r>
      <w:r w:rsidR="00097A03">
        <w:t>’</w:t>
      </w:r>
      <w:r>
        <w:t xml:space="preserve">experts chargés de la </w:t>
      </w:r>
      <w:r>
        <w:rPr>
          <w:i/>
          <w:iCs/>
        </w:rPr>
        <w:t>Révision du projet de norme réorganisée relative à l</w:t>
      </w:r>
      <w:r w:rsidR="00097A03">
        <w:rPr>
          <w:i/>
          <w:iCs/>
        </w:rPr>
        <w:t>’</w:t>
      </w:r>
      <w:r>
        <w:rPr>
          <w:i/>
          <w:iCs/>
        </w:rPr>
        <w:t>analyse du risque phytosanitaire</w:t>
      </w:r>
      <w:r>
        <w:t xml:space="preserve"> (2023‑037) et de la révision de la </w:t>
      </w:r>
      <w:proofErr w:type="spellStart"/>
      <w:r>
        <w:t>NIMP</w:t>
      </w:r>
      <w:proofErr w:type="spellEnd"/>
      <w:r>
        <w:t> 12 (</w:t>
      </w:r>
      <w:r>
        <w:rPr>
          <w:i/>
          <w:iCs/>
        </w:rPr>
        <w:t>Certificats phytosanitaires</w:t>
      </w:r>
      <w:r>
        <w:t xml:space="preserve">) (2023-020), respectivement. </w:t>
      </w:r>
    </w:p>
    <w:p w14:paraId="272F33B3" w14:textId="74851A80" w:rsidR="000E6892" w:rsidRDefault="000E6892" w:rsidP="000E6892">
      <w:pPr>
        <w:pStyle w:val="IPPParagraphnumbering"/>
      </w:pPr>
      <w:r>
        <w:t xml:space="preserve">La </w:t>
      </w:r>
      <w:proofErr w:type="spellStart"/>
      <w:r>
        <w:t>CMP</w:t>
      </w:r>
      <w:proofErr w:type="spellEnd"/>
      <w:r>
        <w:t xml:space="preserve"> s</w:t>
      </w:r>
      <w:r w:rsidR="00097A03">
        <w:t>’</w:t>
      </w:r>
      <w:r>
        <w:t>est penchée sur une proposition tendant à ce que les groupes de travail d</w:t>
      </w:r>
      <w:r w:rsidR="00097A03">
        <w:t>’</w:t>
      </w:r>
      <w:r>
        <w:t>experts soient accueillis à Rome, pour des raisons de logistique et de coûts.</w:t>
      </w:r>
    </w:p>
    <w:p w14:paraId="58DF2BD9" w14:textId="77777777" w:rsidR="000E6892" w:rsidRPr="004A5365" w:rsidRDefault="000E6892" w:rsidP="000E6892">
      <w:pPr>
        <w:pStyle w:val="IPPParagraphnumberingclose"/>
      </w:pPr>
      <w:r>
        <w:lastRenderedPageBreak/>
        <w:t xml:space="preserve">La </w:t>
      </w:r>
      <w:proofErr w:type="spellStart"/>
      <w:r>
        <w:t>CMP</w:t>
      </w:r>
      <w:proofErr w:type="spellEnd"/>
      <w:r>
        <w:t xml:space="preserve">: </w:t>
      </w:r>
    </w:p>
    <w:p w14:paraId="04A20B29" w14:textId="77777777" w:rsidR="000E6892" w:rsidRDefault="000E6892" w:rsidP="000E6892">
      <w:pPr>
        <w:pStyle w:val="IPPNumberedList"/>
        <w:numPr>
          <w:ilvl w:val="0"/>
          <w:numId w:val="26"/>
        </w:numPr>
      </w:pPr>
      <w:r>
        <w:rPr>
          <w:i/>
        </w:rPr>
        <w:t>a approuvé</w:t>
      </w:r>
      <w:r>
        <w:t xml:space="preserve"> le plan de travail et budget du secrétariat de la CIPV pour 2026; </w:t>
      </w:r>
    </w:p>
    <w:p w14:paraId="5792E9E0" w14:textId="059F2C1E" w:rsidR="000E6892" w:rsidRDefault="000E6892" w:rsidP="000E6892">
      <w:pPr>
        <w:pStyle w:val="IPPNumberedList"/>
        <w:numPr>
          <w:ilvl w:val="0"/>
          <w:numId w:val="26"/>
        </w:numPr>
      </w:pPr>
      <w:r>
        <w:rPr>
          <w:i/>
          <w:iCs/>
        </w:rPr>
        <w:t>a demandé</w:t>
      </w:r>
      <w:r>
        <w:t xml:space="preserve"> que le secrétariat se fixe pour objectif d</w:t>
      </w:r>
      <w:r w:rsidR="00097A03">
        <w:t>’</w:t>
      </w:r>
      <w:r>
        <w:t>organiser quatre réunions de groupes de travail d</w:t>
      </w:r>
      <w:r w:rsidR="00097A03">
        <w:t>’</w:t>
      </w:r>
      <w:r>
        <w:t>experts par an aux fins de l</w:t>
      </w:r>
      <w:r w:rsidR="00097A03">
        <w:t>’</w:t>
      </w:r>
      <w:r>
        <w:t xml:space="preserve">élaboration de projets de </w:t>
      </w:r>
      <w:proofErr w:type="spellStart"/>
      <w:r>
        <w:t>NIMP</w:t>
      </w:r>
      <w:proofErr w:type="spellEnd"/>
      <w:r>
        <w:t>;</w:t>
      </w:r>
    </w:p>
    <w:p w14:paraId="3A23293E" w14:textId="37071003" w:rsidR="000E6892" w:rsidRDefault="000E6892" w:rsidP="000E6892">
      <w:pPr>
        <w:pStyle w:val="IPPNumberedList"/>
        <w:numPr>
          <w:ilvl w:val="0"/>
          <w:numId w:val="26"/>
        </w:numPr>
      </w:pPr>
      <w:r>
        <w:rPr>
          <w:i/>
          <w:iCs/>
        </w:rPr>
        <w:t>a invité</w:t>
      </w:r>
      <w:r>
        <w:t xml:space="preserve"> le CN à réfléchir plus avant aux propositions contenues dans le document </w:t>
      </w:r>
      <w:proofErr w:type="spellStart"/>
      <w:r>
        <w:t>CPM</w:t>
      </w:r>
      <w:proofErr w:type="spellEnd"/>
      <w:r>
        <w:t> 2026/</w:t>
      </w:r>
      <w:proofErr w:type="spellStart"/>
      <w:r>
        <w:t>INF</w:t>
      </w:r>
      <w:proofErr w:type="spellEnd"/>
      <w:r>
        <w:t>/36 concernant ce point de l</w:t>
      </w:r>
      <w:r w:rsidR="00097A03">
        <w:t>’</w:t>
      </w:r>
      <w:r>
        <w:t>ordre du jour, y compris la proposition tendant à ce que les groupes de travail d</w:t>
      </w:r>
      <w:r w:rsidR="00097A03">
        <w:t>’</w:t>
      </w:r>
      <w:r>
        <w:t xml:space="preserve">experts soient accueillis à Rome. </w:t>
      </w:r>
    </w:p>
    <w:p w14:paraId="3B4D9462" w14:textId="77777777" w:rsidR="00CC42CC" w:rsidRPr="004A5365" w:rsidRDefault="00CC42CC" w:rsidP="00CC42CC">
      <w:pPr>
        <w:pStyle w:val="IPPHeading1"/>
      </w:pPr>
      <w:r>
        <w:rPr>
          <w:bCs/>
        </w:rPr>
        <w:t>11.</w:t>
      </w:r>
      <w:r>
        <w:tab/>
        <w:t>Adoption de normes internationales pour les mesures phytosanitaires</w:t>
      </w:r>
    </w:p>
    <w:p w14:paraId="2A42370A" w14:textId="40784CDD" w:rsidR="00CC42CC" w:rsidRDefault="00CC42CC" w:rsidP="00CC42CC">
      <w:pPr>
        <w:pStyle w:val="IPPParagraphnumbering"/>
      </w:pPr>
      <w:r>
        <w:t>Le secrétariat a présenté les documents relatifs à ce point de l</w:t>
      </w:r>
      <w:r w:rsidR="00097A03">
        <w:t>’</w:t>
      </w:r>
      <w:r>
        <w:t xml:space="preserve">ordre du jour, dans lesquels figurent des informations sur les projets de </w:t>
      </w:r>
      <w:proofErr w:type="spellStart"/>
      <w:r>
        <w:t>NIMP</w:t>
      </w:r>
      <w:proofErr w:type="spellEnd"/>
      <w:r>
        <w:t xml:space="preserve"> proposés par le Comité des normes en vue de leur adoption par la </w:t>
      </w:r>
      <w:proofErr w:type="spellStart"/>
      <w:r>
        <w:t>CMP</w:t>
      </w:r>
      <w:proofErr w:type="spellEnd"/>
      <w:r>
        <w:t xml:space="preserve"> et les activités liées à la traduction des normes adoptées</w:t>
      </w:r>
      <w:r w:rsidRPr="001A73D9">
        <w:rPr>
          <w:rStyle w:val="Appelnotedebasdep"/>
          <w:lang w:val="en-GB"/>
        </w:rPr>
        <w:footnoteReference w:id="23"/>
      </w:r>
      <w:r>
        <w:t xml:space="preserve">. </w:t>
      </w:r>
    </w:p>
    <w:p w14:paraId="49464064" w14:textId="6D3EC2A9" w:rsidR="00CC42CC" w:rsidRDefault="00CC42CC" w:rsidP="00CC42CC">
      <w:pPr>
        <w:pStyle w:val="IPPParagraphnumberingclose"/>
      </w:pPr>
      <w:r>
        <w:t xml:space="preserve">Le secrétariat a informé la </w:t>
      </w:r>
      <w:proofErr w:type="spellStart"/>
      <w:r>
        <w:t>CMP</w:t>
      </w:r>
      <w:proofErr w:type="spellEnd"/>
      <w:r>
        <w:t xml:space="preserve"> que deux objections avaient été reçues avant la date limite de présentation des objections prévue dans la procédure relative à l</w:t>
      </w:r>
      <w:r w:rsidR="00097A03">
        <w:t>’</w:t>
      </w:r>
      <w:r>
        <w:t xml:space="preserve">établissement de normes (soit trois semaines avant le début de la session de la </w:t>
      </w:r>
      <w:proofErr w:type="spellStart"/>
      <w:r>
        <w:t>CMP</w:t>
      </w:r>
      <w:proofErr w:type="spellEnd"/>
      <w:r>
        <w:t>)</w:t>
      </w:r>
      <w:r w:rsidRPr="001A73D9">
        <w:rPr>
          <w:rStyle w:val="Appelnotedebasdep"/>
          <w:lang w:val="en-GB"/>
        </w:rPr>
        <w:footnoteReference w:id="24"/>
      </w:r>
      <w:r>
        <w:t>:</w:t>
      </w:r>
    </w:p>
    <w:p w14:paraId="27211A4A" w14:textId="63F11502" w:rsidR="00CC42CC" w:rsidRPr="002F59BA" w:rsidRDefault="00CC42CC" w:rsidP="00CC42CC">
      <w:pPr>
        <w:pStyle w:val="IPPBullet1"/>
      </w:pPr>
      <w:r>
        <w:t>l</w:t>
      </w:r>
      <w:r w:rsidR="00097A03">
        <w:t>’</w:t>
      </w:r>
      <w:r>
        <w:t>une d</w:t>
      </w:r>
      <w:r w:rsidR="00097A03">
        <w:t>’</w:t>
      </w:r>
      <w:r>
        <w:t xml:space="preserve">entre elles porte sur le projet de révision de la </w:t>
      </w:r>
      <w:proofErr w:type="spellStart"/>
      <w:r>
        <w:t>NIMP</w:t>
      </w:r>
      <w:proofErr w:type="spellEnd"/>
      <w:r>
        <w:t> 26 (</w:t>
      </w:r>
      <w:r>
        <w:rPr>
          <w:i/>
        </w:rPr>
        <w:t xml:space="preserve">Établissement et maintien de zones exemptes de mouches des fruits </w:t>
      </w:r>
      <w:proofErr w:type="spellStart"/>
      <w:r>
        <w:rPr>
          <w:i/>
        </w:rPr>
        <w:t>téphritides</w:t>
      </w:r>
      <w:proofErr w:type="spellEnd"/>
      <w:r>
        <w:t>) (2021-010): l</w:t>
      </w:r>
      <w:r w:rsidR="00097A03">
        <w:t>’</w:t>
      </w:r>
      <w:r>
        <w:t>objection ne concerne pas l</w:t>
      </w:r>
      <w:r w:rsidR="00097A03">
        <w:t>’</w:t>
      </w:r>
      <w:r>
        <w:t xml:space="preserve">adoption de la </w:t>
      </w:r>
      <w:proofErr w:type="spellStart"/>
      <w:r>
        <w:t>NIMP</w:t>
      </w:r>
      <w:proofErr w:type="spellEnd"/>
      <w:r>
        <w:t>, mais vise à proposer des améliorations techniques à apporter au texte, l</w:t>
      </w:r>
      <w:r w:rsidR="00097A03">
        <w:t>’</w:t>
      </w:r>
      <w:r>
        <w:t>inclusion de définitions pour certains termes étant remise en question. Une partie contractante a communiqué une réponse écrite, dans laquelle elle propose les modifications qu</w:t>
      </w:r>
      <w:r w:rsidR="00097A03">
        <w:t>’</w:t>
      </w:r>
      <w:r>
        <w:t>il convient d</w:t>
      </w:r>
      <w:r w:rsidR="00097A03">
        <w:t>’</w:t>
      </w:r>
      <w:r>
        <w:t>apporter au texte pour répondre aux préoccupations exprimées dans l</w:t>
      </w:r>
      <w:r w:rsidR="00097A03">
        <w:t>’</w:t>
      </w:r>
      <w:r>
        <w:t>objection</w:t>
      </w:r>
      <w:r w:rsidRPr="002F59BA">
        <w:rPr>
          <w:rStyle w:val="Appelnotedebasdep"/>
          <w:lang w:val="en-GB"/>
        </w:rPr>
        <w:footnoteReference w:id="25"/>
      </w:r>
      <w:r>
        <w:t>;</w:t>
      </w:r>
    </w:p>
    <w:p w14:paraId="3BFA5A2E" w14:textId="65A510B4" w:rsidR="00CC42CC" w:rsidRDefault="00CC42CC" w:rsidP="00CC42CC">
      <w:pPr>
        <w:pStyle w:val="IPPBullet1Last"/>
      </w:pPr>
      <w:r>
        <w:t>l</w:t>
      </w:r>
      <w:r w:rsidR="00097A03">
        <w:t>’</w:t>
      </w:r>
      <w:r>
        <w:t>autre objection a trait à l</w:t>
      </w:r>
      <w:r w:rsidR="00097A03">
        <w:t>’</w:t>
      </w:r>
      <w:r>
        <w:t>adoption du projet d</w:t>
      </w:r>
      <w:r w:rsidR="00097A03">
        <w:t>’</w:t>
      </w:r>
      <w:r>
        <w:t xml:space="preserve">annexe </w:t>
      </w:r>
      <w:r>
        <w:rPr>
          <w:i/>
        </w:rPr>
        <w:t>Inspection au champ</w:t>
      </w:r>
      <w:r>
        <w:t xml:space="preserve"> (2021-018) à la </w:t>
      </w:r>
      <w:proofErr w:type="spellStart"/>
      <w:r>
        <w:t>NIMP</w:t>
      </w:r>
      <w:proofErr w:type="spellEnd"/>
      <w:r>
        <w:t> 23 (</w:t>
      </w:r>
      <w:r>
        <w:rPr>
          <w:i/>
        </w:rPr>
        <w:t>Directives pour l</w:t>
      </w:r>
      <w:r w:rsidR="00097A03">
        <w:rPr>
          <w:i/>
        </w:rPr>
        <w:t>’</w:t>
      </w:r>
      <w:r>
        <w:rPr>
          <w:i/>
        </w:rPr>
        <w:t>inspection</w:t>
      </w:r>
      <w:r>
        <w:t>) et concerne la coordination et la cohérence entre les normes: l</w:t>
      </w:r>
      <w:r w:rsidR="00097A03">
        <w:t>’</w:t>
      </w:r>
      <w:r>
        <w:t>objectif est d</w:t>
      </w:r>
      <w:r w:rsidR="00097A03">
        <w:t>’</w:t>
      </w:r>
      <w:r>
        <w:t>éviter de créer des incohérences conceptuelles et opérationnelles entre l</w:t>
      </w:r>
      <w:r w:rsidR="00097A03">
        <w:t>’</w:t>
      </w:r>
      <w:r>
        <w:t xml:space="preserve">annexe et le texte principal de la </w:t>
      </w:r>
      <w:proofErr w:type="spellStart"/>
      <w:r>
        <w:t>NIMP</w:t>
      </w:r>
      <w:proofErr w:type="spellEnd"/>
      <w:r>
        <w:t> 23, dont la révision est déjà inscrite au plan de travail de la CIPV. Il est recommandé dans l</w:t>
      </w:r>
      <w:r w:rsidR="00097A03">
        <w:t>’</w:t>
      </w:r>
      <w:r>
        <w:t>objection que l</w:t>
      </w:r>
      <w:r w:rsidR="00097A03">
        <w:t>’</w:t>
      </w:r>
      <w:r>
        <w:t>annexe fasse l</w:t>
      </w:r>
      <w:r w:rsidR="00097A03">
        <w:t>’</w:t>
      </w:r>
      <w:r>
        <w:t>objet d</w:t>
      </w:r>
      <w:r w:rsidR="00097A03">
        <w:t>’</w:t>
      </w:r>
      <w:r>
        <w:t xml:space="preserve">une </w:t>
      </w:r>
      <w:proofErr w:type="spellStart"/>
      <w:r>
        <w:t>NIMP</w:t>
      </w:r>
      <w:proofErr w:type="spellEnd"/>
      <w:r>
        <w:t xml:space="preserve"> à part, deux autres options étant également proposées. Certaines parties contractantes ont communiqué une réponse écrite, dans laquelle elles proposent d</w:t>
      </w:r>
      <w:r w:rsidR="00097A03">
        <w:t>’</w:t>
      </w:r>
      <w:r>
        <w:t xml:space="preserve">apporter quelques petites révisions qui seraient nécessaires pour que la </w:t>
      </w:r>
      <w:proofErr w:type="spellStart"/>
      <w:r>
        <w:t>CMP</w:t>
      </w:r>
      <w:proofErr w:type="spellEnd"/>
      <w:r>
        <w:t xml:space="preserve"> puisse adopter le projet d</w:t>
      </w:r>
      <w:r w:rsidR="00097A03">
        <w:t>’</w:t>
      </w:r>
      <w:r>
        <w:t>annexe sous la forme d</w:t>
      </w:r>
      <w:r w:rsidR="00097A03">
        <w:t>’</w:t>
      </w:r>
      <w:r>
        <w:t xml:space="preserve">une </w:t>
      </w:r>
      <w:proofErr w:type="spellStart"/>
      <w:r>
        <w:t>NIMP</w:t>
      </w:r>
      <w:proofErr w:type="spellEnd"/>
      <w:r>
        <w:t xml:space="preserve"> à part entière, et de renommer la </w:t>
      </w:r>
      <w:proofErr w:type="spellStart"/>
      <w:r>
        <w:t>NIMP</w:t>
      </w:r>
      <w:proofErr w:type="spellEnd"/>
      <w:r>
        <w:t xml:space="preserve"> 23 </w:t>
      </w:r>
      <w:r>
        <w:rPr>
          <w:i/>
        </w:rPr>
        <w:t>Inspection des envois</w:t>
      </w:r>
      <w:r>
        <w:t xml:space="preserve"> au moment de sa révision</w:t>
      </w:r>
      <w:r w:rsidRPr="001841DD">
        <w:rPr>
          <w:rStyle w:val="Appelnotedebasdep"/>
        </w:rPr>
        <w:footnoteReference w:id="26"/>
      </w:r>
      <w:r>
        <w:t>.</w:t>
      </w:r>
    </w:p>
    <w:p w14:paraId="0E6273A0" w14:textId="7EB5EFAD" w:rsidR="00CC42CC" w:rsidRDefault="00CC42CC" w:rsidP="00CC42CC">
      <w:pPr>
        <w:pStyle w:val="IPPParagraphnumbering"/>
      </w:pPr>
      <w:r>
        <w:t>Les parties contractantes qui avaient formulé l</w:t>
      </w:r>
      <w:r w:rsidR="00097A03">
        <w:t>’</w:t>
      </w:r>
      <w:r>
        <w:t xml:space="preserve">objection concernant la révision de la </w:t>
      </w:r>
      <w:proofErr w:type="spellStart"/>
      <w:r>
        <w:t>NIMP</w:t>
      </w:r>
      <w:proofErr w:type="spellEnd"/>
      <w:r>
        <w:t> 26 ont accepté les modifications proposées dans la réponse écrite susmentionnée.</w:t>
      </w:r>
    </w:p>
    <w:p w14:paraId="71FA7D97" w14:textId="5D55580E" w:rsidR="00CC42CC" w:rsidRDefault="00CC42CC" w:rsidP="00CC42CC">
      <w:pPr>
        <w:pStyle w:val="IPPParagraphnumbering"/>
      </w:pPr>
      <w:r>
        <w:t>Concernant l</w:t>
      </w:r>
      <w:r w:rsidR="00097A03">
        <w:t>’</w:t>
      </w:r>
      <w:r>
        <w:t xml:space="preserve">annexe à la </w:t>
      </w:r>
      <w:proofErr w:type="spellStart"/>
      <w:r>
        <w:t>NIMP</w:t>
      </w:r>
      <w:proofErr w:type="spellEnd"/>
      <w:r>
        <w:t xml:space="preserve"> 23, le Président de la </w:t>
      </w:r>
      <w:proofErr w:type="spellStart"/>
      <w:r>
        <w:t>CMP</w:t>
      </w:r>
      <w:proofErr w:type="spellEnd"/>
      <w:r>
        <w:t xml:space="preserve"> a suggéré que les parties contractantes intéressées participent à une réunion des Amis du Président, qui s</w:t>
      </w:r>
      <w:r w:rsidR="00097A03">
        <w:t>’</w:t>
      </w:r>
      <w:r>
        <w:t>est déroulée en marge de la session. Les débats ont abouti à l</w:t>
      </w:r>
      <w:r w:rsidR="00097A03">
        <w:t>’</w:t>
      </w:r>
      <w:r>
        <w:t>élaboration d</w:t>
      </w:r>
      <w:r w:rsidR="00097A03">
        <w:t>’</w:t>
      </w:r>
      <w:r>
        <w:t>un texte modifié pour examen</w:t>
      </w:r>
      <w:r w:rsidRPr="0021531E">
        <w:rPr>
          <w:rStyle w:val="Appelnotedebasdep"/>
        </w:rPr>
        <w:footnoteReference w:id="27"/>
      </w:r>
      <w:r>
        <w:t>, sur lequel s</w:t>
      </w:r>
      <w:r w:rsidR="00097A03">
        <w:t>’</w:t>
      </w:r>
      <w:r>
        <w:t xml:space="preserve">est ensuite penchée la </w:t>
      </w:r>
      <w:proofErr w:type="spellStart"/>
      <w:r>
        <w:t>CMP</w:t>
      </w:r>
      <w:proofErr w:type="spellEnd"/>
      <w:r>
        <w:t>. Une partie contractante a suggéré que l</w:t>
      </w:r>
      <w:r w:rsidR="00097A03">
        <w:t>’</w:t>
      </w:r>
      <w:r>
        <w:t>énoncé «la présente norme ne couvre pas l</w:t>
      </w:r>
      <w:r w:rsidR="00097A03">
        <w:t>’</w:t>
      </w:r>
      <w:r>
        <w:t>analyse d</w:t>
      </w:r>
      <w:r w:rsidR="00097A03">
        <w:t>’</w:t>
      </w:r>
      <w:r>
        <w:t>échantillons» soit retirée de la section «Champ d</w:t>
      </w:r>
      <w:r w:rsidR="00097A03">
        <w:t>’</w:t>
      </w:r>
      <w:r>
        <w:t xml:space="preserve">application». La </w:t>
      </w:r>
      <w:proofErr w:type="spellStart"/>
      <w:r>
        <w:t>CMP</w:t>
      </w:r>
      <w:proofErr w:type="spellEnd"/>
      <w:r>
        <w:t xml:space="preserve"> a cependant fait remarquer que cette phrase ne signifiait pas que le travail d</w:t>
      </w:r>
      <w:r w:rsidR="00097A03">
        <w:t>’</w:t>
      </w:r>
      <w:r>
        <w:t>analyse n</w:t>
      </w:r>
      <w:r w:rsidR="00097A03">
        <w:t>’</w:t>
      </w:r>
      <w:r>
        <w:t>était pas important, mais qu</w:t>
      </w:r>
      <w:r w:rsidR="00097A03">
        <w:t>’</w:t>
      </w:r>
      <w:r>
        <w:t>elle servait simplement à préciser que les exigences en matière d</w:t>
      </w:r>
      <w:r w:rsidR="00097A03">
        <w:t>’</w:t>
      </w:r>
      <w:r>
        <w:t>analyse ne figuraient pas dans la norme.</w:t>
      </w:r>
    </w:p>
    <w:p w14:paraId="31B0FA19" w14:textId="77777777" w:rsidR="00CC42CC" w:rsidRPr="004A5365" w:rsidRDefault="00CC42CC" w:rsidP="00CC42CC">
      <w:pPr>
        <w:pStyle w:val="IPPParagraphnumberingclose"/>
      </w:pPr>
      <w:r>
        <w:t xml:space="preserve">La </w:t>
      </w:r>
      <w:proofErr w:type="spellStart"/>
      <w:r>
        <w:t>CMP</w:t>
      </w:r>
      <w:proofErr w:type="spellEnd"/>
      <w:r>
        <w:t xml:space="preserve">: </w:t>
      </w:r>
    </w:p>
    <w:p w14:paraId="6D776ED1" w14:textId="1A2DF024" w:rsidR="00CC42CC" w:rsidRPr="00AF0798" w:rsidRDefault="00CC42CC" w:rsidP="00CC42CC">
      <w:pPr>
        <w:pStyle w:val="IPPNumberedList"/>
        <w:numPr>
          <w:ilvl w:val="0"/>
          <w:numId w:val="38"/>
        </w:numPr>
      </w:pPr>
      <w:r>
        <w:rPr>
          <w:i/>
        </w:rPr>
        <w:t>a adopté</w:t>
      </w:r>
      <w:r>
        <w:t xml:space="preserve"> la révision de la </w:t>
      </w:r>
      <w:proofErr w:type="spellStart"/>
      <w:r>
        <w:t>NIMP</w:t>
      </w:r>
      <w:proofErr w:type="spellEnd"/>
      <w:r>
        <w:t> 26 (</w:t>
      </w:r>
      <w:r>
        <w:rPr>
          <w:i/>
        </w:rPr>
        <w:t xml:space="preserve">Établissement et maintien de zones exemptes de mouches des fruits </w:t>
      </w:r>
      <w:proofErr w:type="spellStart"/>
      <w:r>
        <w:rPr>
          <w:i/>
        </w:rPr>
        <w:t>téphritides</w:t>
      </w:r>
      <w:proofErr w:type="spellEnd"/>
      <w:r>
        <w:t>) (2021-010), en y intégrant les modifications présentées à l</w:t>
      </w:r>
      <w:r w:rsidR="00097A03">
        <w:t>’</w:t>
      </w:r>
      <w:r>
        <w:t xml:space="preserve">appendice 1 du document </w:t>
      </w:r>
      <w:proofErr w:type="spellStart"/>
      <w:r>
        <w:t>CPM</w:t>
      </w:r>
      <w:proofErr w:type="spellEnd"/>
      <w:r>
        <w:t> 2026/</w:t>
      </w:r>
      <w:proofErr w:type="spellStart"/>
      <w:r>
        <w:t>INF</w:t>
      </w:r>
      <w:proofErr w:type="spellEnd"/>
      <w:r>
        <w:t xml:space="preserve">/32, et </w:t>
      </w:r>
      <w:r>
        <w:rPr>
          <w:i/>
        </w:rPr>
        <w:t>a révoqué</w:t>
      </w:r>
      <w:r>
        <w:t xml:space="preserve"> la version adoptée précédemment;</w:t>
      </w:r>
    </w:p>
    <w:p w14:paraId="19E32AAF" w14:textId="77777777" w:rsidR="00CC42CC" w:rsidRPr="00A52502" w:rsidRDefault="00CC42CC" w:rsidP="00CC42CC">
      <w:pPr>
        <w:pStyle w:val="IPPNumberedList"/>
      </w:pPr>
      <w:r>
        <w:rPr>
          <w:i/>
        </w:rPr>
        <w:lastRenderedPageBreak/>
        <w:t>a adopté</w:t>
      </w:r>
      <w:r>
        <w:t xml:space="preserve"> la </w:t>
      </w:r>
      <w:proofErr w:type="spellStart"/>
      <w:r>
        <w:t>NIMP</w:t>
      </w:r>
      <w:proofErr w:type="spellEnd"/>
      <w:r>
        <w:t> 48 (</w:t>
      </w:r>
      <w:r>
        <w:rPr>
          <w:i/>
        </w:rPr>
        <w:t>Inspection au champ</w:t>
      </w:r>
      <w:r>
        <w:t xml:space="preserve">) (2021-018), telle que présentée dans le document </w:t>
      </w:r>
      <w:proofErr w:type="spellStart"/>
      <w:r>
        <w:t>CPM</w:t>
      </w:r>
      <w:proofErr w:type="spellEnd"/>
      <w:r>
        <w:t> 2026/CRP/10;</w:t>
      </w:r>
    </w:p>
    <w:p w14:paraId="3AE93EA3" w14:textId="2C437632" w:rsidR="00CC42CC" w:rsidRPr="004A5365" w:rsidRDefault="00CC42CC" w:rsidP="00CC42CC">
      <w:pPr>
        <w:pStyle w:val="IPPNumberedList"/>
      </w:pPr>
      <w:r>
        <w:rPr>
          <w:i/>
        </w:rPr>
        <w:t>a adopté</w:t>
      </w:r>
      <w:r>
        <w:t xml:space="preserve"> le TP 47 (Traitement par irradiation contre </w:t>
      </w:r>
      <w:proofErr w:type="spellStart"/>
      <w:r>
        <w:rPr>
          <w:i/>
        </w:rPr>
        <w:t>Planococcus</w:t>
      </w:r>
      <w:proofErr w:type="spellEnd"/>
      <w:r>
        <w:rPr>
          <w:i/>
        </w:rPr>
        <w:t xml:space="preserve"> </w:t>
      </w:r>
      <w:proofErr w:type="spellStart"/>
      <w:r>
        <w:rPr>
          <w:i/>
        </w:rPr>
        <w:t>lilacinus</w:t>
      </w:r>
      <w:proofErr w:type="spellEnd"/>
      <w:r>
        <w:t xml:space="preserve">) (2023‑035), tel que présenté dans le document </w:t>
      </w:r>
      <w:proofErr w:type="spellStart"/>
      <w:r>
        <w:t>CPM</w:t>
      </w:r>
      <w:proofErr w:type="spellEnd"/>
      <w:r>
        <w:t> 2026/10_03, en tant qu</w:t>
      </w:r>
      <w:r w:rsidR="00097A03">
        <w:t>’</w:t>
      </w:r>
      <w:r>
        <w:t xml:space="preserve">annexe 47 à la </w:t>
      </w:r>
      <w:proofErr w:type="spellStart"/>
      <w:r>
        <w:t>NIMP</w:t>
      </w:r>
      <w:proofErr w:type="spellEnd"/>
      <w:r>
        <w:t> 28 (</w:t>
      </w:r>
      <w:r>
        <w:rPr>
          <w:i/>
        </w:rPr>
        <w:t>Traitements phytosanitaires contre les organismes nuisibles réglementés</w:t>
      </w:r>
      <w:r>
        <w:t xml:space="preserve">); </w:t>
      </w:r>
    </w:p>
    <w:p w14:paraId="2114BC7F" w14:textId="0B18C9C5" w:rsidR="00CC42CC" w:rsidRPr="004A5365" w:rsidRDefault="00CC42CC" w:rsidP="00CC42CC">
      <w:pPr>
        <w:pStyle w:val="IPPNumberedList"/>
      </w:pPr>
      <w:r>
        <w:rPr>
          <w:i/>
        </w:rPr>
        <w:t>a adopté</w:t>
      </w:r>
      <w:r>
        <w:t xml:space="preserve"> le TP 48 (Traitement par irradiation contre </w:t>
      </w:r>
      <w:proofErr w:type="spellStart"/>
      <w:r>
        <w:rPr>
          <w:i/>
        </w:rPr>
        <w:t>Paracoccus</w:t>
      </w:r>
      <w:proofErr w:type="spellEnd"/>
      <w:r>
        <w:rPr>
          <w:i/>
        </w:rPr>
        <w:t xml:space="preserve"> </w:t>
      </w:r>
      <w:proofErr w:type="spellStart"/>
      <w:r>
        <w:rPr>
          <w:i/>
        </w:rPr>
        <w:t>marginatus</w:t>
      </w:r>
      <w:proofErr w:type="spellEnd"/>
      <w:r>
        <w:t xml:space="preserve">) (2023‑034), tel que présenté dans le document </w:t>
      </w:r>
      <w:proofErr w:type="spellStart"/>
      <w:r>
        <w:t>CPM</w:t>
      </w:r>
      <w:proofErr w:type="spellEnd"/>
      <w:r>
        <w:t> 2026/10_04, en tant qu</w:t>
      </w:r>
      <w:r w:rsidR="00097A03">
        <w:t>’</w:t>
      </w:r>
      <w:r>
        <w:t xml:space="preserve">annexe 48 à la </w:t>
      </w:r>
      <w:proofErr w:type="spellStart"/>
      <w:r>
        <w:t>NIMP</w:t>
      </w:r>
      <w:proofErr w:type="spellEnd"/>
      <w:r>
        <w:t> 28 (</w:t>
      </w:r>
      <w:r>
        <w:rPr>
          <w:i/>
        </w:rPr>
        <w:t>Traitements phytosanitaires contre les organismes nuisibles réglementés</w:t>
      </w:r>
      <w:r>
        <w:t>);</w:t>
      </w:r>
    </w:p>
    <w:p w14:paraId="33902057" w14:textId="3776C084" w:rsidR="00CC42CC" w:rsidRPr="004A5365" w:rsidRDefault="00CC42CC" w:rsidP="00CC42CC">
      <w:pPr>
        <w:pStyle w:val="IPPNumberedList"/>
      </w:pPr>
      <w:r>
        <w:rPr>
          <w:i/>
        </w:rPr>
        <w:t>a adopté</w:t>
      </w:r>
      <w:r>
        <w:t xml:space="preserve"> le TP 49 (Traitement par irradiation contre </w:t>
      </w:r>
      <w:proofErr w:type="spellStart"/>
      <w:r>
        <w:rPr>
          <w:i/>
        </w:rPr>
        <w:t>Pseudococcus</w:t>
      </w:r>
      <w:proofErr w:type="spellEnd"/>
      <w:r>
        <w:rPr>
          <w:i/>
        </w:rPr>
        <w:t xml:space="preserve"> </w:t>
      </w:r>
      <w:proofErr w:type="spellStart"/>
      <w:r>
        <w:rPr>
          <w:i/>
        </w:rPr>
        <w:t>baliteus</w:t>
      </w:r>
      <w:proofErr w:type="spellEnd"/>
      <w:r>
        <w:t xml:space="preserve">) (2023‑033), tel que présenté dans le document </w:t>
      </w:r>
      <w:proofErr w:type="spellStart"/>
      <w:r>
        <w:t>CPM</w:t>
      </w:r>
      <w:proofErr w:type="spellEnd"/>
      <w:r>
        <w:t> 2026/10_05, en tant qu</w:t>
      </w:r>
      <w:r w:rsidR="00097A03">
        <w:t>’</w:t>
      </w:r>
      <w:r>
        <w:t xml:space="preserve">annexe 49 à la </w:t>
      </w:r>
      <w:proofErr w:type="spellStart"/>
      <w:r>
        <w:t>NIMP</w:t>
      </w:r>
      <w:proofErr w:type="spellEnd"/>
      <w:r>
        <w:t> 28 (</w:t>
      </w:r>
      <w:r>
        <w:rPr>
          <w:i/>
        </w:rPr>
        <w:t>Traitements phytosanitaires contre les organismes nuisibles réglementés</w:t>
      </w:r>
      <w:r>
        <w:t>);</w:t>
      </w:r>
    </w:p>
    <w:p w14:paraId="3B357908" w14:textId="422E255B" w:rsidR="00CC42CC" w:rsidRPr="004A5365" w:rsidRDefault="00CC42CC" w:rsidP="00CC42CC">
      <w:pPr>
        <w:pStyle w:val="IPPNumberedList"/>
      </w:pPr>
      <w:r>
        <w:rPr>
          <w:i/>
          <w:iCs/>
        </w:rPr>
        <w:t>a pris note</w:t>
      </w:r>
      <w:r>
        <w:t xml:space="preserve"> de l</w:t>
      </w:r>
      <w:r w:rsidR="00097A03">
        <w:t>’</w:t>
      </w:r>
      <w:r>
        <w:t xml:space="preserve">adoption par le Comité des normes des deux protocoles de diagnostic ci-après (annexes à la </w:t>
      </w:r>
      <w:proofErr w:type="spellStart"/>
      <w:r>
        <w:t>NIMP</w:t>
      </w:r>
      <w:proofErr w:type="spellEnd"/>
      <w:r>
        <w:t> 27 [</w:t>
      </w:r>
      <w:r>
        <w:rPr>
          <w:i/>
          <w:iCs/>
        </w:rPr>
        <w:t>Protocoles de diagnostic pour les organismes nuisibles réglementés</w:t>
      </w:r>
      <w:r>
        <w:t xml:space="preserve">]), au nom de la </w:t>
      </w:r>
      <w:proofErr w:type="spellStart"/>
      <w:r>
        <w:t>CMP</w:t>
      </w:r>
      <w:proofErr w:type="spellEnd"/>
      <w:r>
        <w:t xml:space="preserve"> en 2025:</w:t>
      </w:r>
    </w:p>
    <w:p w14:paraId="0D70F011" w14:textId="77777777" w:rsidR="00CC42CC" w:rsidRPr="004A5365" w:rsidRDefault="00CC42CC" w:rsidP="00CC42CC">
      <w:pPr>
        <w:pStyle w:val="IPPBullet2"/>
      </w:pPr>
      <w:r>
        <w:t xml:space="preserve">PD 35 pour </w:t>
      </w:r>
      <w:proofErr w:type="spellStart"/>
      <w:r>
        <w:rPr>
          <w:i/>
          <w:iCs/>
        </w:rPr>
        <w:t>Meloidogyne</w:t>
      </w:r>
      <w:proofErr w:type="spellEnd"/>
      <w:r>
        <w:rPr>
          <w:i/>
          <w:iCs/>
        </w:rPr>
        <w:t xml:space="preserve"> mali</w:t>
      </w:r>
      <w:r>
        <w:t xml:space="preserve"> (2018-019);</w:t>
      </w:r>
    </w:p>
    <w:p w14:paraId="40B66C94" w14:textId="77777777" w:rsidR="00CC42CC" w:rsidRPr="004A5365" w:rsidRDefault="00CC42CC" w:rsidP="00CC42CC">
      <w:pPr>
        <w:pStyle w:val="IPPBullet2"/>
      </w:pPr>
      <w:r>
        <w:t xml:space="preserve">PD 36 pour le genre </w:t>
      </w:r>
      <w:proofErr w:type="spellStart"/>
      <w:r>
        <w:rPr>
          <w:i/>
          <w:iCs/>
        </w:rPr>
        <w:t>Pospiviroid</w:t>
      </w:r>
      <w:proofErr w:type="spellEnd"/>
      <w:r>
        <w:t xml:space="preserve"> (2018-031);</w:t>
      </w:r>
    </w:p>
    <w:p w14:paraId="317050A5" w14:textId="02C2B940" w:rsidR="00CC42CC" w:rsidRPr="004A5365" w:rsidRDefault="00CC42CC" w:rsidP="00CC42CC">
      <w:pPr>
        <w:pStyle w:val="IPPNumberedList"/>
      </w:pPr>
      <w:r>
        <w:rPr>
          <w:i/>
          <w:iCs/>
        </w:rPr>
        <w:t>a remercié</w:t>
      </w:r>
      <w:r>
        <w:t xml:space="preserve"> les experts des groupes qui avaient rédigé les normes adoptées ainsi que les parties contractantes ou les organisations internationales concernées (appendice X) pour leur contribution active à l</w:t>
      </w:r>
      <w:r w:rsidR="00097A03">
        <w:t>’</w:t>
      </w:r>
      <w:r>
        <w:t>élaboration de ces normes;</w:t>
      </w:r>
    </w:p>
    <w:p w14:paraId="3CD28C7A" w14:textId="3AA0A458" w:rsidR="00CC42CC" w:rsidRPr="004A5365" w:rsidRDefault="00CC42CC" w:rsidP="00CC42CC">
      <w:pPr>
        <w:pStyle w:val="IPPNumberedList"/>
      </w:pPr>
      <w:r>
        <w:rPr>
          <w:i/>
          <w:iCs/>
        </w:rPr>
        <w:t>a</w:t>
      </w:r>
      <w:r>
        <w:t xml:space="preserve"> </w:t>
      </w:r>
      <w:r>
        <w:rPr>
          <w:i/>
          <w:iCs/>
        </w:rPr>
        <w:t>noté</w:t>
      </w:r>
      <w:r>
        <w:t xml:space="preserve"> que les </w:t>
      </w:r>
      <w:proofErr w:type="spellStart"/>
      <w:r>
        <w:t>NIMP</w:t>
      </w:r>
      <w:proofErr w:type="spellEnd"/>
      <w:r>
        <w:t xml:space="preserve"> énumérées ci-après (y compris les annexes) et la recommandation de la </w:t>
      </w:r>
      <w:proofErr w:type="spellStart"/>
      <w:r>
        <w:t>CMP</w:t>
      </w:r>
      <w:proofErr w:type="spellEnd"/>
      <w:r>
        <w:t xml:space="preserve"> ci-après avaient été révisées par les groupes d</w:t>
      </w:r>
      <w:r w:rsidR="00097A03">
        <w:t>’</w:t>
      </w:r>
      <w:r>
        <w:t>examen linguistique chargés de l</w:t>
      </w:r>
      <w:r w:rsidR="00097A03">
        <w:t>’</w:t>
      </w:r>
      <w:r>
        <w:t>arabe, du chinois et de l</w:t>
      </w:r>
      <w:r w:rsidR="00097A03">
        <w:t>’</w:t>
      </w:r>
      <w:r>
        <w:t>espagnol et les services de traduction de la FAO, et que le secrétariat les avait modifiées en conséquence et avait remplacé les versions adoptées précédemment qui étaient sur le PPI:</w:t>
      </w:r>
    </w:p>
    <w:p w14:paraId="7464098C" w14:textId="4CAD9112" w:rsidR="00CC42CC" w:rsidRPr="004A5365" w:rsidRDefault="00CC42CC" w:rsidP="00CC42CC">
      <w:pPr>
        <w:pStyle w:val="IPPBullet2"/>
      </w:pPr>
      <w:proofErr w:type="spellStart"/>
      <w:r>
        <w:t>NIMP</w:t>
      </w:r>
      <w:proofErr w:type="spellEnd"/>
      <w:r>
        <w:t> 4 (</w:t>
      </w:r>
      <w:r>
        <w:rPr>
          <w:i/>
        </w:rPr>
        <w:t>Exigences pour l</w:t>
      </w:r>
      <w:r w:rsidR="00097A03">
        <w:rPr>
          <w:i/>
        </w:rPr>
        <w:t>’</w:t>
      </w:r>
      <w:r>
        <w:rPr>
          <w:i/>
        </w:rPr>
        <w:t>établissement de zones exemptes</w:t>
      </w:r>
      <w:r>
        <w:t>);</w:t>
      </w:r>
    </w:p>
    <w:p w14:paraId="3CCF28E9" w14:textId="77777777" w:rsidR="00CC42CC" w:rsidRPr="004A5365" w:rsidRDefault="00CC42CC" w:rsidP="00CC42CC">
      <w:pPr>
        <w:pStyle w:val="IPPBullet2"/>
      </w:pPr>
      <w:r>
        <w:t xml:space="preserve">amendements de 2022 à la </w:t>
      </w:r>
      <w:proofErr w:type="spellStart"/>
      <w:r>
        <w:t>NIMP</w:t>
      </w:r>
      <w:proofErr w:type="spellEnd"/>
      <w:r>
        <w:t> 5 (</w:t>
      </w:r>
      <w:r>
        <w:rPr>
          <w:i/>
          <w:iCs/>
        </w:rPr>
        <w:t>Glossaire des termes phytosanitaires</w:t>
      </w:r>
      <w:r>
        <w:t xml:space="preserve">); </w:t>
      </w:r>
    </w:p>
    <w:p w14:paraId="72613F98" w14:textId="1929E047" w:rsidR="00CC42CC" w:rsidRPr="004A5365" w:rsidRDefault="00CC42CC" w:rsidP="00CC42CC">
      <w:pPr>
        <w:pStyle w:val="IPPBullet2"/>
      </w:pPr>
      <w:r>
        <w:t>annexe 1 (Critères relatifs à l</w:t>
      </w:r>
      <w:r w:rsidR="00097A03">
        <w:t>’</w:t>
      </w:r>
      <w:r>
        <w:t>évaluation des informations disponibles pour la détermination du statut d</w:t>
      </w:r>
      <w:r w:rsidR="00097A03">
        <w:t>’</w:t>
      </w:r>
      <w:r>
        <w:t>hôte d</w:t>
      </w:r>
      <w:r w:rsidR="00097A03">
        <w:t>’</w:t>
      </w:r>
      <w:r>
        <w:t xml:space="preserve">un fruit pour des mouches des fruits) à la </w:t>
      </w:r>
      <w:proofErr w:type="spellStart"/>
      <w:r>
        <w:t>NIMP</w:t>
      </w:r>
      <w:proofErr w:type="spellEnd"/>
      <w:r>
        <w:t> 37 (</w:t>
      </w:r>
      <w:r>
        <w:rPr>
          <w:i/>
          <w:iCs/>
        </w:rPr>
        <w:t>Détermination du statut d</w:t>
      </w:r>
      <w:r w:rsidR="00097A03">
        <w:rPr>
          <w:i/>
          <w:iCs/>
        </w:rPr>
        <w:t>’</w:t>
      </w:r>
      <w:r>
        <w:rPr>
          <w:i/>
          <w:iCs/>
        </w:rPr>
        <w:t>hôte des fruits à l</w:t>
      </w:r>
      <w:r w:rsidR="00097A03">
        <w:rPr>
          <w:i/>
          <w:iCs/>
        </w:rPr>
        <w:t>’</w:t>
      </w:r>
      <w:r>
        <w:rPr>
          <w:i/>
          <w:iCs/>
        </w:rPr>
        <w:t>égard des mouches des fruits</w:t>
      </w:r>
      <w:r>
        <w:t xml:space="preserve"> [</w:t>
      </w:r>
      <w:proofErr w:type="spellStart"/>
      <w:r>
        <w:t>Tephritidae</w:t>
      </w:r>
      <w:proofErr w:type="spellEnd"/>
      <w:r>
        <w:t>]);</w:t>
      </w:r>
    </w:p>
    <w:p w14:paraId="17D198F7" w14:textId="379F8E03" w:rsidR="00CC42CC" w:rsidRPr="004A5365" w:rsidRDefault="00CC42CC" w:rsidP="00CC42CC">
      <w:pPr>
        <w:pStyle w:val="IPPBullet2"/>
      </w:pPr>
      <w:r>
        <w:t>annexe 1 (Utilisation d</w:t>
      </w:r>
      <w:r w:rsidR="00097A03">
        <w:t>’</w:t>
      </w:r>
      <w:r>
        <w:t xml:space="preserve">approches systémiques pour gérer les risques phytosanitaires associés aux déplacements de bois) à la </w:t>
      </w:r>
      <w:proofErr w:type="spellStart"/>
      <w:r>
        <w:t>NIMP</w:t>
      </w:r>
      <w:proofErr w:type="spellEnd"/>
      <w:r>
        <w:t> 39 (</w:t>
      </w:r>
      <w:r>
        <w:rPr>
          <w:i/>
          <w:iCs/>
        </w:rPr>
        <w:t>Déplacements internationaux de bois</w:t>
      </w:r>
      <w:r>
        <w:t>);</w:t>
      </w:r>
    </w:p>
    <w:p w14:paraId="5EE60130" w14:textId="77777777" w:rsidR="00CC42CC" w:rsidRPr="004A5365" w:rsidRDefault="00CC42CC" w:rsidP="00CC42CC">
      <w:pPr>
        <w:pStyle w:val="IPPBullet2"/>
      </w:pPr>
      <w:r>
        <w:t xml:space="preserve">annexe à la </w:t>
      </w:r>
      <w:proofErr w:type="spellStart"/>
      <w:r>
        <w:t>NIMP</w:t>
      </w:r>
      <w:proofErr w:type="spellEnd"/>
      <w:r>
        <w:t> 28 (</w:t>
      </w:r>
      <w:r>
        <w:rPr>
          <w:i/>
        </w:rPr>
        <w:t>Traitements phytosanitaires contre les organismes nuisibles réglementés</w:t>
      </w:r>
      <w:r>
        <w:t xml:space="preserve">): TP 46 (Traitement par le froid de </w:t>
      </w:r>
      <w:r>
        <w:rPr>
          <w:i/>
          <w:iCs/>
        </w:rPr>
        <w:t xml:space="preserve">Citrus </w:t>
      </w:r>
      <w:proofErr w:type="spellStart"/>
      <w:r>
        <w:rPr>
          <w:i/>
          <w:iCs/>
        </w:rPr>
        <w:t>sinensis</w:t>
      </w:r>
      <w:proofErr w:type="spellEnd"/>
      <w:r>
        <w:t xml:space="preserve"> contre </w:t>
      </w:r>
      <w:proofErr w:type="spellStart"/>
      <w:r>
        <w:rPr>
          <w:i/>
          <w:iCs/>
        </w:rPr>
        <w:t>Thaumatotibia</w:t>
      </w:r>
      <w:proofErr w:type="spellEnd"/>
      <w:r>
        <w:rPr>
          <w:i/>
          <w:iCs/>
        </w:rPr>
        <w:t xml:space="preserve"> </w:t>
      </w:r>
      <w:proofErr w:type="spellStart"/>
      <w:r>
        <w:rPr>
          <w:i/>
          <w:iCs/>
        </w:rPr>
        <w:t>leucotreta</w:t>
      </w:r>
      <w:proofErr w:type="spellEnd"/>
      <w:r>
        <w:t>);</w:t>
      </w:r>
    </w:p>
    <w:p w14:paraId="38C876E3" w14:textId="77777777" w:rsidR="00CC42CC" w:rsidRPr="004A5365" w:rsidRDefault="00CC42CC" w:rsidP="00CC42CC">
      <w:pPr>
        <w:pStyle w:val="IPPBullet2"/>
      </w:pPr>
      <w:r>
        <w:t xml:space="preserve">annexe à la </w:t>
      </w:r>
      <w:proofErr w:type="spellStart"/>
      <w:r>
        <w:t>NIMP</w:t>
      </w:r>
      <w:proofErr w:type="spellEnd"/>
      <w:r>
        <w:t> 46 (</w:t>
      </w:r>
      <w:r>
        <w:rPr>
          <w:i/>
        </w:rPr>
        <w:t>Normes pour des mesures phytosanitaires relatives à des marchandises</w:t>
      </w:r>
      <w:r>
        <w:t>): NM 1 (Déplacements internationaux de fruits frais de</w:t>
      </w:r>
      <w:r>
        <w:rPr>
          <w:i/>
          <w:iCs/>
        </w:rPr>
        <w:t xml:space="preserve"> </w:t>
      </w:r>
      <w:proofErr w:type="spellStart"/>
      <w:r>
        <w:rPr>
          <w:i/>
          <w:iCs/>
        </w:rPr>
        <w:t>Mangifera</w:t>
      </w:r>
      <w:proofErr w:type="spellEnd"/>
      <w:r>
        <w:rPr>
          <w:i/>
          <w:iCs/>
        </w:rPr>
        <w:t xml:space="preserve"> </w:t>
      </w:r>
      <w:proofErr w:type="spellStart"/>
      <w:r>
        <w:rPr>
          <w:i/>
          <w:iCs/>
        </w:rPr>
        <w:t>indica</w:t>
      </w:r>
      <w:proofErr w:type="spellEnd"/>
      <w:r>
        <w:t>);</w:t>
      </w:r>
    </w:p>
    <w:p w14:paraId="7D85C43E" w14:textId="77777777" w:rsidR="00CC42CC" w:rsidRPr="004A5365" w:rsidRDefault="00CC42CC" w:rsidP="00CC42CC">
      <w:pPr>
        <w:pStyle w:val="IPPBullet2"/>
      </w:pPr>
      <w:r>
        <w:t xml:space="preserve">recommandation de la </w:t>
      </w:r>
      <w:proofErr w:type="spellStart"/>
      <w:r>
        <w:t>CMP</w:t>
      </w:r>
      <w:proofErr w:type="spellEnd"/>
      <w:r>
        <w:t xml:space="preserve"> intitulée </w:t>
      </w:r>
      <w:r>
        <w:rPr>
          <w:i/>
          <w:iCs/>
        </w:rPr>
        <w:t>Réduction maximale des risques phytosanitaires liés à la filière des conteneurs maritimes</w:t>
      </w:r>
      <w:r>
        <w:t xml:space="preserve"> (R-06);</w:t>
      </w:r>
    </w:p>
    <w:p w14:paraId="0FC6804D" w14:textId="521919C1" w:rsidR="00CC42CC" w:rsidRDefault="00CC42CC" w:rsidP="00E72B8D">
      <w:pPr>
        <w:pStyle w:val="IPPNumberedList"/>
      </w:pPr>
      <w:r>
        <w:rPr>
          <w:i/>
          <w:iCs/>
        </w:rPr>
        <w:t>a</w:t>
      </w:r>
      <w:r>
        <w:t xml:space="preserve"> </w:t>
      </w:r>
      <w:r>
        <w:rPr>
          <w:i/>
          <w:iCs/>
        </w:rPr>
        <w:t>remercié</w:t>
      </w:r>
      <w:r>
        <w:t xml:space="preserve"> les parties contractantes et les </w:t>
      </w:r>
      <w:proofErr w:type="spellStart"/>
      <w:r>
        <w:t>ORPV</w:t>
      </w:r>
      <w:proofErr w:type="spellEnd"/>
      <w:r>
        <w:t xml:space="preserve"> qui participent aux travaux des groupes d</w:t>
      </w:r>
      <w:r w:rsidR="00097A03">
        <w:t>’</w:t>
      </w:r>
      <w:r>
        <w:t xml:space="preserve">examen linguistique, ainsi que les services de traduction de la FAO, de leurs efforts et de leur travail minutieux visant à améliorer les versions traduites des </w:t>
      </w:r>
      <w:proofErr w:type="spellStart"/>
      <w:r>
        <w:t>NIMP</w:t>
      </w:r>
      <w:proofErr w:type="spellEnd"/>
      <w:r>
        <w:t xml:space="preserve"> (y compris les annexes) et des recommandations de la </w:t>
      </w:r>
      <w:proofErr w:type="spellStart"/>
      <w:r>
        <w:t>CMP</w:t>
      </w:r>
      <w:proofErr w:type="spellEnd"/>
      <w:r>
        <w:t>.</w:t>
      </w:r>
    </w:p>
    <w:p w14:paraId="6B3A812C" w14:textId="77777777" w:rsidR="00B44466" w:rsidRPr="004A5365" w:rsidRDefault="00B44466" w:rsidP="00B44466">
      <w:pPr>
        <w:pStyle w:val="IPPHeading2"/>
      </w:pPr>
      <w:r>
        <w:t>11.1</w:t>
      </w:r>
      <w:r>
        <w:tab/>
        <w:t xml:space="preserve">Corrections à insérer dans des </w:t>
      </w:r>
      <w:proofErr w:type="spellStart"/>
      <w:r>
        <w:t>NIMP</w:t>
      </w:r>
      <w:proofErr w:type="spellEnd"/>
      <w:r>
        <w:t xml:space="preserve"> adoptées</w:t>
      </w:r>
    </w:p>
    <w:p w14:paraId="3E7A57BE" w14:textId="584D225D" w:rsidR="00B44466" w:rsidRPr="000145D4" w:rsidRDefault="00B44466" w:rsidP="00B44466">
      <w:pPr>
        <w:pStyle w:val="IPPParagraphnumbering"/>
      </w:pPr>
      <w:r>
        <w:t xml:space="preserve">Le secrétariat a présenté un document sur les propositions de corrections à insérer dans des </w:t>
      </w:r>
      <w:proofErr w:type="spellStart"/>
      <w:r>
        <w:t>NIMP</w:t>
      </w:r>
      <w:proofErr w:type="spellEnd"/>
      <w:r>
        <w:t xml:space="preserve"> adoptées, formulées à l</w:t>
      </w:r>
      <w:r w:rsidR="00097A03">
        <w:t>’</w:t>
      </w:r>
      <w:r>
        <w:t>issue d</w:t>
      </w:r>
      <w:r w:rsidR="00097A03">
        <w:t>’</w:t>
      </w:r>
      <w:r>
        <w:t>un examen de la cohérence</w:t>
      </w:r>
      <w:r w:rsidRPr="000145D4">
        <w:rPr>
          <w:rStyle w:val="Appelnotedebasdep"/>
          <w:lang w:val="en-GB"/>
        </w:rPr>
        <w:footnoteReference w:id="28"/>
      </w:r>
      <w:r>
        <w:t>.</w:t>
      </w:r>
    </w:p>
    <w:p w14:paraId="7684D715" w14:textId="77777777" w:rsidR="00B44466" w:rsidRPr="004A5365" w:rsidRDefault="00B44466" w:rsidP="00B44466">
      <w:pPr>
        <w:pStyle w:val="IPPParagraphnumberingclose"/>
      </w:pPr>
      <w:r>
        <w:lastRenderedPageBreak/>
        <w:t xml:space="preserve">La </w:t>
      </w:r>
      <w:proofErr w:type="spellStart"/>
      <w:r>
        <w:t>CMP</w:t>
      </w:r>
      <w:proofErr w:type="spellEnd"/>
      <w:r>
        <w:t>:</w:t>
      </w:r>
    </w:p>
    <w:p w14:paraId="613C3045" w14:textId="1602D8E6" w:rsidR="00B44466" w:rsidRPr="004A5365" w:rsidRDefault="00B44466" w:rsidP="00B44466">
      <w:pPr>
        <w:pStyle w:val="IPPNumberedList"/>
        <w:numPr>
          <w:ilvl w:val="0"/>
          <w:numId w:val="42"/>
        </w:numPr>
      </w:pPr>
      <w:r>
        <w:rPr>
          <w:i/>
          <w:iCs/>
        </w:rPr>
        <w:t>a pris note</w:t>
      </w:r>
      <w:r>
        <w:t xml:space="preserve"> de la suppression, sous forme d</w:t>
      </w:r>
      <w:r w:rsidR="00097A03">
        <w:t>’</w:t>
      </w:r>
      <w:r>
        <w:t xml:space="preserve">une correction à insérer, du terme «plant protection </w:t>
      </w:r>
      <w:proofErr w:type="spellStart"/>
      <w:r>
        <w:t>organization</w:t>
      </w:r>
      <w:proofErr w:type="spellEnd"/>
      <w:r>
        <w:t xml:space="preserve"> (national)» de la </w:t>
      </w:r>
      <w:proofErr w:type="spellStart"/>
      <w:r>
        <w:t>NIMP</w:t>
      </w:r>
      <w:proofErr w:type="spellEnd"/>
      <w:r>
        <w:t> 5 (</w:t>
      </w:r>
      <w:r>
        <w:rPr>
          <w:i/>
          <w:iCs/>
        </w:rPr>
        <w:t>Glossaire des termes phytosanitaires</w:t>
      </w:r>
      <w:r>
        <w:t xml:space="preserve">) (modification sans incidence sur la version française), celui-ci consistant simplement en un renvoi au terme «national plant protection </w:t>
      </w:r>
      <w:proofErr w:type="spellStart"/>
      <w:r>
        <w:t>organization</w:t>
      </w:r>
      <w:proofErr w:type="spellEnd"/>
      <w:r>
        <w:t xml:space="preserve">» (pièce jointe 01 du document </w:t>
      </w:r>
      <w:proofErr w:type="spellStart"/>
      <w:r>
        <w:t>CPM</w:t>
      </w:r>
      <w:proofErr w:type="spellEnd"/>
      <w:r>
        <w:t> 2026/28, en anglais);</w:t>
      </w:r>
    </w:p>
    <w:p w14:paraId="5D14B9C8" w14:textId="366A145C" w:rsidR="00B44466" w:rsidRPr="004A5365" w:rsidRDefault="00B44466" w:rsidP="00B44466">
      <w:pPr>
        <w:pStyle w:val="IPPNumberedList"/>
      </w:pPr>
      <w:r>
        <w:rPr>
          <w:i/>
          <w:iCs/>
        </w:rPr>
        <w:t xml:space="preserve">a pris note </w:t>
      </w:r>
      <w:r>
        <w:t xml:space="preserve">des corrections à insérer à la version espagnole de la </w:t>
      </w:r>
      <w:proofErr w:type="spellStart"/>
      <w:r>
        <w:t>NIMP</w:t>
      </w:r>
      <w:proofErr w:type="spellEnd"/>
      <w:r>
        <w:t> 15 (</w:t>
      </w:r>
      <w:r>
        <w:rPr>
          <w:i/>
          <w:iCs/>
        </w:rPr>
        <w:t>Réglementation des matériaux d</w:t>
      </w:r>
      <w:r w:rsidR="00097A03">
        <w:rPr>
          <w:i/>
          <w:iCs/>
        </w:rPr>
        <w:t>’</w:t>
      </w:r>
      <w:r>
        <w:rPr>
          <w:i/>
          <w:iCs/>
        </w:rPr>
        <w:t>emballage en bois utilisés dans le commerce international</w:t>
      </w:r>
      <w:r>
        <w:t>) afin d</w:t>
      </w:r>
      <w:r w:rsidR="00097A03">
        <w:t>’</w:t>
      </w:r>
      <w:r>
        <w:t>assurer la cohérence de la traduction du terme anglais «</w:t>
      </w:r>
      <w:proofErr w:type="spellStart"/>
      <w:r>
        <w:t>remanufactured</w:t>
      </w:r>
      <w:proofErr w:type="spellEnd"/>
      <w:r>
        <w:t>» («refabriqué» en français) ainsi que de la traduction du terme «point of entry» («point d</w:t>
      </w:r>
      <w:r w:rsidR="00097A03">
        <w:t>’</w:t>
      </w:r>
      <w:r>
        <w:t xml:space="preserve">entrée» en français) figurant dans la </w:t>
      </w:r>
      <w:proofErr w:type="spellStart"/>
      <w:r>
        <w:t>NIMP</w:t>
      </w:r>
      <w:proofErr w:type="spellEnd"/>
      <w:r>
        <w:t xml:space="preserve"> 5 (pièce jointe 02 du document </w:t>
      </w:r>
      <w:proofErr w:type="spellStart"/>
      <w:r>
        <w:t>CPM</w:t>
      </w:r>
      <w:proofErr w:type="spellEnd"/>
      <w:r>
        <w:t> 2026/28, en anglais);</w:t>
      </w:r>
    </w:p>
    <w:p w14:paraId="7F280B03" w14:textId="77777777" w:rsidR="00B44466" w:rsidRPr="004A5365" w:rsidRDefault="00B44466" w:rsidP="00B44466">
      <w:pPr>
        <w:pStyle w:val="IPPNumberedList"/>
      </w:pPr>
      <w:r>
        <w:rPr>
          <w:i/>
          <w:iCs/>
        </w:rPr>
        <w:t>a</w:t>
      </w:r>
      <w:r>
        <w:t> </w:t>
      </w:r>
      <w:r>
        <w:rPr>
          <w:i/>
          <w:iCs/>
        </w:rPr>
        <w:t>noté</w:t>
      </w:r>
      <w:r>
        <w:t xml:space="preserve"> que les corrections seraient insérées dans toutes les versions des normes concernées établies dans les langues de la FAO, sous réserve de la disponibilité des ressources nécessaires;</w:t>
      </w:r>
    </w:p>
    <w:p w14:paraId="3E3B7EBB" w14:textId="5B7A243D" w:rsidR="00B44466" w:rsidRDefault="00B44466" w:rsidP="00E72B8D">
      <w:pPr>
        <w:pStyle w:val="IPPNumberedList"/>
      </w:pPr>
      <w:r>
        <w:rPr>
          <w:i/>
          <w:iCs/>
        </w:rPr>
        <w:t xml:space="preserve">a noté </w:t>
      </w:r>
      <w:r>
        <w:t>qu</w:t>
      </w:r>
      <w:r w:rsidR="00097A03">
        <w:t>’</w:t>
      </w:r>
      <w:r>
        <w:t>une fois les corrections insérées par le secrétariat, les nouvelles versions des normes remplaceraient les versions précédentes.</w:t>
      </w:r>
    </w:p>
    <w:p w14:paraId="06679061" w14:textId="5B987055" w:rsidR="001A2904" w:rsidRPr="005C660F" w:rsidRDefault="001A2904" w:rsidP="001A2904">
      <w:pPr>
        <w:pStyle w:val="IPPHeading1"/>
      </w:pPr>
      <w:r>
        <w:rPr>
          <w:bCs/>
        </w:rPr>
        <w:t>12.</w:t>
      </w:r>
      <w:r>
        <w:tab/>
        <w:t xml:space="preserve">Recommandations de la </w:t>
      </w:r>
      <w:proofErr w:type="spellStart"/>
      <w:r>
        <w:t>CMP</w:t>
      </w:r>
      <w:proofErr w:type="spellEnd"/>
    </w:p>
    <w:p w14:paraId="4E1A93E8" w14:textId="1859CAC4" w:rsidR="001A2904" w:rsidRPr="005C660F" w:rsidRDefault="001A2904" w:rsidP="001A2904">
      <w:pPr>
        <w:pStyle w:val="IPPParagraphnumbering"/>
      </w:pPr>
      <w:r>
        <w:t xml:space="preserve">Le Président de la </w:t>
      </w:r>
      <w:proofErr w:type="spellStart"/>
      <w:r>
        <w:t>CMP</w:t>
      </w:r>
      <w:proofErr w:type="spellEnd"/>
      <w:r>
        <w:t xml:space="preserve"> s</w:t>
      </w:r>
      <w:r w:rsidR="00097A03">
        <w:t>’</w:t>
      </w:r>
      <w:r>
        <w:t>est référé au document établi pour ce point de l</w:t>
      </w:r>
      <w:r w:rsidR="00097A03">
        <w:t>’</w:t>
      </w:r>
      <w:r>
        <w:t>ordre du jour, qui présentait le contexte de l</w:t>
      </w:r>
      <w:r w:rsidR="00097A03">
        <w:t>’</w:t>
      </w:r>
      <w:r>
        <w:t xml:space="preserve">élaboration des recommandations de la </w:t>
      </w:r>
      <w:proofErr w:type="spellStart"/>
      <w:r>
        <w:t>CMP</w:t>
      </w:r>
      <w:proofErr w:type="spellEnd"/>
      <w:r w:rsidRPr="005C660F">
        <w:rPr>
          <w:rStyle w:val="Appelnotedebasdep"/>
          <w:lang w:val="en-GB"/>
        </w:rPr>
        <w:footnoteReference w:id="29"/>
      </w:r>
      <w:r>
        <w:t>.</w:t>
      </w:r>
    </w:p>
    <w:p w14:paraId="6CA90DBC" w14:textId="77777777" w:rsidR="001A2904" w:rsidRPr="005C660F" w:rsidRDefault="001A2904" w:rsidP="001A2904">
      <w:pPr>
        <w:pStyle w:val="IPPParagraphnumberingclose"/>
      </w:pPr>
      <w:r>
        <w:t xml:space="preserve">La </w:t>
      </w:r>
      <w:proofErr w:type="spellStart"/>
      <w:r>
        <w:t>CMP</w:t>
      </w:r>
      <w:proofErr w:type="spellEnd"/>
      <w:r>
        <w:t xml:space="preserve">: </w:t>
      </w:r>
    </w:p>
    <w:p w14:paraId="2C80D910" w14:textId="5F74F08C" w:rsidR="001A2904" w:rsidRPr="005C660F" w:rsidRDefault="001A2904" w:rsidP="001A2904">
      <w:pPr>
        <w:pStyle w:val="IPPNumberedList"/>
        <w:numPr>
          <w:ilvl w:val="0"/>
          <w:numId w:val="41"/>
        </w:numPr>
      </w:pPr>
      <w:r>
        <w:rPr>
          <w:i/>
          <w:iCs/>
        </w:rPr>
        <w:t>a noté</w:t>
      </w:r>
      <w:r>
        <w:t xml:space="preserve"> qu</w:t>
      </w:r>
      <w:r w:rsidR="00097A03">
        <w:t>’</w:t>
      </w:r>
      <w:r>
        <w:t xml:space="preserve">aucune proposition de recommandation de la </w:t>
      </w:r>
      <w:proofErr w:type="spellStart"/>
      <w:r>
        <w:t>CMP</w:t>
      </w:r>
      <w:proofErr w:type="spellEnd"/>
      <w:r>
        <w:t xml:space="preserve"> n</w:t>
      </w:r>
      <w:r w:rsidR="00097A03">
        <w:t>’</w:t>
      </w:r>
      <w:r>
        <w:t>avait été soumise au secrétariat depuis sa 19</w:t>
      </w:r>
      <w:r>
        <w:rPr>
          <w:vertAlign w:val="superscript"/>
        </w:rPr>
        <w:t>e</w:t>
      </w:r>
      <w:r>
        <w:t xml:space="preserve"> session (2025);</w:t>
      </w:r>
    </w:p>
    <w:p w14:paraId="661406B6" w14:textId="77777777" w:rsidR="001A2904" w:rsidRDefault="001A2904" w:rsidP="00E72B8D">
      <w:pPr>
        <w:pStyle w:val="IPPNumberedList"/>
      </w:pPr>
      <w:r>
        <w:rPr>
          <w:i/>
          <w:iCs/>
        </w:rPr>
        <w:t>a</w:t>
      </w:r>
      <w:r>
        <w:t xml:space="preserve"> </w:t>
      </w:r>
      <w:r>
        <w:rPr>
          <w:i/>
          <w:iCs/>
        </w:rPr>
        <w:t>encouragé</w:t>
      </w:r>
      <w:r>
        <w:t xml:space="preserve"> les parties contractantes, les </w:t>
      </w:r>
      <w:proofErr w:type="spellStart"/>
      <w:r>
        <w:t>ORPV</w:t>
      </w:r>
      <w:proofErr w:type="spellEnd"/>
      <w:r>
        <w:t xml:space="preserve">, les groupes de réflexion de la </w:t>
      </w:r>
      <w:proofErr w:type="spellStart"/>
      <w:r>
        <w:t>CMP</w:t>
      </w:r>
      <w:proofErr w:type="spellEnd"/>
      <w:r>
        <w:t xml:space="preserve">, les autres organes subsidiaires et le secrétariat à envisager de soumettre au secrétariat de nouvelles propositions de recommandations de la </w:t>
      </w:r>
      <w:proofErr w:type="spellStart"/>
      <w:r>
        <w:t>CMP</w:t>
      </w:r>
      <w:proofErr w:type="spellEnd"/>
      <w:r>
        <w:t>, en vue de leur présentation à la Commission.</w:t>
      </w:r>
    </w:p>
    <w:p w14:paraId="1EFC0E9C" w14:textId="77777777" w:rsidR="00B44466" w:rsidRPr="005C660F" w:rsidRDefault="00B44466" w:rsidP="00B44466">
      <w:pPr>
        <w:pStyle w:val="IPPHeading2"/>
      </w:pPr>
      <w:r>
        <w:t>13.2</w:t>
      </w:r>
      <w:r>
        <w:tab/>
      </w:r>
      <w:proofErr w:type="spellStart"/>
      <w:r>
        <w:t>NIMP</w:t>
      </w:r>
      <w:proofErr w:type="spellEnd"/>
      <w:r>
        <w:t xml:space="preserve"> portant sur des marchandises ou des filières</w:t>
      </w:r>
    </w:p>
    <w:p w14:paraId="46C933BD" w14:textId="7D974E3C" w:rsidR="00B44466" w:rsidRPr="00120F0A" w:rsidRDefault="00B44466" w:rsidP="00B44466">
      <w:pPr>
        <w:pStyle w:val="IPPParagraphnumbering"/>
      </w:pPr>
      <w:r>
        <w:t>Le secrétariat a présenté des informations actualisées sur l</w:t>
      </w:r>
      <w:r w:rsidR="00097A03">
        <w:t>’</w:t>
      </w:r>
      <w:r>
        <w:t xml:space="preserve">élément du programme de développement relatif aux </w:t>
      </w:r>
      <w:proofErr w:type="spellStart"/>
      <w:r>
        <w:t>NIMP</w:t>
      </w:r>
      <w:proofErr w:type="spellEnd"/>
      <w:r>
        <w:t xml:space="preserve"> portant sur des marchandises ou des filières</w:t>
      </w:r>
      <w:r w:rsidRPr="00484320">
        <w:rPr>
          <w:rStyle w:val="Appelnotedebasdep"/>
          <w:lang w:val="en-GB"/>
        </w:rPr>
        <w:footnoteReference w:id="30"/>
      </w:r>
      <w:r>
        <w:t>, en décrivant dans les grandes lignes les progrès accomplis dans l</w:t>
      </w:r>
      <w:r w:rsidR="00097A03">
        <w:t>’</w:t>
      </w:r>
      <w:r>
        <w:t xml:space="preserve">élaboration de projets de normes concernant des marchandises (annexes à la </w:t>
      </w:r>
      <w:proofErr w:type="spellStart"/>
      <w:r>
        <w:t>NIMP</w:t>
      </w:r>
      <w:proofErr w:type="spellEnd"/>
      <w:r>
        <w:t> 46) et en rendant compte des débats menés au sein des organes de la CIPV au sujet des préoccupations qui avaient été exprimées quant au mauvais usage possible des normes concernant des marchandises et aux critères servant à déterminer quels organismes nuisibles y inclure. En réponse à ces préoccupations, le Comité des normes s</w:t>
      </w:r>
      <w:r w:rsidR="00097A03">
        <w:t>’</w:t>
      </w:r>
      <w:r>
        <w:t>était penché sur l</w:t>
      </w:r>
      <w:r w:rsidR="00097A03">
        <w:t>’</w:t>
      </w:r>
      <w:r>
        <w:t>emploi de la terminologie concernant l</w:t>
      </w:r>
      <w:r w:rsidR="00097A03">
        <w:t>’</w:t>
      </w:r>
      <w:r>
        <w:t>absence d</w:t>
      </w:r>
      <w:r w:rsidR="00097A03">
        <w:t>’</w:t>
      </w:r>
      <w:r>
        <w:t>organisme nuisible et a confirmé que le Groupe technique sur les normes relatives aux marchandises pouvait exercer pleinement son pouvoir d</w:t>
      </w:r>
      <w:r w:rsidR="00097A03">
        <w:t>’</w:t>
      </w:r>
      <w:r>
        <w:t>exclure un organisme nuisible si les éléments factuels fournis ne démontraient pas que la marchandise en question était un vecteur pour cet organisme nuisible. Par ailleurs, le secrétariat a fait référence à la proposition d</w:t>
      </w:r>
      <w:r w:rsidR="00097A03">
        <w:t>’</w:t>
      </w:r>
      <w:r>
        <w:t>organiser un atelier conjoint de la CIPV et de la Commission phytosanitaire pour l</w:t>
      </w:r>
      <w:r w:rsidR="00097A03">
        <w:t>’</w:t>
      </w:r>
      <w:r>
        <w:t>Asie et le Pacifique sur les normes concernant des marchandises</w:t>
      </w:r>
      <w:r w:rsidRPr="00120F0A">
        <w:rPr>
          <w:rStyle w:val="Appelnotedebasdep"/>
        </w:rPr>
        <w:footnoteReference w:id="31"/>
      </w:r>
      <w:r>
        <w:t>.</w:t>
      </w:r>
    </w:p>
    <w:p w14:paraId="2FD2B4ED" w14:textId="4B2E6292" w:rsidR="00B44466" w:rsidRPr="0066799F" w:rsidRDefault="00B44466" w:rsidP="007D677E">
      <w:pPr>
        <w:pStyle w:val="IPPParagraphnumbering"/>
        <w:keepNext/>
        <w:keepLines/>
      </w:pPr>
      <w:r>
        <w:t xml:space="preserve">La </w:t>
      </w:r>
      <w:proofErr w:type="spellStart"/>
      <w:r>
        <w:t>CMP</w:t>
      </w:r>
      <w:proofErr w:type="spellEnd"/>
      <w:r>
        <w:t xml:space="preserve"> a reconnu que, même si le sujet «Déplacements internationaux d</w:t>
      </w:r>
      <w:r w:rsidR="00097A03">
        <w:t>’</w:t>
      </w:r>
      <w:r>
        <w:t>oranges fraîches (</w:t>
      </w:r>
      <w:r>
        <w:rPr>
          <w:i/>
          <w:iCs/>
        </w:rPr>
        <w:t xml:space="preserve">Citrus </w:t>
      </w:r>
      <w:proofErr w:type="spellStart"/>
      <w:r>
        <w:rPr>
          <w:i/>
          <w:iCs/>
        </w:rPr>
        <w:t>sinensis</w:t>
      </w:r>
      <w:proofErr w:type="spellEnd"/>
      <w:r>
        <w:t>)» (2023-027) (priorité 2), entrait dans le champ du sujet «Déplacements internationaux d</w:t>
      </w:r>
      <w:r w:rsidR="00097A03">
        <w:t>’</w:t>
      </w:r>
      <w:r>
        <w:t>agrumes» (2023-019) (priorité 1), il serait prudent de ne pas le retirer du programme de travail tant que la norme relative aux agrumes n</w:t>
      </w:r>
      <w:r w:rsidR="00097A03">
        <w:t>’</w:t>
      </w:r>
      <w:r>
        <w:t xml:space="preserve">aura pas été adoptée, au cas où cette adoption se révèlerait impossible. </w:t>
      </w:r>
    </w:p>
    <w:p w14:paraId="4173A4B7" w14:textId="073BB90D" w:rsidR="00B44466" w:rsidRPr="0066799F" w:rsidRDefault="00B44466" w:rsidP="00B44466">
      <w:pPr>
        <w:pStyle w:val="IPPParagraphnumbering"/>
      </w:pPr>
      <w:r>
        <w:t xml:space="preserve">La </w:t>
      </w:r>
      <w:proofErr w:type="spellStart"/>
      <w:r>
        <w:t>CMP</w:t>
      </w:r>
      <w:proofErr w:type="spellEnd"/>
      <w:r>
        <w:t xml:space="preserve"> a pris note des préoccupations liées au fait que des organismes nuisibles à faible mobilité et des organismes nuisibles dont l</w:t>
      </w:r>
      <w:r w:rsidR="00097A03">
        <w:t>’</w:t>
      </w:r>
      <w:r>
        <w:t>association à une filière comporte un fort degré d</w:t>
      </w:r>
      <w:r w:rsidR="00097A03">
        <w:t>’</w:t>
      </w:r>
      <w:r>
        <w:t xml:space="preserve">incertitude </w:t>
      </w:r>
      <w:r>
        <w:lastRenderedPageBreak/>
        <w:t>continuaient d</w:t>
      </w:r>
      <w:r w:rsidR="00097A03">
        <w:t>’</w:t>
      </w:r>
      <w:r>
        <w:t>apparaître dans des projets de normes concernant des marchandises</w:t>
      </w:r>
      <w:r w:rsidRPr="0066799F">
        <w:rPr>
          <w:rStyle w:val="Appelnotedebasdep"/>
          <w:lang w:val="en-GB"/>
        </w:rPr>
        <w:footnoteReference w:id="32"/>
      </w:r>
      <w:r>
        <w:t xml:space="preserve"> et a reconnu combien il importait que les parties contractantes fournissent une justification technique lorsqu</w:t>
      </w:r>
      <w:r w:rsidR="00097A03">
        <w:t>’</w:t>
      </w:r>
      <w:r>
        <w:t>elles proposent d</w:t>
      </w:r>
      <w:r w:rsidR="00097A03">
        <w:t>’</w:t>
      </w:r>
      <w:r>
        <w:t>inclure des organismes nuisibles dans des projets de normes concernant des marchandises</w:t>
      </w:r>
      <w:r w:rsidRPr="0066799F">
        <w:rPr>
          <w:rStyle w:val="Appelnotedebasdep"/>
          <w:lang w:val="en-GB"/>
        </w:rPr>
        <w:footnoteReference w:id="33"/>
      </w:r>
      <w:r>
        <w:t xml:space="preserve">. La </w:t>
      </w:r>
      <w:proofErr w:type="spellStart"/>
      <w:r>
        <w:t>CMP</w:t>
      </w:r>
      <w:proofErr w:type="spellEnd"/>
      <w:r>
        <w:t xml:space="preserve"> a pris acte du fait que la </w:t>
      </w:r>
      <w:proofErr w:type="spellStart"/>
      <w:r>
        <w:t>NIMP</w:t>
      </w:r>
      <w:proofErr w:type="spellEnd"/>
      <w:r>
        <w:t> 46 contenait des garde-fous destinés à prévenir un mauvais usage ou une interprétation erronée de ses annexes et que le Comité des normes et le Groupe technique sur les normes relatives aux marchandises étaient en train d</w:t>
      </w:r>
      <w:r w:rsidR="00097A03">
        <w:t>’</w:t>
      </w:r>
      <w:r>
        <w:t xml:space="preserve">examiner plus avant les critères à suivre pour exclure des organismes nuisibles de projets de normes concernant des marchandises. La </w:t>
      </w:r>
      <w:proofErr w:type="spellStart"/>
      <w:r>
        <w:t>CMP</w:t>
      </w:r>
      <w:proofErr w:type="spellEnd"/>
      <w:r>
        <w:t xml:space="preserve"> a pris note de l</w:t>
      </w:r>
      <w:r w:rsidR="00097A03">
        <w:t>’</w:t>
      </w:r>
      <w:r>
        <w:t>appel lancé à la communauté de la CIPV et au Comité des normes pour qu</w:t>
      </w:r>
      <w:r w:rsidR="00097A03">
        <w:t>’</w:t>
      </w:r>
      <w:r>
        <w:t>ils continuent de consacrer suffisamment de temps à l</w:t>
      </w:r>
      <w:r w:rsidR="00097A03">
        <w:t>’</w:t>
      </w:r>
      <w:r>
        <w:t>élaboration de ce premier ensemble de normes afin de constituer une base solide pour les normes suivantes</w:t>
      </w:r>
      <w:r w:rsidRPr="0066799F">
        <w:rPr>
          <w:rStyle w:val="Appelnotedebasdep"/>
          <w:lang w:val="en-GB"/>
        </w:rPr>
        <w:footnoteReference w:id="34"/>
      </w:r>
      <w:r>
        <w:t>.</w:t>
      </w:r>
    </w:p>
    <w:p w14:paraId="12B0B0F5" w14:textId="02103C91" w:rsidR="00B44466" w:rsidRPr="0066799F" w:rsidRDefault="00B44466" w:rsidP="00B44466">
      <w:pPr>
        <w:pStyle w:val="IPPParagraphnumbering"/>
      </w:pPr>
      <w:r>
        <w:t xml:space="preserve">La </w:t>
      </w:r>
      <w:proofErr w:type="spellStart"/>
      <w:r>
        <w:t>CMP</w:t>
      </w:r>
      <w:proofErr w:type="spellEnd"/>
      <w:r>
        <w:t xml:space="preserve"> a examiné une proposition de la Commission phytosanitaire pour l</w:t>
      </w:r>
      <w:r w:rsidR="00097A03">
        <w:t>’</w:t>
      </w:r>
      <w:r>
        <w:t>Asie et le Pacifique, de la Nouvelle-Zélande et de la République de Corée d</w:t>
      </w:r>
      <w:r w:rsidR="00097A03">
        <w:t>’</w:t>
      </w:r>
      <w:r>
        <w:t>organiser un atelier conjoint de la CIPV et de la Commission sur les normes concernant des marchandises</w:t>
      </w:r>
      <w:r w:rsidRPr="0066799F">
        <w:rPr>
          <w:rStyle w:val="Appelnotedebasdep"/>
        </w:rPr>
        <w:footnoteReference w:id="35"/>
      </w:r>
      <w:r>
        <w:t>. Ces trois parties se disaient disposées à fournir un financement à ce titre. La Nouvelle-Zélande et les Philippines ont proposé de siéger au comité d</w:t>
      </w:r>
      <w:r w:rsidR="00097A03">
        <w:t>’</w:t>
      </w:r>
      <w:r>
        <w:t>organisation de l</w:t>
      </w:r>
      <w:r w:rsidR="00097A03">
        <w:t>’</w:t>
      </w:r>
      <w:r>
        <w:t xml:space="preserve">atelier. </w:t>
      </w:r>
    </w:p>
    <w:p w14:paraId="1F815636" w14:textId="77777777" w:rsidR="00B44466" w:rsidRPr="005C660F" w:rsidRDefault="00B44466" w:rsidP="00B44466">
      <w:pPr>
        <w:pStyle w:val="IPPParagraphnumberingclose"/>
      </w:pPr>
      <w:r>
        <w:t xml:space="preserve">La </w:t>
      </w:r>
      <w:proofErr w:type="spellStart"/>
      <w:r>
        <w:t>CMP</w:t>
      </w:r>
      <w:proofErr w:type="spellEnd"/>
      <w:r>
        <w:t>:</w:t>
      </w:r>
    </w:p>
    <w:p w14:paraId="3FD519BA" w14:textId="70784CE9" w:rsidR="00B44466" w:rsidRPr="005C660F" w:rsidRDefault="00B44466" w:rsidP="00B44466">
      <w:pPr>
        <w:pStyle w:val="IPPNumberedList"/>
        <w:numPr>
          <w:ilvl w:val="0"/>
          <w:numId w:val="58"/>
        </w:numPr>
      </w:pPr>
      <w:r>
        <w:rPr>
          <w:i/>
          <w:iCs/>
        </w:rPr>
        <w:t>a pris note</w:t>
      </w:r>
      <w:r>
        <w:t xml:space="preserve"> des informations actualisées sur l</w:t>
      </w:r>
      <w:r w:rsidR="00097A03">
        <w:t>’</w:t>
      </w:r>
      <w:r>
        <w:t xml:space="preserve">élément du programme de développement relatif aux </w:t>
      </w:r>
      <w:proofErr w:type="spellStart"/>
      <w:r>
        <w:t>NIMP</w:t>
      </w:r>
      <w:proofErr w:type="spellEnd"/>
      <w:r>
        <w:t xml:space="preserve"> portant sur des marchandises ou des filières;</w:t>
      </w:r>
    </w:p>
    <w:p w14:paraId="6D48D2AE" w14:textId="7FA40E07" w:rsidR="00B44466" w:rsidRPr="001104B6" w:rsidRDefault="00B44466" w:rsidP="00B44466">
      <w:pPr>
        <w:pStyle w:val="IPPNumberedList"/>
      </w:pPr>
      <w:r>
        <w:rPr>
          <w:i/>
          <w:iCs/>
        </w:rPr>
        <w:t>a approuvé</w:t>
      </w:r>
      <w:r>
        <w:t xml:space="preserve"> la proposition d</w:t>
      </w:r>
      <w:r w:rsidR="00097A03">
        <w:t>’</w:t>
      </w:r>
      <w:r>
        <w:t>organiser un atelier mondial conjoint de la CIPV et de la Commission phytosanitaire pour l</w:t>
      </w:r>
      <w:r w:rsidR="00097A03">
        <w:t>’</w:t>
      </w:r>
      <w:r>
        <w:t xml:space="preserve">Asie et le Pacifique sur les normes concernant des marchandises en juin 2027 et </w:t>
      </w:r>
      <w:r>
        <w:rPr>
          <w:i/>
          <w:iCs/>
        </w:rPr>
        <w:t>a demandé</w:t>
      </w:r>
      <w:r>
        <w:t xml:space="preserve"> que le secrétariat de la CIPV, en collaboration avec la Commission, crée un comité d</w:t>
      </w:r>
      <w:r w:rsidR="00097A03">
        <w:t>’</w:t>
      </w:r>
      <w:r>
        <w:t xml:space="preserve">organisation sous la supervision du Bureau de la </w:t>
      </w:r>
      <w:proofErr w:type="spellStart"/>
      <w:r>
        <w:t>CMP</w:t>
      </w:r>
      <w:proofErr w:type="spellEnd"/>
      <w:r>
        <w:t>;</w:t>
      </w:r>
    </w:p>
    <w:p w14:paraId="1DC73C72" w14:textId="7D7EFDB2" w:rsidR="00B44466" w:rsidRPr="005C660F" w:rsidRDefault="00B44466" w:rsidP="00E72B8D">
      <w:pPr>
        <w:pStyle w:val="IPPNumberedList"/>
      </w:pPr>
      <w:r>
        <w:rPr>
          <w:i/>
          <w:iCs/>
        </w:rPr>
        <w:t>a encouragé</w:t>
      </w:r>
      <w:r>
        <w:t xml:space="preserve"> les parties contractantes à participer activement à l</w:t>
      </w:r>
      <w:r w:rsidR="00097A03">
        <w:t>’</w:t>
      </w:r>
      <w:r>
        <w:t>appel à propositions de thèmes de la CIPV concernant les normes et la mise en œuvre qui était en cours et à tout futur appel à communication d</w:t>
      </w:r>
      <w:r w:rsidR="00097A03">
        <w:t>’</w:t>
      </w:r>
      <w:r>
        <w:t>informations aux fins de l</w:t>
      </w:r>
      <w:r w:rsidR="00097A03">
        <w:t>’</w:t>
      </w:r>
      <w:r>
        <w:t>élaboration de normes relatives à des marchandises.</w:t>
      </w:r>
    </w:p>
    <w:p w14:paraId="36C3B1BF" w14:textId="655E7CD8" w:rsidR="008C2C23" w:rsidRPr="002A1452" w:rsidRDefault="008C2C23" w:rsidP="008C2C23">
      <w:pPr>
        <w:pStyle w:val="IPPHeading2"/>
      </w:pPr>
      <w:r>
        <w:t>13.3</w:t>
      </w:r>
      <w:r>
        <w:tab/>
        <w:t>Gestion des filières du commerce électronique et de l</w:t>
      </w:r>
      <w:r w:rsidR="00097A03">
        <w:t>’</w:t>
      </w:r>
      <w:r>
        <w:t>envoi par voie postale ou par des services de livraison rapide</w:t>
      </w:r>
    </w:p>
    <w:p w14:paraId="0C86B093" w14:textId="34E13A99" w:rsidR="008C2C23" w:rsidRDefault="008C2C23" w:rsidP="008C2C23">
      <w:pPr>
        <w:pStyle w:val="IPPParagraphnumbering"/>
      </w:pPr>
      <w:r>
        <w:t>Le responsable de l</w:t>
      </w:r>
      <w:r w:rsidR="00097A03">
        <w:t>’</w:t>
      </w:r>
      <w:r>
        <w:t>Équipe chargée du commerce électronique, qui relève du Comité chargé de la mise en œuvre et du renforcement des capacités, a présenté des informations actualisées sur l</w:t>
      </w:r>
      <w:r w:rsidR="00097A03">
        <w:t>’</w:t>
      </w:r>
      <w:r>
        <w:t>élément du programme de développement relatif à la gestion des filières du commerce électronique et de l</w:t>
      </w:r>
      <w:r w:rsidR="00097A03">
        <w:t>’</w:t>
      </w:r>
      <w:r>
        <w:t>envoi par voie postale ou par des services de livraison rapide</w:t>
      </w:r>
      <w:r w:rsidRPr="00FE5C86">
        <w:rPr>
          <w:rStyle w:val="Appelnotedebasdep"/>
          <w:lang w:val="en-GB"/>
        </w:rPr>
        <w:footnoteReference w:id="36"/>
      </w:r>
      <w:r>
        <w:t xml:space="preserve">. Il a indiqué que la phase 1 des activités était achevée et que la </w:t>
      </w:r>
      <w:proofErr w:type="spellStart"/>
      <w:r>
        <w:t>CMP</w:t>
      </w:r>
      <w:proofErr w:type="spellEnd"/>
      <w:r>
        <w:t xml:space="preserve"> devait décider s</w:t>
      </w:r>
      <w:r w:rsidR="00097A03">
        <w:t>’</w:t>
      </w:r>
      <w:r>
        <w:t>il fallait entamer la phase 2 (2026-2030), en s</w:t>
      </w:r>
      <w:r w:rsidR="00097A03">
        <w:t>’</w:t>
      </w:r>
      <w:r>
        <w:t>appuyant sur les réalisations de la phase 1 et sur les conclusions et recommandations issues de l</w:t>
      </w:r>
      <w:r w:rsidR="00097A03">
        <w:t>’</w:t>
      </w:r>
      <w:r>
        <w:t>étude de l</w:t>
      </w:r>
      <w:r w:rsidR="00097A03">
        <w:t>’</w:t>
      </w:r>
      <w:r>
        <w:t xml:space="preserve">Observatoire de la CIPV sur le commerce électronique. La direction du Comité a prié la </w:t>
      </w:r>
      <w:proofErr w:type="spellStart"/>
      <w:r>
        <w:t>CMP</w:t>
      </w:r>
      <w:proofErr w:type="spellEnd"/>
      <w:r>
        <w:t xml:space="preserve"> de se référer à la feuille de route proposée pour une éventuelle phase 2 et aux ressources financières nécessaires pour l</w:t>
      </w:r>
      <w:r w:rsidR="00097A03">
        <w:t>’</w:t>
      </w:r>
      <w:r>
        <w:t>exécuter.</w:t>
      </w:r>
    </w:p>
    <w:p w14:paraId="2630B61F" w14:textId="63528455" w:rsidR="008C2C23" w:rsidRDefault="008C2C23" w:rsidP="008C2C23">
      <w:pPr>
        <w:pStyle w:val="IPPParagraphnumbering"/>
      </w:pPr>
      <w:r>
        <w:t xml:space="preserve">La </w:t>
      </w:r>
      <w:proofErr w:type="spellStart"/>
      <w:r>
        <w:t>CMP</w:t>
      </w:r>
      <w:proofErr w:type="spellEnd"/>
      <w:r>
        <w:t xml:space="preserve"> a pris note d</w:t>
      </w:r>
      <w:r w:rsidR="00097A03">
        <w:t>’</w:t>
      </w:r>
      <w:r>
        <w:t>une suggestion selon laquelle, idéalement, le rapport sur l</w:t>
      </w:r>
      <w:r w:rsidR="00097A03">
        <w:t>’</w:t>
      </w:r>
      <w:r>
        <w:t>étude menée par l</w:t>
      </w:r>
      <w:r w:rsidR="00097A03">
        <w:t>’</w:t>
      </w:r>
      <w:r>
        <w:t xml:space="preserve">Observatoire serait publié avant le passage à la phase 2, de sorte que les parties contractantes aient pleinement connaissance des conclusions de la phase 1 avant de convenir du démarrage de la phase 2. Cependant, compte tenu du caractère urgent de cet élément du programme de développement, la </w:t>
      </w:r>
      <w:proofErr w:type="spellStart"/>
      <w:r>
        <w:t>CMP</w:t>
      </w:r>
      <w:proofErr w:type="spellEnd"/>
      <w:r>
        <w:t xml:space="preserve"> est convenue de poursuivre, en précisant pour ses sessions futures qu</w:t>
      </w:r>
      <w:r w:rsidR="00097A03">
        <w:t>’</w:t>
      </w:r>
      <w:r>
        <w:t xml:space="preserve">il importait de disposer de rapports complets dès que possible. </w:t>
      </w:r>
    </w:p>
    <w:p w14:paraId="35C77803" w14:textId="77777777" w:rsidR="008C2C23" w:rsidRPr="002A1452" w:rsidRDefault="008C2C23" w:rsidP="008C2C23">
      <w:pPr>
        <w:pStyle w:val="IPPParagraphnumberingclose"/>
      </w:pPr>
      <w:r>
        <w:lastRenderedPageBreak/>
        <w:t xml:space="preserve">La </w:t>
      </w:r>
      <w:proofErr w:type="spellStart"/>
      <w:r>
        <w:t>CMP</w:t>
      </w:r>
      <w:proofErr w:type="spellEnd"/>
      <w:r>
        <w:t>:</w:t>
      </w:r>
    </w:p>
    <w:p w14:paraId="4053E022" w14:textId="104F91E6" w:rsidR="008C2C23" w:rsidRPr="002A1452" w:rsidRDefault="008C2C23" w:rsidP="008C2C23">
      <w:pPr>
        <w:pStyle w:val="IPPNumberedList"/>
        <w:numPr>
          <w:ilvl w:val="0"/>
          <w:numId w:val="16"/>
        </w:numPr>
      </w:pPr>
      <w:r>
        <w:rPr>
          <w:i/>
          <w:iCs/>
        </w:rPr>
        <w:t>a pris note</w:t>
      </w:r>
      <w:r>
        <w:t xml:space="preserve"> de la publication à venir de l</w:t>
      </w:r>
      <w:r w:rsidR="00097A03">
        <w:t>’</w:t>
      </w:r>
      <w:r>
        <w:t>étude de l</w:t>
      </w:r>
      <w:r w:rsidR="00097A03">
        <w:t>’</w:t>
      </w:r>
      <w:r>
        <w:t>Observatoire de la CIPV sur le commerce électronique;</w:t>
      </w:r>
    </w:p>
    <w:p w14:paraId="6CCA5868" w14:textId="2A4443F1" w:rsidR="008C2C23" w:rsidRPr="002A1452" w:rsidRDefault="008C2C23" w:rsidP="008C2C23">
      <w:pPr>
        <w:pStyle w:val="IPPNumberedList"/>
      </w:pPr>
      <w:r>
        <w:rPr>
          <w:i/>
          <w:iCs/>
        </w:rPr>
        <w:t>a invité</w:t>
      </w:r>
      <w:r>
        <w:t xml:space="preserve"> les parties contractantes et les </w:t>
      </w:r>
      <w:proofErr w:type="spellStart"/>
      <w:r>
        <w:t>ORPV</w:t>
      </w:r>
      <w:proofErr w:type="spellEnd"/>
      <w:r>
        <w:t xml:space="preserve"> à prendre des mesures aux niveaux national et régional sur la base des recommandations issues de l</w:t>
      </w:r>
      <w:r w:rsidR="00097A03">
        <w:t>’</w:t>
      </w:r>
      <w:r>
        <w:t>étude de l</w:t>
      </w:r>
      <w:r w:rsidR="00097A03">
        <w:t>’</w:t>
      </w:r>
      <w:r>
        <w:t>Observatoire de la CIPV sur le commerce électronique, telles que présentées à l</w:t>
      </w:r>
      <w:r w:rsidR="00097A03">
        <w:t>’</w:t>
      </w:r>
      <w:r>
        <w:t xml:space="preserve">appendice 1 du document </w:t>
      </w:r>
      <w:proofErr w:type="spellStart"/>
      <w:r>
        <w:t>CPM</w:t>
      </w:r>
      <w:proofErr w:type="spellEnd"/>
      <w:r>
        <w:t> 2026/15;</w:t>
      </w:r>
    </w:p>
    <w:p w14:paraId="29AE88BE" w14:textId="2B0EDD7C" w:rsidR="008C2C23" w:rsidRPr="0046644B" w:rsidRDefault="008C2C23" w:rsidP="008C2C23">
      <w:pPr>
        <w:pStyle w:val="IPPNumberedList"/>
      </w:pPr>
      <w:r>
        <w:rPr>
          <w:i/>
          <w:iCs/>
        </w:rPr>
        <w:t>a approuvé</w:t>
      </w:r>
      <w:r>
        <w:t xml:space="preserve"> la feuille de route proposée pour la phase 2 concernant l</w:t>
      </w:r>
      <w:r w:rsidR="00097A03">
        <w:t>’</w:t>
      </w:r>
      <w:r>
        <w:t>élément du programme de développement relatif à la gestion des filières du commerce électronique et de l</w:t>
      </w:r>
      <w:r w:rsidR="00097A03">
        <w:t>’</w:t>
      </w:r>
      <w:r>
        <w:t xml:space="preserve">envoi par voie postale ou par des services de livraison rapide (2026-2030) et </w:t>
      </w:r>
      <w:r>
        <w:rPr>
          <w:i/>
          <w:iCs/>
        </w:rPr>
        <w:t>est convenue</w:t>
      </w:r>
      <w:r>
        <w:t xml:space="preserve"> que la phase 2 devait commencer, </w:t>
      </w:r>
      <w:r>
        <w:rPr>
          <w:i/>
          <w:iCs/>
        </w:rPr>
        <w:t>en prenant note</w:t>
      </w:r>
      <w:r>
        <w:t xml:space="preserve"> des ressources financières nécessaires pour exécuter cette phase, telles que présentées à l</w:t>
      </w:r>
      <w:r w:rsidR="00097A03">
        <w:t>’</w:t>
      </w:r>
      <w:r>
        <w:t xml:space="preserve">appendice 2 du document </w:t>
      </w:r>
      <w:proofErr w:type="spellStart"/>
      <w:r>
        <w:t>CPM</w:t>
      </w:r>
      <w:proofErr w:type="spellEnd"/>
      <w:r>
        <w:t xml:space="preserve"> 2026/15; </w:t>
      </w:r>
    </w:p>
    <w:p w14:paraId="27C09759" w14:textId="77777777" w:rsidR="008C2C23" w:rsidRPr="005C660F" w:rsidRDefault="008C2C23" w:rsidP="00E72B8D">
      <w:pPr>
        <w:pStyle w:val="IPPNumberedList"/>
      </w:pPr>
      <w:r>
        <w:rPr>
          <w:i/>
          <w:iCs/>
        </w:rPr>
        <w:t>a pris acte</w:t>
      </w:r>
      <w:r>
        <w:t xml:space="preserve"> du fait que la mise en œuvre de la phase 2 était tributaire de la disponibilité de ressources financières suffisantes et </w:t>
      </w:r>
      <w:r>
        <w:rPr>
          <w:i/>
          <w:iCs/>
        </w:rPr>
        <w:t>a demandé</w:t>
      </w:r>
      <w:r>
        <w:t xml:space="preserve"> que le financement nécessaire soit assuré pour permettre son démarrage.</w:t>
      </w:r>
    </w:p>
    <w:p w14:paraId="0096425E" w14:textId="77777777" w:rsidR="008C2C23" w:rsidRPr="004A5365" w:rsidRDefault="008C2C23" w:rsidP="008C2C23">
      <w:pPr>
        <w:pStyle w:val="IPPHeading2"/>
      </w:pPr>
      <w:r>
        <w:t>13.4</w:t>
      </w:r>
      <w:r>
        <w:tab/>
        <w:t>Permettre le recours à des entités tierces</w:t>
      </w:r>
    </w:p>
    <w:p w14:paraId="1F7CD2B0" w14:textId="6634E633" w:rsidR="008C2C23" w:rsidRPr="00CB7AB6" w:rsidRDefault="008C2C23" w:rsidP="008C2C23">
      <w:pPr>
        <w:pStyle w:val="IPPParagraphnumbering"/>
        <w:rPr>
          <w:color w:val="000000" w:themeColor="text1"/>
        </w:rPr>
      </w:pPr>
      <w:r>
        <w:t>Le secrétariat a présenté des informations actualisées sur l</w:t>
      </w:r>
      <w:r w:rsidR="00097A03">
        <w:t>’</w:t>
      </w:r>
      <w:r>
        <w:t>élément du programme de développement relatif à l</w:t>
      </w:r>
      <w:r w:rsidR="00097A03">
        <w:t>’</w:t>
      </w:r>
      <w:r>
        <w:t>élaboration d</w:t>
      </w:r>
      <w:r w:rsidR="00097A03">
        <w:t>’</w:t>
      </w:r>
      <w:r>
        <w:t>orientations concernant le recours à des entités tierces</w:t>
      </w:r>
      <w:r w:rsidRPr="004A5365">
        <w:rPr>
          <w:rStyle w:val="Appelnotedebasdep"/>
          <w:lang w:val="en-GB"/>
        </w:rPr>
        <w:footnoteReference w:id="37"/>
      </w:r>
      <w:r>
        <w:t>, l</w:t>
      </w:r>
      <w:r w:rsidR="00097A03">
        <w:t>’</w:t>
      </w:r>
      <w:r>
        <w:t>objectif étant de mettre au point deux guides de la CIPV sur les autorisations accordées à des entités tierces et sur l</w:t>
      </w:r>
      <w:r w:rsidR="00097A03">
        <w:t>’</w:t>
      </w:r>
      <w:r>
        <w:t>audit dans le contexte phytosanitaire</w:t>
      </w:r>
      <w:r>
        <w:rPr>
          <w:color w:val="000000" w:themeColor="text1"/>
        </w:rPr>
        <w:t>. Le secrétariat a indiqué qu</w:t>
      </w:r>
      <w:r w:rsidR="00097A03">
        <w:rPr>
          <w:color w:val="000000" w:themeColor="text1"/>
        </w:rPr>
        <w:t>’</w:t>
      </w:r>
      <w:r>
        <w:rPr>
          <w:color w:val="000000" w:themeColor="text1"/>
        </w:rPr>
        <w:t>un appel à candidatures d</w:t>
      </w:r>
      <w:r w:rsidR="00097A03">
        <w:rPr>
          <w:color w:val="000000" w:themeColor="text1"/>
        </w:rPr>
        <w:t>’</w:t>
      </w:r>
      <w:r>
        <w:rPr>
          <w:color w:val="000000" w:themeColor="text1"/>
        </w:rPr>
        <w:t>experts et à communication de documents techniques avait été lancé en ce qui concerne le guide sur l</w:t>
      </w:r>
      <w:r w:rsidR="00097A03">
        <w:rPr>
          <w:color w:val="000000" w:themeColor="text1"/>
        </w:rPr>
        <w:t>’</w:t>
      </w:r>
      <w:r>
        <w:rPr>
          <w:color w:val="000000" w:themeColor="text1"/>
        </w:rPr>
        <w:t>audit et que le Comité chargé de la mise en œuvre et du renforcement des capacités était convenu que les travaux consacrés au guide sur les autorisations débuteraient une fois que la première version du projet de guide sur l</w:t>
      </w:r>
      <w:r w:rsidR="00097A03">
        <w:rPr>
          <w:color w:val="000000" w:themeColor="text1"/>
        </w:rPr>
        <w:t>’</w:t>
      </w:r>
      <w:r>
        <w:rPr>
          <w:color w:val="000000" w:themeColor="text1"/>
        </w:rPr>
        <w:t>audit serait disponible.</w:t>
      </w:r>
    </w:p>
    <w:p w14:paraId="12AB68CE" w14:textId="77777777" w:rsidR="008C2C23" w:rsidRPr="004A5365" w:rsidRDefault="008C2C23" w:rsidP="008C2C23">
      <w:pPr>
        <w:pStyle w:val="IPPParagraphnumberingclose"/>
      </w:pPr>
      <w:r>
        <w:t xml:space="preserve">La </w:t>
      </w:r>
      <w:proofErr w:type="spellStart"/>
      <w:r>
        <w:t>CMP</w:t>
      </w:r>
      <w:proofErr w:type="spellEnd"/>
      <w:r>
        <w:t>:</w:t>
      </w:r>
    </w:p>
    <w:p w14:paraId="54E07506" w14:textId="53AB27D5" w:rsidR="008C2C23" w:rsidRPr="004A5365" w:rsidRDefault="008C2C23" w:rsidP="008C2C23">
      <w:pPr>
        <w:pStyle w:val="IPPNumberedList"/>
        <w:numPr>
          <w:ilvl w:val="0"/>
          <w:numId w:val="44"/>
        </w:numPr>
      </w:pPr>
      <w:r>
        <w:rPr>
          <w:i/>
        </w:rPr>
        <w:t>a remercié</w:t>
      </w:r>
      <w:r>
        <w:t xml:space="preserve"> l</w:t>
      </w:r>
      <w:r w:rsidR="00097A03">
        <w:t>’</w:t>
      </w:r>
      <w:r>
        <w:t>Australie et le Canada pour les fonds destinés à l</w:t>
      </w:r>
      <w:r w:rsidR="00097A03">
        <w:t>’</w:t>
      </w:r>
      <w:r>
        <w:t xml:space="preserve">élaboration des guides intitulés </w:t>
      </w:r>
      <w:proofErr w:type="spellStart"/>
      <w:r>
        <w:rPr>
          <w:i/>
        </w:rPr>
        <w:t>Authorization</w:t>
      </w:r>
      <w:proofErr w:type="spellEnd"/>
      <w:r>
        <w:rPr>
          <w:i/>
        </w:rPr>
        <w:t xml:space="preserve"> of </w:t>
      </w:r>
      <w:proofErr w:type="spellStart"/>
      <w:r>
        <w:rPr>
          <w:i/>
        </w:rPr>
        <w:t>entities</w:t>
      </w:r>
      <w:proofErr w:type="spellEnd"/>
      <w:r>
        <w:rPr>
          <w:i/>
        </w:rPr>
        <w:t xml:space="preserve"> to </w:t>
      </w:r>
      <w:proofErr w:type="spellStart"/>
      <w:r>
        <w:rPr>
          <w:i/>
        </w:rPr>
        <w:t>perform</w:t>
      </w:r>
      <w:proofErr w:type="spellEnd"/>
      <w:r>
        <w:rPr>
          <w:i/>
        </w:rPr>
        <w:t xml:space="preserve"> </w:t>
      </w:r>
      <w:proofErr w:type="spellStart"/>
      <w:r>
        <w:rPr>
          <w:i/>
        </w:rPr>
        <w:t>phytosanitary</w:t>
      </w:r>
      <w:proofErr w:type="spellEnd"/>
      <w:r>
        <w:rPr>
          <w:i/>
        </w:rPr>
        <w:t xml:space="preserve"> actions</w:t>
      </w:r>
      <w:r>
        <w:t xml:space="preserve"> (2018-040) (Agrément des entités autorisées à mener des actions phytosanitaires) et </w:t>
      </w:r>
      <w:r>
        <w:rPr>
          <w:i/>
        </w:rPr>
        <w:t xml:space="preserve">Audit in the </w:t>
      </w:r>
      <w:proofErr w:type="spellStart"/>
      <w:r>
        <w:rPr>
          <w:i/>
        </w:rPr>
        <w:t>phytosanitary</w:t>
      </w:r>
      <w:proofErr w:type="spellEnd"/>
      <w:r>
        <w:rPr>
          <w:i/>
        </w:rPr>
        <w:t xml:space="preserve"> </w:t>
      </w:r>
      <w:proofErr w:type="spellStart"/>
      <w:r>
        <w:rPr>
          <w:i/>
        </w:rPr>
        <w:t>context</w:t>
      </w:r>
      <w:proofErr w:type="spellEnd"/>
      <w:r>
        <w:t xml:space="preserve"> (2021-009) (Audit dans le contexte phytosanitaire);</w:t>
      </w:r>
    </w:p>
    <w:p w14:paraId="41F642A1" w14:textId="58ABE454" w:rsidR="008C2C23" w:rsidRPr="004A5365" w:rsidRDefault="008C2C23" w:rsidP="008C2C23">
      <w:pPr>
        <w:pStyle w:val="IPPNumberedList"/>
      </w:pPr>
      <w:r>
        <w:rPr>
          <w:i/>
        </w:rPr>
        <w:t>a noté</w:t>
      </w:r>
      <w:r>
        <w:t xml:space="preserve"> que le travail portant sur l</w:t>
      </w:r>
      <w:r w:rsidR="00097A03">
        <w:t>’</w:t>
      </w:r>
      <w:r>
        <w:t>élément du programme de développement relatif à l</w:t>
      </w:r>
      <w:r w:rsidR="00097A03">
        <w:t>’</w:t>
      </w:r>
      <w:r>
        <w:t>élaboration d</w:t>
      </w:r>
      <w:r w:rsidR="00097A03">
        <w:t>’</w:t>
      </w:r>
      <w:r>
        <w:t>orientations concernant le recours à des entités tierces avait commencé;</w:t>
      </w:r>
    </w:p>
    <w:p w14:paraId="1F66FBBF" w14:textId="165C0012" w:rsidR="008C2C23" w:rsidRPr="004A5365" w:rsidRDefault="008C2C23" w:rsidP="00E72B8D">
      <w:pPr>
        <w:pStyle w:val="IPPNumberedList"/>
      </w:pPr>
      <w:r>
        <w:rPr>
          <w:i/>
        </w:rPr>
        <w:t>a encouragé</w:t>
      </w:r>
      <w:r>
        <w:t xml:space="preserve"> les parties contractantes à répondre à l</w:t>
      </w:r>
      <w:r w:rsidR="00097A03">
        <w:t>’</w:t>
      </w:r>
      <w:r>
        <w:t>appel à candidatures d</w:t>
      </w:r>
      <w:r w:rsidR="00097A03">
        <w:t>’</w:t>
      </w:r>
      <w:r>
        <w:t xml:space="preserve">experts pour le deuxième guide, intitulé </w:t>
      </w:r>
      <w:proofErr w:type="spellStart"/>
      <w:r>
        <w:rPr>
          <w:i/>
        </w:rPr>
        <w:t>Authorization</w:t>
      </w:r>
      <w:proofErr w:type="spellEnd"/>
      <w:r>
        <w:rPr>
          <w:i/>
        </w:rPr>
        <w:t xml:space="preserve"> of </w:t>
      </w:r>
      <w:proofErr w:type="spellStart"/>
      <w:r>
        <w:rPr>
          <w:i/>
        </w:rPr>
        <w:t>entities</w:t>
      </w:r>
      <w:proofErr w:type="spellEnd"/>
      <w:r>
        <w:rPr>
          <w:i/>
        </w:rPr>
        <w:t xml:space="preserve"> to </w:t>
      </w:r>
      <w:proofErr w:type="spellStart"/>
      <w:r>
        <w:rPr>
          <w:i/>
        </w:rPr>
        <w:t>perform</w:t>
      </w:r>
      <w:proofErr w:type="spellEnd"/>
      <w:r>
        <w:rPr>
          <w:i/>
        </w:rPr>
        <w:t xml:space="preserve"> </w:t>
      </w:r>
      <w:proofErr w:type="spellStart"/>
      <w:r>
        <w:rPr>
          <w:i/>
        </w:rPr>
        <w:t>phytosanitary</w:t>
      </w:r>
      <w:proofErr w:type="spellEnd"/>
      <w:r>
        <w:rPr>
          <w:i/>
        </w:rPr>
        <w:t xml:space="preserve"> actions</w:t>
      </w:r>
      <w:r>
        <w:t>, lors de son lancement en 2026.</w:t>
      </w:r>
    </w:p>
    <w:p w14:paraId="676157B3" w14:textId="427680F9" w:rsidR="008C2C23" w:rsidRPr="004A5365" w:rsidRDefault="008C2C23" w:rsidP="008C2C23">
      <w:pPr>
        <w:pStyle w:val="IPPHeading2"/>
      </w:pPr>
      <w:r>
        <w:t>13.5</w:t>
      </w:r>
      <w:r>
        <w:tab/>
        <w:t>Renforcement des systèmes d</w:t>
      </w:r>
      <w:r w:rsidR="00097A03">
        <w:t>’</w:t>
      </w:r>
      <w:r>
        <w:t>alerte et d</w:t>
      </w:r>
      <w:r w:rsidR="00097A03">
        <w:t>’</w:t>
      </w:r>
      <w:r>
        <w:t>intervention en cas d</w:t>
      </w:r>
      <w:r w:rsidR="00097A03">
        <w:t>’</w:t>
      </w:r>
      <w:r>
        <w:t>apparition de foyers d</w:t>
      </w:r>
      <w:r w:rsidR="00097A03">
        <w:t>’</w:t>
      </w:r>
      <w:r>
        <w:t>organismes nuisibles – Compte rendu du Groupe directeur</w:t>
      </w:r>
    </w:p>
    <w:p w14:paraId="1C6E5FEC" w14:textId="4AAE35D5" w:rsidR="008C2C23" w:rsidRDefault="008C2C23" w:rsidP="008C2C23">
      <w:pPr>
        <w:pStyle w:val="IPPParagraphnumbering"/>
      </w:pPr>
      <w:r>
        <w:t>La Présidente du Groupe directeur chargé du Système d</w:t>
      </w:r>
      <w:r w:rsidR="00097A03">
        <w:t>’</w:t>
      </w:r>
      <w:r>
        <w:t>alerte et d</w:t>
      </w:r>
      <w:r w:rsidR="00097A03">
        <w:t>’</w:t>
      </w:r>
      <w:r>
        <w:t>intervention en cas d</w:t>
      </w:r>
      <w:r w:rsidR="00097A03">
        <w:t>’</w:t>
      </w:r>
      <w:r>
        <w:t>apparition de foyers d</w:t>
      </w:r>
      <w:r w:rsidR="00097A03">
        <w:t>’</w:t>
      </w:r>
      <w:r>
        <w:t>organismes nuisibles (</w:t>
      </w:r>
      <w:proofErr w:type="spellStart"/>
      <w:r>
        <w:t>SAIFON</w:t>
      </w:r>
      <w:proofErr w:type="spellEnd"/>
      <w:r>
        <w:t>) a fait un compte rendu, dans lequel elle a présenté l</w:t>
      </w:r>
      <w:r w:rsidR="00097A03">
        <w:t>’</w:t>
      </w:r>
      <w:r>
        <w:t xml:space="preserve">objectif du </w:t>
      </w:r>
      <w:proofErr w:type="spellStart"/>
      <w:r>
        <w:t>SAIFON</w:t>
      </w:r>
      <w:proofErr w:type="spellEnd"/>
      <w:r>
        <w:t>, le processus permettant de recenser les organismes nuisibles d</w:t>
      </w:r>
      <w:r w:rsidR="00097A03">
        <w:t>’</w:t>
      </w:r>
      <w:r>
        <w:t>apparition récente constituant un sujet de préoccupation à l</w:t>
      </w:r>
      <w:r w:rsidR="00097A03">
        <w:t>’</w:t>
      </w:r>
      <w:r>
        <w:t>échelle mondiale et les résultats du cycle d</w:t>
      </w:r>
      <w:r w:rsidR="00097A03">
        <w:t>’</w:t>
      </w:r>
      <w:r>
        <w:t>évaluation 2025</w:t>
      </w:r>
      <w:r w:rsidRPr="004A5365">
        <w:rPr>
          <w:rStyle w:val="Appelnotedebasdep"/>
          <w:lang w:val="en-GB"/>
        </w:rPr>
        <w:footnoteReference w:id="38"/>
      </w:r>
      <w:r>
        <w:t xml:space="preserve">. Elle a en outre mis en lumière les synergies entre le </w:t>
      </w:r>
      <w:proofErr w:type="spellStart"/>
      <w:r>
        <w:t>SAIFON</w:t>
      </w:r>
      <w:proofErr w:type="spellEnd"/>
      <w:r>
        <w:t>, le Programme phytosanitaire pour l</w:t>
      </w:r>
      <w:r w:rsidR="00097A03">
        <w:t>’</w:t>
      </w:r>
      <w:r>
        <w:t>Afrique (</w:t>
      </w:r>
      <w:proofErr w:type="spellStart"/>
      <w:r>
        <w:t>PPA</w:t>
      </w:r>
      <w:proofErr w:type="spellEnd"/>
      <w:r>
        <w:t>) et la foire de l</w:t>
      </w:r>
      <w:r w:rsidR="00097A03">
        <w:t>’</w:t>
      </w:r>
      <w:r>
        <w:t>innovation sur la santé des végétaux organisée dans cadre de la 20</w:t>
      </w:r>
      <w:r>
        <w:rPr>
          <w:vertAlign w:val="superscript"/>
        </w:rPr>
        <w:t>e</w:t>
      </w:r>
      <w:r w:rsidR="00994E03">
        <w:t> </w:t>
      </w:r>
      <w:r>
        <w:t xml:space="preserve">session de la </w:t>
      </w:r>
      <w:proofErr w:type="spellStart"/>
      <w:r>
        <w:t>CMP</w:t>
      </w:r>
      <w:proofErr w:type="spellEnd"/>
      <w:r>
        <w:t xml:space="preserve"> (2026). Le secrétariat, qui a poursuivi la présentation, a expliqué que le </w:t>
      </w:r>
      <w:proofErr w:type="spellStart"/>
      <w:r>
        <w:t>SAIFON</w:t>
      </w:r>
      <w:proofErr w:type="spellEnd"/>
      <w:r>
        <w:t xml:space="preserve"> était en train de passer de la phase d</w:t>
      </w:r>
      <w:r w:rsidR="00097A03">
        <w:t>’</w:t>
      </w:r>
      <w:r>
        <w:t>évaluation pilote à la mise en œuvre opérationnelle. Le mandat du Groupe directeur était récemment arrivé à terme et le Bureau avait approuvé le mandat d</w:t>
      </w:r>
      <w:r w:rsidR="00097A03">
        <w:t>’</w:t>
      </w:r>
      <w:r>
        <w:t xml:space="preserve">un nouveau Groupe directeur, comme demandé par la </w:t>
      </w:r>
      <w:proofErr w:type="spellStart"/>
      <w:r>
        <w:t>CMP</w:t>
      </w:r>
      <w:proofErr w:type="spellEnd"/>
      <w:r>
        <w:t>, à sa 19</w:t>
      </w:r>
      <w:r>
        <w:rPr>
          <w:vertAlign w:val="superscript"/>
        </w:rPr>
        <w:t>e</w:t>
      </w:r>
      <w:r>
        <w:t xml:space="preserve"> session.</w:t>
      </w:r>
      <w:r>
        <w:rPr>
          <w:color w:val="00B050"/>
        </w:rPr>
        <w:t xml:space="preserve"> </w:t>
      </w:r>
      <w:r>
        <w:t xml:space="preserve">Par ailleurs, le secrétariat avait commencé à publier des alertes mondiales relatives aux organismes nuisibles (Global Pest </w:t>
      </w:r>
      <w:proofErr w:type="spellStart"/>
      <w:r>
        <w:t>Alerts</w:t>
      </w:r>
      <w:proofErr w:type="spellEnd"/>
      <w:r>
        <w:t xml:space="preserve">) et un </w:t>
      </w:r>
      <w:r>
        <w:lastRenderedPageBreak/>
        <w:t>résumé mensuel des signalements d</w:t>
      </w:r>
      <w:r w:rsidR="00097A03">
        <w:t>’</w:t>
      </w:r>
      <w:r>
        <w:t>organismes nuisibles de la CIPV (</w:t>
      </w:r>
      <w:proofErr w:type="spellStart"/>
      <w:r>
        <w:t>IPPC</w:t>
      </w:r>
      <w:proofErr w:type="spellEnd"/>
      <w:r>
        <w:t xml:space="preserve"> </w:t>
      </w:r>
      <w:proofErr w:type="spellStart"/>
      <w:r>
        <w:t>Monthly</w:t>
      </w:r>
      <w:proofErr w:type="spellEnd"/>
      <w:r>
        <w:t xml:space="preserve"> Pest </w:t>
      </w:r>
      <w:proofErr w:type="spellStart"/>
      <w:r>
        <w:t>Reporting</w:t>
      </w:r>
      <w:proofErr w:type="spellEnd"/>
      <w:r>
        <w:t xml:space="preserve"> </w:t>
      </w:r>
      <w:proofErr w:type="spellStart"/>
      <w:r>
        <w:t>Summaries</w:t>
      </w:r>
      <w:proofErr w:type="spellEnd"/>
      <w:r>
        <w:t xml:space="preserve">). Toutefois, les futures activités du </w:t>
      </w:r>
      <w:proofErr w:type="spellStart"/>
      <w:r>
        <w:t>SAIFON</w:t>
      </w:r>
      <w:proofErr w:type="spellEnd"/>
      <w:r>
        <w:t xml:space="preserve"> dépendraient du financement</w:t>
      </w:r>
      <w:r>
        <w:rPr>
          <w:rStyle w:val="Appelnotedebasdep"/>
          <w:lang w:val="en-GB"/>
        </w:rPr>
        <w:footnoteReference w:id="39"/>
      </w:r>
      <w:r>
        <w:t>.</w:t>
      </w:r>
    </w:p>
    <w:p w14:paraId="5162A631" w14:textId="77777777" w:rsidR="008C2C23" w:rsidRDefault="008C2C23" w:rsidP="008C2C23">
      <w:pPr>
        <w:pStyle w:val="IPPParagraphnumbering"/>
      </w:pPr>
      <w:r>
        <w:t xml:space="preserve">La </w:t>
      </w:r>
      <w:proofErr w:type="spellStart"/>
      <w:r>
        <w:t>CMP</w:t>
      </w:r>
      <w:proofErr w:type="spellEnd"/>
      <w:r>
        <w:t xml:space="preserve"> a remercié le Groupe directeur chargé du </w:t>
      </w:r>
      <w:proofErr w:type="spellStart"/>
      <w:r>
        <w:t>SAIFON</w:t>
      </w:r>
      <w:proofErr w:type="spellEnd"/>
      <w:r>
        <w:t xml:space="preserve"> pour le compte rendu et pour les progrès considérables que celui-ci avait accomplis</w:t>
      </w:r>
      <w:r w:rsidRPr="00C3439B">
        <w:rPr>
          <w:rStyle w:val="Appelnotedebasdep"/>
          <w:lang w:val="en-GB"/>
        </w:rPr>
        <w:footnoteReference w:id="40"/>
      </w:r>
      <w:r>
        <w:t>.</w:t>
      </w:r>
    </w:p>
    <w:p w14:paraId="508E8E40" w14:textId="39163FBF" w:rsidR="008C2C23" w:rsidRPr="00C3439B" w:rsidRDefault="008C2C23" w:rsidP="008C2C23">
      <w:pPr>
        <w:pStyle w:val="IPPParagraphnumbering"/>
      </w:pPr>
      <w:r>
        <w:t xml:space="preserve">La </w:t>
      </w:r>
      <w:proofErr w:type="spellStart"/>
      <w:r>
        <w:t>CMP</w:t>
      </w:r>
      <w:proofErr w:type="spellEnd"/>
      <w:r>
        <w:t xml:space="preserve"> est convenue qu</w:t>
      </w:r>
      <w:r w:rsidR="00097A03">
        <w:t>’</w:t>
      </w:r>
      <w:r>
        <w:t>il serait utile d</w:t>
      </w:r>
      <w:r w:rsidR="00097A03">
        <w:t>’</w:t>
      </w:r>
      <w:r>
        <w:t>évaluer quels étaient les objectifs des autres régions et des parties contractantes en ce qui concernait les activités de veille (par exemple, le projet d</w:t>
      </w:r>
      <w:r w:rsidR="00097A03">
        <w:t>’</w:t>
      </w:r>
      <w:proofErr w:type="spellStart"/>
      <w:r>
        <w:t>EUPHRESCO</w:t>
      </w:r>
      <w:proofErr w:type="spellEnd"/>
      <w:r>
        <w:t xml:space="preserve"> intitulé «Quantitative Horizon Scanning </w:t>
      </w:r>
      <w:proofErr w:type="spellStart"/>
      <w:r>
        <w:t>Using</w:t>
      </w:r>
      <w:proofErr w:type="spellEnd"/>
      <w:r>
        <w:t xml:space="preserve"> </w:t>
      </w:r>
      <w:proofErr w:type="spellStart"/>
      <w:r>
        <w:t>Climatic</w:t>
      </w:r>
      <w:proofErr w:type="spellEnd"/>
      <w:r>
        <w:t xml:space="preserve"> </w:t>
      </w:r>
      <w:proofErr w:type="spellStart"/>
      <w:r>
        <w:t>Modelling</w:t>
      </w:r>
      <w:proofErr w:type="spellEnd"/>
      <w:r>
        <w:t xml:space="preserve"> to </w:t>
      </w:r>
      <w:proofErr w:type="spellStart"/>
      <w:r>
        <w:t>Identify</w:t>
      </w:r>
      <w:proofErr w:type="spellEnd"/>
      <w:r>
        <w:t xml:space="preserve"> </w:t>
      </w:r>
      <w:proofErr w:type="spellStart"/>
      <w:r>
        <w:t>Species</w:t>
      </w:r>
      <w:proofErr w:type="spellEnd"/>
      <w:r>
        <w:t xml:space="preserve"> </w:t>
      </w:r>
      <w:proofErr w:type="spellStart"/>
      <w:r>
        <w:t>with</w:t>
      </w:r>
      <w:proofErr w:type="spellEnd"/>
      <w:r>
        <w:t xml:space="preserve"> the </w:t>
      </w:r>
      <w:proofErr w:type="spellStart"/>
      <w:r>
        <w:t>Potential</w:t>
      </w:r>
      <w:proofErr w:type="spellEnd"/>
      <w:r>
        <w:t xml:space="preserve"> to </w:t>
      </w:r>
      <w:proofErr w:type="spellStart"/>
      <w:r>
        <w:t>Become</w:t>
      </w:r>
      <w:proofErr w:type="spellEnd"/>
      <w:r>
        <w:t xml:space="preserve"> Plant </w:t>
      </w:r>
      <w:proofErr w:type="spellStart"/>
      <w:r>
        <w:t>Pests</w:t>
      </w:r>
      <w:proofErr w:type="spellEnd"/>
      <w:r>
        <w:t xml:space="preserve">» [Analyse prospective quantitative visant à recenser les espèces qui pourraient devenir des organismes nuisibles au moyen de la modélisation climatique]). Le secrétariat a confirmé que le mandat du nouveau Groupe directeur chargé du </w:t>
      </w:r>
      <w:proofErr w:type="spellStart"/>
      <w:r>
        <w:t>SAIFON</w:t>
      </w:r>
      <w:proofErr w:type="spellEnd"/>
      <w:r>
        <w:t xml:space="preserve"> était suffisamment large pour que celui-ci conduise cette évaluation. </w:t>
      </w:r>
    </w:p>
    <w:p w14:paraId="07F40F09" w14:textId="748BC5E4" w:rsidR="008C2C23" w:rsidRDefault="008C2C23" w:rsidP="008C2C23">
      <w:pPr>
        <w:pStyle w:val="IPPParagraphnumbering"/>
      </w:pPr>
      <w:r>
        <w:t>En réponse à des questions au sujet du motif de l</w:t>
      </w:r>
      <w:r w:rsidR="00097A03">
        <w:t>’</w:t>
      </w:r>
      <w:r>
        <w:t>absence de certains organismes nuisibles dans la liste des organismes nuisibles d</w:t>
      </w:r>
      <w:r w:rsidR="00097A03">
        <w:t>’</w:t>
      </w:r>
      <w:r>
        <w:t>apparition récente constituant un sujet de préoccupation à l</w:t>
      </w:r>
      <w:r w:rsidR="00097A03">
        <w:t>’</w:t>
      </w:r>
      <w:r>
        <w:t>échelle mondiale, le secrétariat a expliqué que les critères et la justification figuraient sur le PPI et a encouragé les parties contractantes à proposer des organismes nuisibles qui pourraient être évalués, car la liste était évolutive et pouvait être examinée à tout moment si de nouvelles informations étaient mises à disposition.</w:t>
      </w:r>
    </w:p>
    <w:p w14:paraId="38F18152" w14:textId="77777777" w:rsidR="008C2C23" w:rsidRPr="00E8385B" w:rsidRDefault="008C2C23" w:rsidP="008C2C23">
      <w:pPr>
        <w:pStyle w:val="IPPParagraphnumberingclose"/>
      </w:pPr>
      <w:r>
        <w:t xml:space="preserve">La </w:t>
      </w:r>
      <w:proofErr w:type="spellStart"/>
      <w:r>
        <w:t>CMP</w:t>
      </w:r>
      <w:proofErr w:type="spellEnd"/>
      <w:r>
        <w:t xml:space="preserve">: </w:t>
      </w:r>
    </w:p>
    <w:p w14:paraId="23FAF158" w14:textId="77777777" w:rsidR="008C2C23" w:rsidRPr="004A5365" w:rsidRDefault="008C2C23" w:rsidP="008C2C23">
      <w:pPr>
        <w:pStyle w:val="IPPNumberedList"/>
        <w:numPr>
          <w:ilvl w:val="0"/>
          <w:numId w:val="45"/>
        </w:numPr>
      </w:pPr>
      <w:r>
        <w:rPr>
          <w:i/>
          <w:iCs/>
        </w:rPr>
        <w:t>a pris</w:t>
      </w:r>
      <w:r>
        <w:t xml:space="preserve"> </w:t>
      </w:r>
      <w:r>
        <w:rPr>
          <w:i/>
        </w:rPr>
        <w:t>note</w:t>
      </w:r>
      <w:r>
        <w:t xml:space="preserve"> des progrès accomplis dans la mise en œuvre du </w:t>
      </w:r>
      <w:proofErr w:type="spellStart"/>
      <w:r>
        <w:t>SAIFON</w:t>
      </w:r>
      <w:proofErr w:type="spellEnd"/>
      <w:r>
        <w:t>, depuis la 19</w:t>
      </w:r>
      <w:r>
        <w:rPr>
          <w:vertAlign w:val="superscript"/>
        </w:rPr>
        <w:t>e</w:t>
      </w:r>
      <w:r>
        <w:t xml:space="preserve"> session de la </w:t>
      </w:r>
      <w:proofErr w:type="spellStart"/>
      <w:r>
        <w:t>CMP</w:t>
      </w:r>
      <w:proofErr w:type="spellEnd"/>
      <w:r>
        <w:t xml:space="preserve"> (2025);</w:t>
      </w:r>
    </w:p>
    <w:p w14:paraId="6D098C8A" w14:textId="2E4C2D27" w:rsidR="008C2C23" w:rsidRPr="004A5365" w:rsidRDefault="008C2C23" w:rsidP="008C2C23">
      <w:pPr>
        <w:pStyle w:val="IPPNumberedList"/>
      </w:pPr>
      <w:r>
        <w:rPr>
          <w:i/>
          <w:iCs/>
        </w:rPr>
        <w:t>a pris note</w:t>
      </w:r>
      <w:r>
        <w:t xml:space="preserve"> de la fin du mandat de l</w:t>
      </w:r>
      <w:r w:rsidR="00097A03">
        <w:t>’</w:t>
      </w:r>
      <w:r>
        <w:t xml:space="preserve">actuel Groupe directeur chargé du </w:t>
      </w:r>
      <w:proofErr w:type="spellStart"/>
      <w:r>
        <w:t>SAIFON</w:t>
      </w:r>
      <w:proofErr w:type="spellEnd"/>
      <w:r>
        <w:t xml:space="preserve"> et de l</w:t>
      </w:r>
      <w:r w:rsidR="00097A03">
        <w:t>’</w:t>
      </w:r>
      <w:r>
        <w:t>amorçage de la transition de gouvernance vers un nouveau Groupe directeur, dont le mandat a été approuvé par le Bureau, conformément aux demandes exprimées par la Commission, à sa 19</w:t>
      </w:r>
      <w:r>
        <w:rPr>
          <w:vertAlign w:val="superscript"/>
        </w:rPr>
        <w:t>e</w:t>
      </w:r>
      <w:r>
        <w:t> session;</w:t>
      </w:r>
    </w:p>
    <w:p w14:paraId="22618697" w14:textId="172E3085" w:rsidR="008C2C23" w:rsidRPr="004A5365" w:rsidRDefault="008C2C23" w:rsidP="008C2C23">
      <w:pPr>
        <w:pStyle w:val="IPPNumberedList"/>
      </w:pPr>
      <w:r>
        <w:rPr>
          <w:i/>
          <w:iCs/>
        </w:rPr>
        <w:t>a salué</w:t>
      </w:r>
      <w:r>
        <w:t xml:space="preserve"> la contribution apportée par les membres actuels du Groupe directeur (appendice X) et </w:t>
      </w:r>
      <w:r>
        <w:rPr>
          <w:i/>
          <w:iCs/>
        </w:rPr>
        <w:t>a</w:t>
      </w:r>
      <w:r w:rsidR="00994E03">
        <w:rPr>
          <w:i/>
          <w:iCs/>
        </w:rPr>
        <w:t> </w:t>
      </w:r>
      <w:r>
        <w:rPr>
          <w:i/>
          <w:iCs/>
        </w:rPr>
        <w:t>remercié</w:t>
      </w:r>
      <w:r>
        <w:t xml:space="preserve"> ceux-ci pour leur travail;</w:t>
      </w:r>
    </w:p>
    <w:p w14:paraId="12751D75" w14:textId="5A443C0F" w:rsidR="008C2C23" w:rsidRDefault="008C2C23" w:rsidP="00E72B8D">
      <w:pPr>
        <w:pStyle w:val="IPPNumberedList"/>
      </w:pPr>
      <w:r>
        <w:rPr>
          <w:i/>
          <w:iCs/>
        </w:rPr>
        <w:t>a pris acte</w:t>
      </w:r>
      <w:r>
        <w:t xml:space="preserve"> du lancement d</w:t>
      </w:r>
      <w:r w:rsidR="00097A03">
        <w:t>’</w:t>
      </w:r>
      <w:r>
        <w:t>activités de veille et du renforcement de la collaboration avec les partenaires stratégiques, en particulier CAB International, l</w:t>
      </w:r>
      <w:r w:rsidR="00097A03">
        <w:t>’</w:t>
      </w:r>
      <w:r>
        <w:t xml:space="preserve">Autorité européenne de sécurité des aliments et le </w:t>
      </w:r>
      <w:proofErr w:type="spellStart"/>
      <w:r>
        <w:t>PPA</w:t>
      </w:r>
      <w:proofErr w:type="spellEnd"/>
      <w:r>
        <w:t>.</w:t>
      </w:r>
    </w:p>
    <w:p w14:paraId="794DF6FE" w14:textId="77777777" w:rsidR="00CC42CC" w:rsidRPr="004A5365" w:rsidRDefault="00CC42CC" w:rsidP="00CC42CC">
      <w:pPr>
        <w:pStyle w:val="IPPHeading2"/>
      </w:pPr>
      <w:r>
        <w:t>13.6</w:t>
      </w:r>
      <w:r>
        <w:tab/>
        <w:t xml:space="preserve">Évaluation et gestion des effets du changement climatique sur la santé des végétaux – Compte rendu du Groupe de réflexion de la </w:t>
      </w:r>
      <w:proofErr w:type="spellStart"/>
      <w:r>
        <w:t>CMP</w:t>
      </w:r>
      <w:proofErr w:type="spellEnd"/>
    </w:p>
    <w:p w14:paraId="3F09541A" w14:textId="17A9E362" w:rsidR="00CC42CC" w:rsidRPr="009F6661" w:rsidRDefault="00CC42CC" w:rsidP="00CC42CC">
      <w:pPr>
        <w:pStyle w:val="IPPParagraphnumbering"/>
      </w:pPr>
      <w:r>
        <w:t xml:space="preserve">Le secrétariat a présenté un compte rendu du Groupe de réflexion de la </w:t>
      </w:r>
      <w:proofErr w:type="spellStart"/>
      <w:r>
        <w:t>CMP</w:t>
      </w:r>
      <w:proofErr w:type="spellEnd"/>
      <w:r>
        <w:t xml:space="preserve"> sur le changement climatique et les questions phytosanitaires, dont le mandat s</w:t>
      </w:r>
      <w:r w:rsidR="00097A03">
        <w:t>’</w:t>
      </w:r>
      <w:r>
        <w:t>est achevé à la présente réunion</w:t>
      </w:r>
      <w:r w:rsidRPr="009F6661">
        <w:rPr>
          <w:rStyle w:val="Appelnotedebasdep"/>
          <w:lang w:val="en-GB"/>
        </w:rPr>
        <w:footnoteReference w:id="41"/>
      </w:r>
      <w:r>
        <w:t>. Depuis le compte rendu présenté lors de la 19</w:t>
      </w:r>
      <w:r>
        <w:rPr>
          <w:vertAlign w:val="superscript"/>
        </w:rPr>
        <w:t>e</w:t>
      </w:r>
      <w:r>
        <w:t xml:space="preserve"> session de la </w:t>
      </w:r>
      <w:proofErr w:type="spellStart"/>
      <w:r>
        <w:t>CMP</w:t>
      </w:r>
      <w:proofErr w:type="spellEnd"/>
      <w:r>
        <w:t xml:space="preserve"> (2025), les activités suivantes ont été menées à bien: tenue d</w:t>
      </w:r>
      <w:r w:rsidR="00097A03">
        <w:t>’</w:t>
      </w:r>
      <w:r>
        <w:t>une série de webinaires, mise au point du contenu technique d</w:t>
      </w:r>
      <w:r w:rsidR="00097A03">
        <w:t>’</w:t>
      </w:r>
      <w:r>
        <w:t>un ensemble de fiches techniques et formulation de recommandations à l</w:t>
      </w:r>
      <w:r w:rsidR="00097A03">
        <w:t>’</w:t>
      </w:r>
      <w:r>
        <w:t>intention du Comité des normes sur la manière d</w:t>
      </w:r>
      <w:r w:rsidR="00097A03">
        <w:t>’</w:t>
      </w:r>
      <w:r>
        <w:t>intégrer les considérations liées au changement climatique dans les analyses des risques phytosanitaires. En octobre 2025, le Bureau a pris acte des contributions remarquables du Groupe de réflexion et a recommandé que les activités relatives au changement climatique soient intégrées dans les activités générales du secrétariat.</w:t>
      </w:r>
    </w:p>
    <w:p w14:paraId="63EC3D97" w14:textId="274DF1B7" w:rsidR="00CC42CC" w:rsidRPr="00FB4880" w:rsidRDefault="00CC42CC" w:rsidP="00CC42CC">
      <w:pPr>
        <w:pStyle w:val="IPPParagraphnumbering"/>
      </w:pPr>
      <w:r>
        <w:t xml:space="preserve">La </w:t>
      </w:r>
      <w:proofErr w:type="spellStart"/>
      <w:r>
        <w:t>CMP</w:t>
      </w:r>
      <w:proofErr w:type="spellEnd"/>
      <w:r>
        <w:t xml:space="preserve"> a noté qu</w:t>
      </w:r>
      <w:r w:rsidR="00097A03">
        <w:t>’</w:t>
      </w:r>
      <w:r>
        <w:t>une demande avait été formulée pour que les supports du Groupe de réflexion soient mis à disposition sur la page d</w:t>
      </w:r>
      <w:r w:rsidR="00097A03">
        <w:t>’</w:t>
      </w:r>
      <w:r>
        <w:t>accueil du PPI consacrée au changement climatique et pour que cette page soit mise à jour régulièrement.</w:t>
      </w:r>
      <w:r>
        <w:rPr>
          <w:i/>
        </w:rPr>
        <w:t xml:space="preserve"> </w:t>
      </w:r>
    </w:p>
    <w:p w14:paraId="7903A304" w14:textId="77777777" w:rsidR="00CC42CC" w:rsidRPr="00576E42" w:rsidRDefault="00CC42CC" w:rsidP="00CC42CC">
      <w:pPr>
        <w:pStyle w:val="IPPParagraphnumberingclose"/>
      </w:pPr>
      <w:r>
        <w:lastRenderedPageBreak/>
        <w:t xml:space="preserve">La </w:t>
      </w:r>
      <w:proofErr w:type="spellStart"/>
      <w:r>
        <w:t>CMP</w:t>
      </w:r>
      <w:proofErr w:type="spellEnd"/>
      <w:r>
        <w:t>:</w:t>
      </w:r>
    </w:p>
    <w:p w14:paraId="1B91D681" w14:textId="77777777" w:rsidR="00CC42CC" w:rsidRPr="004A5365" w:rsidRDefault="00CC42CC" w:rsidP="00CC42CC">
      <w:pPr>
        <w:pStyle w:val="IPPNumberedList"/>
        <w:numPr>
          <w:ilvl w:val="0"/>
          <w:numId w:val="46"/>
        </w:numPr>
      </w:pPr>
      <w:r>
        <w:rPr>
          <w:i/>
          <w:iCs/>
        </w:rPr>
        <w:t>a pris note</w:t>
      </w:r>
      <w:r>
        <w:t xml:space="preserve"> des progrès accomplis par le Groupe de réflexion de la </w:t>
      </w:r>
      <w:proofErr w:type="spellStart"/>
      <w:r>
        <w:t>CMP</w:t>
      </w:r>
      <w:proofErr w:type="spellEnd"/>
      <w:r>
        <w:t xml:space="preserve"> sur le changement climatique et les questions phytosanitaires depuis la 19</w:t>
      </w:r>
      <w:r>
        <w:rPr>
          <w:vertAlign w:val="superscript"/>
        </w:rPr>
        <w:t>e</w:t>
      </w:r>
      <w:r>
        <w:t xml:space="preserve"> session de la </w:t>
      </w:r>
      <w:proofErr w:type="spellStart"/>
      <w:r>
        <w:t>CMP</w:t>
      </w:r>
      <w:proofErr w:type="spellEnd"/>
      <w:r>
        <w:t xml:space="preserve"> (2025);</w:t>
      </w:r>
    </w:p>
    <w:p w14:paraId="44DEC4B1" w14:textId="77777777" w:rsidR="00CC42CC" w:rsidRPr="004A5365" w:rsidRDefault="00CC42CC" w:rsidP="00CC42CC">
      <w:pPr>
        <w:pStyle w:val="IPPNumberedList"/>
      </w:pPr>
      <w:r>
        <w:rPr>
          <w:i/>
          <w:iCs/>
        </w:rPr>
        <w:t xml:space="preserve">a salué </w:t>
      </w:r>
      <w:r>
        <w:t>et</w:t>
      </w:r>
      <w:r>
        <w:rPr>
          <w:i/>
          <w:iCs/>
        </w:rPr>
        <w:t xml:space="preserve"> a remercié</w:t>
      </w:r>
      <w:r>
        <w:t xml:space="preserve"> les membres du Groupe de réflexion (appendice X) pour leur engagement et leurs contributions techniques;</w:t>
      </w:r>
    </w:p>
    <w:p w14:paraId="312C8C20" w14:textId="27FBD0F2" w:rsidR="00CC42CC" w:rsidRDefault="00CC42CC" w:rsidP="00CC42CC">
      <w:pPr>
        <w:pStyle w:val="IPPNumberedList"/>
      </w:pPr>
      <w:r>
        <w:rPr>
          <w:i/>
          <w:iCs/>
        </w:rPr>
        <w:t>a approuvé</w:t>
      </w:r>
      <w:r>
        <w:t xml:space="preserve"> l</w:t>
      </w:r>
      <w:r w:rsidR="00097A03">
        <w:t>’</w:t>
      </w:r>
      <w:r>
        <w:t xml:space="preserve">intégration des activités restantes liées au climat dans les programmes et flux de travail en cours du secrétariat; </w:t>
      </w:r>
    </w:p>
    <w:p w14:paraId="15086897" w14:textId="77777777" w:rsidR="00CC42CC" w:rsidRPr="004A5365" w:rsidRDefault="00CC42CC" w:rsidP="00CC42CC">
      <w:pPr>
        <w:pStyle w:val="IPPNumberedList"/>
      </w:pPr>
      <w:r>
        <w:rPr>
          <w:i/>
        </w:rPr>
        <w:t>a demandé</w:t>
      </w:r>
      <w:r>
        <w:t xml:space="preserve"> que</w:t>
      </w:r>
      <w:r>
        <w:rPr>
          <w:i/>
        </w:rPr>
        <w:t xml:space="preserve"> </w:t>
      </w:r>
      <w:r>
        <w:t xml:space="preserve">le secrétariat et le Bureau présentent au Groupe de la planification stratégique, lors de sa réunion de 2026, puis à la </w:t>
      </w:r>
      <w:proofErr w:type="spellStart"/>
      <w:r>
        <w:t>CMP</w:t>
      </w:r>
      <w:proofErr w:type="spellEnd"/>
      <w:r>
        <w:t>, lors de sa 21</w:t>
      </w:r>
      <w:r>
        <w:rPr>
          <w:vertAlign w:val="superscript"/>
        </w:rPr>
        <w:t>e</w:t>
      </w:r>
      <w:r>
        <w:t> session (2027), un plan décrivant comment les activités relatives au changement climatique seront intégrées aux programmes et aux flux de travail en cours du secrétariat.</w:t>
      </w:r>
    </w:p>
    <w:p w14:paraId="6831DBE3" w14:textId="77777777" w:rsidR="00CC42CC" w:rsidRPr="005C660F" w:rsidRDefault="00CC42CC" w:rsidP="00CC42CC">
      <w:pPr>
        <w:pStyle w:val="IPPHeading2"/>
      </w:pPr>
      <w:r>
        <w:t>13.7</w:t>
      </w:r>
      <w:r>
        <w:tab/>
        <w:t xml:space="preserve">Coordination mondiale de la recherche phytosanitaire – Compte rendu du Groupe de réflexion de la </w:t>
      </w:r>
      <w:proofErr w:type="spellStart"/>
      <w:r>
        <w:t>CMP</w:t>
      </w:r>
      <w:proofErr w:type="spellEnd"/>
    </w:p>
    <w:p w14:paraId="5BCD7971" w14:textId="4FD9D8A0" w:rsidR="00CC42CC" w:rsidRPr="00417238" w:rsidRDefault="00CC42CC" w:rsidP="00CC42CC">
      <w:pPr>
        <w:pStyle w:val="IPPParagraphnumbering"/>
      </w:pPr>
      <w:r>
        <w:t xml:space="preserve">Le Président du Groupe de réflexion de la </w:t>
      </w:r>
      <w:proofErr w:type="spellStart"/>
      <w:r>
        <w:t>CMP</w:t>
      </w:r>
      <w:proofErr w:type="spellEnd"/>
      <w:r>
        <w:t xml:space="preserve"> sur la coordination mondiale de la recherche phytosanitaire a présenté un compte rendu des activités du groupe, dont le mandat s</w:t>
      </w:r>
      <w:r w:rsidR="00097A03">
        <w:t>’</w:t>
      </w:r>
      <w:r>
        <w:t>est achevé à la présente session</w:t>
      </w:r>
      <w:r w:rsidRPr="00EE6D67">
        <w:rPr>
          <w:rStyle w:val="Appelnotedebasdep"/>
          <w:lang w:val="en-GB"/>
        </w:rPr>
        <w:footnoteReference w:id="42"/>
      </w:r>
      <w:r>
        <w:t xml:space="preserve">. Le Président a indiqué que le Groupe de réflexion avait mené une étude exploratoire, dans le cadre de laquelle il avait recensé et analysé les réseaux de recherche existants et examiné les besoins et les exigences des </w:t>
      </w:r>
      <w:r w:rsidR="00097A03">
        <w:t>organisations nationales pour la protection des végétaux (</w:t>
      </w:r>
      <w:proofErr w:type="spellStart"/>
      <w:r>
        <w:t>ONPV</w:t>
      </w:r>
      <w:proofErr w:type="spellEnd"/>
      <w:r w:rsidR="00097A03">
        <w:t>)</w:t>
      </w:r>
      <w:r>
        <w:t>. Faisant fond sur cet exercice, le Groupe de réflexion a mis en lumière l</w:t>
      </w:r>
      <w:r w:rsidR="00097A03">
        <w:t>’</w:t>
      </w:r>
      <w:r>
        <w:t xml:space="preserve">existence de différents types de structures organisationnelles en ce qui concerne les réseaux de recherche, et a également relevé des lacunes dans la couverture et suggéré des solutions possibles pour y remédier. Le Groupe de réflexion a proposé que les réseaux de recherche existants soient regroupés avec les </w:t>
      </w:r>
      <w:proofErr w:type="spellStart"/>
      <w:r>
        <w:t>ONPV</w:t>
      </w:r>
      <w:proofErr w:type="spellEnd"/>
      <w:r>
        <w:t xml:space="preserve"> et les </w:t>
      </w:r>
      <w:proofErr w:type="spellStart"/>
      <w:r>
        <w:t>ORPV</w:t>
      </w:r>
      <w:proofErr w:type="spellEnd"/>
      <w:r>
        <w:t xml:space="preserve"> au sein d</w:t>
      </w:r>
      <w:r w:rsidR="00097A03">
        <w:t>’</w:t>
      </w:r>
      <w:r>
        <w:t>un cadre mondial et que l</w:t>
      </w:r>
      <w:r w:rsidR="00097A03">
        <w:t>’</w:t>
      </w:r>
      <w:r>
        <w:t>on prolonge son mandat pour qu</w:t>
      </w:r>
      <w:r w:rsidR="00097A03">
        <w:t>’</w:t>
      </w:r>
      <w:r>
        <w:t>il puisse mettre la dernière main à une proposition et élaborer un plan aux fins de la mise en œuvre du cadre.</w:t>
      </w:r>
    </w:p>
    <w:p w14:paraId="74B8C60E" w14:textId="7E3C2E3C" w:rsidR="00CC42CC" w:rsidRPr="003B5CBF" w:rsidRDefault="00CC42CC" w:rsidP="00CC42CC">
      <w:pPr>
        <w:pStyle w:val="IPPParagraphnumbering"/>
      </w:pPr>
      <w:r>
        <w:t xml:space="preserve">La </w:t>
      </w:r>
      <w:proofErr w:type="spellStart"/>
      <w:r>
        <w:t>CMP</w:t>
      </w:r>
      <w:proofErr w:type="spellEnd"/>
      <w:r>
        <w:t xml:space="preserve"> a examiné une suggestion préconisant, compte tenu de la complexité des réseaux de recherche, que l</w:t>
      </w:r>
      <w:r w:rsidR="00097A03">
        <w:t>’</w:t>
      </w:r>
      <w:r>
        <w:t>on étudie des approches moins coûteuses en lieu et place de la création d</w:t>
      </w:r>
      <w:r w:rsidR="00097A03">
        <w:t>’</w:t>
      </w:r>
      <w:r>
        <w:t>un cadre pour les réseaux de recherche qui serait placé sous les auspices de la CIPV, et que l</w:t>
      </w:r>
      <w:r w:rsidR="00097A03">
        <w:t>’</w:t>
      </w:r>
      <w:r>
        <w:t>on examine cette question lors de l</w:t>
      </w:r>
      <w:r w:rsidR="00097A03">
        <w:t>’</w:t>
      </w:r>
      <w:r>
        <w:t>élaboration du prochain cadre stratégique de la CIPV plutôt que de prolonger le mandat du Groupe de réflexion</w:t>
      </w:r>
      <w:r w:rsidRPr="003B5CBF">
        <w:rPr>
          <w:rStyle w:val="Appelnotedebasdep"/>
          <w:lang w:val="en-GB"/>
        </w:rPr>
        <w:footnoteReference w:id="43"/>
      </w:r>
      <w:r>
        <w:t>. Cependant, à la suite de diverses expressions de soutien allant dans le sens inverse, un consensus s</w:t>
      </w:r>
      <w:r w:rsidR="00097A03">
        <w:t>’</w:t>
      </w:r>
      <w:r>
        <w:t>est formé en faveur d</w:t>
      </w:r>
      <w:r w:rsidR="00097A03">
        <w:t>’</w:t>
      </w:r>
      <w:r>
        <w:t>un prolongement du mandat du Groupe de réflexion, comme cela avait été proposé.</w:t>
      </w:r>
    </w:p>
    <w:p w14:paraId="6F92F767" w14:textId="77777777" w:rsidR="00CC42CC" w:rsidRPr="005C660F" w:rsidRDefault="00CC42CC" w:rsidP="00CC42CC">
      <w:pPr>
        <w:pStyle w:val="IPPParagraphnumberingclose"/>
      </w:pPr>
      <w:r>
        <w:t xml:space="preserve">La </w:t>
      </w:r>
      <w:proofErr w:type="spellStart"/>
      <w:r>
        <w:t>CMP</w:t>
      </w:r>
      <w:proofErr w:type="spellEnd"/>
      <w:r>
        <w:t>:</w:t>
      </w:r>
    </w:p>
    <w:p w14:paraId="742A0F0B" w14:textId="100037B0" w:rsidR="00CC42CC" w:rsidRDefault="00CC42CC" w:rsidP="00CC42CC">
      <w:pPr>
        <w:pStyle w:val="IPPNumberedList"/>
        <w:numPr>
          <w:ilvl w:val="0"/>
          <w:numId w:val="47"/>
        </w:numPr>
      </w:pPr>
      <w:r>
        <w:rPr>
          <w:i/>
          <w:iCs/>
        </w:rPr>
        <w:t>a pris note</w:t>
      </w:r>
      <w:r>
        <w:t xml:space="preserve"> du rapport d</w:t>
      </w:r>
      <w:r w:rsidR="00097A03">
        <w:t>’</w:t>
      </w:r>
      <w:r>
        <w:t xml:space="preserve">étude exploratoire du Groupe de réflexion de la </w:t>
      </w:r>
      <w:proofErr w:type="spellStart"/>
      <w:r>
        <w:t>CMP</w:t>
      </w:r>
      <w:proofErr w:type="spellEnd"/>
      <w:r>
        <w:t xml:space="preserve"> sur la coordination mondiale de la recherche phytosanitaire; </w:t>
      </w:r>
    </w:p>
    <w:p w14:paraId="0C90171B" w14:textId="7974BC7A" w:rsidR="00CC42CC" w:rsidRPr="00D463F0" w:rsidRDefault="00CC42CC" w:rsidP="00CC42CC">
      <w:pPr>
        <w:pStyle w:val="IPPNumberedList"/>
        <w:numPr>
          <w:ilvl w:val="0"/>
          <w:numId w:val="47"/>
        </w:numPr>
      </w:pPr>
      <w:r>
        <w:rPr>
          <w:i/>
        </w:rPr>
        <w:t>a prolongé</w:t>
      </w:r>
      <w:r>
        <w:t xml:space="preserve"> le mandat du Groupe de réflexion jusqu</w:t>
      </w:r>
      <w:r w:rsidR="00097A03">
        <w:t>’</w:t>
      </w:r>
      <w:r>
        <w:t>à la fin de la 21</w:t>
      </w:r>
      <w:r>
        <w:rPr>
          <w:vertAlign w:val="superscript"/>
        </w:rPr>
        <w:t>e</w:t>
      </w:r>
      <w:r>
        <w:t xml:space="preserve"> session de la </w:t>
      </w:r>
      <w:proofErr w:type="spellStart"/>
      <w:r>
        <w:t>CMP</w:t>
      </w:r>
      <w:proofErr w:type="spellEnd"/>
      <w:r>
        <w:t xml:space="preserve"> (2027), en le chargeant de mettre la dernière main à une proposition de cadre stratégique et de recherche et d</w:t>
      </w:r>
      <w:r w:rsidR="00097A03">
        <w:t>’</w:t>
      </w:r>
      <w:r>
        <w:t>élaborer un plan de mise en œuvre du cadre.</w:t>
      </w:r>
    </w:p>
    <w:p w14:paraId="18FFFAF8" w14:textId="77777777" w:rsidR="00CC42CC" w:rsidRPr="005C660F" w:rsidRDefault="00CC42CC" w:rsidP="00CC42CC">
      <w:pPr>
        <w:pStyle w:val="IPPHeading2"/>
      </w:pPr>
      <w:r>
        <w:t>13.8</w:t>
      </w:r>
      <w:r>
        <w:tab/>
        <w:t xml:space="preserve">Réseau de laboratoires de diagnostic </w:t>
      </w:r>
    </w:p>
    <w:p w14:paraId="2F4BBF61" w14:textId="452907FE" w:rsidR="00CC42CC" w:rsidRPr="00F86199" w:rsidRDefault="00CC42CC" w:rsidP="00CC42CC">
      <w:pPr>
        <w:pStyle w:val="IPPParagraphnumbering"/>
      </w:pPr>
      <w:r>
        <w:t>Le secrétariat a présenté des informations actualisées sur l</w:t>
      </w:r>
      <w:r w:rsidR="00097A03">
        <w:t>’</w:t>
      </w:r>
      <w:r>
        <w:t>élément du programme de développement relatif au réseau de laboratoires de diagnostic</w:t>
      </w:r>
      <w:r w:rsidRPr="00F86199">
        <w:rPr>
          <w:rStyle w:val="Appelnotedebasdep"/>
          <w:lang w:val="en-GB"/>
        </w:rPr>
        <w:footnoteReference w:id="44"/>
      </w:r>
      <w:r>
        <w:t>. Le secrétariat a expliqué qu</w:t>
      </w:r>
      <w:r w:rsidR="00097A03">
        <w:t>’</w:t>
      </w:r>
      <w:r>
        <w:t xml:space="preserve">une évaluation initiale de la situation des réseaux de laboratoires de diagnostic avait été réalisée par un consultant mis à disposition à titre non onéreux et communiquée au Groupe de la planification stratégique en 2025. Les recommandations découlant de cette étude, énumérées dans le document correspondant à ce point de </w:t>
      </w:r>
      <w:r>
        <w:lastRenderedPageBreak/>
        <w:t>l</w:t>
      </w:r>
      <w:r w:rsidR="00097A03">
        <w:t>’</w:t>
      </w:r>
      <w:r>
        <w:t xml:space="preserve">ordre du jour, seront examinées par le Groupe de réflexion de la </w:t>
      </w:r>
      <w:proofErr w:type="spellStart"/>
      <w:r>
        <w:t>CMP</w:t>
      </w:r>
      <w:proofErr w:type="spellEnd"/>
      <w:r>
        <w:t xml:space="preserve"> à sa première réunion en présentiel, qui doit se tenir en juin 2026. La </w:t>
      </w:r>
      <w:proofErr w:type="spellStart"/>
      <w:r>
        <w:t>CMP</w:t>
      </w:r>
      <w:proofErr w:type="spellEnd"/>
      <w:r>
        <w:t xml:space="preserve"> a été invitée à formuler des observations d</w:t>
      </w:r>
      <w:r w:rsidR="00097A03">
        <w:t>’</w:t>
      </w:r>
      <w:r>
        <w:t>ici là.</w:t>
      </w:r>
    </w:p>
    <w:p w14:paraId="07F9CA6D" w14:textId="59588219" w:rsidR="00CC42CC" w:rsidRDefault="00CC42CC" w:rsidP="00CC42CC">
      <w:pPr>
        <w:pStyle w:val="IPPParagraphnumbering"/>
      </w:pPr>
      <w:r>
        <w:t xml:space="preserve">La </w:t>
      </w:r>
      <w:proofErr w:type="spellStart"/>
      <w:r>
        <w:t>CMP</w:t>
      </w:r>
      <w:proofErr w:type="spellEnd"/>
      <w:r>
        <w:t xml:space="preserve"> s</w:t>
      </w:r>
      <w:r w:rsidR="00097A03">
        <w:t>’</w:t>
      </w:r>
      <w:r>
        <w:t>est penchée sur une suggestion selon laquelle il serait peut-être nécessaire d</w:t>
      </w:r>
      <w:r w:rsidR="00097A03">
        <w:t>’</w:t>
      </w:r>
      <w:r>
        <w:t>examiner les tâches restantes du Groupe de réflexion afin de déterminer comment améliorer plutôt que dupliquer les réseaux de diagnostic existants et les principales recommandations issues du rapport final pourraient être prises en compte dans l</w:t>
      </w:r>
      <w:r w:rsidR="00097A03">
        <w:t>’</w:t>
      </w:r>
      <w:r>
        <w:t xml:space="preserve">élaboration du prochain cadre stratégique de la CIPV. La </w:t>
      </w:r>
      <w:proofErr w:type="spellStart"/>
      <w:r>
        <w:t>CMP</w:t>
      </w:r>
      <w:proofErr w:type="spellEnd"/>
      <w:r>
        <w:t xml:space="preserve"> a également pris note d</w:t>
      </w:r>
      <w:r w:rsidR="00097A03">
        <w:t>’</w:t>
      </w:r>
      <w:r>
        <w:t>une suggestion proposant que le Groupe de réflexion mène une nouvelle consultation, étant donné que les pays se trouvent à différents stades en ce qui concerne l</w:t>
      </w:r>
      <w:r w:rsidR="00097A03">
        <w:t>’</w:t>
      </w:r>
      <w:r>
        <w:t>accès à des réseaux de diagnostic.</w:t>
      </w:r>
    </w:p>
    <w:p w14:paraId="14D77771" w14:textId="77777777" w:rsidR="00CC42CC" w:rsidRPr="005C660F" w:rsidRDefault="00CC42CC" w:rsidP="00CC42CC">
      <w:pPr>
        <w:pStyle w:val="IPPParagraphnumberingclose"/>
      </w:pPr>
      <w:r>
        <w:t xml:space="preserve">La </w:t>
      </w:r>
      <w:proofErr w:type="spellStart"/>
      <w:r>
        <w:t>CMP</w:t>
      </w:r>
      <w:proofErr w:type="spellEnd"/>
      <w:r>
        <w:t xml:space="preserve">: </w:t>
      </w:r>
    </w:p>
    <w:p w14:paraId="290DD43D" w14:textId="64C387F2" w:rsidR="00CC42CC" w:rsidRPr="005C660F" w:rsidRDefault="00CC42CC" w:rsidP="008A40A5">
      <w:pPr>
        <w:pStyle w:val="IPPNumberedList"/>
        <w:numPr>
          <w:ilvl w:val="0"/>
          <w:numId w:val="62"/>
        </w:numPr>
      </w:pPr>
      <w:r>
        <w:rPr>
          <w:i/>
          <w:iCs/>
        </w:rPr>
        <w:t>a pris note</w:t>
      </w:r>
      <w:r>
        <w:t xml:space="preserve"> du document sur l</w:t>
      </w:r>
      <w:r w:rsidR="00097A03">
        <w:t>’</w:t>
      </w:r>
      <w:r>
        <w:t xml:space="preserve">élément du programme de développement relatif au réseau de laboratoires de diagnostic; </w:t>
      </w:r>
    </w:p>
    <w:p w14:paraId="1293E5C1" w14:textId="77777777" w:rsidR="00CC42CC" w:rsidRPr="0008527A" w:rsidRDefault="00CC42CC" w:rsidP="00CC42CC">
      <w:pPr>
        <w:pStyle w:val="IPPNumberedList"/>
      </w:pPr>
      <w:r>
        <w:rPr>
          <w:i/>
          <w:iCs/>
        </w:rPr>
        <w:t>a encouragé</w:t>
      </w:r>
      <w:r>
        <w:t xml:space="preserve"> les parties contractantes et les </w:t>
      </w:r>
      <w:proofErr w:type="spellStart"/>
      <w:r>
        <w:t>ORPV</w:t>
      </w:r>
      <w:proofErr w:type="spellEnd"/>
      <w:r>
        <w:t xml:space="preserve"> à adresser au secrétariat des observations sur les recommandations contenues dans ce rapport, en vue de leur examen par le Groupe de réflexion;</w:t>
      </w:r>
    </w:p>
    <w:p w14:paraId="4EE1DC6D" w14:textId="75A8532A" w:rsidR="00CC42CC" w:rsidRDefault="00CC42CC" w:rsidP="00CC42CC">
      <w:pPr>
        <w:pStyle w:val="IPPNumberedList"/>
      </w:pPr>
      <w:r>
        <w:rPr>
          <w:i/>
          <w:iCs/>
        </w:rPr>
        <w:t>a remercié</w:t>
      </w:r>
      <w:r>
        <w:t xml:space="preserve"> l</w:t>
      </w:r>
      <w:r w:rsidR="00097A03">
        <w:t>’</w:t>
      </w:r>
      <w:r>
        <w:t>Afrique du Sud pour sa contribution en nature, à savoir la mise à disposition d</w:t>
      </w:r>
      <w:r w:rsidR="00097A03">
        <w:t>’</w:t>
      </w:r>
      <w:r>
        <w:t>un consultant pour réaliser l</w:t>
      </w:r>
      <w:r w:rsidR="00097A03">
        <w:t>’</w:t>
      </w:r>
      <w:r>
        <w:t>évaluation initiale de la situation des réseaux de laboratoires de diagnostic;</w:t>
      </w:r>
    </w:p>
    <w:p w14:paraId="49D22E18" w14:textId="5E06F4D4" w:rsidR="00CC42CC" w:rsidRDefault="00CC42CC" w:rsidP="00CC42CC">
      <w:pPr>
        <w:pStyle w:val="IPPNumberedList"/>
      </w:pPr>
      <w:r>
        <w:rPr>
          <w:i/>
          <w:iCs/>
        </w:rPr>
        <w:t>a demandé</w:t>
      </w:r>
      <w:r>
        <w:t xml:space="preserve"> que le Bureau examine le mandat du Groupe de réflexion, en tenant compte des conclusions de l</w:t>
      </w:r>
      <w:r w:rsidR="00097A03">
        <w:t>’</w:t>
      </w:r>
      <w:r>
        <w:t>évaluation susmentionnée, et le modifie, le cas échéant;</w:t>
      </w:r>
    </w:p>
    <w:p w14:paraId="1F3F2929" w14:textId="77777777" w:rsidR="00CC42CC" w:rsidRDefault="00CC42CC" w:rsidP="00E72B8D">
      <w:pPr>
        <w:pStyle w:val="IPPNumberedList"/>
      </w:pPr>
      <w:r>
        <w:rPr>
          <w:i/>
          <w:iCs/>
        </w:rPr>
        <w:t>a demandé</w:t>
      </w:r>
      <w:r>
        <w:t xml:space="preserve"> que le Groupe de réflexion produise son rapport final en vue de sa présentation à la 22</w:t>
      </w:r>
      <w:r>
        <w:rPr>
          <w:vertAlign w:val="superscript"/>
        </w:rPr>
        <w:t>e</w:t>
      </w:r>
      <w:r>
        <w:t xml:space="preserve"> session de la </w:t>
      </w:r>
      <w:proofErr w:type="spellStart"/>
      <w:r>
        <w:t>CMP</w:t>
      </w:r>
      <w:proofErr w:type="spellEnd"/>
      <w:r>
        <w:t xml:space="preserve"> (2028).</w:t>
      </w:r>
    </w:p>
    <w:p w14:paraId="1DB02697" w14:textId="77777777" w:rsidR="00CC42CC" w:rsidRPr="004A5365" w:rsidRDefault="00CC42CC" w:rsidP="00CC42CC">
      <w:pPr>
        <w:pStyle w:val="IPPHeading2"/>
      </w:pPr>
      <w:r>
        <w:t>13.9</w:t>
      </w:r>
      <w:r>
        <w:tab/>
        <w:t>Observatoire de la CIPV– Rapport intérimaire sur les activités de 2025 et plan de travail pour 2026</w:t>
      </w:r>
    </w:p>
    <w:p w14:paraId="09C5294E" w14:textId="5F0A54D7" w:rsidR="00CC42CC" w:rsidRPr="009E5E6A" w:rsidRDefault="00CC42CC" w:rsidP="00CC42CC">
      <w:pPr>
        <w:pStyle w:val="IPPParagraphnumbering"/>
      </w:pPr>
      <w:r>
        <w:t>Le secrétariat a présenté un rapport intérimaire sur les activités menées par l</w:t>
      </w:r>
      <w:r w:rsidR="00097A03">
        <w:t>’</w:t>
      </w:r>
      <w:r>
        <w:t>Observatoire de la CIPV en 2025 et le plan de travail pour 2026</w:t>
      </w:r>
      <w:r w:rsidRPr="009E5E6A">
        <w:rPr>
          <w:rStyle w:val="Appelnotedebasdep"/>
          <w:lang w:val="en-GB"/>
        </w:rPr>
        <w:footnoteReference w:id="45"/>
      </w:r>
      <w:r>
        <w:t>. Les activités menées en 2025 comprennent l</w:t>
      </w:r>
      <w:r w:rsidR="00097A03">
        <w:t>’</w:t>
      </w:r>
      <w:r>
        <w:t>achèvement des enquêtes sur le commerce électronique et sur l</w:t>
      </w:r>
      <w:r w:rsidR="00097A03">
        <w:t>’</w:t>
      </w:r>
      <w:r>
        <w:t>utilisation des antimicrobiens, ainsi que la poursuite de la collaboration avec les observatoires du Codex Alimentarius et de l</w:t>
      </w:r>
      <w:r w:rsidR="00097A03">
        <w:t>’</w:t>
      </w:r>
      <w:r>
        <w:t>Organisation mondiale de la santé animale. Le plan de travail pour 2026 est axé sur le lancement de la troisième enquête générale de la CIPV, l</w:t>
      </w:r>
      <w:r w:rsidR="00097A03">
        <w:t>’</w:t>
      </w:r>
      <w:r>
        <w:t>obtention d</w:t>
      </w:r>
      <w:r w:rsidR="00097A03">
        <w:t>’</w:t>
      </w:r>
      <w:r>
        <w:t>un accord sur la voie à suivre concernant l</w:t>
      </w:r>
      <w:r w:rsidR="00097A03">
        <w:t>’</w:t>
      </w:r>
      <w:r>
        <w:t>examen et l</w:t>
      </w:r>
      <w:r w:rsidR="00097A03">
        <w:t>’</w:t>
      </w:r>
      <w:r>
        <w:t>évaluation finaux des éléments du programme de développement du Cadre stratégique de la CIPV pour 2020-2030, l</w:t>
      </w:r>
      <w:r w:rsidR="00097A03">
        <w:t>’</w:t>
      </w:r>
      <w:r>
        <w:t xml:space="preserve">examen des propositions de thèmes et la mobilisation de ressources. </w:t>
      </w:r>
    </w:p>
    <w:p w14:paraId="6BCE3C85" w14:textId="0609AF06" w:rsidR="00CC42CC" w:rsidRDefault="00CC42CC" w:rsidP="00CC42CC">
      <w:pPr>
        <w:pStyle w:val="IPPParagraphnumbering"/>
      </w:pPr>
      <w:r>
        <w:t xml:space="preserve">Le secrétariat a invité la </w:t>
      </w:r>
      <w:proofErr w:type="spellStart"/>
      <w:r>
        <w:t>CMP</w:t>
      </w:r>
      <w:proofErr w:type="spellEnd"/>
      <w:r>
        <w:t xml:space="preserve"> à envisager deux possibilités pour l</w:t>
      </w:r>
      <w:r w:rsidR="00097A03">
        <w:t>’</w:t>
      </w:r>
      <w:r>
        <w:t xml:space="preserve">évaluation finale du Cadre stratégique, mais la </w:t>
      </w:r>
      <w:proofErr w:type="spellStart"/>
      <w:r>
        <w:t>CMP</w:t>
      </w:r>
      <w:proofErr w:type="spellEnd"/>
      <w:r>
        <w:t xml:space="preserve"> a également étudié une autre suggestion, à savoir que l</w:t>
      </w:r>
      <w:r w:rsidR="00097A03">
        <w:t>’</w:t>
      </w:r>
      <w:r>
        <w:t>examen soit mené par un petit groupe rendant compte au Bureau, ou par le Bureau lui-même, sur la base d</w:t>
      </w:r>
      <w:r w:rsidR="00097A03">
        <w:t>’</w:t>
      </w:r>
      <w:r>
        <w:t>une évaluation des résultats des groupes de réflexion concernés et d</w:t>
      </w:r>
      <w:r w:rsidR="00097A03">
        <w:t>’</w:t>
      </w:r>
      <w:r>
        <w:t>autres activités pertinentes</w:t>
      </w:r>
      <w:r w:rsidRPr="00EB5D8A">
        <w:rPr>
          <w:rStyle w:val="Appelnotedebasdep"/>
          <w:lang w:val="en-GB"/>
        </w:rPr>
        <w:footnoteReference w:id="46"/>
      </w:r>
      <w:r>
        <w:t>. Cette approche n</w:t>
      </w:r>
      <w:r w:rsidR="00097A03">
        <w:t>’</w:t>
      </w:r>
      <w:r>
        <w:t xml:space="preserve">ayant pas fait consensus, la </w:t>
      </w:r>
      <w:proofErr w:type="spellStart"/>
      <w:r>
        <w:t>CMP</w:t>
      </w:r>
      <w:proofErr w:type="spellEnd"/>
      <w:r>
        <w:t xml:space="preserve"> est convenue que l</w:t>
      </w:r>
      <w:r w:rsidR="00097A03">
        <w:t>’</w:t>
      </w:r>
      <w:r>
        <w:t>évaluation devait être menée par l</w:t>
      </w:r>
      <w:r w:rsidR="00097A03">
        <w:t>’</w:t>
      </w:r>
      <w:r>
        <w:t>Observatoire de la CIPV, comme prévu initialement, et a noté que cette activité entrait dans le cadre de son mandat.</w:t>
      </w:r>
    </w:p>
    <w:p w14:paraId="61F4BA71" w14:textId="0450EB3C" w:rsidR="00CC42CC" w:rsidRPr="007E4E73" w:rsidRDefault="00CC42CC" w:rsidP="00CC42CC">
      <w:pPr>
        <w:pStyle w:val="IPPParagraphnumbering"/>
      </w:pPr>
      <w:r>
        <w:t xml:space="preserve">La </w:t>
      </w:r>
      <w:proofErr w:type="spellStart"/>
      <w:r>
        <w:t>CMP</w:t>
      </w:r>
      <w:proofErr w:type="spellEnd"/>
      <w:r>
        <w:t xml:space="preserve"> a noté les avantages découlant du recrutement d</w:t>
      </w:r>
      <w:r w:rsidR="00097A03">
        <w:t>’</w:t>
      </w:r>
      <w:r>
        <w:t>un(e) spécialiste des enquêtes s</w:t>
      </w:r>
      <w:r w:rsidR="00097A03">
        <w:t>’</w:t>
      </w:r>
      <w:r>
        <w:t>agissant d</w:t>
      </w:r>
      <w:r w:rsidR="00097A03">
        <w:t>’</w:t>
      </w:r>
      <w:r>
        <w:t>assurer la conception d</w:t>
      </w:r>
      <w:r w:rsidR="00097A03">
        <w:t>’</w:t>
      </w:r>
      <w:r>
        <w:t>enquêtes d</w:t>
      </w:r>
      <w:r w:rsidR="00097A03">
        <w:t>’</w:t>
      </w:r>
      <w:r>
        <w:t>un niveau de qualité élevé et constant</w:t>
      </w:r>
      <w:r w:rsidRPr="007E4E73">
        <w:rPr>
          <w:rStyle w:val="Appelnotedebasdep"/>
          <w:lang w:val="en-GB"/>
        </w:rPr>
        <w:footnoteReference w:id="47"/>
      </w:r>
      <w:r>
        <w:t>.</w:t>
      </w:r>
    </w:p>
    <w:p w14:paraId="04A17245" w14:textId="77777777" w:rsidR="00CC42CC" w:rsidRPr="00FA22B6" w:rsidRDefault="00CC42CC" w:rsidP="00CC42CC">
      <w:pPr>
        <w:pStyle w:val="IPPParagraphnumberingclose"/>
      </w:pPr>
      <w:r>
        <w:t xml:space="preserve">La </w:t>
      </w:r>
      <w:proofErr w:type="spellStart"/>
      <w:r>
        <w:t>CMP</w:t>
      </w:r>
      <w:proofErr w:type="spellEnd"/>
      <w:r>
        <w:t>:</w:t>
      </w:r>
    </w:p>
    <w:p w14:paraId="40A98627" w14:textId="3251BE6E" w:rsidR="00CC42CC" w:rsidRPr="004A5365" w:rsidRDefault="00CC42CC" w:rsidP="00CC42CC">
      <w:pPr>
        <w:pStyle w:val="IPPNumberedList"/>
        <w:numPr>
          <w:ilvl w:val="0"/>
          <w:numId w:val="53"/>
        </w:numPr>
      </w:pPr>
      <w:r>
        <w:rPr>
          <w:i/>
        </w:rPr>
        <w:t>a pris note</w:t>
      </w:r>
      <w:r>
        <w:t xml:space="preserve"> de l</w:t>
      </w:r>
      <w:r w:rsidR="00097A03">
        <w:t>’</w:t>
      </w:r>
      <w:r>
        <w:t>état d</w:t>
      </w:r>
      <w:r w:rsidR="00097A03">
        <w:t>’</w:t>
      </w:r>
      <w:r>
        <w:t>avancement des activités prévues dans le plan de travail de l</w:t>
      </w:r>
      <w:r w:rsidR="00097A03">
        <w:t>’</w:t>
      </w:r>
      <w:r>
        <w:t>Observatoire de la CIPV pour 2025, notamment du fait que certaines activités n</w:t>
      </w:r>
      <w:r w:rsidR="00097A03">
        <w:t>’</w:t>
      </w:r>
      <w:r>
        <w:t>ont pas pu être terminées en raison du manque de financements spécifiques;</w:t>
      </w:r>
    </w:p>
    <w:p w14:paraId="428C4BC7" w14:textId="68DAC7B3" w:rsidR="00CC42CC" w:rsidRPr="004A5365" w:rsidRDefault="00CC42CC" w:rsidP="00CC42CC">
      <w:pPr>
        <w:pStyle w:val="IPPNumberedList"/>
      </w:pPr>
      <w:r>
        <w:rPr>
          <w:i/>
        </w:rPr>
        <w:lastRenderedPageBreak/>
        <w:t>a pris note</w:t>
      </w:r>
      <w:r>
        <w:t xml:space="preserve"> du plan de travail de l</w:t>
      </w:r>
      <w:r w:rsidR="00097A03">
        <w:t>’</w:t>
      </w:r>
      <w:r>
        <w:t>Observatoire de la CIPV pour 2026;</w:t>
      </w:r>
    </w:p>
    <w:p w14:paraId="1B43E152" w14:textId="1B6A6779" w:rsidR="00CC42CC" w:rsidRPr="004A5365" w:rsidRDefault="00CC42CC" w:rsidP="00CC42CC">
      <w:pPr>
        <w:pStyle w:val="IPPNumberedList"/>
      </w:pPr>
      <w:r>
        <w:rPr>
          <w:i/>
        </w:rPr>
        <w:t>a pris acte</w:t>
      </w:r>
      <w:r>
        <w:t xml:space="preserve"> de la décision prise par la </w:t>
      </w:r>
      <w:proofErr w:type="spellStart"/>
      <w:r>
        <w:t>CMP</w:t>
      </w:r>
      <w:proofErr w:type="spellEnd"/>
      <w:r>
        <w:t>, à sa 17</w:t>
      </w:r>
      <w:r>
        <w:rPr>
          <w:vertAlign w:val="superscript"/>
        </w:rPr>
        <w:t>e</w:t>
      </w:r>
      <w:r>
        <w:t> session (2023) et à sa 19</w:t>
      </w:r>
      <w:r>
        <w:rPr>
          <w:vertAlign w:val="superscript"/>
        </w:rPr>
        <w:t>e</w:t>
      </w:r>
      <w:r>
        <w:t xml:space="preserve"> session (2025), de </w:t>
      </w:r>
      <w:r>
        <w:rPr>
          <w:i/>
        </w:rPr>
        <w:t>demander</w:t>
      </w:r>
      <w:r>
        <w:t xml:space="preserve"> au secrétariat d</w:t>
      </w:r>
      <w:r w:rsidR="00097A03">
        <w:t>’</w:t>
      </w:r>
      <w:r>
        <w:t>envisager de créer un poste de responsable du programme chargé de la coordination, du suivi, de la communication d</w:t>
      </w:r>
      <w:r w:rsidR="00097A03">
        <w:t>’</w:t>
      </w:r>
      <w:r>
        <w:t xml:space="preserve">informations et de la mobilisation de fonds et de </w:t>
      </w:r>
      <w:r>
        <w:rPr>
          <w:i/>
        </w:rPr>
        <w:t>demander</w:t>
      </w:r>
      <w:r>
        <w:t xml:space="preserve"> au Bureau de mettre en œuvre cette décision; </w:t>
      </w:r>
    </w:p>
    <w:p w14:paraId="1627B9F8" w14:textId="5543F50B" w:rsidR="00CC42CC" w:rsidRPr="004A5365" w:rsidRDefault="00CC42CC" w:rsidP="00CC42CC">
      <w:pPr>
        <w:pStyle w:val="IPPNumberedList"/>
      </w:pPr>
      <w:r>
        <w:rPr>
          <w:i/>
        </w:rPr>
        <w:t>a demandé</w:t>
      </w:r>
      <w:r>
        <w:t xml:space="preserve"> que le Secrétaire de la CIPV collabore avec le Bureau s</w:t>
      </w:r>
      <w:r w:rsidR="00097A03">
        <w:t>’</w:t>
      </w:r>
      <w:r>
        <w:t>agissant d</w:t>
      </w:r>
      <w:r w:rsidR="00097A03">
        <w:t>’</w:t>
      </w:r>
      <w:r>
        <w:t>envisager la création, en 2026, d</w:t>
      </w:r>
      <w:r w:rsidR="00097A03">
        <w:t>’</w:t>
      </w:r>
      <w:r>
        <w:t>un poste de responsable du programme chargé de la coordination, du suivi, de la communication d</w:t>
      </w:r>
      <w:r w:rsidR="00097A03">
        <w:t>’</w:t>
      </w:r>
      <w:r>
        <w:t xml:space="preserve">informations et de la mobilisation de fonds; </w:t>
      </w:r>
    </w:p>
    <w:p w14:paraId="0D1614E5" w14:textId="7E930E67" w:rsidR="00CC42CC" w:rsidRDefault="00CC42CC" w:rsidP="00CC42CC">
      <w:pPr>
        <w:pStyle w:val="IPPNumberedList"/>
      </w:pPr>
      <w:r>
        <w:rPr>
          <w:i/>
        </w:rPr>
        <w:t xml:space="preserve">a encouragé </w:t>
      </w:r>
      <w:r>
        <w:t>les points de contact officiels de la CIPV à répondre à l</w:t>
      </w:r>
      <w:r w:rsidR="00097A03">
        <w:t>’</w:t>
      </w:r>
      <w:r>
        <w:t>appel à présentation de données sur la résistance aux antimicrobiens dans le domaine de la santé des végétaux, sur la plateforme de la FAO consacrée au suivi de la résistance aux antimicrobiens (</w:t>
      </w:r>
      <w:proofErr w:type="spellStart"/>
      <w:r>
        <w:t>InFARM</w:t>
      </w:r>
      <w:proofErr w:type="spellEnd"/>
      <w:r>
        <w:t>);</w:t>
      </w:r>
    </w:p>
    <w:p w14:paraId="232C58B4" w14:textId="0F3F68E9" w:rsidR="00CC42CC" w:rsidRPr="00D107DE" w:rsidRDefault="00CC42CC" w:rsidP="00CC42CC">
      <w:pPr>
        <w:pStyle w:val="IPPNumberedList"/>
      </w:pPr>
      <w:r>
        <w:rPr>
          <w:i/>
        </w:rPr>
        <w:t xml:space="preserve">a donné son accord </w:t>
      </w:r>
      <w:r>
        <w:t>à la conduite de l</w:t>
      </w:r>
      <w:r w:rsidR="00097A03">
        <w:t>’</w:t>
      </w:r>
      <w:r>
        <w:t>examen et de l</w:t>
      </w:r>
      <w:r w:rsidR="00097A03">
        <w:t>’</w:t>
      </w:r>
      <w:r>
        <w:t>évaluation finaux des éléments du programme de développement du Cadre stratégique de la CIPV pour 2020-2030 par l</w:t>
      </w:r>
      <w:r w:rsidR="00097A03">
        <w:t>’</w:t>
      </w:r>
      <w:r>
        <w:t>Observatoire de la CIPV en 2027, conformément au cadre de référence proposé à l</w:t>
      </w:r>
      <w:r w:rsidR="00097A03">
        <w:t>’</w:t>
      </w:r>
      <w:r>
        <w:t xml:space="preserve">appendice 3 du document </w:t>
      </w:r>
      <w:proofErr w:type="spellStart"/>
      <w:r>
        <w:t>CPM</w:t>
      </w:r>
      <w:proofErr w:type="spellEnd"/>
      <w:r>
        <w:t xml:space="preserve"> 2026/21, et a demandé que les ressources financières requises soient allouées au plus tard en 2026; </w:t>
      </w:r>
    </w:p>
    <w:p w14:paraId="7753BE1D" w14:textId="6FE38817" w:rsidR="00CC42CC" w:rsidRPr="004A5365" w:rsidRDefault="00CC42CC" w:rsidP="00CC42CC">
      <w:pPr>
        <w:pStyle w:val="IPPNumberedList"/>
      </w:pPr>
      <w:r>
        <w:rPr>
          <w:i/>
        </w:rPr>
        <w:t>a pris note</w:t>
      </w:r>
      <w:r>
        <w:t xml:space="preserve"> des efforts accomplis en vue de remanier et d</w:t>
      </w:r>
      <w:r w:rsidR="00097A03">
        <w:t>’</w:t>
      </w:r>
      <w:r>
        <w:t xml:space="preserve">uniformiser la troisième enquête générale de la CIPV; </w:t>
      </w:r>
    </w:p>
    <w:p w14:paraId="62B15EBC" w14:textId="34D927AB" w:rsidR="00CC42CC" w:rsidRPr="001D6BD4" w:rsidRDefault="00CC42CC" w:rsidP="00CC42CC">
      <w:pPr>
        <w:pStyle w:val="IPPNumberedList"/>
      </w:pPr>
      <w:r>
        <w:rPr>
          <w:i/>
        </w:rPr>
        <w:t>a</w:t>
      </w:r>
      <w:r>
        <w:t xml:space="preserve"> </w:t>
      </w:r>
      <w:r>
        <w:rPr>
          <w:i/>
        </w:rPr>
        <w:t xml:space="preserve">pris note </w:t>
      </w:r>
      <w:r>
        <w:t xml:space="preserve">du lancement de la troisième enquête générale de la CIPV remaniée au second semestre de 2026 et </w:t>
      </w:r>
      <w:r>
        <w:rPr>
          <w:i/>
          <w:iCs/>
        </w:rPr>
        <w:t>a appelé</w:t>
      </w:r>
      <w:r>
        <w:t xml:space="preserve"> les parti</w:t>
      </w:r>
      <w:r>
        <w:t xml:space="preserve">es contractantes à y participer activement et à y répondre; </w:t>
      </w:r>
    </w:p>
    <w:p w14:paraId="498C4A68" w14:textId="2E464F6D" w:rsidR="00CC42CC" w:rsidRPr="004A5365" w:rsidRDefault="00CC42CC" w:rsidP="00E72B8D">
      <w:pPr>
        <w:pStyle w:val="IPPNumberedList"/>
      </w:pPr>
      <w:r>
        <w:rPr>
          <w:i/>
        </w:rPr>
        <w:t>a remercié</w:t>
      </w:r>
      <w:r>
        <w:t xml:space="preserve"> le Gouvernement de la République de Corée pour ses contributions financières à l</w:t>
      </w:r>
      <w:r w:rsidR="00097A03">
        <w:t>’</w:t>
      </w:r>
      <w:r>
        <w:t xml:space="preserve">appui des activités relatives à la troisième enquête générale de la CIPV. </w:t>
      </w:r>
    </w:p>
    <w:p w14:paraId="6927AE65" w14:textId="77777777" w:rsidR="00CC42CC" w:rsidRPr="004A5365" w:rsidRDefault="00CC42CC" w:rsidP="00CC42CC">
      <w:pPr>
        <w:pStyle w:val="IPPHeading1"/>
      </w:pPr>
      <w:r>
        <w:rPr>
          <w:bCs/>
        </w:rPr>
        <w:t>14.</w:t>
      </w:r>
      <w:r>
        <w:tab/>
        <w:t xml:space="preserve">Compte rendu des autres groupes de réflexion de la </w:t>
      </w:r>
      <w:proofErr w:type="spellStart"/>
      <w:r>
        <w:t>CMP</w:t>
      </w:r>
      <w:proofErr w:type="spellEnd"/>
    </w:p>
    <w:p w14:paraId="325A578C" w14:textId="6E6BC0CC" w:rsidR="00CC42CC" w:rsidRPr="004A5365" w:rsidRDefault="00CC42CC" w:rsidP="00CC42CC">
      <w:pPr>
        <w:pStyle w:val="IPPHeading2"/>
      </w:pPr>
      <w:r>
        <w:t>14.1</w:t>
      </w:r>
      <w:r>
        <w:tab/>
        <w:t xml:space="preserve">Rapport du Groupe de réflexion de la </w:t>
      </w:r>
      <w:proofErr w:type="spellStart"/>
      <w:r>
        <w:t>CMP</w:t>
      </w:r>
      <w:proofErr w:type="spellEnd"/>
      <w:r>
        <w:t xml:space="preserve"> sur la sécurité de l</w:t>
      </w:r>
      <w:r w:rsidR="00097A03">
        <w:t>’</w:t>
      </w:r>
      <w:r>
        <w:t>aide alimentaire et d</w:t>
      </w:r>
      <w:r w:rsidR="00097A03">
        <w:t>’</w:t>
      </w:r>
      <w:r>
        <w:t>autres aides humanitaires</w:t>
      </w:r>
    </w:p>
    <w:p w14:paraId="4EDD5D31" w14:textId="4CC7B4D8" w:rsidR="00CC42CC" w:rsidRPr="00F25FB6" w:rsidRDefault="00CC42CC" w:rsidP="00CC42CC">
      <w:pPr>
        <w:pStyle w:val="IPPParagraphnumbering"/>
      </w:pPr>
      <w:r>
        <w:t xml:space="preserve">La Vice-Présidente du Groupe de réflexion de la </w:t>
      </w:r>
      <w:proofErr w:type="spellStart"/>
      <w:r>
        <w:t>CMP</w:t>
      </w:r>
      <w:proofErr w:type="spellEnd"/>
      <w:r>
        <w:t xml:space="preserve"> sur la sécurité de l</w:t>
      </w:r>
      <w:r w:rsidR="00097A03">
        <w:t>’</w:t>
      </w:r>
      <w:r>
        <w:t>aide alimentaire et d</w:t>
      </w:r>
      <w:r w:rsidR="00097A03">
        <w:t>’</w:t>
      </w:r>
      <w:r>
        <w:t>autres aides humanitaires a présenté le rapport final du Groupe de réflexion</w:t>
      </w:r>
      <w:r w:rsidRPr="008F2A84">
        <w:rPr>
          <w:rStyle w:val="Appelnotedebasdep"/>
          <w:lang w:val="en-GB"/>
        </w:rPr>
        <w:footnoteReference w:id="48"/>
      </w:r>
      <w:r>
        <w:t>. Elle a confirmé que, étant donné que la séance scientifique avait bien eu lieu lors de la présente réunion (au lieu d</w:t>
      </w:r>
      <w:r w:rsidR="00097A03">
        <w:t>’</w:t>
      </w:r>
      <w:r>
        <w:t>un webinaire) et que le plan d</w:t>
      </w:r>
      <w:r w:rsidR="00097A03">
        <w:t>’</w:t>
      </w:r>
      <w:r>
        <w:t>action avait été présenté dans le rapport du Groupe de réflexion, ce dernier avait mené à bien toutes ses tâches et arrivait au terme de son mandat à la fin de la présente réunion. Elle a souligné que la fourniture d</w:t>
      </w:r>
      <w:r w:rsidR="00097A03">
        <w:t>’</w:t>
      </w:r>
      <w:r>
        <w:t>aide humanitaire était complexe et qu</w:t>
      </w:r>
      <w:r w:rsidR="00097A03">
        <w:t>’</w:t>
      </w:r>
      <w:r>
        <w:t>il était important de communiquer des messages clairs. Elle a en outre mis l</w:t>
      </w:r>
      <w:r w:rsidR="00097A03">
        <w:t>’</w:t>
      </w:r>
      <w:r>
        <w:t>accent sur le fait que le Groupe de réflexion avait travaillé selon le principe consistant à «ne pas nuire», conscient qu</w:t>
      </w:r>
      <w:r w:rsidR="00097A03">
        <w:t>’</w:t>
      </w:r>
      <w:r>
        <w:t xml:space="preserve">il était primordial de préserver la vie humaine: le but du projet de </w:t>
      </w:r>
      <w:proofErr w:type="spellStart"/>
      <w:r>
        <w:t>NIMP</w:t>
      </w:r>
      <w:proofErr w:type="spellEnd"/>
      <w:r>
        <w:t xml:space="preserve"> serait donc d</w:t>
      </w:r>
      <w:r w:rsidR="00097A03">
        <w:t>’</w:t>
      </w:r>
      <w:r>
        <w:t xml:space="preserve">aider les </w:t>
      </w:r>
      <w:proofErr w:type="spellStart"/>
      <w:r>
        <w:t>ONPV</w:t>
      </w:r>
      <w:proofErr w:type="spellEnd"/>
      <w:r>
        <w:t xml:space="preserve"> à exercer leurs fonctions sans retarder la fourniture d</w:t>
      </w:r>
      <w:r w:rsidR="00097A03">
        <w:t>’</w:t>
      </w:r>
      <w:r>
        <w:t xml:space="preserve">aide. </w:t>
      </w:r>
    </w:p>
    <w:p w14:paraId="1D4CF7A5" w14:textId="59557034" w:rsidR="00CC42CC" w:rsidRPr="007875B9" w:rsidRDefault="00CC42CC" w:rsidP="00CC42CC">
      <w:pPr>
        <w:pStyle w:val="IPPParagraphnumbering"/>
      </w:pPr>
      <w:r>
        <w:t>Les parties contractantes ont souligné qu</w:t>
      </w:r>
      <w:r w:rsidR="00097A03">
        <w:t>’</w:t>
      </w:r>
      <w:r>
        <w:t>il était nécessaire de prendre en compte les risques phytosanitaires associés à l</w:t>
      </w:r>
      <w:r w:rsidR="00097A03">
        <w:t>’</w:t>
      </w:r>
      <w:r>
        <w:t xml:space="preserve">aide humanitaire passant par des pays de transit. En outre, une </w:t>
      </w:r>
      <w:proofErr w:type="spellStart"/>
      <w:r>
        <w:t>ORPV</w:t>
      </w:r>
      <w:proofErr w:type="spellEnd"/>
      <w:r>
        <w:t xml:space="preserve"> a fait part de son intention de contribuer aux exercices de simulation en proposant des ressources et des outils, en vue de leur prise en considération par le secrétariat.</w:t>
      </w:r>
    </w:p>
    <w:p w14:paraId="2CC53C6D" w14:textId="09163D57" w:rsidR="00CC42CC" w:rsidRDefault="00CC42CC" w:rsidP="00CC42CC">
      <w:pPr>
        <w:pStyle w:val="IPPParagraphnumbering"/>
      </w:pPr>
      <w:r>
        <w:t xml:space="preserve">Le secrétariat a fait savoir à la </w:t>
      </w:r>
      <w:proofErr w:type="spellStart"/>
      <w:r>
        <w:t>CMP</w:t>
      </w:r>
      <w:proofErr w:type="spellEnd"/>
      <w:r>
        <w:t xml:space="preserve"> que, compte tenu des récentes difficultés concernant les voyages internationaux, la réunion du Groupe de travail d</w:t>
      </w:r>
      <w:r w:rsidR="00097A03">
        <w:t>’</w:t>
      </w:r>
      <w:r>
        <w:t xml:space="preserve">experts chargé du projet de </w:t>
      </w:r>
      <w:proofErr w:type="spellStart"/>
      <w:r>
        <w:t>NIMP</w:t>
      </w:r>
      <w:proofErr w:type="spellEnd"/>
      <w:r>
        <w:t xml:space="preserve"> sur la </w:t>
      </w:r>
      <w:r>
        <w:rPr>
          <w:i/>
          <w:iCs/>
        </w:rPr>
        <w:t>Sécurité de l</w:t>
      </w:r>
      <w:r w:rsidR="00097A03">
        <w:rPr>
          <w:i/>
          <w:iCs/>
        </w:rPr>
        <w:t>’</w:t>
      </w:r>
      <w:r>
        <w:rPr>
          <w:i/>
          <w:iCs/>
        </w:rPr>
        <w:t>aide humanitaire dans le contexte phytosanitaire</w:t>
      </w:r>
      <w:r>
        <w:t xml:space="preserve"> (2021‑020), qui devait se tenir pendant la semaine suivant la présente réunion, avait été reportée. Le secrétariat a remercié les Fidji et l</w:t>
      </w:r>
      <w:r w:rsidR="00097A03">
        <w:t>’</w:t>
      </w:r>
      <w:r>
        <w:t>Organisation de protection des végétaux pour le Pacifique d</w:t>
      </w:r>
      <w:r w:rsidR="00097A03">
        <w:t>’</w:t>
      </w:r>
      <w:r>
        <w:t>avoir accepté d</w:t>
      </w:r>
      <w:r w:rsidR="00097A03">
        <w:t>’</w:t>
      </w:r>
      <w:r>
        <w:t>accueillir conjointement la réunion du Groupe de travail d</w:t>
      </w:r>
      <w:r w:rsidR="00097A03">
        <w:t>’</w:t>
      </w:r>
      <w:r>
        <w:t>experts.</w:t>
      </w:r>
    </w:p>
    <w:p w14:paraId="25ABE004" w14:textId="77777777" w:rsidR="00CC42CC" w:rsidRPr="0001033C" w:rsidRDefault="00CC42CC" w:rsidP="00CC42CC">
      <w:pPr>
        <w:pStyle w:val="IPPParagraphnumberingclose"/>
      </w:pPr>
      <w:r>
        <w:lastRenderedPageBreak/>
        <w:t xml:space="preserve">La </w:t>
      </w:r>
      <w:proofErr w:type="spellStart"/>
      <w:r>
        <w:t>CMP</w:t>
      </w:r>
      <w:proofErr w:type="spellEnd"/>
      <w:r>
        <w:t xml:space="preserve">: </w:t>
      </w:r>
    </w:p>
    <w:p w14:paraId="4DBDB8B1" w14:textId="7D55D44B" w:rsidR="00CC42CC" w:rsidRPr="004A5365" w:rsidRDefault="00CC42CC" w:rsidP="00CC42CC">
      <w:pPr>
        <w:pStyle w:val="IPPNumberedList"/>
        <w:numPr>
          <w:ilvl w:val="0"/>
          <w:numId w:val="18"/>
        </w:numPr>
      </w:pPr>
      <w:r>
        <w:rPr>
          <w:i/>
        </w:rPr>
        <w:t xml:space="preserve">a pris note </w:t>
      </w:r>
      <w:r>
        <w:t xml:space="preserve">du rapport final du Groupe de réflexion de la </w:t>
      </w:r>
      <w:proofErr w:type="spellStart"/>
      <w:r>
        <w:t>CMP</w:t>
      </w:r>
      <w:proofErr w:type="spellEnd"/>
      <w:r>
        <w:t xml:space="preserve"> sur la sécurité de l</w:t>
      </w:r>
      <w:r w:rsidR="00097A03">
        <w:t>’</w:t>
      </w:r>
      <w:r>
        <w:t>aide alimentaire et d</w:t>
      </w:r>
      <w:r w:rsidR="00097A03">
        <w:t>’</w:t>
      </w:r>
      <w:r>
        <w:t>autres aides humanitaires;</w:t>
      </w:r>
    </w:p>
    <w:p w14:paraId="026343D5" w14:textId="7D1E3351" w:rsidR="00CC42CC" w:rsidRPr="004A5365" w:rsidRDefault="00CC42CC" w:rsidP="00CC42CC">
      <w:pPr>
        <w:pStyle w:val="IPPNumberedList"/>
      </w:pPr>
      <w:r>
        <w:rPr>
          <w:i/>
          <w:iCs/>
        </w:rPr>
        <w:t>a remercié</w:t>
      </w:r>
      <w:r>
        <w:t xml:space="preserve"> l</w:t>
      </w:r>
      <w:r w:rsidR="00097A03">
        <w:t>’</w:t>
      </w:r>
      <w:r>
        <w:t xml:space="preserve">Australie pour sa contribution financière aux travaux du Groupe de réflexion, ainsi que toutes les </w:t>
      </w:r>
      <w:proofErr w:type="spellStart"/>
      <w:r>
        <w:t>ONPV</w:t>
      </w:r>
      <w:proofErr w:type="spellEnd"/>
      <w:r>
        <w:t xml:space="preserve">, </w:t>
      </w:r>
      <w:proofErr w:type="spellStart"/>
      <w:r>
        <w:t>ORPV</w:t>
      </w:r>
      <w:proofErr w:type="spellEnd"/>
      <w:r>
        <w:t xml:space="preserve"> et organisations mentionnées dans le rapport du Groupe de réflexion pour leur appui direct;</w:t>
      </w:r>
    </w:p>
    <w:p w14:paraId="352DFA93" w14:textId="2E58EBF5" w:rsidR="00CC42CC" w:rsidRPr="00CC36A1" w:rsidRDefault="00CC42CC" w:rsidP="00CC42CC">
      <w:pPr>
        <w:pStyle w:val="IPPNumberedList"/>
      </w:pPr>
      <w:r>
        <w:rPr>
          <w:i/>
          <w:iCs/>
        </w:rPr>
        <w:t>a approuvé</w:t>
      </w:r>
      <w:r>
        <w:t xml:space="preserve"> le plan d</w:t>
      </w:r>
      <w:r w:rsidR="00097A03">
        <w:t>’</w:t>
      </w:r>
      <w:r>
        <w:t>action pour la collaboration avec d</w:t>
      </w:r>
      <w:r w:rsidR="00097A03">
        <w:t>’</w:t>
      </w:r>
      <w:r>
        <w:t>autres organisations aux fins de l</w:t>
      </w:r>
      <w:r w:rsidR="00097A03">
        <w:t>’</w:t>
      </w:r>
      <w:r>
        <w:t>acheminement en toute sécurité de l</w:t>
      </w:r>
      <w:r w:rsidR="00097A03">
        <w:t>’</w:t>
      </w:r>
      <w:r>
        <w:t>aide humanitaire, tel que présenté à l</w:t>
      </w:r>
      <w:r w:rsidR="00097A03">
        <w:t>’</w:t>
      </w:r>
      <w:r>
        <w:t xml:space="preserve">annexe 1 du document </w:t>
      </w:r>
      <w:proofErr w:type="spellStart"/>
      <w:r>
        <w:t>CPM</w:t>
      </w:r>
      <w:proofErr w:type="spellEnd"/>
      <w:r>
        <w:t xml:space="preserve"> 2026/22, et </w:t>
      </w:r>
      <w:r>
        <w:rPr>
          <w:i/>
          <w:iCs/>
        </w:rPr>
        <w:t>a noté</w:t>
      </w:r>
      <w:r>
        <w:t xml:space="preserve"> de quelle manière la communauté de la CIPV pouvait apporter son assistance dans le cadre de la mise en œuvre des propositions ou de l</w:t>
      </w:r>
      <w:r w:rsidR="00097A03">
        <w:t>’</w:t>
      </w:r>
      <w:r>
        <w:t>obtention des résultats escomptés dans ce domaine;</w:t>
      </w:r>
    </w:p>
    <w:p w14:paraId="3FF2BC16" w14:textId="156F79EF" w:rsidR="00CC42CC" w:rsidRPr="004A5365" w:rsidRDefault="00CC42CC" w:rsidP="00E72B8D">
      <w:pPr>
        <w:pStyle w:val="IPPNumberedList"/>
      </w:pPr>
      <w:r>
        <w:rPr>
          <w:i/>
          <w:iCs/>
        </w:rPr>
        <w:t>a salué</w:t>
      </w:r>
      <w:r>
        <w:t xml:space="preserve"> la contribution apportée par les membres du Groupe de réflexion (appendice X) et </w:t>
      </w:r>
      <w:r>
        <w:rPr>
          <w:i/>
          <w:iCs/>
        </w:rPr>
        <w:t>a</w:t>
      </w:r>
      <w:r w:rsidR="00994E03">
        <w:rPr>
          <w:i/>
          <w:iCs/>
        </w:rPr>
        <w:t> </w:t>
      </w:r>
      <w:r>
        <w:rPr>
          <w:i/>
          <w:iCs/>
        </w:rPr>
        <w:t xml:space="preserve">remercié </w:t>
      </w:r>
      <w:r>
        <w:t>ceux-ci pour leur travail.</w:t>
      </w:r>
    </w:p>
    <w:p w14:paraId="059A0925" w14:textId="77777777" w:rsidR="005439F9" w:rsidRPr="00C43FD6" w:rsidRDefault="005439F9" w:rsidP="005439F9">
      <w:pPr>
        <w:pStyle w:val="IPPHeading2"/>
      </w:pPr>
      <w:r>
        <w:t>14.2</w:t>
      </w:r>
      <w:r>
        <w:tab/>
        <w:t xml:space="preserve">Compte rendu du Groupe de réflexion de la </w:t>
      </w:r>
      <w:proofErr w:type="spellStart"/>
      <w:r>
        <w:t>CMP</w:t>
      </w:r>
      <w:proofErr w:type="spellEnd"/>
      <w:r>
        <w:t xml:space="preserve"> sur les conteneurs maritimes</w:t>
      </w:r>
    </w:p>
    <w:p w14:paraId="015D7217" w14:textId="7ACDE2B7" w:rsidR="005439F9" w:rsidRPr="001F3052" w:rsidRDefault="005439F9" w:rsidP="005439F9">
      <w:pPr>
        <w:pStyle w:val="IPPParagraphnumbering"/>
      </w:pPr>
      <w:r>
        <w:t>L</w:t>
      </w:r>
      <w:r w:rsidR="00097A03">
        <w:t>’</w:t>
      </w:r>
      <w:r>
        <w:t xml:space="preserve">un des coprésidents du Groupe de réflexion de la </w:t>
      </w:r>
      <w:proofErr w:type="spellStart"/>
      <w:r>
        <w:t>CMP</w:t>
      </w:r>
      <w:proofErr w:type="spellEnd"/>
      <w:r>
        <w:t xml:space="preserve"> sur les conteneurs maritimes a présenté des informations actualisées sur les activités du Groupe de réflexion</w:t>
      </w:r>
      <w:r w:rsidRPr="001F3052">
        <w:rPr>
          <w:rStyle w:val="Appelnotedebasdep"/>
          <w:lang w:val="en-GB"/>
        </w:rPr>
        <w:footnoteReference w:id="49"/>
      </w:r>
      <w:r>
        <w:t>. Il a indiqué que le Groupe de réflexion avait contribué à un colloque en octobre 2025, poursuivi son évaluation des mesures réglementaires et non réglementaires, et continué à élaborer l</w:t>
      </w:r>
      <w:r w:rsidR="00097A03">
        <w:t>’</w:t>
      </w:r>
      <w:r>
        <w:t>approche fondée sur la responsabilité du dépositaire. Cependant, il a ajouté que le Groupe de réflexion n</w:t>
      </w:r>
      <w:r w:rsidR="00097A03">
        <w:t>’</w:t>
      </w:r>
      <w:r>
        <w:t>avait pas pu achever son évaluation concernant l</w:t>
      </w:r>
      <w:r w:rsidR="00097A03">
        <w:t>’</w:t>
      </w:r>
      <w:r>
        <w:t xml:space="preserve">efficacité de la recommandation de la </w:t>
      </w:r>
      <w:proofErr w:type="spellStart"/>
      <w:r>
        <w:t>CMP</w:t>
      </w:r>
      <w:proofErr w:type="spellEnd"/>
      <w:r>
        <w:t xml:space="preserve"> sur les conteneurs maritimes (R-06) car il s</w:t>
      </w:r>
      <w:r w:rsidR="00097A03">
        <w:t>’</w:t>
      </w:r>
      <w:r>
        <w:t>était avéré impossible d</w:t>
      </w:r>
      <w:r w:rsidR="00097A03">
        <w:t>’</w:t>
      </w:r>
      <w:r>
        <w:t xml:space="preserve">obtenir suffisamment de données exploitables. En outre, les informations remontées de plusieurs ateliers régionaux de la CIPV et de certaines </w:t>
      </w:r>
      <w:proofErr w:type="spellStart"/>
      <w:r>
        <w:t>ONPV</w:t>
      </w:r>
      <w:proofErr w:type="spellEnd"/>
      <w:r>
        <w:t xml:space="preserve"> lors du colloque indiquaient que tant la connaissance que l</w:t>
      </w:r>
      <w:r w:rsidR="00097A03">
        <w:t>’</w:t>
      </w:r>
      <w:r>
        <w:t xml:space="preserve">assimilation de la recommandation de la </w:t>
      </w:r>
      <w:proofErr w:type="spellStart"/>
      <w:r>
        <w:t>CMP</w:t>
      </w:r>
      <w:proofErr w:type="spellEnd"/>
      <w:r>
        <w:t xml:space="preserve"> demeuraient extrêmement faibles. Le Coprésident a expliqué que, compte tenu de la participation très limitée au colloque de 2025, le Groupe de réflexion avait proposé de se concentrer sur d</w:t>
      </w:r>
      <w:r w:rsidR="00097A03">
        <w:t>’</w:t>
      </w:r>
      <w:r>
        <w:t>autres moyens de faire connaître la recommandation et d</w:t>
      </w:r>
      <w:r w:rsidR="00097A03">
        <w:t>’</w:t>
      </w:r>
      <w:r>
        <w:t>obtenir des commentaires, au lieu d</w:t>
      </w:r>
      <w:r w:rsidR="00097A03">
        <w:t>’</w:t>
      </w:r>
      <w:r>
        <w:t>organiser un atelier international en 2026 comme prévu.</w:t>
      </w:r>
    </w:p>
    <w:p w14:paraId="78EE7ED2" w14:textId="73BECD14" w:rsidR="005439F9" w:rsidRDefault="005439F9" w:rsidP="005439F9">
      <w:pPr>
        <w:pStyle w:val="IPPParagraphnumbering"/>
      </w:pPr>
      <w:r>
        <w:t xml:space="preserve">La </w:t>
      </w:r>
      <w:proofErr w:type="spellStart"/>
      <w:r>
        <w:t>CMP</w:t>
      </w:r>
      <w:proofErr w:type="spellEnd"/>
      <w:r>
        <w:t xml:space="preserve"> a pris note d</w:t>
      </w:r>
      <w:r w:rsidR="00097A03">
        <w:t>’</w:t>
      </w:r>
      <w:r>
        <w:t>une suggestion proposant que le Groupe de réflexion détermine des moyens de poursuivre la collaboration avec les parties prenantes et planifie cette collaboration, et s</w:t>
      </w:r>
      <w:r w:rsidR="00097A03">
        <w:t>’</w:t>
      </w:r>
      <w:r>
        <w:t>est félicitée de la confirmation par le Canada que la contribution financière promise par celui-ci pour la tenue d</w:t>
      </w:r>
      <w:r w:rsidR="00097A03">
        <w:t>’</w:t>
      </w:r>
      <w:r>
        <w:t>un atelier sur les conteneurs maritimes en 2026</w:t>
      </w:r>
      <w:r>
        <w:rPr>
          <w:rStyle w:val="Appelnotedebasdep"/>
          <w:lang w:val="en-GB"/>
        </w:rPr>
        <w:footnoteReference w:id="50"/>
      </w:r>
      <w:r>
        <w:t xml:space="preserve"> pouvait être utilisée à cet effet.</w:t>
      </w:r>
    </w:p>
    <w:p w14:paraId="70842D68" w14:textId="77777777" w:rsidR="005439F9" w:rsidRPr="00AF5405" w:rsidRDefault="005439F9" w:rsidP="005439F9">
      <w:pPr>
        <w:pStyle w:val="IPPParagraphnumbering"/>
      </w:pPr>
      <w:r>
        <w:t xml:space="preserve">La </w:t>
      </w:r>
      <w:proofErr w:type="spellStart"/>
      <w:r>
        <w:t>CMP</w:t>
      </w:r>
      <w:proofErr w:type="spellEnd"/>
      <w:r>
        <w:t xml:space="preserve"> a réservé un accueil favorable aux modifications du Code de bonne pratique pour le chargement des cargaisons dans des engins de transport (Code </w:t>
      </w:r>
      <w:proofErr w:type="spellStart"/>
      <w:r>
        <w:t>CTU</w:t>
      </w:r>
      <w:proofErr w:type="spellEnd"/>
      <w:r>
        <w:t>) soumises par le Groupe de réflexion et a pris note du risque phytosanitaire lié aux conteneurs maritimes vides.</w:t>
      </w:r>
    </w:p>
    <w:p w14:paraId="19CEE28C" w14:textId="77777777" w:rsidR="005439F9" w:rsidRPr="005C660F" w:rsidRDefault="005439F9" w:rsidP="005439F9">
      <w:pPr>
        <w:pStyle w:val="IPPParagraphnumberingclose"/>
      </w:pPr>
      <w:r>
        <w:t xml:space="preserve">La </w:t>
      </w:r>
      <w:proofErr w:type="spellStart"/>
      <w:r>
        <w:t>CMP</w:t>
      </w:r>
      <w:proofErr w:type="spellEnd"/>
      <w:r>
        <w:t>:</w:t>
      </w:r>
    </w:p>
    <w:p w14:paraId="30D5E0C3" w14:textId="77777777" w:rsidR="005439F9" w:rsidRPr="00825943" w:rsidRDefault="005439F9" w:rsidP="005439F9">
      <w:pPr>
        <w:pStyle w:val="IPPNumberedList"/>
        <w:numPr>
          <w:ilvl w:val="0"/>
          <w:numId w:val="48"/>
        </w:numPr>
        <w:spacing w:after="180"/>
      </w:pPr>
      <w:r>
        <w:rPr>
          <w:i/>
          <w:iCs/>
        </w:rPr>
        <w:t>a pris note</w:t>
      </w:r>
      <w:r>
        <w:t xml:space="preserve"> du compte rendu du Groupe de réflexion de la </w:t>
      </w:r>
      <w:proofErr w:type="spellStart"/>
      <w:r>
        <w:t>CMP</w:t>
      </w:r>
      <w:proofErr w:type="spellEnd"/>
      <w:r>
        <w:t xml:space="preserve"> sur les conteneurs maritimes pour 2025.</w:t>
      </w:r>
    </w:p>
    <w:p w14:paraId="1F80725D" w14:textId="77777777" w:rsidR="00CC42CC" w:rsidRPr="005439F9" w:rsidRDefault="00CC42CC" w:rsidP="00CC42CC">
      <w:pPr>
        <w:pStyle w:val="IPPParagraphnumbering"/>
        <w:numPr>
          <w:ilvl w:val="0"/>
          <w:numId w:val="0"/>
        </w:numPr>
        <w:rPr>
          <w:lang w:val="en-GB"/>
        </w:rPr>
      </w:pPr>
    </w:p>
    <w:sectPr w:rsidR="00CC42CC" w:rsidRPr="005439F9" w:rsidSect="003E3770">
      <w:headerReference w:type="even" r:id="rId11"/>
      <w:footerReference w:type="even" r:id="rId12"/>
      <w:footerReference w:type="default" r:id="rId13"/>
      <w:footerReference w:type="first" r:id="rId14"/>
      <w:pgSz w:w="11906" w:h="16838" w:code="9"/>
      <w:pgMar w:top="1559"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0ED1" w14:textId="77777777" w:rsidR="008D761A" w:rsidRDefault="008D761A" w:rsidP="0096599A">
      <w:r>
        <w:separator/>
      </w:r>
    </w:p>
  </w:endnote>
  <w:endnote w:type="continuationSeparator" w:id="0">
    <w:p w14:paraId="185BEBE2" w14:textId="77777777" w:rsidR="008D761A" w:rsidRDefault="008D761A" w:rsidP="0096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651B" w14:textId="56E5B233" w:rsidR="0096599A" w:rsidRDefault="0096599A" w:rsidP="0096599A">
    <w:pPr>
      <w:pStyle w:val="IPPFooter"/>
    </w:pPr>
    <w:r>
      <w:t>Page </w:t>
    </w:r>
    <w:r w:rsidRPr="0003592E">
      <w:fldChar w:fldCharType="begin"/>
    </w:r>
    <w:r w:rsidRPr="0003592E">
      <w:instrText xml:space="preserve"> PAGE  \* Arabic  \* MERGEFORMAT </w:instrText>
    </w:r>
    <w:r w:rsidRPr="0003592E">
      <w:fldChar w:fldCharType="separate"/>
    </w:r>
    <w:r w:rsidRPr="0003592E">
      <w:t>3</w:t>
    </w:r>
    <w:r w:rsidRPr="0003592E">
      <w:fldChar w:fldCharType="end"/>
    </w:r>
    <w:r>
      <w:t xml:space="preserve"> / </w:t>
    </w:r>
    <w:fldSimple w:instr="NUMPAGES  \* Arabic  \* MERGEFORMAT">
      <w:r w:rsidRPr="0003592E">
        <w:t>3</w:t>
      </w:r>
    </w:fldSimple>
    <w:r>
      <w:tab/>
      <w:t>Convention internationale pour la protection des végétaux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8700" w14:textId="50AD8540" w:rsidR="0096599A" w:rsidRDefault="0083767F" w:rsidP="0083767F">
    <w:pPr>
      <w:pStyle w:val="Pieddepage"/>
    </w:pPr>
    <w:r>
      <w:rPr>
        <w:b/>
      </w:rPr>
      <w:tab/>
    </w:r>
    <w:r w:rsidR="0096599A">
      <w:rPr>
        <w:b/>
      </w:rPr>
      <w:fldChar w:fldCharType="begin"/>
    </w:r>
    <w:r w:rsidR="0096599A">
      <w:instrText xml:space="preserve"> PAGE  \* Arabic  \* MERGEFORMAT </w:instrText>
    </w:r>
    <w:r w:rsidR="0096599A">
      <w:rPr>
        <w:b/>
      </w:rPr>
      <w:fldChar w:fldCharType="separate"/>
    </w:r>
    <w:r w:rsidR="0096599A">
      <w:t>1</w:t>
    </w:r>
    <w:r w:rsidR="0096599A">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CF6A" w14:textId="5D0CE3AD" w:rsidR="0096599A" w:rsidRPr="0003592E" w:rsidRDefault="0096599A" w:rsidP="0096599A">
    <w:pPr>
      <w:pStyle w:val="IPPFooter"/>
    </w:pPr>
    <w:r>
      <w:t>Convention internationale pour la protection des végétaux</w:t>
    </w:r>
    <w:r>
      <w:tab/>
      <w:t xml:space="preserve">Page </w:t>
    </w:r>
    <w:r w:rsidRPr="0003592E">
      <w:fldChar w:fldCharType="begin"/>
    </w:r>
    <w:r w:rsidRPr="0003592E">
      <w:instrText xml:space="preserve"> PAGE  \* Arabic  \* MERGEFORMAT </w:instrText>
    </w:r>
    <w:r w:rsidRPr="0003592E">
      <w:fldChar w:fldCharType="separate"/>
    </w:r>
    <w:r w:rsidRPr="0003592E">
      <w:t>3</w:t>
    </w:r>
    <w:r w:rsidRPr="0003592E">
      <w:fldChar w:fldCharType="end"/>
    </w:r>
    <w:r>
      <w:t xml:space="preserve"> / </w:t>
    </w:r>
    <w:fldSimple w:instr="NUMPAGES  \* Arabic  \* MERGEFORMAT">
      <w:r w:rsidRPr="0003592E">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75CB" w14:textId="77777777" w:rsidR="008D761A" w:rsidRDefault="008D761A" w:rsidP="0096599A">
      <w:r>
        <w:separator/>
      </w:r>
    </w:p>
  </w:footnote>
  <w:footnote w:type="continuationSeparator" w:id="0">
    <w:p w14:paraId="51810A58" w14:textId="77777777" w:rsidR="008D761A" w:rsidRDefault="008D761A" w:rsidP="0096599A">
      <w:r>
        <w:continuationSeparator/>
      </w:r>
    </w:p>
  </w:footnote>
  <w:footnote w:id="1">
    <w:p w14:paraId="71F4C1AF" w14:textId="77777777" w:rsidR="00B2035B" w:rsidRPr="00A50C4D" w:rsidRDefault="00B2035B" w:rsidP="00B2035B">
      <w:pPr>
        <w:pStyle w:val="IPPFootnote"/>
        <w:rPr>
          <w:i/>
          <w:iCs/>
        </w:rPr>
      </w:pPr>
      <w:r>
        <w:rPr>
          <w:rStyle w:val="Appelnotedebasdep"/>
        </w:rPr>
        <w:footnoteRef/>
      </w:r>
      <w:r>
        <w:t xml:space="preserve"> Liste des participants: [</w:t>
      </w:r>
      <w:r>
        <w:rPr>
          <w:i/>
          <w:highlight w:val="yellow"/>
        </w:rPr>
        <w:t>insérer le lien</w:t>
      </w:r>
      <w:r>
        <w:t>].</w:t>
      </w:r>
    </w:p>
  </w:footnote>
  <w:footnote w:id="2">
    <w:p w14:paraId="53A642A4" w14:textId="77777777" w:rsidR="001A2904" w:rsidRDefault="001A2904" w:rsidP="001A2904">
      <w:pPr>
        <w:pStyle w:val="IPPFootnote"/>
      </w:pPr>
      <w:r>
        <w:rPr>
          <w:rStyle w:val="Appelnotedebasdep"/>
        </w:rPr>
        <w:footnoteRef/>
      </w:r>
      <w:r>
        <w:t xml:space="preserve"> </w:t>
      </w:r>
      <w:proofErr w:type="spellStart"/>
      <w:r>
        <w:t>CPM</w:t>
      </w:r>
      <w:proofErr w:type="spellEnd"/>
      <w:r>
        <w:t> 2026/</w:t>
      </w:r>
      <w:proofErr w:type="spellStart"/>
      <w:r>
        <w:t>INF</w:t>
      </w:r>
      <w:proofErr w:type="spellEnd"/>
      <w:r>
        <w:t>/27.</w:t>
      </w:r>
    </w:p>
  </w:footnote>
  <w:footnote w:id="3">
    <w:p w14:paraId="2C0DCF7D" w14:textId="77777777" w:rsidR="000E6892" w:rsidRDefault="000E6892" w:rsidP="000E6892">
      <w:pPr>
        <w:pStyle w:val="IPPFootnote"/>
      </w:pPr>
      <w:r>
        <w:rPr>
          <w:rStyle w:val="Appelnotedebasdep"/>
        </w:rPr>
        <w:footnoteRef/>
      </w:r>
      <w:r>
        <w:t xml:space="preserve"> </w:t>
      </w:r>
      <w:proofErr w:type="spellStart"/>
      <w:r>
        <w:t>CPM</w:t>
      </w:r>
      <w:proofErr w:type="spellEnd"/>
      <w:r>
        <w:t xml:space="preserve"> 2026/43.</w:t>
      </w:r>
    </w:p>
  </w:footnote>
  <w:footnote w:id="4">
    <w:p w14:paraId="00EAA7BF" w14:textId="77777777" w:rsidR="00CC42CC" w:rsidRDefault="00CC42CC" w:rsidP="00CC42CC">
      <w:pPr>
        <w:pStyle w:val="IPPFootnote"/>
      </w:pPr>
      <w:r>
        <w:rPr>
          <w:rStyle w:val="Appelnotedebasdep"/>
        </w:rPr>
        <w:footnoteRef/>
      </w:r>
      <w:r>
        <w:t xml:space="preserve"> </w:t>
      </w:r>
      <w:proofErr w:type="spellStart"/>
      <w:r>
        <w:t>CPM</w:t>
      </w:r>
      <w:proofErr w:type="spellEnd"/>
      <w:r>
        <w:t xml:space="preserve"> 2026/44.</w:t>
      </w:r>
    </w:p>
  </w:footnote>
  <w:footnote w:id="5">
    <w:p w14:paraId="45320881" w14:textId="6267CC5C" w:rsidR="00CC42CC" w:rsidRPr="00047C94" w:rsidRDefault="00CC42CC" w:rsidP="00CC42CC">
      <w:pPr>
        <w:pStyle w:val="IPPFootnote"/>
      </w:pPr>
      <w:r>
        <w:rPr>
          <w:rStyle w:val="Appelnotedebasdep"/>
        </w:rPr>
        <w:footnoteRef/>
      </w:r>
      <w:r w:rsidR="00E72B8D">
        <w:t> </w:t>
      </w:r>
      <w:proofErr w:type="spellStart"/>
      <w:r>
        <w:t>CPM</w:t>
      </w:r>
      <w:proofErr w:type="spellEnd"/>
      <w:r>
        <w:t> 2026/</w:t>
      </w:r>
      <w:proofErr w:type="spellStart"/>
      <w:r>
        <w:t>INF</w:t>
      </w:r>
      <w:proofErr w:type="spellEnd"/>
      <w:r>
        <w:t xml:space="preserve">/05; </w:t>
      </w:r>
      <w:proofErr w:type="spellStart"/>
      <w:r>
        <w:t>CPM</w:t>
      </w:r>
      <w:proofErr w:type="spellEnd"/>
      <w:r>
        <w:t> 2026/</w:t>
      </w:r>
      <w:proofErr w:type="spellStart"/>
      <w:r>
        <w:t>INF</w:t>
      </w:r>
      <w:proofErr w:type="spellEnd"/>
      <w:r>
        <w:t xml:space="preserve">/24; </w:t>
      </w:r>
      <w:proofErr w:type="spellStart"/>
      <w:r>
        <w:t>CPM</w:t>
      </w:r>
      <w:proofErr w:type="spellEnd"/>
      <w:r>
        <w:t> 2026/</w:t>
      </w:r>
      <w:proofErr w:type="spellStart"/>
      <w:r>
        <w:t>INF</w:t>
      </w:r>
      <w:proofErr w:type="spellEnd"/>
      <w:r>
        <w:t xml:space="preserve">/29; </w:t>
      </w:r>
      <w:proofErr w:type="spellStart"/>
      <w:r>
        <w:t>CPM</w:t>
      </w:r>
      <w:proofErr w:type="spellEnd"/>
      <w:r>
        <w:t> 2026/</w:t>
      </w:r>
      <w:proofErr w:type="spellStart"/>
      <w:r>
        <w:t>INF</w:t>
      </w:r>
      <w:proofErr w:type="spellEnd"/>
      <w:r>
        <w:t xml:space="preserve">/33; </w:t>
      </w:r>
      <w:proofErr w:type="spellStart"/>
      <w:r>
        <w:t>CPM</w:t>
      </w:r>
      <w:proofErr w:type="spellEnd"/>
      <w:r>
        <w:t> 2026/</w:t>
      </w:r>
      <w:proofErr w:type="spellStart"/>
      <w:r>
        <w:t>INF</w:t>
      </w:r>
      <w:proofErr w:type="spellEnd"/>
      <w:r>
        <w:t xml:space="preserve">/34; </w:t>
      </w:r>
      <w:proofErr w:type="spellStart"/>
      <w:r>
        <w:t>CPM</w:t>
      </w:r>
      <w:proofErr w:type="spellEnd"/>
      <w:r>
        <w:t> 2026/</w:t>
      </w:r>
      <w:proofErr w:type="spellStart"/>
      <w:r>
        <w:t>INF</w:t>
      </w:r>
      <w:proofErr w:type="spellEnd"/>
      <w:r>
        <w:t>/36.</w:t>
      </w:r>
    </w:p>
  </w:footnote>
  <w:footnote w:id="6">
    <w:p w14:paraId="189447B5" w14:textId="77777777" w:rsidR="000E6892" w:rsidRDefault="000E6892" w:rsidP="000E6892">
      <w:pPr>
        <w:pStyle w:val="IPPFootnote"/>
      </w:pPr>
      <w:r>
        <w:rPr>
          <w:rStyle w:val="Appelnotedebasdep"/>
        </w:rPr>
        <w:footnoteRef/>
      </w:r>
      <w:r>
        <w:t xml:space="preserve"> </w:t>
      </w:r>
      <w:proofErr w:type="spellStart"/>
      <w:r>
        <w:t>CPM</w:t>
      </w:r>
      <w:proofErr w:type="spellEnd"/>
      <w:r>
        <w:t xml:space="preserve"> 2026/04.</w:t>
      </w:r>
    </w:p>
  </w:footnote>
  <w:footnote w:id="7">
    <w:p w14:paraId="0B8FB443" w14:textId="77777777" w:rsidR="000E6892" w:rsidRDefault="000E6892" w:rsidP="000E6892">
      <w:pPr>
        <w:pStyle w:val="IPPFootnote"/>
      </w:pPr>
      <w:r>
        <w:rPr>
          <w:rStyle w:val="Appelnotedebasdep"/>
        </w:rPr>
        <w:footnoteRef/>
      </w:r>
      <w:r>
        <w:t xml:space="preserve"> Règlement intérieur de la </w:t>
      </w:r>
      <w:proofErr w:type="spellStart"/>
      <w:r>
        <w:t>CMP</w:t>
      </w:r>
      <w:proofErr w:type="spellEnd"/>
      <w:r>
        <w:t>, annexe I, article II.</w:t>
      </w:r>
    </w:p>
  </w:footnote>
  <w:footnote w:id="8">
    <w:p w14:paraId="5E36301E" w14:textId="77777777" w:rsidR="001A2904" w:rsidRDefault="001A2904" w:rsidP="001A2904">
      <w:pPr>
        <w:pStyle w:val="IPPFootnote"/>
      </w:pPr>
      <w:r>
        <w:rPr>
          <w:rStyle w:val="Appelnotedebasdep"/>
        </w:rPr>
        <w:footnoteRef/>
      </w:r>
      <w:r>
        <w:t xml:space="preserve"> </w:t>
      </w:r>
      <w:proofErr w:type="spellStart"/>
      <w:r>
        <w:t>CPM</w:t>
      </w:r>
      <w:proofErr w:type="spellEnd"/>
      <w:r>
        <w:t> 2026/40.</w:t>
      </w:r>
    </w:p>
  </w:footnote>
  <w:footnote w:id="9">
    <w:p w14:paraId="5FE0CBE2" w14:textId="40623C53" w:rsidR="001A2904" w:rsidRDefault="001A2904" w:rsidP="001A2904">
      <w:pPr>
        <w:pStyle w:val="IPPFootnote"/>
      </w:pPr>
      <w:r>
        <w:rPr>
          <w:rStyle w:val="Appelnotedebasdep"/>
        </w:rPr>
        <w:footnoteRef/>
      </w:r>
      <w:r>
        <w:t xml:space="preserve"> </w:t>
      </w:r>
      <w:proofErr w:type="spellStart"/>
      <w:r>
        <w:t>CPM</w:t>
      </w:r>
      <w:proofErr w:type="spellEnd"/>
      <w:r>
        <w:t> 2026/</w:t>
      </w:r>
      <w:r w:rsidR="00E529CB">
        <w:t>CRP</w:t>
      </w:r>
      <w:r>
        <w:t>/07.</w:t>
      </w:r>
    </w:p>
  </w:footnote>
  <w:footnote w:id="10">
    <w:p w14:paraId="16EE0DEE" w14:textId="77777777" w:rsidR="001A2904" w:rsidRDefault="001A2904" w:rsidP="001A2904">
      <w:pPr>
        <w:pStyle w:val="IPPFootnote"/>
      </w:pPr>
      <w:r>
        <w:rPr>
          <w:rStyle w:val="Appelnotedebasdep"/>
        </w:rPr>
        <w:footnoteRef/>
      </w:r>
      <w:r>
        <w:t xml:space="preserve"> </w:t>
      </w:r>
      <w:proofErr w:type="spellStart"/>
      <w:r>
        <w:t>CPM</w:t>
      </w:r>
      <w:proofErr w:type="spellEnd"/>
      <w:r>
        <w:t> 2026/05.</w:t>
      </w:r>
    </w:p>
  </w:footnote>
  <w:footnote w:id="11">
    <w:p w14:paraId="459933DC" w14:textId="77777777" w:rsidR="001A2904" w:rsidRDefault="001A2904" w:rsidP="001A2904">
      <w:pPr>
        <w:pStyle w:val="IPPFootnote"/>
      </w:pPr>
      <w:r>
        <w:rPr>
          <w:rStyle w:val="Appelnotedebasdep"/>
        </w:rPr>
        <w:footnoteRef/>
      </w:r>
      <w:r>
        <w:t xml:space="preserve"> </w:t>
      </w:r>
      <w:proofErr w:type="spellStart"/>
      <w:r>
        <w:t>CPM</w:t>
      </w:r>
      <w:proofErr w:type="spellEnd"/>
      <w:r>
        <w:t> 2026/</w:t>
      </w:r>
      <w:proofErr w:type="spellStart"/>
      <w:r>
        <w:t>INF</w:t>
      </w:r>
      <w:proofErr w:type="spellEnd"/>
      <w:r>
        <w:t>/37.</w:t>
      </w:r>
    </w:p>
  </w:footnote>
  <w:footnote w:id="12">
    <w:p w14:paraId="491FCE91" w14:textId="77777777" w:rsidR="001A2904" w:rsidRDefault="001A2904" w:rsidP="001A2904">
      <w:pPr>
        <w:pStyle w:val="IPPFootnote"/>
      </w:pPr>
      <w:r>
        <w:rPr>
          <w:rStyle w:val="Appelnotedebasdep"/>
        </w:rPr>
        <w:footnoteRef/>
      </w:r>
      <w:r>
        <w:t xml:space="preserve"> </w:t>
      </w:r>
      <w:proofErr w:type="spellStart"/>
      <w:r>
        <w:t>CPM</w:t>
      </w:r>
      <w:proofErr w:type="spellEnd"/>
      <w:r>
        <w:t> 2026/06.</w:t>
      </w:r>
    </w:p>
  </w:footnote>
  <w:footnote w:id="13">
    <w:p w14:paraId="644462DF" w14:textId="77777777" w:rsidR="001A2904" w:rsidRDefault="001A2904" w:rsidP="001A2904">
      <w:pPr>
        <w:pStyle w:val="IPPFootnote"/>
      </w:pPr>
      <w:r>
        <w:rPr>
          <w:rStyle w:val="Appelnotedebasdep"/>
        </w:rPr>
        <w:footnoteRef/>
      </w:r>
      <w:r>
        <w:t xml:space="preserve"> </w:t>
      </w:r>
      <w:proofErr w:type="spellStart"/>
      <w:r>
        <w:t>CPM</w:t>
      </w:r>
      <w:proofErr w:type="spellEnd"/>
      <w:r>
        <w:t> 2026/07.</w:t>
      </w:r>
    </w:p>
  </w:footnote>
  <w:footnote w:id="14">
    <w:p w14:paraId="2E91E8D1" w14:textId="77777777" w:rsidR="001A2904" w:rsidRDefault="001A2904" w:rsidP="001A2904">
      <w:pPr>
        <w:pStyle w:val="IPPFootnote"/>
      </w:pPr>
      <w:r>
        <w:rPr>
          <w:rStyle w:val="Appelnotedebasdep"/>
        </w:rPr>
        <w:footnoteRef/>
      </w:r>
      <w:r>
        <w:t xml:space="preserve"> </w:t>
      </w:r>
      <w:proofErr w:type="spellStart"/>
      <w:r>
        <w:t>CPM</w:t>
      </w:r>
      <w:proofErr w:type="spellEnd"/>
      <w:r>
        <w:t xml:space="preserve"> 2026/CRP/01; </w:t>
      </w:r>
      <w:proofErr w:type="spellStart"/>
      <w:r>
        <w:t>CPM</w:t>
      </w:r>
      <w:proofErr w:type="spellEnd"/>
      <w:r>
        <w:t> 2026/</w:t>
      </w:r>
      <w:proofErr w:type="spellStart"/>
      <w:r>
        <w:t>INF</w:t>
      </w:r>
      <w:proofErr w:type="spellEnd"/>
      <w:r>
        <w:t>/36.</w:t>
      </w:r>
    </w:p>
  </w:footnote>
  <w:footnote w:id="15">
    <w:p w14:paraId="33C08745" w14:textId="77777777" w:rsidR="001A2904" w:rsidRDefault="001A2904" w:rsidP="001A2904">
      <w:pPr>
        <w:pStyle w:val="IPPFootnote"/>
      </w:pPr>
      <w:r>
        <w:rPr>
          <w:rStyle w:val="Appelnotedebasdep"/>
        </w:rPr>
        <w:footnoteRef/>
      </w:r>
      <w:r>
        <w:t xml:space="preserve"> </w:t>
      </w:r>
      <w:proofErr w:type="spellStart"/>
      <w:r>
        <w:t>CPM</w:t>
      </w:r>
      <w:proofErr w:type="spellEnd"/>
      <w:r>
        <w:t> 2026/36.</w:t>
      </w:r>
    </w:p>
  </w:footnote>
  <w:footnote w:id="16">
    <w:p w14:paraId="7C1236BB" w14:textId="77777777" w:rsidR="001A2904" w:rsidRDefault="001A2904" w:rsidP="001A2904">
      <w:pPr>
        <w:pStyle w:val="IPPFootnote"/>
      </w:pPr>
      <w:r>
        <w:rPr>
          <w:rStyle w:val="Appelnotedebasdep"/>
        </w:rPr>
        <w:footnoteRef/>
      </w:r>
      <w:r>
        <w:t xml:space="preserve"> </w:t>
      </w:r>
      <w:proofErr w:type="spellStart"/>
      <w:r>
        <w:t>CPM</w:t>
      </w:r>
      <w:proofErr w:type="spellEnd"/>
      <w:r>
        <w:t> 2026/</w:t>
      </w:r>
      <w:proofErr w:type="spellStart"/>
      <w:r>
        <w:t>INF</w:t>
      </w:r>
      <w:proofErr w:type="spellEnd"/>
      <w:r>
        <w:t>/37.</w:t>
      </w:r>
    </w:p>
  </w:footnote>
  <w:footnote w:id="17">
    <w:p w14:paraId="61CAADE0" w14:textId="77777777" w:rsidR="001A2904" w:rsidRDefault="001A2904" w:rsidP="001A2904">
      <w:pPr>
        <w:pStyle w:val="IPPFootnote"/>
      </w:pPr>
      <w:r>
        <w:rPr>
          <w:rStyle w:val="Appelnotedebasdep"/>
        </w:rPr>
        <w:footnoteRef/>
      </w:r>
      <w:r>
        <w:t xml:space="preserve"> </w:t>
      </w:r>
      <w:proofErr w:type="spellStart"/>
      <w:r>
        <w:t>CPM</w:t>
      </w:r>
      <w:proofErr w:type="spellEnd"/>
      <w:r>
        <w:t> 2026/08.</w:t>
      </w:r>
    </w:p>
  </w:footnote>
  <w:footnote w:id="18">
    <w:p w14:paraId="33AF82FD" w14:textId="77777777" w:rsidR="001A2904" w:rsidRDefault="001A2904" w:rsidP="001A2904">
      <w:pPr>
        <w:pStyle w:val="IPPFootnote"/>
      </w:pPr>
      <w:r>
        <w:rPr>
          <w:rStyle w:val="Appelnotedebasdep"/>
        </w:rPr>
        <w:footnoteRef/>
      </w:r>
      <w:r>
        <w:t xml:space="preserve"> </w:t>
      </w:r>
      <w:proofErr w:type="spellStart"/>
      <w:r>
        <w:t>CPM</w:t>
      </w:r>
      <w:proofErr w:type="spellEnd"/>
      <w:r>
        <w:t> 2026/09.</w:t>
      </w:r>
    </w:p>
  </w:footnote>
  <w:footnote w:id="19">
    <w:p w14:paraId="71F1F474" w14:textId="77777777" w:rsidR="000E6892" w:rsidRDefault="000E6892" w:rsidP="000E6892">
      <w:pPr>
        <w:pStyle w:val="IPPFootnote"/>
      </w:pPr>
      <w:r>
        <w:rPr>
          <w:rStyle w:val="Appelnotedebasdep"/>
        </w:rPr>
        <w:footnoteRef/>
      </w:r>
      <w:r>
        <w:t xml:space="preserve"> </w:t>
      </w:r>
      <w:proofErr w:type="spellStart"/>
      <w:r>
        <w:t>CPM</w:t>
      </w:r>
      <w:proofErr w:type="spellEnd"/>
      <w:r>
        <w:t> 2026/42.</w:t>
      </w:r>
    </w:p>
  </w:footnote>
  <w:footnote w:id="20">
    <w:p w14:paraId="6A3C0A89" w14:textId="77777777" w:rsidR="000E6892" w:rsidRDefault="000E6892" w:rsidP="000E6892">
      <w:pPr>
        <w:pStyle w:val="IPPFootnote"/>
      </w:pPr>
      <w:r>
        <w:rPr>
          <w:rStyle w:val="Appelnotedebasdep"/>
        </w:rPr>
        <w:footnoteRef/>
      </w:r>
      <w:r>
        <w:t xml:space="preserve"> </w:t>
      </w:r>
      <w:proofErr w:type="spellStart"/>
      <w:r>
        <w:t>CPM</w:t>
      </w:r>
      <w:proofErr w:type="spellEnd"/>
      <w:r>
        <w:t> 2026/CRP/12.</w:t>
      </w:r>
    </w:p>
  </w:footnote>
  <w:footnote w:id="21">
    <w:p w14:paraId="1C6D287A" w14:textId="77777777" w:rsidR="000E6892" w:rsidRDefault="000E6892" w:rsidP="000E6892">
      <w:pPr>
        <w:pStyle w:val="IPPFootnote"/>
      </w:pPr>
      <w:r>
        <w:rPr>
          <w:rStyle w:val="Appelnotedebasdep"/>
        </w:rPr>
        <w:footnoteRef/>
      </w:r>
      <w:r>
        <w:t xml:space="preserve"> </w:t>
      </w:r>
      <w:proofErr w:type="spellStart"/>
      <w:r>
        <w:t>CPM</w:t>
      </w:r>
      <w:proofErr w:type="spellEnd"/>
      <w:r>
        <w:t> 2026/</w:t>
      </w:r>
      <w:proofErr w:type="spellStart"/>
      <w:r>
        <w:t>INF</w:t>
      </w:r>
      <w:proofErr w:type="spellEnd"/>
      <w:r>
        <w:t>/37.</w:t>
      </w:r>
    </w:p>
  </w:footnote>
  <w:footnote w:id="22">
    <w:p w14:paraId="22B689B8" w14:textId="77777777" w:rsidR="000E6892" w:rsidRDefault="000E6892" w:rsidP="000E6892">
      <w:pPr>
        <w:pStyle w:val="IPPFootnote"/>
      </w:pPr>
      <w:r>
        <w:rPr>
          <w:rStyle w:val="Appelnotedebasdep"/>
        </w:rPr>
        <w:footnoteRef/>
      </w:r>
      <w:r>
        <w:t xml:space="preserve"> </w:t>
      </w:r>
      <w:proofErr w:type="spellStart"/>
      <w:r>
        <w:t>CPM</w:t>
      </w:r>
      <w:proofErr w:type="spellEnd"/>
      <w:r>
        <w:t> 2026/39.</w:t>
      </w:r>
    </w:p>
  </w:footnote>
  <w:footnote w:id="23">
    <w:p w14:paraId="4D34D487" w14:textId="77777777" w:rsidR="00CC42CC" w:rsidRDefault="00CC42CC" w:rsidP="00CC42CC">
      <w:pPr>
        <w:pStyle w:val="IPPFootnote"/>
      </w:pPr>
      <w:r>
        <w:rPr>
          <w:rStyle w:val="Appelnotedebasdep"/>
        </w:rPr>
        <w:footnoteRef/>
      </w:r>
      <w:r>
        <w:t xml:space="preserve"> </w:t>
      </w:r>
      <w:proofErr w:type="spellStart"/>
      <w:r>
        <w:t>CPM</w:t>
      </w:r>
      <w:proofErr w:type="spellEnd"/>
      <w:r>
        <w:t> 2026/10_Rev1 (y compris les pièces jointes 01 à 05).</w:t>
      </w:r>
    </w:p>
  </w:footnote>
  <w:footnote w:id="24">
    <w:p w14:paraId="7ECA0E9D" w14:textId="77777777" w:rsidR="00CC42CC" w:rsidRDefault="00CC42CC" w:rsidP="00CC42CC">
      <w:pPr>
        <w:pStyle w:val="IPPFootnote"/>
      </w:pPr>
      <w:r>
        <w:rPr>
          <w:rStyle w:val="Appelnotedebasdep"/>
        </w:rPr>
        <w:footnoteRef/>
      </w:r>
      <w:r>
        <w:t xml:space="preserve"> </w:t>
      </w:r>
      <w:proofErr w:type="spellStart"/>
      <w:r>
        <w:t>CPM</w:t>
      </w:r>
      <w:proofErr w:type="spellEnd"/>
      <w:r>
        <w:t> 2026/</w:t>
      </w:r>
      <w:proofErr w:type="spellStart"/>
      <w:r>
        <w:t>INF</w:t>
      </w:r>
      <w:proofErr w:type="spellEnd"/>
      <w:r>
        <w:t>/11.</w:t>
      </w:r>
    </w:p>
  </w:footnote>
  <w:footnote w:id="25">
    <w:p w14:paraId="289F997E" w14:textId="77777777" w:rsidR="00CC42CC" w:rsidRDefault="00CC42CC" w:rsidP="00CC42CC">
      <w:pPr>
        <w:pStyle w:val="IPPFootnote"/>
      </w:pPr>
      <w:r>
        <w:rPr>
          <w:rStyle w:val="Appelnotedebasdep"/>
        </w:rPr>
        <w:footnoteRef/>
      </w:r>
      <w:r>
        <w:t xml:space="preserve"> </w:t>
      </w:r>
      <w:proofErr w:type="spellStart"/>
      <w:r>
        <w:t>CPM</w:t>
      </w:r>
      <w:proofErr w:type="spellEnd"/>
      <w:r>
        <w:t> 2026/</w:t>
      </w:r>
      <w:proofErr w:type="spellStart"/>
      <w:r>
        <w:t>INF</w:t>
      </w:r>
      <w:proofErr w:type="spellEnd"/>
      <w:r>
        <w:t>/32.</w:t>
      </w:r>
    </w:p>
  </w:footnote>
  <w:footnote w:id="26">
    <w:p w14:paraId="0DD04560" w14:textId="77777777" w:rsidR="00CC42CC" w:rsidRDefault="00CC42CC" w:rsidP="00CC42CC">
      <w:pPr>
        <w:pStyle w:val="IPPFootnote"/>
      </w:pPr>
      <w:r>
        <w:rPr>
          <w:rStyle w:val="Appelnotedebasdep"/>
        </w:rPr>
        <w:footnoteRef/>
      </w:r>
      <w:r>
        <w:t xml:space="preserve"> </w:t>
      </w:r>
      <w:proofErr w:type="spellStart"/>
      <w:r>
        <w:t>CPM</w:t>
      </w:r>
      <w:proofErr w:type="spellEnd"/>
      <w:r>
        <w:t> 2026/</w:t>
      </w:r>
      <w:proofErr w:type="spellStart"/>
      <w:r>
        <w:t>INF</w:t>
      </w:r>
      <w:proofErr w:type="spellEnd"/>
      <w:r>
        <w:t>/28.</w:t>
      </w:r>
    </w:p>
  </w:footnote>
  <w:footnote w:id="27">
    <w:p w14:paraId="0A023C1C" w14:textId="77777777" w:rsidR="00CC42CC" w:rsidRDefault="00CC42CC" w:rsidP="00CC42CC">
      <w:pPr>
        <w:pStyle w:val="IPPFootnote"/>
      </w:pPr>
      <w:r>
        <w:rPr>
          <w:rStyle w:val="Appelnotedebasdep"/>
        </w:rPr>
        <w:footnoteRef/>
      </w:r>
      <w:r>
        <w:t xml:space="preserve"> </w:t>
      </w:r>
      <w:proofErr w:type="spellStart"/>
      <w:r>
        <w:t>CPM</w:t>
      </w:r>
      <w:proofErr w:type="spellEnd"/>
      <w:r>
        <w:t xml:space="preserve"> 2026/CRP/10.</w:t>
      </w:r>
    </w:p>
  </w:footnote>
  <w:footnote w:id="28">
    <w:p w14:paraId="0B79A387" w14:textId="77777777" w:rsidR="00B44466" w:rsidRDefault="00B44466" w:rsidP="00B44466">
      <w:pPr>
        <w:pStyle w:val="IPPFootnote"/>
      </w:pPr>
      <w:r>
        <w:rPr>
          <w:rStyle w:val="Appelnotedebasdep"/>
        </w:rPr>
        <w:footnoteRef/>
      </w:r>
      <w:r>
        <w:t xml:space="preserve"> </w:t>
      </w:r>
      <w:proofErr w:type="spellStart"/>
      <w:r>
        <w:t>CPM</w:t>
      </w:r>
      <w:proofErr w:type="spellEnd"/>
      <w:r>
        <w:t xml:space="preserve"> 2026/28.</w:t>
      </w:r>
    </w:p>
  </w:footnote>
  <w:footnote w:id="29">
    <w:p w14:paraId="29527465" w14:textId="77777777" w:rsidR="001A2904" w:rsidRDefault="001A2904" w:rsidP="001A2904">
      <w:pPr>
        <w:pStyle w:val="IPPFootnote"/>
      </w:pPr>
      <w:r>
        <w:rPr>
          <w:rStyle w:val="Appelnotedebasdep"/>
        </w:rPr>
        <w:footnoteRef/>
      </w:r>
      <w:r>
        <w:t xml:space="preserve"> </w:t>
      </w:r>
      <w:proofErr w:type="spellStart"/>
      <w:r>
        <w:t>CPM</w:t>
      </w:r>
      <w:proofErr w:type="spellEnd"/>
      <w:r>
        <w:t> 2026/34.</w:t>
      </w:r>
    </w:p>
  </w:footnote>
  <w:footnote w:id="30">
    <w:p w14:paraId="7F66B628" w14:textId="77777777" w:rsidR="00B44466" w:rsidRDefault="00B44466" w:rsidP="00B44466">
      <w:pPr>
        <w:pStyle w:val="IPPFootnote"/>
      </w:pPr>
      <w:r>
        <w:rPr>
          <w:rStyle w:val="Appelnotedebasdep"/>
        </w:rPr>
        <w:footnoteRef/>
      </w:r>
      <w:r>
        <w:t xml:space="preserve"> </w:t>
      </w:r>
      <w:proofErr w:type="spellStart"/>
      <w:r>
        <w:t>CPM</w:t>
      </w:r>
      <w:proofErr w:type="spellEnd"/>
      <w:r>
        <w:t xml:space="preserve"> 2026/14.</w:t>
      </w:r>
    </w:p>
  </w:footnote>
  <w:footnote w:id="31">
    <w:p w14:paraId="22670715" w14:textId="77777777" w:rsidR="00B44466" w:rsidRDefault="00B44466" w:rsidP="00B44466">
      <w:pPr>
        <w:pStyle w:val="IPPFootnote"/>
      </w:pPr>
      <w:r>
        <w:rPr>
          <w:rStyle w:val="Appelnotedebasdep"/>
        </w:rPr>
        <w:footnoteRef/>
      </w:r>
      <w:r>
        <w:t xml:space="preserve"> </w:t>
      </w:r>
      <w:proofErr w:type="spellStart"/>
      <w:r>
        <w:t>CPM</w:t>
      </w:r>
      <w:proofErr w:type="spellEnd"/>
      <w:r>
        <w:t> 2026/CRP/02_Rev1.</w:t>
      </w:r>
    </w:p>
  </w:footnote>
  <w:footnote w:id="32">
    <w:p w14:paraId="65876F7E" w14:textId="77777777" w:rsidR="00B44466" w:rsidRDefault="00B44466" w:rsidP="00B44466">
      <w:pPr>
        <w:pStyle w:val="IPPFootnote"/>
      </w:pPr>
      <w:r>
        <w:rPr>
          <w:rStyle w:val="Appelnotedebasdep"/>
        </w:rPr>
        <w:footnoteRef/>
      </w:r>
      <w:r>
        <w:t xml:space="preserve"> </w:t>
      </w:r>
      <w:proofErr w:type="spellStart"/>
      <w:r>
        <w:t>CPM</w:t>
      </w:r>
      <w:proofErr w:type="spellEnd"/>
      <w:r>
        <w:t> 2026/</w:t>
      </w:r>
      <w:proofErr w:type="spellStart"/>
      <w:r>
        <w:t>INF</w:t>
      </w:r>
      <w:proofErr w:type="spellEnd"/>
      <w:r>
        <w:t>/22.</w:t>
      </w:r>
    </w:p>
  </w:footnote>
  <w:footnote w:id="33">
    <w:p w14:paraId="17CD1DD3" w14:textId="77777777" w:rsidR="00B44466" w:rsidRDefault="00B44466" w:rsidP="00B44466">
      <w:pPr>
        <w:pStyle w:val="IPPFootnote"/>
      </w:pPr>
      <w:r>
        <w:rPr>
          <w:rStyle w:val="Appelnotedebasdep"/>
        </w:rPr>
        <w:footnoteRef/>
      </w:r>
      <w:r>
        <w:t xml:space="preserve"> </w:t>
      </w:r>
      <w:proofErr w:type="spellStart"/>
      <w:r>
        <w:t>CPM</w:t>
      </w:r>
      <w:proofErr w:type="spellEnd"/>
      <w:r>
        <w:t> 2026/CRP/01.</w:t>
      </w:r>
    </w:p>
  </w:footnote>
  <w:footnote w:id="34">
    <w:p w14:paraId="32FDF474" w14:textId="77777777" w:rsidR="00B44466" w:rsidRDefault="00B44466" w:rsidP="00B44466">
      <w:pPr>
        <w:pStyle w:val="IPPFootnote"/>
      </w:pPr>
      <w:r>
        <w:rPr>
          <w:rStyle w:val="Appelnotedebasdep"/>
        </w:rPr>
        <w:footnoteRef/>
      </w:r>
      <w:r>
        <w:t xml:space="preserve"> </w:t>
      </w:r>
      <w:proofErr w:type="spellStart"/>
      <w:r>
        <w:t>CPM</w:t>
      </w:r>
      <w:proofErr w:type="spellEnd"/>
      <w:r>
        <w:t> 2026/CRP/01.</w:t>
      </w:r>
    </w:p>
  </w:footnote>
  <w:footnote w:id="35">
    <w:p w14:paraId="5397E6F2" w14:textId="77777777" w:rsidR="00B44466" w:rsidRDefault="00B44466" w:rsidP="00B44466">
      <w:pPr>
        <w:pStyle w:val="IPPFootnote"/>
      </w:pPr>
      <w:r>
        <w:rPr>
          <w:rStyle w:val="Appelnotedebasdep"/>
        </w:rPr>
        <w:footnoteRef/>
      </w:r>
      <w:r>
        <w:t xml:space="preserve"> </w:t>
      </w:r>
      <w:proofErr w:type="spellStart"/>
      <w:r>
        <w:t>CPM</w:t>
      </w:r>
      <w:proofErr w:type="spellEnd"/>
      <w:r>
        <w:t xml:space="preserve"> 2026/CRP/02_Rev1; </w:t>
      </w:r>
      <w:proofErr w:type="spellStart"/>
      <w:r>
        <w:t>CPM</w:t>
      </w:r>
      <w:proofErr w:type="spellEnd"/>
      <w:r>
        <w:t> 2026/</w:t>
      </w:r>
      <w:proofErr w:type="spellStart"/>
      <w:r>
        <w:t>INF</w:t>
      </w:r>
      <w:proofErr w:type="spellEnd"/>
      <w:r>
        <w:t>/36.</w:t>
      </w:r>
    </w:p>
  </w:footnote>
  <w:footnote w:id="36">
    <w:p w14:paraId="227AFF42" w14:textId="77777777" w:rsidR="008C2C23" w:rsidRDefault="008C2C23" w:rsidP="008C2C23">
      <w:pPr>
        <w:pStyle w:val="IPPFootnote"/>
      </w:pPr>
      <w:r>
        <w:rPr>
          <w:rStyle w:val="Appelnotedebasdep"/>
        </w:rPr>
        <w:footnoteRef/>
      </w:r>
      <w:r>
        <w:t xml:space="preserve"> </w:t>
      </w:r>
      <w:proofErr w:type="spellStart"/>
      <w:r>
        <w:t>CPM</w:t>
      </w:r>
      <w:proofErr w:type="spellEnd"/>
      <w:r>
        <w:t> 2026/15.</w:t>
      </w:r>
    </w:p>
  </w:footnote>
  <w:footnote w:id="37">
    <w:p w14:paraId="4CD49F62" w14:textId="77777777" w:rsidR="008C2C23" w:rsidRDefault="008C2C23" w:rsidP="008C2C23">
      <w:pPr>
        <w:pStyle w:val="IPPFootnote"/>
      </w:pPr>
      <w:r>
        <w:rPr>
          <w:rStyle w:val="Appelnotedebasdep"/>
        </w:rPr>
        <w:footnoteRef/>
      </w:r>
      <w:r>
        <w:t xml:space="preserve"> </w:t>
      </w:r>
      <w:proofErr w:type="spellStart"/>
      <w:r>
        <w:t>CPM</w:t>
      </w:r>
      <w:proofErr w:type="spellEnd"/>
      <w:r>
        <w:t> 2026/16.</w:t>
      </w:r>
    </w:p>
  </w:footnote>
  <w:footnote w:id="38">
    <w:p w14:paraId="31F7D9BC" w14:textId="77777777" w:rsidR="008C2C23" w:rsidRDefault="008C2C23" w:rsidP="008C2C23">
      <w:pPr>
        <w:pStyle w:val="IPPFootnote"/>
      </w:pPr>
      <w:r>
        <w:rPr>
          <w:rStyle w:val="Appelnotedebasdep"/>
        </w:rPr>
        <w:footnoteRef/>
      </w:r>
      <w:r>
        <w:t xml:space="preserve"> </w:t>
      </w:r>
      <w:proofErr w:type="spellStart"/>
      <w:r>
        <w:t>CPM</w:t>
      </w:r>
      <w:proofErr w:type="spellEnd"/>
      <w:r>
        <w:t> 2026/17.</w:t>
      </w:r>
    </w:p>
  </w:footnote>
  <w:footnote w:id="39">
    <w:p w14:paraId="0C68DF09" w14:textId="77777777" w:rsidR="008C2C23" w:rsidRDefault="008C2C23" w:rsidP="008C2C23">
      <w:pPr>
        <w:pStyle w:val="IPPFootnote"/>
      </w:pPr>
      <w:r>
        <w:rPr>
          <w:rStyle w:val="Appelnotedebasdep"/>
        </w:rPr>
        <w:footnoteRef/>
      </w:r>
      <w:r>
        <w:t xml:space="preserve"> </w:t>
      </w:r>
      <w:proofErr w:type="spellStart"/>
      <w:r>
        <w:t>CPM</w:t>
      </w:r>
      <w:proofErr w:type="spellEnd"/>
      <w:r>
        <w:t> 2026/</w:t>
      </w:r>
      <w:proofErr w:type="spellStart"/>
      <w:r>
        <w:t>INF</w:t>
      </w:r>
      <w:proofErr w:type="spellEnd"/>
      <w:r>
        <w:t>/18.</w:t>
      </w:r>
    </w:p>
  </w:footnote>
  <w:footnote w:id="40">
    <w:p w14:paraId="2E4118AA" w14:textId="77777777" w:rsidR="008C2C23" w:rsidRDefault="008C2C23" w:rsidP="008C2C23">
      <w:pPr>
        <w:pStyle w:val="IPPFootnote"/>
      </w:pPr>
      <w:r>
        <w:rPr>
          <w:rStyle w:val="Appelnotedebasdep"/>
        </w:rPr>
        <w:footnoteRef/>
      </w:r>
      <w:r>
        <w:t xml:space="preserve"> </w:t>
      </w:r>
      <w:proofErr w:type="spellStart"/>
      <w:r>
        <w:t>CPM</w:t>
      </w:r>
      <w:proofErr w:type="spellEnd"/>
      <w:r>
        <w:t> 2026/CRP/01.</w:t>
      </w:r>
    </w:p>
  </w:footnote>
  <w:footnote w:id="41">
    <w:p w14:paraId="7EA12ED6" w14:textId="77777777" w:rsidR="00CC42CC" w:rsidRDefault="00CC42CC" w:rsidP="00CC42CC">
      <w:pPr>
        <w:pStyle w:val="IPPFootnote"/>
      </w:pPr>
      <w:r>
        <w:rPr>
          <w:rStyle w:val="Appelnotedebasdep"/>
        </w:rPr>
        <w:footnoteRef/>
      </w:r>
      <w:r>
        <w:t xml:space="preserve"> </w:t>
      </w:r>
      <w:proofErr w:type="spellStart"/>
      <w:r>
        <w:t>CPM</w:t>
      </w:r>
      <w:proofErr w:type="spellEnd"/>
      <w:r>
        <w:t xml:space="preserve"> 2026/18.</w:t>
      </w:r>
    </w:p>
  </w:footnote>
  <w:footnote w:id="42">
    <w:p w14:paraId="0ED30EE6" w14:textId="77777777" w:rsidR="00CC42CC" w:rsidRDefault="00CC42CC" w:rsidP="00CC42CC">
      <w:pPr>
        <w:pStyle w:val="IPPFootnote"/>
      </w:pPr>
      <w:r>
        <w:rPr>
          <w:rStyle w:val="Appelnotedebasdep"/>
        </w:rPr>
        <w:footnoteRef/>
      </w:r>
      <w:r>
        <w:t xml:space="preserve"> </w:t>
      </w:r>
      <w:proofErr w:type="spellStart"/>
      <w:r>
        <w:t>CPM</w:t>
      </w:r>
      <w:proofErr w:type="spellEnd"/>
      <w:r>
        <w:t> 2026/19, y compris le rapport complet du Groupe de réflexion (pièce jointe 1).</w:t>
      </w:r>
    </w:p>
  </w:footnote>
  <w:footnote w:id="43">
    <w:p w14:paraId="51EF47D9" w14:textId="77777777" w:rsidR="00CC42CC" w:rsidRDefault="00CC42CC" w:rsidP="00CC42CC">
      <w:pPr>
        <w:pStyle w:val="IPPFootnote"/>
      </w:pPr>
      <w:r>
        <w:rPr>
          <w:rStyle w:val="Appelnotedebasdep"/>
        </w:rPr>
        <w:footnoteRef/>
      </w:r>
      <w:r>
        <w:t xml:space="preserve"> </w:t>
      </w:r>
      <w:proofErr w:type="spellStart"/>
      <w:r>
        <w:t>CPM</w:t>
      </w:r>
      <w:proofErr w:type="spellEnd"/>
      <w:r>
        <w:t> 2026/</w:t>
      </w:r>
      <w:proofErr w:type="spellStart"/>
      <w:r>
        <w:t>INF</w:t>
      </w:r>
      <w:proofErr w:type="spellEnd"/>
      <w:r>
        <w:t>/38.</w:t>
      </w:r>
    </w:p>
  </w:footnote>
  <w:footnote w:id="44">
    <w:p w14:paraId="551AC696" w14:textId="77777777" w:rsidR="00CC42CC" w:rsidRDefault="00CC42CC" w:rsidP="00CC42CC">
      <w:pPr>
        <w:pStyle w:val="IPPFootnote"/>
      </w:pPr>
      <w:r>
        <w:rPr>
          <w:rStyle w:val="Appelnotedebasdep"/>
        </w:rPr>
        <w:footnoteRef/>
      </w:r>
      <w:r>
        <w:t xml:space="preserve"> </w:t>
      </w:r>
      <w:proofErr w:type="spellStart"/>
      <w:r>
        <w:t>CPM</w:t>
      </w:r>
      <w:proofErr w:type="spellEnd"/>
      <w:r>
        <w:t> 2026/20.</w:t>
      </w:r>
    </w:p>
  </w:footnote>
  <w:footnote w:id="45">
    <w:p w14:paraId="35B5272F" w14:textId="77777777" w:rsidR="00CC42CC" w:rsidRDefault="00CC42CC" w:rsidP="00CC42CC">
      <w:pPr>
        <w:pStyle w:val="IPPFootnote"/>
      </w:pPr>
      <w:r>
        <w:rPr>
          <w:rStyle w:val="Appelnotedebasdep"/>
        </w:rPr>
        <w:footnoteRef/>
      </w:r>
      <w:r>
        <w:t xml:space="preserve"> </w:t>
      </w:r>
      <w:proofErr w:type="spellStart"/>
      <w:r>
        <w:t>CPM</w:t>
      </w:r>
      <w:proofErr w:type="spellEnd"/>
      <w:r>
        <w:t> 2026/21_Rev1.</w:t>
      </w:r>
    </w:p>
  </w:footnote>
  <w:footnote w:id="46">
    <w:p w14:paraId="01AD0235" w14:textId="77777777" w:rsidR="00CC42CC" w:rsidRDefault="00CC42CC" w:rsidP="00CC42CC">
      <w:pPr>
        <w:pStyle w:val="IPPFootnote"/>
      </w:pPr>
      <w:r>
        <w:rPr>
          <w:rStyle w:val="Appelnotedebasdep"/>
        </w:rPr>
        <w:footnoteRef/>
      </w:r>
      <w:r>
        <w:t xml:space="preserve"> </w:t>
      </w:r>
      <w:proofErr w:type="spellStart"/>
      <w:r>
        <w:t>CPM</w:t>
      </w:r>
      <w:proofErr w:type="spellEnd"/>
      <w:r>
        <w:t xml:space="preserve"> 2026/CRP/06.</w:t>
      </w:r>
    </w:p>
  </w:footnote>
  <w:footnote w:id="47">
    <w:p w14:paraId="653A4D58" w14:textId="77777777" w:rsidR="00CC42CC" w:rsidRDefault="00CC42CC" w:rsidP="00CC42CC">
      <w:pPr>
        <w:pStyle w:val="IPPFootnote"/>
      </w:pPr>
      <w:r>
        <w:rPr>
          <w:rStyle w:val="Appelnotedebasdep"/>
        </w:rPr>
        <w:footnoteRef/>
      </w:r>
      <w:r>
        <w:t xml:space="preserve"> </w:t>
      </w:r>
      <w:proofErr w:type="spellStart"/>
      <w:r>
        <w:t>CPM</w:t>
      </w:r>
      <w:proofErr w:type="spellEnd"/>
      <w:r>
        <w:t xml:space="preserve"> 2026/CRP/01.</w:t>
      </w:r>
    </w:p>
  </w:footnote>
  <w:footnote w:id="48">
    <w:p w14:paraId="5E266AF0" w14:textId="77777777" w:rsidR="00CC42CC" w:rsidRDefault="00CC42CC" w:rsidP="00CC42CC">
      <w:pPr>
        <w:pStyle w:val="IPPFootnote"/>
      </w:pPr>
      <w:r>
        <w:rPr>
          <w:rStyle w:val="Appelnotedebasdep"/>
        </w:rPr>
        <w:footnoteRef/>
      </w:r>
      <w:r>
        <w:t xml:space="preserve"> </w:t>
      </w:r>
      <w:proofErr w:type="spellStart"/>
      <w:r>
        <w:t>CPM</w:t>
      </w:r>
      <w:proofErr w:type="spellEnd"/>
      <w:r>
        <w:t> 2026/22.</w:t>
      </w:r>
    </w:p>
  </w:footnote>
  <w:footnote w:id="49">
    <w:p w14:paraId="181C72C2" w14:textId="77777777" w:rsidR="005439F9" w:rsidRDefault="005439F9" w:rsidP="005439F9">
      <w:pPr>
        <w:pStyle w:val="IPPFootnote"/>
      </w:pPr>
      <w:r>
        <w:rPr>
          <w:rStyle w:val="Appelnotedebasdep"/>
        </w:rPr>
        <w:footnoteRef/>
      </w:r>
      <w:r>
        <w:t xml:space="preserve"> </w:t>
      </w:r>
      <w:proofErr w:type="spellStart"/>
      <w:r>
        <w:t>CPM</w:t>
      </w:r>
      <w:proofErr w:type="spellEnd"/>
      <w:r>
        <w:t> 2026/23.</w:t>
      </w:r>
    </w:p>
  </w:footnote>
  <w:footnote w:id="50">
    <w:p w14:paraId="166B2EC2" w14:textId="77777777" w:rsidR="005439F9" w:rsidRDefault="005439F9" w:rsidP="005439F9">
      <w:pPr>
        <w:pStyle w:val="IPPFootnote"/>
      </w:pPr>
      <w:r>
        <w:rPr>
          <w:rStyle w:val="Appelnotedebasdep"/>
        </w:rPr>
        <w:footnoteRef/>
      </w:r>
      <w:r>
        <w:t xml:space="preserve"> </w:t>
      </w:r>
      <w:proofErr w:type="spellStart"/>
      <w:r>
        <w:t>CPM</w:t>
      </w:r>
      <w:proofErr w:type="spellEnd"/>
      <w:r>
        <w:t> 2026/CRP/12.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4E63" w14:textId="556FDEF8" w:rsidR="0096599A" w:rsidRDefault="0096599A" w:rsidP="0096599A">
    <w:pPr>
      <w:pStyle w:val="IPP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49"/>
    <w:multiLevelType w:val="hybridMultilevel"/>
    <w:tmpl w:val="B8F4FFAA"/>
    <w:lvl w:ilvl="0" w:tplc="040C0011">
      <w:start w:val="1"/>
      <w:numFmt w:val="decimal"/>
      <w:pStyle w:val="IPPNumberedList"/>
      <w:lvlText w:val="%1)"/>
      <w:lvlJc w:val="left"/>
      <w:pPr>
        <w:tabs>
          <w:tab w:val="num" w:pos="567"/>
        </w:tabs>
        <w:ind w:left="567" w:hanging="567"/>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4"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590C79"/>
    <w:multiLevelType w:val="multilevel"/>
    <w:tmpl w:val="06E871E4"/>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6"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94152547">
    <w:abstractNumId w:val="7"/>
  </w:num>
  <w:num w:numId="2" w16cid:durableId="285430020">
    <w:abstractNumId w:val="2"/>
  </w:num>
  <w:num w:numId="3" w16cid:durableId="1212962626">
    <w:abstractNumId w:val="3"/>
  </w:num>
  <w:num w:numId="4" w16cid:durableId="1256401422">
    <w:abstractNumId w:val="9"/>
  </w:num>
  <w:num w:numId="5" w16cid:durableId="101271903">
    <w:abstractNumId w:val="6"/>
  </w:num>
  <w:num w:numId="6" w16cid:durableId="164757676">
    <w:abstractNumId w:val="4"/>
  </w:num>
  <w:num w:numId="7" w16cid:durableId="1823961567">
    <w:abstractNumId w:val="10"/>
  </w:num>
  <w:num w:numId="8" w16cid:durableId="103884033">
    <w:abstractNumId w:val="0"/>
  </w:num>
  <w:num w:numId="9" w16cid:durableId="2133016773">
    <w:abstractNumId w:val="8"/>
  </w:num>
  <w:num w:numId="10" w16cid:durableId="924068450">
    <w:abstractNumId w:val="0"/>
    <w:lvlOverride w:ilvl="0">
      <w:startOverride w:val="1"/>
    </w:lvlOverride>
  </w:num>
  <w:num w:numId="11" w16cid:durableId="1603104852">
    <w:abstractNumId w:val="0"/>
    <w:lvlOverride w:ilvl="0">
      <w:startOverride w:val="1"/>
    </w:lvlOverride>
  </w:num>
  <w:num w:numId="12" w16cid:durableId="474764105">
    <w:abstractNumId w:val="0"/>
    <w:lvlOverride w:ilvl="0">
      <w:startOverride w:val="1"/>
    </w:lvlOverride>
  </w:num>
  <w:num w:numId="13" w16cid:durableId="1642878484">
    <w:abstractNumId w:val="0"/>
    <w:lvlOverride w:ilvl="0">
      <w:startOverride w:val="1"/>
    </w:lvlOverride>
  </w:num>
  <w:num w:numId="14" w16cid:durableId="530385663">
    <w:abstractNumId w:val="0"/>
    <w:lvlOverride w:ilvl="0">
      <w:startOverride w:val="1"/>
    </w:lvlOverride>
  </w:num>
  <w:num w:numId="15" w16cid:durableId="1053046214">
    <w:abstractNumId w:val="5"/>
  </w:num>
  <w:num w:numId="16" w16cid:durableId="1935438666">
    <w:abstractNumId w:val="0"/>
    <w:lvlOverride w:ilvl="0">
      <w:startOverride w:val="1"/>
    </w:lvlOverride>
  </w:num>
  <w:num w:numId="17" w16cid:durableId="1348365046">
    <w:abstractNumId w:val="0"/>
    <w:lvlOverride w:ilvl="0">
      <w:startOverride w:val="1"/>
    </w:lvlOverride>
  </w:num>
  <w:num w:numId="18" w16cid:durableId="1344628798">
    <w:abstractNumId w:val="0"/>
    <w:lvlOverride w:ilvl="0">
      <w:startOverride w:val="1"/>
    </w:lvlOverride>
  </w:num>
  <w:num w:numId="19" w16cid:durableId="1844735818">
    <w:abstractNumId w:val="0"/>
    <w:lvlOverride w:ilvl="0">
      <w:startOverride w:val="1"/>
    </w:lvlOverride>
  </w:num>
  <w:num w:numId="20" w16cid:durableId="1776097363">
    <w:abstractNumId w:val="0"/>
    <w:lvlOverride w:ilvl="0">
      <w:startOverride w:val="1"/>
    </w:lvlOverride>
  </w:num>
  <w:num w:numId="21" w16cid:durableId="1092438001">
    <w:abstractNumId w:val="0"/>
    <w:lvlOverride w:ilvl="0">
      <w:startOverride w:val="1"/>
    </w:lvlOverride>
  </w:num>
  <w:num w:numId="22" w16cid:durableId="1340699096">
    <w:abstractNumId w:val="0"/>
    <w:lvlOverride w:ilvl="0">
      <w:startOverride w:val="1"/>
    </w:lvlOverride>
  </w:num>
  <w:num w:numId="23" w16cid:durableId="1813139088">
    <w:abstractNumId w:val="0"/>
    <w:lvlOverride w:ilvl="0">
      <w:startOverride w:val="1"/>
    </w:lvlOverride>
  </w:num>
  <w:num w:numId="24" w16cid:durableId="1080100831">
    <w:abstractNumId w:val="0"/>
    <w:lvlOverride w:ilvl="0">
      <w:startOverride w:val="1"/>
    </w:lvlOverride>
  </w:num>
  <w:num w:numId="25" w16cid:durableId="558246979">
    <w:abstractNumId w:val="0"/>
    <w:lvlOverride w:ilvl="0">
      <w:startOverride w:val="1"/>
    </w:lvlOverride>
  </w:num>
  <w:num w:numId="26" w16cid:durableId="6912674">
    <w:abstractNumId w:val="0"/>
    <w:lvlOverride w:ilvl="0">
      <w:startOverride w:val="1"/>
    </w:lvlOverride>
  </w:num>
  <w:num w:numId="27" w16cid:durableId="753091793">
    <w:abstractNumId w:val="0"/>
    <w:lvlOverride w:ilvl="0">
      <w:startOverride w:val="1"/>
    </w:lvlOverride>
  </w:num>
  <w:num w:numId="28" w16cid:durableId="1836066231">
    <w:abstractNumId w:val="0"/>
    <w:lvlOverride w:ilvl="0">
      <w:startOverride w:val="1"/>
    </w:lvlOverride>
  </w:num>
  <w:num w:numId="29" w16cid:durableId="1774398016">
    <w:abstractNumId w:val="0"/>
    <w:lvlOverride w:ilvl="0">
      <w:startOverride w:val="1"/>
    </w:lvlOverride>
  </w:num>
  <w:num w:numId="30" w16cid:durableId="1608847921">
    <w:abstractNumId w:val="0"/>
    <w:lvlOverride w:ilvl="0">
      <w:startOverride w:val="1"/>
    </w:lvlOverride>
  </w:num>
  <w:num w:numId="31" w16cid:durableId="64186455">
    <w:abstractNumId w:val="0"/>
    <w:lvlOverride w:ilvl="0">
      <w:startOverride w:val="1"/>
    </w:lvlOverride>
  </w:num>
  <w:num w:numId="32" w16cid:durableId="953832372">
    <w:abstractNumId w:val="0"/>
    <w:lvlOverride w:ilvl="0">
      <w:startOverride w:val="1"/>
    </w:lvlOverride>
  </w:num>
  <w:num w:numId="33" w16cid:durableId="149712735">
    <w:abstractNumId w:val="0"/>
    <w:lvlOverride w:ilvl="0">
      <w:startOverride w:val="1"/>
    </w:lvlOverride>
  </w:num>
  <w:num w:numId="34" w16cid:durableId="335964269">
    <w:abstractNumId w:val="0"/>
    <w:lvlOverride w:ilvl="0">
      <w:startOverride w:val="1"/>
    </w:lvlOverride>
  </w:num>
  <w:num w:numId="35" w16cid:durableId="511148017">
    <w:abstractNumId w:val="0"/>
    <w:lvlOverride w:ilvl="0">
      <w:startOverride w:val="1"/>
    </w:lvlOverride>
  </w:num>
  <w:num w:numId="36" w16cid:durableId="523251414">
    <w:abstractNumId w:val="0"/>
    <w:lvlOverride w:ilvl="0">
      <w:startOverride w:val="1"/>
    </w:lvlOverride>
  </w:num>
  <w:num w:numId="37" w16cid:durableId="288170926">
    <w:abstractNumId w:val="0"/>
    <w:lvlOverride w:ilvl="0">
      <w:startOverride w:val="1"/>
    </w:lvlOverride>
  </w:num>
  <w:num w:numId="38" w16cid:durableId="481117752">
    <w:abstractNumId w:val="0"/>
    <w:lvlOverride w:ilvl="0">
      <w:startOverride w:val="1"/>
    </w:lvlOverride>
  </w:num>
  <w:num w:numId="39" w16cid:durableId="804471566">
    <w:abstractNumId w:val="0"/>
    <w:lvlOverride w:ilvl="0">
      <w:startOverride w:val="1"/>
    </w:lvlOverride>
  </w:num>
  <w:num w:numId="40" w16cid:durableId="1435899203">
    <w:abstractNumId w:val="0"/>
    <w:lvlOverride w:ilvl="0">
      <w:startOverride w:val="1"/>
    </w:lvlOverride>
  </w:num>
  <w:num w:numId="41" w16cid:durableId="1328166515">
    <w:abstractNumId w:val="0"/>
    <w:lvlOverride w:ilvl="0">
      <w:startOverride w:val="1"/>
    </w:lvlOverride>
  </w:num>
  <w:num w:numId="42" w16cid:durableId="1150169805">
    <w:abstractNumId w:val="0"/>
    <w:lvlOverride w:ilvl="0">
      <w:startOverride w:val="1"/>
    </w:lvlOverride>
  </w:num>
  <w:num w:numId="43" w16cid:durableId="199246766">
    <w:abstractNumId w:val="0"/>
    <w:lvlOverride w:ilvl="0">
      <w:startOverride w:val="1"/>
    </w:lvlOverride>
  </w:num>
  <w:num w:numId="44" w16cid:durableId="529611125">
    <w:abstractNumId w:val="0"/>
    <w:lvlOverride w:ilvl="0">
      <w:startOverride w:val="1"/>
    </w:lvlOverride>
  </w:num>
  <w:num w:numId="45" w16cid:durableId="1956522836">
    <w:abstractNumId w:val="0"/>
    <w:lvlOverride w:ilvl="0">
      <w:startOverride w:val="1"/>
    </w:lvlOverride>
  </w:num>
  <w:num w:numId="46" w16cid:durableId="858466037">
    <w:abstractNumId w:val="0"/>
    <w:lvlOverride w:ilvl="0">
      <w:startOverride w:val="1"/>
    </w:lvlOverride>
  </w:num>
  <w:num w:numId="47" w16cid:durableId="1211379033">
    <w:abstractNumId w:val="0"/>
    <w:lvlOverride w:ilvl="0">
      <w:startOverride w:val="1"/>
    </w:lvlOverride>
  </w:num>
  <w:num w:numId="48" w16cid:durableId="1906599604">
    <w:abstractNumId w:val="0"/>
    <w:lvlOverride w:ilvl="0">
      <w:startOverride w:val="1"/>
    </w:lvlOverride>
  </w:num>
  <w:num w:numId="49" w16cid:durableId="1977955482">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0" w16cid:durableId="197934289">
    <w:abstractNumId w:val="0"/>
    <w:lvlOverride w:ilvl="0">
      <w:startOverride w:val="1"/>
    </w:lvlOverride>
  </w:num>
  <w:num w:numId="51" w16cid:durableId="1699702471">
    <w:abstractNumId w:val="0"/>
    <w:lvlOverride w:ilvl="0">
      <w:startOverride w:val="1"/>
    </w:lvlOverride>
  </w:num>
  <w:num w:numId="52" w16cid:durableId="70741501">
    <w:abstractNumId w:val="0"/>
    <w:lvlOverride w:ilvl="0">
      <w:startOverride w:val="1"/>
    </w:lvlOverride>
  </w:num>
  <w:num w:numId="53" w16cid:durableId="1124735769">
    <w:abstractNumId w:val="0"/>
    <w:lvlOverride w:ilvl="0">
      <w:startOverride w:val="1"/>
    </w:lvlOverride>
  </w:num>
  <w:num w:numId="54" w16cid:durableId="1703245289">
    <w:abstractNumId w:val="0"/>
    <w:lvlOverride w:ilvl="0">
      <w:startOverride w:val="1"/>
    </w:lvlOverride>
  </w:num>
  <w:num w:numId="55" w16cid:durableId="1146899477">
    <w:abstractNumId w:val="0"/>
    <w:lvlOverride w:ilvl="0">
      <w:startOverride w:val="1"/>
    </w:lvlOverride>
  </w:num>
  <w:num w:numId="56" w16cid:durableId="1478761297">
    <w:abstractNumId w:val="0"/>
    <w:lvlOverride w:ilvl="0">
      <w:startOverride w:val="1"/>
    </w:lvlOverride>
  </w:num>
  <w:num w:numId="57" w16cid:durableId="1429885445">
    <w:abstractNumId w:val="1"/>
  </w:num>
  <w:num w:numId="58" w16cid:durableId="1797724077">
    <w:abstractNumId w:val="0"/>
    <w:lvlOverride w:ilvl="0">
      <w:startOverride w:val="1"/>
    </w:lvlOverride>
  </w:num>
  <w:num w:numId="59" w16cid:durableId="484857520">
    <w:abstractNumId w:val="0"/>
    <w:lvlOverride w:ilvl="0">
      <w:startOverride w:val="1"/>
    </w:lvlOverride>
  </w:num>
  <w:num w:numId="60" w16cid:durableId="1948543249">
    <w:abstractNumId w:val="0"/>
    <w:lvlOverride w:ilvl="0">
      <w:startOverride w:val="1"/>
    </w:lvlOverride>
  </w:num>
  <w:num w:numId="61" w16cid:durableId="188032271">
    <w:abstractNumId w:val="0"/>
    <w:lvlOverride w:ilvl="0">
      <w:startOverride w:val="1"/>
    </w:lvlOverride>
  </w:num>
  <w:num w:numId="62" w16cid:durableId="1016495486">
    <w:abstractNumId w:val="0"/>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5A"/>
    <w:rsid w:val="00001077"/>
    <w:rsid w:val="00001277"/>
    <w:rsid w:val="00001FCB"/>
    <w:rsid w:val="0000202B"/>
    <w:rsid w:val="000022A8"/>
    <w:rsid w:val="00002421"/>
    <w:rsid w:val="0000262D"/>
    <w:rsid w:val="00002EB3"/>
    <w:rsid w:val="00003334"/>
    <w:rsid w:val="0000336F"/>
    <w:rsid w:val="00003B07"/>
    <w:rsid w:val="00003C70"/>
    <w:rsid w:val="0000454A"/>
    <w:rsid w:val="00004E4D"/>
    <w:rsid w:val="00005183"/>
    <w:rsid w:val="0000538A"/>
    <w:rsid w:val="000053C3"/>
    <w:rsid w:val="00005918"/>
    <w:rsid w:val="00005E85"/>
    <w:rsid w:val="00006013"/>
    <w:rsid w:val="00006453"/>
    <w:rsid w:val="00006E97"/>
    <w:rsid w:val="00007987"/>
    <w:rsid w:val="000079EC"/>
    <w:rsid w:val="00007EEB"/>
    <w:rsid w:val="0001002F"/>
    <w:rsid w:val="000100D4"/>
    <w:rsid w:val="0001033C"/>
    <w:rsid w:val="00010AF6"/>
    <w:rsid w:val="00010CB6"/>
    <w:rsid w:val="000113C5"/>
    <w:rsid w:val="000115CB"/>
    <w:rsid w:val="00011AFA"/>
    <w:rsid w:val="000133A4"/>
    <w:rsid w:val="000139FD"/>
    <w:rsid w:val="00013F54"/>
    <w:rsid w:val="00014013"/>
    <w:rsid w:val="00014237"/>
    <w:rsid w:val="00014E4B"/>
    <w:rsid w:val="00015977"/>
    <w:rsid w:val="00015D72"/>
    <w:rsid w:val="00015F36"/>
    <w:rsid w:val="0001726F"/>
    <w:rsid w:val="000208AE"/>
    <w:rsid w:val="000224AE"/>
    <w:rsid w:val="000229F0"/>
    <w:rsid w:val="00024996"/>
    <w:rsid w:val="00024D2D"/>
    <w:rsid w:val="0002592C"/>
    <w:rsid w:val="00025E29"/>
    <w:rsid w:val="00026824"/>
    <w:rsid w:val="00026B13"/>
    <w:rsid w:val="00026D2A"/>
    <w:rsid w:val="00027065"/>
    <w:rsid w:val="000270FF"/>
    <w:rsid w:val="00027C99"/>
    <w:rsid w:val="000303BB"/>
    <w:rsid w:val="00030896"/>
    <w:rsid w:val="00031B84"/>
    <w:rsid w:val="00031DB8"/>
    <w:rsid w:val="00031F1D"/>
    <w:rsid w:val="00032CE5"/>
    <w:rsid w:val="00032DED"/>
    <w:rsid w:val="00033524"/>
    <w:rsid w:val="00033CED"/>
    <w:rsid w:val="000342C1"/>
    <w:rsid w:val="000343C5"/>
    <w:rsid w:val="000346A4"/>
    <w:rsid w:val="000349AE"/>
    <w:rsid w:val="00034B7B"/>
    <w:rsid w:val="00034CF3"/>
    <w:rsid w:val="00034EBA"/>
    <w:rsid w:val="000355F5"/>
    <w:rsid w:val="0003572D"/>
    <w:rsid w:val="0003592E"/>
    <w:rsid w:val="00035B77"/>
    <w:rsid w:val="00035D59"/>
    <w:rsid w:val="00036436"/>
    <w:rsid w:val="000368BE"/>
    <w:rsid w:val="00036E0C"/>
    <w:rsid w:val="00036E92"/>
    <w:rsid w:val="00037F8D"/>
    <w:rsid w:val="00040ABB"/>
    <w:rsid w:val="00041608"/>
    <w:rsid w:val="000418C1"/>
    <w:rsid w:val="00042F64"/>
    <w:rsid w:val="00043587"/>
    <w:rsid w:val="00043ACE"/>
    <w:rsid w:val="0004433D"/>
    <w:rsid w:val="00044E45"/>
    <w:rsid w:val="00044E9D"/>
    <w:rsid w:val="0004509B"/>
    <w:rsid w:val="0004563B"/>
    <w:rsid w:val="00045CB0"/>
    <w:rsid w:val="00046819"/>
    <w:rsid w:val="00047A86"/>
    <w:rsid w:val="000500B7"/>
    <w:rsid w:val="00050678"/>
    <w:rsid w:val="00051067"/>
    <w:rsid w:val="000512A2"/>
    <w:rsid w:val="0005203C"/>
    <w:rsid w:val="00052666"/>
    <w:rsid w:val="0005269D"/>
    <w:rsid w:val="00052FE7"/>
    <w:rsid w:val="0005351C"/>
    <w:rsid w:val="00053BC5"/>
    <w:rsid w:val="00054279"/>
    <w:rsid w:val="000543CC"/>
    <w:rsid w:val="000544EA"/>
    <w:rsid w:val="0005521A"/>
    <w:rsid w:val="00056E56"/>
    <w:rsid w:val="000575D7"/>
    <w:rsid w:val="00057A23"/>
    <w:rsid w:val="00057F41"/>
    <w:rsid w:val="0006096F"/>
    <w:rsid w:val="000611A2"/>
    <w:rsid w:val="000628D9"/>
    <w:rsid w:val="000630F5"/>
    <w:rsid w:val="0006401A"/>
    <w:rsid w:val="000654DE"/>
    <w:rsid w:val="00065560"/>
    <w:rsid w:val="00065E43"/>
    <w:rsid w:val="000661CB"/>
    <w:rsid w:val="00066D33"/>
    <w:rsid w:val="00067A2B"/>
    <w:rsid w:val="00070107"/>
    <w:rsid w:val="00070DCC"/>
    <w:rsid w:val="00071708"/>
    <w:rsid w:val="0007266D"/>
    <w:rsid w:val="000728A7"/>
    <w:rsid w:val="00072EA3"/>
    <w:rsid w:val="00073472"/>
    <w:rsid w:val="00073702"/>
    <w:rsid w:val="00073CCD"/>
    <w:rsid w:val="000741F8"/>
    <w:rsid w:val="000745D3"/>
    <w:rsid w:val="00074C88"/>
    <w:rsid w:val="00074E62"/>
    <w:rsid w:val="00074F0E"/>
    <w:rsid w:val="00075223"/>
    <w:rsid w:val="00075CE4"/>
    <w:rsid w:val="00075FDC"/>
    <w:rsid w:val="00076560"/>
    <w:rsid w:val="00077907"/>
    <w:rsid w:val="00080DC5"/>
    <w:rsid w:val="00080F1C"/>
    <w:rsid w:val="00081B90"/>
    <w:rsid w:val="00083493"/>
    <w:rsid w:val="00084881"/>
    <w:rsid w:val="00084C5E"/>
    <w:rsid w:val="0008755E"/>
    <w:rsid w:val="00090CC0"/>
    <w:rsid w:val="00090EC0"/>
    <w:rsid w:val="000910C7"/>
    <w:rsid w:val="000913B8"/>
    <w:rsid w:val="000928B2"/>
    <w:rsid w:val="00092CB8"/>
    <w:rsid w:val="000933D3"/>
    <w:rsid w:val="00093FEB"/>
    <w:rsid w:val="000942A1"/>
    <w:rsid w:val="000944A6"/>
    <w:rsid w:val="00094705"/>
    <w:rsid w:val="000949F9"/>
    <w:rsid w:val="00094CB1"/>
    <w:rsid w:val="000953BF"/>
    <w:rsid w:val="0009628B"/>
    <w:rsid w:val="00096559"/>
    <w:rsid w:val="00096F5E"/>
    <w:rsid w:val="00097119"/>
    <w:rsid w:val="00097A03"/>
    <w:rsid w:val="00097D51"/>
    <w:rsid w:val="00097FD4"/>
    <w:rsid w:val="000A0C32"/>
    <w:rsid w:val="000A0CB6"/>
    <w:rsid w:val="000A1B0B"/>
    <w:rsid w:val="000A1FD9"/>
    <w:rsid w:val="000A223C"/>
    <w:rsid w:val="000A2C28"/>
    <w:rsid w:val="000A2CCC"/>
    <w:rsid w:val="000A3730"/>
    <w:rsid w:val="000A3D6A"/>
    <w:rsid w:val="000A423B"/>
    <w:rsid w:val="000A4668"/>
    <w:rsid w:val="000A56D5"/>
    <w:rsid w:val="000A5DDC"/>
    <w:rsid w:val="000A631B"/>
    <w:rsid w:val="000A67F9"/>
    <w:rsid w:val="000A75D3"/>
    <w:rsid w:val="000B04F6"/>
    <w:rsid w:val="000B0CEE"/>
    <w:rsid w:val="000B14A7"/>
    <w:rsid w:val="000B16D4"/>
    <w:rsid w:val="000B2237"/>
    <w:rsid w:val="000B3C62"/>
    <w:rsid w:val="000B585E"/>
    <w:rsid w:val="000B66C4"/>
    <w:rsid w:val="000B6899"/>
    <w:rsid w:val="000B6D93"/>
    <w:rsid w:val="000B6EA5"/>
    <w:rsid w:val="000B75D3"/>
    <w:rsid w:val="000B76B3"/>
    <w:rsid w:val="000C00AB"/>
    <w:rsid w:val="000C02FC"/>
    <w:rsid w:val="000C088A"/>
    <w:rsid w:val="000C0940"/>
    <w:rsid w:val="000C1AA8"/>
    <w:rsid w:val="000C1B02"/>
    <w:rsid w:val="000C2123"/>
    <w:rsid w:val="000C250C"/>
    <w:rsid w:val="000C2B62"/>
    <w:rsid w:val="000C3AA0"/>
    <w:rsid w:val="000C3F60"/>
    <w:rsid w:val="000C4FBE"/>
    <w:rsid w:val="000C5CC2"/>
    <w:rsid w:val="000C5E58"/>
    <w:rsid w:val="000C60F8"/>
    <w:rsid w:val="000C64A0"/>
    <w:rsid w:val="000C64D6"/>
    <w:rsid w:val="000C75E4"/>
    <w:rsid w:val="000C7D7E"/>
    <w:rsid w:val="000C7F48"/>
    <w:rsid w:val="000D0062"/>
    <w:rsid w:val="000D076B"/>
    <w:rsid w:val="000D093D"/>
    <w:rsid w:val="000D160F"/>
    <w:rsid w:val="000D1F77"/>
    <w:rsid w:val="000D2094"/>
    <w:rsid w:val="000D28CB"/>
    <w:rsid w:val="000D2D20"/>
    <w:rsid w:val="000D3120"/>
    <w:rsid w:val="000D39AB"/>
    <w:rsid w:val="000D5E26"/>
    <w:rsid w:val="000D661F"/>
    <w:rsid w:val="000D710D"/>
    <w:rsid w:val="000D755F"/>
    <w:rsid w:val="000D7FA2"/>
    <w:rsid w:val="000E0B2A"/>
    <w:rsid w:val="000E0EB8"/>
    <w:rsid w:val="000E1F22"/>
    <w:rsid w:val="000E2001"/>
    <w:rsid w:val="000E25B1"/>
    <w:rsid w:val="000E2F6F"/>
    <w:rsid w:val="000E37CC"/>
    <w:rsid w:val="000E3DF0"/>
    <w:rsid w:val="000E41A4"/>
    <w:rsid w:val="000E5598"/>
    <w:rsid w:val="000E63A7"/>
    <w:rsid w:val="000E64B3"/>
    <w:rsid w:val="000E6727"/>
    <w:rsid w:val="000E6892"/>
    <w:rsid w:val="000E76AF"/>
    <w:rsid w:val="000E7A1D"/>
    <w:rsid w:val="000F0341"/>
    <w:rsid w:val="000F092D"/>
    <w:rsid w:val="000F0FD6"/>
    <w:rsid w:val="000F1082"/>
    <w:rsid w:val="000F279E"/>
    <w:rsid w:val="000F37D9"/>
    <w:rsid w:val="000F3839"/>
    <w:rsid w:val="000F3DF6"/>
    <w:rsid w:val="000F408D"/>
    <w:rsid w:val="000F4172"/>
    <w:rsid w:val="000F4366"/>
    <w:rsid w:val="000F4809"/>
    <w:rsid w:val="000F4B82"/>
    <w:rsid w:val="000F503A"/>
    <w:rsid w:val="000F54C9"/>
    <w:rsid w:val="000F5904"/>
    <w:rsid w:val="000F5AA5"/>
    <w:rsid w:val="000F60B6"/>
    <w:rsid w:val="000F6136"/>
    <w:rsid w:val="000F6934"/>
    <w:rsid w:val="000F72DD"/>
    <w:rsid w:val="000F7910"/>
    <w:rsid w:val="0010013F"/>
    <w:rsid w:val="00100FD6"/>
    <w:rsid w:val="00101AA2"/>
    <w:rsid w:val="00102940"/>
    <w:rsid w:val="0010370E"/>
    <w:rsid w:val="00103F45"/>
    <w:rsid w:val="00104134"/>
    <w:rsid w:val="00104162"/>
    <w:rsid w:val="0010567E"/>
    <w:rsid w:val="00105FC5"/>
    <w:rsid w:val="00106388"/>
    <w:rsid w:val="00106A1D"/>
    <w:rsid w:val="00106DA2"/>
    <w:rsid w:val="00107063"/>
    <w:rsid w:val="00107899"/>
    <w:rsid w:val="00107978"/>
    <w:rsid w:val="00110BA5"/>
    <w:rsid w:val="001114C0"/>
    <w:rsid w:val="00114029"/>
    <w:rsid w:val="00114449"/>
    <w:rsid w:val="0011478B"/>
    <w:rsid w:val="00114F59"/>
    <w:rsid w:val="00115FDF"/>
    <w:rsid w:val="0011682E"/>
    <w:rsid w:val="00117428"/>
    <w:rsid w:val="001179B3"/>
    <w:rsid w:val="00121D94"/>
    <w:rsid w:val="0012230C"/>
    <w:rsid w:val="001228AC"/>
    <w:rsid w:val="00123EA2"/>
    <w:rsid w:val="00124303"/>
    <w:rsid w:val="001245CB"/>
    <w:rsid w:val="001245F5"/>
    <w:rsid w:val="00124615"/>
    <w:rsid w:val="001247F8"/>
    <w:rsid w:val="001251A0"/>
    <w:rsid w:val="001260B0"/>
    <w:rsid w:val="001260EB"/>
    <w:rsid w:val="0012623B"/>
    <w:rsid w:val="001265F9"/>
    <w:rsid w:val="00127966"/>
    <w:rsid w:val="0012796F"/>
    <w:rsid w:val="00130843"/>
    <w:rsid w:val="00130C67"/>
    <w:rsid w:val="0013307A"/>
    <w:rsid w:val="0013474A"/>
    <w:rsid w:val="00134D1C"/>
    <w:rsid w:val="001357C6"/>
    <w:rsid w:val="0013621A"/>
    <w:rsid w:val="00136719"/>
    <w:rsid w:val="00136F07"/>
    <w:rsid w:val="00137A08"/>
    <w:rsid w:val="00140E20"/>
    <w:rsid w:val="001413C7"/>
    <w:rsid w:val="00141AB0"/>
    <w:rsid w:val="00141B3D"/>
    <w:rsid w:val="00141E79"/>
    <w:rsid w:val="00142B54"/>
    <w:rsid w:val="00143633"/>
    <w:rsid w:val="00144817"/>
    <w:rsid w:val="00146947"/>
    <w:rsid w:val="00146D4D"/>
    <w:rsid w:val="00146E02"/>
    <w:rsid w:val="00146E93"/>
    <w:rsid w:val="001474AB"/>
    <w:rsid w:val="00147ADF"/>
    <w:rsid w:val="00150524"/>
    <w:rsid w:val="00150857"/>
    <w:rsid w:val="00151AB4"/>
    <w:rsid w:val="001525D0"/>
    <w:rsid w:val="00152A47"/>
    <w:rsid w:val="001539D1"/>
    <w:rsid w:val="00154749"/>
    <w:rsid w:val="001559E8"/>
    <w:rsid w:val="00156508"/>
    <w:rsid w:val="00156827"/>
    <w:rsid w:val="00156EAD"/>
    <w:rsid w:val="00156F5E"/>
    <w:rsid w:val="00156F92"/>
    <w:rsid w:val="001576D0"/>
    <w:rsid w:val="00160398"/>
    <w:rsid w:val="00160952"/>
    <w:rsid w:val="00160A98"/>
    <w:rsid w:val="00161A2E"/>
    <w:rsid w:val="001624FA"/>
    <w:rsid w:val="00162CE7"/>
    <w:rsid w:val="00162DFE"/>
    <w:rsid w:val="00162EBF"/>
    <w:rsid w:val="001631D0"/>
    <w:rsid w:val="00163284"/>
    <w:rsid w:val="00163D66"/>
    <w:rsid w:val="00164116"/>
    <w:rsid w:val="001650EC"/>
    <w:rsid w:val="0016510A"/>
    <w:rsid w:val="00165ACA"/>
    <w:rsid w:val="00165D82"/>
    <w:rsid w:val="001660D4"/>
    <w:rsid w:val="00166744"/>
    <w:rsid w:val="001667BE"/>
    <w:rsid w:val="00166914"/>
    <w:rsid w:val="00166ACD"/>
    <w:rsid w:val="00167F48"/>
    <w:rsid w:val="00171190"/>
    <w:rsid w:val="00171BCC"/>
    <w:rsid w:val="00172083"/>
    <w:rsid w:val="0017215F"/>
    <w:rsid w:val="0017251C"/>
    <w:rsid w:val="00172AFD"/>
    <w:rsid w:val="00172BA2"/>
    <w:rsid w:val="00172F10"/>
    <w:rsid w:val="0017327C"/>
    <w:rsid w:val="001737A9"/>
    <w:rsid w:val="001739D3"/>
    <w:rsid w:val="00174018"/>
    <w:rsid w:val="00174EAB"/>
    <w:rsid w:val="00174F23"/>
    <w:rsid w:val="001755BD"/>
    <w:rsid w:val="00176D10"/>
    <w:rsid w:val="00176DFB"/>
    <w:rsid w:val="001776D7"/>
    <w:rsid w:val="00177DC6"/>
    <w:rsid w:val="00180692"/>
    <w:rsid w:val="00180C44"/>
    <w:rsid w:val="00180FE2"/>
    <w:rsid w:val="00181431"/>
    <w:rsid w:val="0018289F"/>
    <w:rsid w:val="00183972"/>
    <w:rsid w:val="00183A63"/>
    <w:rsid w:val="00185064"/>
    <w:rsid w:val="001854B7"/>
    <w:rsid w:val="001870B4"/>
    <w:rsid w:val="00187AE0"/>
    <w:rsid w:val="00187D3A"/>
    <w:rsid w:val="0019071D"/>
    <w:rsid w:val="0019136C"/>
    <w:rsid w:val="00191F75"/>
    <w:rsid w:val="00192114"/>
    <w:rsid w:val="001922F4"/>
    <w:rsid w:val="00192CA9"/>
    <w:rsid w:val="001930D9"/>
    <w:rsid w:val="00193B3C"/>
    <w:rsid w:val="00193D90"/>
    <w:rsid w:val="00194601"/>
    <w:rsid w:val="00194C2A"/>
    <w:rsid w:val="0019519F"/>
    <w:rsid w:val="00196BC5"/>
    <w:rsid w:val="001979A3"/>
    <w:rsid w:val="001A00A0"/>
    <w:rsid w:val="001A040B"/>
    <w:rsid w:val="001A05E8"/>
    <w:rsid w:val="001A07CF"/>
    <w:rsid w:val="001A0CC4"/>
    <w:rsid w:val="001A0F00"/>
    <w:rsid w:val="001A1EFC"/>
    <w:rsid w:val="001A25A3"/>
    <w:rsid w:val="001A26BB"/>
    <w:rsid w:val="001A2904"/>
    <w:rsid w:val="001A2FC8"/>
    <w:rsid w:val="001A3549"/>
    <w:rsid w:val="001A3559"/>
    <w:rsid w:val="001A428F"/>
    <w:rsid w:val="001A4BA1"/>
    <w:rsid w:val="001A4C21"/>
    <w:rsid w:val="001A4D18"/>
    <w:rsid w:val="001A648D"/>
    <w:rsid w:val="001A6C5C"/>
    <w:rsid w:val="001A7125"/>
    <w:rsid w:val="001A7472"/>
    <w:rsid w:val="001A79BE"/>
    <w:rsid w:val="001B0174"/>
    <w:rsid w:val="001B0537"/>
    <w:rsid w:val="001B0697"/>
    <w:rsid w:val="001B0846"/>
    <w:rsid w:val="001B1632"/>
    <w:rsid w:val="001B173F"/>
    <w:rsid w:val="001B1C4A"/>
    <w:rsid w:val="001B1D5C"/>
    <w:rsid w:val="001B2FED"/>
    <w:rsid w:val="001B37DD"/>
    <w:rsid w:val="001B453B"/>
    <w:rsid w:val="001B47A3"/>
    <w:rsid w:val="001B51C3"/>
    <w:rsid w:val="001B53EC"/>
    <w:rsid w:val="001B618E"/>
    <w:rsid w:val="001B62CB"/>
    <w:rsid w:val="001B63E9"/>
    <w:rsid w:val="001B69C4"/>
    <w:rsid w:val="001B6E4F"/>
    <w:rsid w:val="001B7763"/>
    <w:rsid w:val="001B7950"/>
    <w:rsid w:val="001B7CCB"/>
    <w:rsid w:val="001C01B5"/>
    <w:rsid w:val="001C049C"/>
    <w:rsid w:val="001C05AC"/>
    <w:rsid w:val="001C0824"/>
    <w:rsid w:val="001C0AC0"/>
    <w:rsid w:val="001C15CC"/>
    <w:rsid w:val="001C2084"/>
    <w:rsid w:val="001C3CC8"/>
    <w:rsid w:val="001C4E01"/>
    <w:rsid w:val="001C59FE"/>
    <w:rsid w:val="001C63BA"/>
    <w:rsid w:val="001C6470"/>
    <w:rsid w:val="001C6C46"/>
    <w:rsid w:val="001C7379"/>
    <w:rsid w:val="001C7BE9"/>
    <w:rsid w:val="001D0B28"/>
    <w:rsid w:val="001D0EE2"/>
    <w:rsid w:val="001D18B0"/>
    <w:rsid w:val="001D236B"/>
    <w:rsid w:val="001D26B3"/>
    <w:rsid w:val="001D2E44"/>
    <w:rsid w:val="001D319F"/>
    <w:rsid w:val="001D35DA"/>
    <w:rsid w:val="001D4C5D"/>
    <w:rsid w:val="001D544B"/>
    <w:rsid w:val="001D61B4"/>
    <w:rsid w:val="001D61CD"/>
    <w:rsid w:val="001D63BC"/>
    <w:rsid w:val="001D6BD4"/>
    <w:rsid w:val="001D6CFF"/>
    <w:rsid w:val="001D6E61"/>
    <w:rsid w:val="001D6F49"/>
    <w:rsid w:val="001D7328"/>
    <w:rsid w:val="001E03FE"/>
    <w:rsid w:val="001E052F"/>
    <w:rsid w:val="001E0731"/>
    <w:rsid w:val="001E0C92"/>
    <w:rsid w:val="001E0F6C"/>
    <w:rsid w:val="001E16BE"/>
    <w:rsid w:val="001E1AAB"/>
    <w:rsid w:val="001E1BEE"/>
    <w:rsid w:val="001E22F8"/>
    <w:rsid w:val="001E26F0"/>
    <w:rsid w:val="001E2C7B"/>
    <w:rsid w:val="001E33E7"/>
    <w:rsid w:val="001E34B4"/>
    <w:rsid w:val="001E34F6"/>
    <w:rsid w:val="001E45C0"/>
    <w:rsid w:val="001E481A"/>
    <w:rsid w:val="001E501A"/>
    <w:rsid w:val="001E6356"/>
    <w:rsid w:val="001E64DC"/>
    <w:rsid w:val="001E7E06"/>
    <w:rsid w:val="001F0F3A"/>
    <w:rsid w:val="001F1523"/>
    <w:rsid w:val="001F2044"/>
    <w:rsid w:val="001F232B"/>
    <w:rsid w:val="001F243E"/>
    <w:rsid w:val="001F2744"/>
    <w:rsid w:val="001F290A"/>
    <w:rsid w:val="001F298A"/>
    <w:rsid w:val="001F2A1D"/>
    <w:rsid w:val="001F3D80"/>
    <w:rsid w:val="001F541B"/>
    <w:rsid w:val="001F661A"/>
    <w:rsid w:val="001F6C9B"/>
    <w:rsid w:val="00200237"/>
    <w:rsid w:val="002004AC"/>
    <w:rsid w:val="002008A4"/>
    <w:rsid w:val="00200F43"/>
    <w:rsid w:val="00201701"/>
    <w:rsid w:val="00201E79"/>
    <w:rsid w:val="0020277D"/>
    <w:rsid w:val="00202DD6"/>
    <w:rsid w:val="00203A1C"/>
    <w:rsid w:val="00204C3A"/>
    <w:rsid w:val="00205676"/>
    <w:rsid w:val="002072BD"/>
    <w:rsid w:val="00207BC6"/>
    <w:rsid w:val="00210018"/>
    <w:rsid w:val="00210B3A"/>
    <w:rsid w:val="00210DB7"/>
    <w:rsid w:val="0021170C"/>
    <w:rsid w:val="00211718"/>
    <w:rsid w:val="00211F39"/>
    <w:rsid w:val="0021231A"/>
    <w:rsid w:val="002127C3"/>
    <w:rsid w:val="00213443"/>
    <w:rsid w:val="00213697"/>
    <w:rsid w:val="00213B9C"/>
    <w:rsid w:val="00215992"/>
    <w:rsid w:val="00215CC8"/>
    <w:rsid w:val="00216CDE"/>
    <w:rsid w:val="00216D35"/>
    <w:rsid w:val="00217AF1"/>
    <w:rsid w:val="00217F76"/>
    <w:rsid w:val="00220B08"/>
    <w:rsid w:val="00220CB9"/>
    <w:rsid w:val="0022163D"/>
    <w:rsid w:val="00221E2F"/>
    <w:rsid w:val="00222DDA"/>
    <w:rsid w:val="00224DD2"/>
    <w:rsid w:val="00224E87"/>
    <w:rsid w:val="0022580A"/>
    <w:rsid w:val="00225AF3"/>
    <w:rsid w:val="00226783"/>
    <w:rsid w:val="00226AA3"/>
    <w:rsid w:val="002271D7"/>
    <w:rsid w:val="00227328"/>
    <w:rsid w:val="00227FAB"/>
    <w:rsid w:val="00230CD3"/>
    <w:rsid w:val="00230EF8"/>
    <w:rsid w:val="00232172"/>
    <w:rsid w:val="00232245"/>
    <w:rsid w:val="00232311"/>
    <w:rsid w:val="00232629"/>
    <w:rsid w:val="002326A9"/>
    <w:rsid w:val="002333F5"/>
    <w:rsid w:val="00233FBD"/>
    <w:rsid w:val="0023431A"/>
    <w:rsid w:val="00234CB0"/>
    <w:rsid w:val="002350F0"/>
    <w:rsid w:val="0023595F"/>
    <w:rsid w:val="002373BD"/>
    <w:rsid w:val="00240046"/>
    <w:rsid w:val="00241193"/>
    <w:rsid w:val="0024167B"/>
    <w:rsid w:val="0024264C"/>
    <w:rsid w:val="002426D4"/>
    <w:rsid w:val="002426F0"/>
    <w:rsid w:val="00242D9A"/>
    <w:rsid w:val="002432D8"/>
    <w:rsid w:val="002435CA"/>
    <w:rsid w:val="002435DB"/>
    <w:rsid w:val="0024380A"/>
    <w:rsid w:val="002443DB"/>
    <w:rsid w:val="00244B7A"/>
    <w:rsid w:val="002451E4"/>
    <w:rsid w:val="0024548C"/>
    <w:rsid w:val="0024569C"/>
    <w:rsid w:val="00246214"/>
    <w:rsid w:val="002465E7"/>
    <w:rsid w:val="00246D61"/>
    <w:rsid w:val="00246E9F"/>
    <w:rsid w:val="0024728A"/>
    <w:rsid w:val="002472BB"/>
    <w:rsid w:val="00250676"/>
    <w:rsid w:val="002509F2"/>
    <w:rsid w:val="00250BBB"/>
    <w:rsid w:val="00251625"/>
    <w:rsid w:val="00252637"/>
    <w:rsid w:val="00253285"/>
    <w:rsid w:val="0025359B"/>
    <w:rsid w:val="00253A1B"/>
    <w:rsid w:val="00253E18"/>
    <w:rsid w:val="002547EB"/>
    <w:rsid w:val="0025488A"/>
    <w:rsid w:val="002548FE"/>
    <w:rsid w:val="00254C87"/>
    <w:rsid w:val="002552AB"/>
    <w:rsid w:val="002553D7"/>
    <w:rsid w:val="00255982"/>
    <w:rsid w:val="00257082"/>
    <w:rsid w:val="00257462"/>
    <w:rsid w:val="00257464"/>
    <w:rsid w:val="00260084"/>
    <w:rsid w:val="00260AC4"/>
    <w:rsid w:val="00260B6A"/>
    <w:rsid w:val="00260C98"/>
    <w:rsid w:val="00260CD1"/>
    <w:rsid w:val="002617B9"/>
    <w:rsid w:val="002628BF"/>
    <w:rsid w:val="00263BCC"/>
    <w:rsid w:val="00263E85"/>
    <w:rsid w:val="00263FC0"/>
    <w:rsid w:val="002641AE"/>
    <w:rsid w:val="00264295"/>
    <w:rsid w:val="00264763"/>
    <w:rsid w:val="00265577"/>
    <w:rsid w:val="00267AF8"/>
    <w:rsid w:val="00270D0D"/>
    <w:rsid w:val="00270DC4"/>
    <w:rsid w:val="002711E9"/>
    <w:rsid w:val="0027138E"/>
    <w:rsid w:val="002719CE"/>
    <w:rsid w:val="00273C29"/>
    <w:rsid w:val="00273F86"/>
    <w:rsid w:val="00276007"/>
    <w:rsid w:val="00276289"/>
    <w:rsid w:val="00276AE7"/>
    <w:rsid w:val="002770FB"/>
    <w:rsid w:val="00277EC9"/>
    <w:rsid w:val="00280095"/>
    <w:rsid w:val="00280755"/>
    <w:rsid w:val="00280B0E"/>
    <w:rsid w:val="00280B8D"/>
    <w:rsid w:val="00280F46"/>
    <w:rsid w:val="00281746"/>
    <w:rsid w:val="00281871"/>
    <w:rsid w:val="002827CC"/>
    <w:rsid w:val="00282994"/>
    <w:rsid w:val="00282A03"/>
    <w:rsid w:val="00282EA6"/>
    <w:rsid w:val="002830B1"/>
    <w:rsid w:val="002832C6"/>
    <w:rsid w:val="00284A2C"/>
    <w:rsid w:val="0028549B"/>
    <w:rsid w:val="002857E7"/>
    <w:rsid w:val="00285ED7"/>
    <w:rsid w:val="00285FD0"/>
    <w:rsid w:val="00286BCA"/>
    <w:rsid w:val="002878A3"/>
    <w:rsid w:val="0029068E"/>
    <w:rsid w:val="00290B50"/>
    <w:rsid w:val="00290C84"/>
    <w:rsid w:val="0029109A"/>
    <w:rsid w:val="00291DBE"/>
    <w:rsid w:val="0029210C"/>
    <w:rsid w:val="002922D1"/>
    <w:rsid w:val="00293130"/>
    <w:rsid w:val="00294D82"/>
    <w:rsid w:val="00295917"/>
    <w:rsid w:val="00296510"/>
    <w:rsid w:val="00296615"/>
    <w:rsid w:val="00296D67"/>
    <w:rsid w:val="002974BE"/>
    <w:rsid w:val="00297978"/>
    <w:rsid w:val="00297DDB"/>
    <w:rsid w:val="002A05B0"/>
    <w:rsid w:val="002A0996"/>
    <w:rsid w:val="002A0B5B"/>
    <w:rsid w:val="002A11F5"/>
    <w:rsid w:val="002A1452"/>
    <w:rsid w:val="002A1AEA"/>
    <w:rsid w:val="002A2174"/>
    <w:rsid w:val="002A2ACC"/>
    <w:rsid w:val="002A3184"/>
    <w:rsid w:val="002A42E6"/>
    <w:rsid w:val="002A456F"/>
    <w:rsid w:val="002A51C6"/>
    <w:rsid w:val="002A58BA"/>
    <w:rsid w:val="002A5FFE"/>
    <w:rsid w:val="002A60D5"/>
    <w:rsid w:val="002A647D"/>
    <w:rsid w:val="002A65A1"/>
    <w:rsid w:val="002A7390"/>
    <w:rsid w:val="002A73CE"/>
    <w:rsid w:val="002A7575"/>
    <w:rsid w:val="002A7C1C"/>
    <w:rsid w:val="002B03C4"/>
    <w:rsid w:val="002B1972"/>
    <w:rsid w:val="002B1CBF"/>
    <w:rsid w:val="002B280A"/>
    <w:rsid w:val="002B293B"/>
    <w:rsid w:val="002B2B96"/>
    <w:rsid w:val="002B2C9B"/>
    <w:rsid w:val="002B32C6"/>
    <w:rsid w:val="002B330F"/>
    <w:rsid w:val="002B3502"/>
    <w:rsid w:val="002B3B3E"/>
    <w:rsid w:val="002B3FE6"/>
    <w:rsid w:val="002B569A"/>
    <w:rsid w:val="002B6338"/>
    <w:rsid w:val="002B650C"/>
    <w:rsid w:val="002B675A"/>
    <w:rsid w:val="002B69FA"/>
    <w:rsid w:val="002B6A49"/>
    <w:rsid w:val="002B72F1"/>
    <w:rsid w:val="002B75A9"/>
    <w:rsid w:val="002B7A05"/>
    <w:rsid w:val="002C0841"/>
    <w:rsid w:val="002C0EAB"/>
    <w:rsid w:val="002C1D2A"/>
    <w:rsid w:val="002C1F00"/>
    <w:rsid w:val="002C211B"/>
    <w:rsid w:val="002C2ABD"/>
    <w:rsid w:val="002C2F70"/>
    <w:rsid w:val="002C34B0"/>
    <w:rsid w:val="002C381C"/>
    <w:rsid w:val="002C38F5"/>
    <w:rsid w:val="002C41D7"/>
    <w:rsid w:val="002C4F65"/>
    <w:rsid w:val="002C5815"/>
    <w:rsid w:val="002C5A85"/>
    <w:rsid w:val="002C6157"/>
    <w:rsid w:val="002C6CA5"/>
    <w:rsid w:val="002C7137"/>
    <w:rsid w:val="002C74CA"/>
    <w:rsid w:val="002C7A03"/>
    <w:rsid w:val="002D05C4"/>
    <w:rsid w:val="002D170B"/>
    <w:rsid w:val="002D19B9"/>
    <w:rsid w:val="002D217C"/>
    <w:rsid w:val="002D287B"/>
    <w:rsid w:val="002D3A00"/>
    <w:rsid w:val="002D3B06"/>
    <w:rsid w:val="002D4C2A"/>
    <w:rsid w:val="002D4EF6"/>
    <w:rsid w:val="002D52E1"/>
    <w:rsid w:val="002D5355"/>
    <w:rsid w:val="002D5885"/>
    <w:rsid w:val="002D596C"/>
    <w:rsid w:val="002D5C28"/>
    <w:rsid w:val="002D6251"/>
    <w:rsid w:val="002D6905"/>
    <w:rsid w:val="002D694C"/>
    <w:rsid w:val="002D6EB1"/>
    <w:rsid w:val="002D6ED7"/>
    <w:rsid w:val="002D6FDD"/>
    <w:rsid w:val="002D76C8"/>
    <w:rsid w:val="002D7AD3"/>
    <w:rsid w:val="002E0449"/>
    <w:rsid w:val="002E0495"/>
    <w:rsid w:val="002E0C0E"/>
    <w:rsid w:val="002E0C48"/>
    <w:rsid w:val="002E113C"/>
    <w:rsid w:val="002E188D"/>
    <w:rsid w:val="002E1C64"/>
    <w:rsid w:val="002E263E"/>
    <w:rsid w:val="002E2C09"/>
    <w:rsid w:val="002E31AC"/>
    <w:rsid w:val="002E333F"/>
    <w:rsid w:val="002E36C9"/>
    <w:rsid w:val="002E3B45"/>
    <w:rsid w:val="002E5324"/>
    <w:rsid w:val="002E605A"/>
    <w:rsid w:val="002F02B8"/>
    <w:rsid w:val="002F0AEB"/>
    <w:rsid w:val="002F0E02"/>
    <w:rsid w:val="002F1B0B"/>
    <w:rsid w:val="002F2D1D"/>
    <w:rsid w:val="002F2F97"/>
    <w:rsid w:val="002F464F"/>
    <w:rsid w:val="002F47D5"/>
    <w:rsid w:val="002F487C"/>
    <w:rsid w:val="002F5758"/>
    <w:rsid w:val="002F5DF6"/>
    <w:rsid w:val="002F60F5"/>
    <w:rsid w:val="002F7833"/>
    <w:rsid w:val="002F78B9"/>
    <w:rsid w:val="0030003A"/>
    <w:rsid w:val="00300225"/>
    <w:rsid w:val="00301053"/>
    <w:rsid w:val="0030177F"/>
    <w:rsid w:val="00301D33"/>
    <w:rsid w:val="00302126"/>
    <w:rsid w:val="00302339"/>
    <w:rsid w:val="0030292E"/>
    <w:rsid w:val="00304F70"/>
    <w:rsid w:val="0030517D"/>
    <w:rsid w:val="003053EB"/>
    <w:rsid w:val="00305723"/>
    <w:rsid w:val="0030584C"/>
    <w:rsid w:val="00305F40"/>
    <w:rsid w:val="0030677C"/>
    <w:rsid w:val="0030687E"/>
    <w:rsid w:val="0030690A"/>
    <w:rsid w:val="00306EF5"/>
    <w:rsid w:val="00307DDD"/>
    <w:rsid w:val="00307F15"/>
    <w:rsid w:val="00310310"/>
    <w:rsid w:val="00310DEF"/>
    <w:rsid w:val="0031153B"/>
    <w:rsid w:val="003115AF"/>
    <w:rsid w:val="003129B7"/>
    <w:rsid w:val="00312F1C"/>
    <w:rsid w:val="003136EB"/>
    <w:rsid w:val="00313F7E"/>
    <w:rsid w:val="00314764"/>
    <w:rsid w:val="003161B2"/>
    <w:rsid w:val="0031630E"/>
    <w:rsid w:val="00316694"/>
    <w:rsid w:val="00317AF9"/>
    <w:rsid w:val="0032018D"/>
    <w:rsid w:val="00320212"/>
    <w:rsid w:val="00321D05"/>
    <w:rsid w:val="00322A82"/>
    <w:rsid w:val="00322D99"/>
    <w:rsid w:val="003237C2"/>
    <w:rsid w:val="003241E0"/>
    <w:rsid w:val="00324664"/>
    <w:rsid w:val="00325A7D"/>
    <w:rsid w:val="00325D10"/>
    <w:rsid w:val="00326CEF"/>
    <w:rsid w:val="00327E6C"/>
    <w:rsid w:val="00327ED0"/>
    <w:rsid w:val="00330214"/>
    <w:rsid w:val="00330D57"/>
    <w:rsid w:val="00330E04"/>
    <w:rsid w:val="00331010"/>
    <w:rsid w:val="003317C0"/>
    <w:rsid w:val="00331825"/>
    <w:rsid w:val="00333ADD"/>
    <w:rsid w:val="00333E5D"/>
    <w:rsid w:val="003363B3"/>
    <w:rsid w:val="00336BD5"/>
    <w:rsid w:val="00336CFB"/>
    <w:rsid w:val="003372C4"/>
    <w:rsid w:val="003404D6"/>
    <w:rsid w:val="00341419"/>
    <w:rsid w:val="00341A0C"/>
    <w:rsid w:val="00343068"/>
    <w:rsid w:val="00343702"/>
    <w:rsid w:val="003445FF"/>
    <w:rsid w:val="00345049"/>
    <w:rsid w:val="0034511C"/>
    <w:rsid w:val="003455C1"/>
    <w:rsid w:val="0034577A"/>
    <w:rsid w:val="00345833"/>
    <w:rsid w:val="003459B5"/>
    <w:rsid w:val="00345A91"/>
    <w:rsid w:val="00345DCD"/>
    <w:rsid w:val="003463D9"/>
    <w:rsid w:val="00346C12"/>
    <w:rsid w:val="00350991"/>
    <w:rsid w:val="00351CC0"/>
    <w:rsid w:val="00351E13"/>
    <w:rsid w:val="00351EC9"/>
    <w:rsid w:val="003524D3"/>
    <w:rsid w:val="003547CD"/>
    <w:rsid w:val="00354F7F"/>
    <w:rsid w:val="00355A48"/>
    <w:rsid w:val="00356B2C"/>
    <w:rsid w:val="00356CD3"/>
    <w:rsid w:val="00356DC5"/>
    <w:rsid w:val="003574D2"/>
    <w:rsid w:val="003600B4"/>
    <w:rsid w:val="003609F8"/>
    <w:rsid w:val="00360E37"/>
    <w:rsid w:val="00360F84"/>
    <w:rsid w:val="00361278"/>
    <w:rsid w:val="003615A3"/>
    <w:rsid w:val="00361CFF"/>
    <w:rsid w:val="0036366E"/>
    <w:rsid w:val="00363B34"/>
    <w:rsid w:val="00364077"/>
    <w:rsid w:val="003642DE"/>
    <w:rsid w:val="00364786"/>
    <w:rsid w:val="00364987"/>
    <w:rsid w:val="00364D64"/>
    <w:rsid w:val="00364F07"/>
    <w:rsid w:val="00365119"/>
    <w:rsid w:val="00365AF0"/>
    <w:rsid w:val="00365F99"/>
    <w:rsid w:val="003662CF"/>
    <w:rsid w:val="0036644C"/>
    <w:rsid w:val="003664FF"/>
    <w:rsid w:val="003672E2"/>
    <w:rsid w:val="003677CE"/>
    <w:rsid w:val="00370586"/>
    <w:rsid w:val="00371792"/>
    <w:rsid w:val="00371A04"/>
    <w:rsid w:val="0037278F"/>
    <w:rsid w:val="00373039"/>
    <w:rsid w:val="00374B06"/>
    <w:rsid w:val="00374BB3"/>
    <w:rsid w:val="00374E48"/>
    <w:rsid w:val="00376E5F"/>
    <w:rsid w:val="0037723C"/>
    <w:rsid w:val="00377D16"/>
    <w:rsid w:val="00380612"/>
    <w:rsid w:val="003808F7"/>
    <w:rsid w:val="00380C95"/>
    <w:rsid w:val="00381F2F"/>
    <w:rsid w:val="00382395"/>
    <w:rsid w:val="003828C9"/>
    <w:rsid w:val="003829EE"/>
    <w:rsid w:val="00382DEA"/>
    <w:rsid w:val="00382F94"/>
    <w:rsid w:val="003834D1"/>
    <w:rsid w:val="00383C33"/>
    <w:rsid w:val="00383F67"/>
    <w:rsid w:val="003846F7"/>
    <w:rsid w:val="00385053"/>
    <w:rsid w:val="00386118"/>
    <w:rsid w:val="00386CCE"/>
    <w:rsid w:val="00386F89"/>
    <w:rsid w:val="00391585"/>
    <w:rsid w:val="00391915"/>
    <w:rsid w:val="00392063"/>
    <w:rsid w:val="0039293D"/>
    <w:rsid w:val="00392B56"/>
    <w:rsid w:val="003939B5"/>
    <w:rsid w:val="0039442C"/>
    <w:rsid w:val="00395CC6"/>
    <w:rsid w:val="003970AD"/>
    <w:rsid w:val="003972D6"/>
    <w:rsid w:val="003A0276"/>
    <w:rsid w:val="003A07F0"/>
    <w:rsid w:val="003A0A09"/>
    <w:rsid w:val="003A138D"/>
    <w:rsid w:val="003A1646"/>
    <w:rsid w:val="003A1A04"/>
    <w:rsid w:val="003A1F77"/>
    <w:rsid w:val="003A3038"/>
    <w:rsid w:val="003A31E6"/>
    <w:rsid w:val="003A361D"/>
    <w:rsid w:val="003A4833"/>
    <w:rsid w:val="003A4888"/>
    <w:rsid w:val="003A4B0C"/>
    <w:rsid w:val="003A5224"/>
    <w:rsid w:val="003A7018"/>
    <w:rsid w:val="003A7DEB"/>
    <w:rsid w:val="003B02B4"/>
    <w:rsid w:val="003B0832"/>
    <w:rsid w:val="003B0CB4"/>
    <w:rsid w:val="003B19B9"/>
    <w:rsid w:val="003B2D9E"/>
    <w:rsid w:val="003B2DDE"/>
    <w:rsid w:val="003B32D9"/>
    <w:rsid w:val="003B4999"/>
    <w:rsid w:val="003B4E7A"/>
    <w:rsid w:val="003B5415"/>
    <w:rsid w:val="003B57BE"/>
    <w:rsid w:val="003B5845"/>
    <w:rsid w:val="003B59D8"/>
    <w:rsid w:val="003B5CD7"/>
    <w:rsid w:val="003B5E74"/>
    <w:rsid w:val="003B63C9"/>
    <w:rsid w:val="003C01ED"/>
    <w:rsid w:val="003C0801"/>
    <w:rsid w:val="003C08C6"/>
    <w:rsid w:val="003C0C75"/>
    <w:rsid w:val="003C0E3C"/>
    <w:rsid w:val="003C15C9"/>
    <w:rsid w:val="003C16F9"/>
    <w:rsid w:val="003C3053"/>
    <w:rsid w:val="003C37CB"/>
    <w:rsid w:val="003C3D1C"/>
    <w:rsid w:val="003C497B"/>
    <w:rsid w:val="003C4D68"/>
    <w:rsid w:val="003C57B3"/>
    <w:rsid w:val="003C5D5E"/>
    <w:rsid w:val="003C6A57"/>
    <w:rsid w:val="003C6B63"/>
    <w:rsid w:val="003C6DDB"/>
    <w:rsid w:val="003C7213"/>
    <w:rsid w:val="003C7615"/>
    <w:rsid w:val="003C76B1"/>
    <w:rsid w:val="003C7720"/>
    <w:rsid w:val="003C7965"/>
    <w:rsid w:val="003C7A48"/>
    <w:rsid w:val="003C7D50"/>
    <w:rsid w:val="003C7DCE"/>
    <w:rsid w:val="003D15D4"/>
    <w:rsid w:val="003D16F5"/>
    <w:rsid w:val="003D2380"/>
    <w:rsid w:val="003D25F6"/>
    <w:rsid w:val="003D2DCD"/>
    <w:rsid w:val="003D3B17"/>
    <w:rsid w:val="003D3F52"/>
    <w:rsid w:val="003D3F91"/>
    <w:rsid w:val="003D4098"/>
    <w:rsid w:val="003D4860"/>
    <w:rsid w:val="003D526E"/>
    <w:rsid w:val="003D5B0B"/>
    <w:rsid w:val="003D61C8"/>
    <w:rsid w:val="003D6407"/>
    <w:rsid w:val="003D6540"/>
    <w:rsid w:val="003D6784"/>
    <w:rsid w:val="003D6C59"/>
    <w:rsid w:val="003D6CF5"/>
    <w:rsid w:val="003D6FA6"/>
    <w:rsid w:val="003D7709"/>
    <w:rsid w:val="003D7B59"/>
    <w:rsid w:val="003D7C00"/>
    <w:rsid w:val="003E0044"/>
    <w:rsid w:val="003E06D4"/>
    <w:rsid w:val="003E0781"/>
    <w:rsid w:val="003E12A4"/>
    <w:rsid w:val="003E14A0"/>
    <w:rsid w:val="003E1C75"/>
    <w:rsid w:val="003E20B3"/>
    <w:rsid w:val="003E3099"/>
    <w:rsid w:val="003E3770"/>
    <w:rsid w:val="003E491B"/>
    <w:rsid w:val="003E5928"/>
    <w:rsid w:val="003E5D52"/>
    <w:rsid w:val="003E654D"/>
    <w:rsid w:val="003E6F9D"/>
    <w:rsid w:val="003E755C"/>
    <w:rsid w:val="003E7935"/>
    <w:rsid w:val="003E7B14"/>
    <w:rsid w:val="003E7C8D"/>
    <w:rsid w:val="003F0327"/>
    <w:rsid w:val="003F0772"/>
    <w:rsid w:val="003F245D"/>
    <w:rsid w:val="003F2748"/>
    <w:rsid w:val="003F29AA"/>
    <w:rsid w:val="003F4CCB"/>
    <w:rsid w:val="003F518F"/>
    <w:rsid w:val="003F5CED"/>
    <w:rsid w:val="003F6127"/>
    <w:rsid w:val="003F6688"/>
    <w:rsid w:val="003F6A34"/>
    <w:rsid w:val="003F720A"/>
    <w:rsid w:val="003F76DC"/>
    <w:rsid w:val="00400350"/>
    <w:rsid w:val="00400674"/>
    <w:rsid w:val="004010EC"/>
    <w:rsid w:val="00401665"/>
    <w:rsid w:val="00401BA7"/>
    <w:rsid w:val="0040393C"/>
    <w:rsid w:val="00403CDE"/>
    <w:rsid w:val="0040437B"/>
    <w:rsid w:val="00404827"/>
    <w:rsid w:val="00404CEE"/>
    <w:rsid w:val="00406204"/>
    <w:rsid w:val="004062C8"/>
    <w:rsid w:val="004073F3"/>
    <w:rsid w:val="00410AB8"/>
    <w:rsid w:val="00410CA2"/>
    <w:rsid w:val="00410D60"/>
    <w:rsid w:val="00411041"/>
    <w:rsid w:val="004112BF"/>
    <w:rsid w:val="0041154D"/>
    <w:rsid w:val="00411593"/>
    <w:rsid w:val="00411678"/>
    <w:rsid w:val="004120C8"/>
    <w:rsid w:val="00412EC2"/>
    <w:rsid w:val="00413E49"/>
    <w:rsid w:val="0041512E"/>
    <w:rsid w:val="00415220"/>
    <w:rsid w:val="00415279"/>
    <w:rsid w:val="00415918"/>
    <w:rsid w:val="00416218"/>
    <w:rsid w:val="004163CE"/>
    <w:rsid w:val="00420CF3"/>
    <w:rsid w:val="00421551"/>
    <w:rsid w:val="00421E4A"/>
    <w:rsid w:val="004228AE"/>
    <w:rsid w:val="00423660"/>
    <w:rsid w:val="00424483"/>
    <w:rsid w:val="004245E3"/>
    <w:rsid w:val="00424674"/>
    <w:rsid w:val="00425173"/>
    <w:rsid w:val="00425CB0"/>
    <w:rsid w:val="00425FAD"/>
    <w:rsid w:val="00426039"/>
    <w:rsid w:val="00426268"/>
    <w:rsid w:val="00426C6E"/>
    <w:rsid w:val="00430498"/>
    <w:rsid w:val="0043187A"/>
    <w:rsid w:val="00431C28"/>
    <w:rsid w:val="00432848"/>
    <w:rsid w:val="004341E3"/>
    <w:rsid w:val="0043458E"/>
    <w:rsid w:val="00434857"/>
    <w:rsid w:val="00434D17"/>
    <w:rsid w:val="004359A7"/>
    <w:rsid w:val="00435B4B"/>
    <w:rsid w:val="0043752D"/>
    <w:rsid w:val="004375A9"/>
    <w:rsid w:val="0043763A"/>
    <w:rsid w:val="00437870"/>
    <w:rsid w:val="0043798B"/>
    <w:rsid w:val="00437B26"/>
    <w:rsid w:val="0044063B"/>
    <w:rsid w:val="00440693"/>
    <w:rsid w:val="00442BB5"/>
    <w:rsid w:val="00444B76"/>
    <w:rsid w:val="0044511C"/>
    <w:rsid w:val="00445306"/>
    <w:rsid w:val="0044545C"/>
    <w:rsid w:val="004456C4"/>
    <w:rsid w:val="0044615F"/>
    <w:rsid w:val="004475E2"/>
    <w:rsid w:val="0044794A"/>
    <w:rsid w:val="00447C58"/>
    <w:rsid w:val="00447D75"/>
    <w:rsid w:val="00447EE3"/>
    <w:rsid w:val="00450A0C"/>
    <w:rsid w:val="0045109E"/>
    <w:rsid w:val="00451FA9"/>
    <w:rsid w:val="00453D54"/>
    <w:rsid w:val="00453DBB"/>
    <w:rsid w:val="004541A9"/>
    <w:rsid w:val="00454CE6"/>
    <w:rsid w:val="00455F1D"/>
    <w:rsid w:val="00456638"/>
    <w:rsid w:val="00456A40"/>
    <w:rsid w:val="00457739"/>
    <w:rsid w:val="00457A6F"/>
    <w:rsid w:val="004602A4"/>
    <w:rsid w:val="0046078B"/>
    <w:rsid w:val="00460957"/>
    <w:rsid w:val="00460C04"/>
    <w:rsid w:val="00461B40"/>
    <w:rsid w:val="0046238F"/>
    <w:rsid w:val="0046268C"/>
    <w:rsid w:val="00462EF3"/>
    <w:rsid w:val="00463B55"/>
    <w:rsid w:val="00463EE6"/>
    <w:rsid w:val="00465365"/>
    <w:rsid w:val="00465A59"/>
    <w:rsid w:val="00465EA2"/>
    <w:rsid w:val="004675E2"/>
    <w:rsid w:val="004701D7"/>
    <w:rsid w:val="00470D73"/>
    <w:rsid w:val="004710D1"/>
    <w:rsid w:val="004712A6"/>
    <w:rsid w:val="00471F23"/>
    <w:rsid w:val="0047250C"/>
    <w:rsid w:val="00472E15"/>
    <w:rsid w:val="004735D5"/>
    <w:rsid w:val="00475B3D"/>
    <w:rsid w:val="00476197"/>
    <w:rsid w:val="00476900"/>
    <w:rsid w:val="00476CEC"/>
    <w:rsid w:val="00477479"/>
    <w:rsid w:val="00477DEA"/>
    <w:rsid w:val="00480885"/>
    <w:rsid w:val="00480C91"/>
    <w:rsid w:val="00480EA9"/>
    <w:rsid w:val="00481676"/>
    <w:rsid w:val="00482098"/>
    <w:rsid w:val="0048297B"/>
    <w:rsid w:val="004846E4"/>
    <w:rsid w:val="0048545E"/>
    <w:rsid w:val="00485FBD"/>
    <w:rsid w:val="00485FFA"/>
    <w:rsid w:val="00486DC8"/>
    <w:rsid w:val="004870B5"/>
    <w:rsid w:val="00487948"/>
    <w:rsid w:val="0049020F"/>
    <w:rsid w:val="00491190"/>
    <w:rsid w:val="00491C49"/>
    <w:rsid w:val="00492120"/>
    <w:rsid w:val="00492447"/>
    <w:rsid w:val="00494AE7"/>
    <w:rsid w:val="00494DD7"/>
    <w:rsid w:val="00494FDF"/>
    <w:rsid w:val="0049507A"/>
    <w:rsid w:val="004951FE"/>
    <w:rsid w:val="00495FA4"/>
    <w:rsid w:val="004967F7"/>
    <w:rsid w:val="0049684D"/>
    <w:rsid w:val="00497845"/>
    <w:rsid w:val="00497DAF"/>
    <w:rsid w:val="00497F8E"/>
    <w:rsid w:val="004A06BE"/>
    <w:rsid w:val="004A2175"/>
    <w:rsid w:val="004A218C"/>
    <w:rsid w:val="004A2D55"/>
    <w:rsid w:val="004A3491"/>
    <w:rsid w:val="004A388C"/>
    <w:rsid w:val="004A40B7"/>
    <w:rsid w:val="004A49F8"/>
    <w:rsid w:val="004A5057"/>
    <w:rsid w:val="004A5365"/>
    <w:rsid w:val="004A6D2C"/>
    <w:rsid w:val="004A715E"/>
    <w:rsid w:val="004B002D"/>
    <w:rsid w:val="004B0638"/>
    <w:rsid w:val="004B099D"/>
    <w:rsid w:val="004B0C6B"/>
    <w:rsid w:val="004B1A15"/>
    <w:rsid w:val="004B1BAB"/>
    <w:rsid w:val="004B1E8C"/>
    <w:rsid w:val="004B2A26"/>
    <w:rsid w:val="004B364F"/>
    <w:rsid w:val="004B3879"/>
    <w:rsid w:val="004B3B5C"/>
    <w:rsid w:val="004B70F2"/>
    <w:rsid w:val="004B73C8"/>
    <w:rsid w:val="004B7E38"/>
    <w:rsid w:val="004B7FA2"/>
    <w:rsid w:val="004C0823"/>
    <w:rsid w:val="004C0ED2"/>
    <w:rsid w:val="004C0F96"/>
    <w:rsid w:val="004C1A02"/>
    <w:rsid w:val="004C2803"/>
    <w:rsid w:val="004C2BB4"/>
    <w:rsid w:val="004C2CE2"/>
    <w:rsid w:val="004C3737"/>
    <w:rsid w:val="004C38DE"/>
    <w:rsid w:val="004C51A4"/>
    <w:rsid w:val="004C5278"/>
    <w:rsid w:val="004C55D4"/>
    <w:rsid w:val="004C6052"/>
    <w:rsid w:val="004C654C"/>
    <w:rsid w:val="004C6D0A"/>
    <w:rsid w:val="004C72CD"/>
    <w:rsid w:val="004C739D"/>
    <w:rsid w:val="004D038C"/>
    <w:rsid w:val="004D0CB6"/>
    <w:rsid w:val="004D217A"/>
    <w:rsid w:val="004D35C8"/>
    <w:rsid w:val="004D4111"/>
    <w:rsid w:val="004D4B8C"/>
    <w:rsid w:val="004D592C"/>
    <w:rsid w:val="004D7651"/>
    <w:rsid w:val="004D7DDB"/>
    <w:rsid w:val="004E2AB2"/>
    <w:rsid w:val="004E2D07"/>
    <w:rsid w:val="004E2EDE"/>
    <w:rsid w:val="004E3E92"/>
    <w:rsid w:val="004E5157"/>
    <w:rsid w:val="004E5925"/>
    <w:rsid w:val="004E5961"/>
    <w:rsid w:val="004E74BA"/>
    <w:rsid w:val="004E782F"/>
    <w:rsid w:val="004E79C5"/>
    <w:rsid w:val="004F017D"/>
    <w:rsid w:val="004F0226"/>
    <w:rsid w:val="004F06AB"/>
    <w:rsid w:val="004F0BF7"/>
    <w:rsid w:val="004F0D5D"/>
    <w:rsid w:val="004F1797"/>
    <w:rsid w:val="004F1839"/>
    <w:rsid w:val="004F1868"/>
    <w:rsid w:val="004F19A5"/>
    <w:rsid w:val="004F24BD"/>
    <w:rsid w:val="004F38E0"/>
    <w:rsid w:val="004F4044"/>
    <w:rsid w:val="004F46E0"/>
    <w:rsid w:val="004F49CA"/>
    <w:rsid w:val="004F5911"/>
    <w:rsid w:val="004F62EB"/>
    <w:rsid w:val="004F6380"/>
    <w:rsid w:val="004F63F7"/>
    <w:rsid w:val="004F70C6"/>
    <w:rsid w:val="004F71B0"/>
    <w:rsid w:val="004F7C4D"/>
    <w:rsid w:val="005002F9"/>
    <w:rsid w:val="00500336"/>
    <w:rsid w:val="00500E3D"/>
    <w:rsid w:val="0050117A"/>
    <w:rsid w:val="005012F0"/>
    <w:rsid w:val="0050142D"/>
    <w:rsid w:val="00502103"/>
    <w:rsid w:val="0050226B"/>
    <w:rsid w:val="0050332F"/>
    <w:rsid w:val="0050383C"/>
    <w:rsid w:val="00503C8C"/>
    <w:rsid w:val="00504939"/>
    <w:rsid w:val="00505828"/>
    <w:rsid w:val="00506115"/>
    <w:rsid w:val="00506A10"/>
    <w:rsid w:val="00506AC4"/>
    <w:rsid w:val="00506D84"/>
    <w:rsid w:val="00507144"/>
    <w:rsid w:val="00507434"/>
    <w:rsid w:val="00507487"/>
    <w:rsid w:val="005077E4"/>
    <w:rsid w:val="00507AF9"/>
    <w:rsid w:val="00507B83"/>
    <w:rsid w:val="00507E54"/>
    <w:rsid w:val="00510508"/>
    <w:rsid w:val="00510B52"/>
    <w:rsid w:val="00510E71"/>
    <w:rsid w:val="00510FC2"/>
    <w:rsid w:val="0051199F"/>
    <w:rsid w:val="00511F26"/>
    <w:rsid w:val="005127E8"/>
    <w:rsid w:val="00512E2B"/>
    <w:rsid w:val="00513326"/>
    <w:rsid w:val="005138ED"/>
    <w:rsid w:val="00514608"/>
    <w:rsid w:val="00514D54"/>
    <w:rsid w:val="00515929"/>
    <w:rsid w:val="0051594C"/>
    <w:rsid w:val="00515EE4"/>
    <w:rsid w:val="0051604C"/>
    <w:rsid w:val="00516891"/>
    <w:rsid w:val="00516C83"/>
    <w:rsid w:val="00517069"/>
    <w:rsid w:val="0051762B"/>
    <w:rsid w:val="005176A2"/>
    <w:rsid w:val="0052030D"/>
    <w:rsid w:val="005204FF"/>
    <w:rsid w:val="00520B1D"/>
    <w:rsid w:val="00520FED"/>
    <w:rsid w:val="00522467"/>
    <w:rsid w:val="00522732"/>
    <w:rsid w:val="00523C20"/>
    <w:rsid w:val="00524604"/>
    <w:rsid w:val="005248CC"/>
    <w:rsid w:val="005249A8"/>
    <w:rsid w:val="00524A23"/>
    <w:rsid w:val="00524C85"/>
    <w:rsid w:val="00525099"/>
    <w:rsid w:val="005262CF"/>
    <w:rsid w:val="00526725"/>
    <w:rsid w:val="0053055E"/>
    <w:rsid w:val="005307C5"/>
    <w:rsid w:val="00530A24"/>
    <w:rsid w:val="00531A48"/>
    <w:rsid w:val="0053276F"/>
    <w:rsid w:val="0053286C"/>
    <w:rsid w:val="00533355"/>
    <w:rsid w:val="00533D00"/>
    <w:rsid w:val="0053411A"/>
    <w:rsid w:val="0053491E"/>
    <w:rsid w:val="00534F4F"/>
    <w:rsid w:val="005354DB"/>
    <w:rsid w:val="00535CA6"/>
    <w:rsid w:val="00535D41"/>
    <w:rsid w:val="005360F5"/>
    <w:rsid w:val="005362D7"/>
    <w:rsid w:val="0053675B"/>
    <w:rsid w:val="0053688B"/>
    <w:rsid w:val="005368DE"/>
    <w:rsid w:val="0053748A"/>
    <w:rsid w:val="00537B73"/>
    <w:rsid w:val="00537E85"/>
    <w:rsid w:val="00540244"/>
    <w:rsid w:val="005406F8"/>
    <w:rsid w:val="00540F6F"/>
    <w:rsid w:val="00540FD4"/>
    <w:rsid w:val="00541974"/>
    <w:rsid w:val="00542EA6"/>
    <w:rsid w:val="005439F9"/>
    <w:rsid w:val="00543D78"/>
    <w:rsid w:val="005440E7"/>
    <w:rsid w:val="005457C5"/>
    <w:rsid w:val="00545DBC"/>
    <w:rsid w:val="005502E2"/>
    <w:rsid w:val="00550C16"/>
    <w:rsid w:val="00551726"/>
    <w:rsid w:val="005519B9"/>
    <w:rsid w:val="00552261"/>
    <w:rsid w:val="0055268E"/>
    <w:rsid w:val="00552D30"/>
    <w:rsid w:val="0055382A"/>
    <w:rsid w:val="0055387F"/>
    <w:rsid w:val="0055404E"/>
    <w:rsid w:val="005540DE"/>
    <w:rsid w:val="00554971"/>
    <w:rsid w:val="005562C0"/>
    <w:rsid w:val="00556649"/>
    <w:rsid w:val="00556FE4"/>
    <w:rsid w:val="00557530"/>
    <w:rsid w:val="00557670"/>
    <w:rsid w:val="00560737"/>
    <w:rsid w:val="00561350"/>
    <w:rsid w:val="00561800"/>
    <w:rsid w:val="00561CF9"/>
    <w:rsid w:val="00561DD9"/>
    <w:rsid w:val="00563536"/>
    <w:rsid w:val="00563A39"/>
    <w:rsid w:val="00565616"/>
    <w:rsid w:val="0056578E"/>
    <w:rsid w:val="00565FA5"/>
    <w:rsid w:val="005661B9"/>
    <w:rsid w:val="00566850"/>
    <w:rsid w:val="00566E11"/>
    <w:rsid w:val="00567006"/>
    <w:rsid w:val="00567311"/>
    <w:rsid w:val="00567648"/>
    <w:rsid w:val="0056768B"/>
    <w:rsid w:val="005677E7"/>
    <w:rsid w:val="00567DEA"/>
    <w:rsid w:val="005700F1"/>
    <w:rsid w:val="0057139C"/>
    <w:rsid w:val="00571E94"/>
    <w:rsid w:val="0057241D"/>
    <w:rsid w:val="00573521"/>
    <w:rsid w:val="00573D43"/>
    <w:rsid w:val="00574191"/>
    <w:rsid w:val="00574ABC"/>
    <w:rsid w:val="00575601"/>
    <w:rsid w:val="005759BB"/>
    <w:rsid w:val="00576253"/>
    <w:rsid w:val="00576E42"/>
    <w:rsid w:val="00577F5A"/>
    <w:rsid w:val="00580388"/>
    <w:rsid w:val="00581D16"/>
    <w:rsid w:val="00582099"/>
    <w:rsid w:val="005823B2"/>
    <w:rsid w:val="005826AC"/>
    <w:rsid w:val="0058339E"/>
    <w:rsid w:val="005838FE"/>
    <w:rsid w:val="00585BF1"/>
    <w:rsid w:val="00585D7C"/>
    <w:rsid w:val="00586587"/>
    <w:rsid w:val="005873DF"/>
    <w:rsid w:val="00587608"/>
    <w:rsid w:val="00587BA6"/>
    <w:rsid w:val="005904B5"/>
    <w:rsid w:val="00590A67"/>
    <w:rsid w:val="00590AB2"/>
    <w:rsid w:val="00591549"/>
    <w:rsid w:val="00591618"/>
    <w:rsid w:val="00591717"/>
    <w:rsid w:val="00591956"/>
    <w:rsid w:val="00591E0E"/>
    <w:rsid w:val="00593A1D"/>
    <w:rsid w:val="00594B83"/>
    <w:rsid w:val="0059713B"/>
    <w:rsid w:val="0059718B"/>
    <w:rsid w:val="0059724D"/>
    <w:rsid w:val="005979C5"/>
    <w:rsid w:val="005A0B62"/>
    <w:rsid w:val="005A0C00"/>
    <w:rsid w:val="005A1B5F"/>
    <w:rsid w:val="005A1BF7"/>
    <w:rsid w:val="005A1F96"/>
    <w:rsid w:val="005A26B7"/>
    <w:rsid w:val="005A2DAB"/>
    <w:rsid w:val="005A3491"/>
    <w:rsid w:val="005A3659"/>
    <w:rsid w:val="005A3C67"/>
    <w:rsid w:val="005A4287"/>
    <w:rsid w:val="005A4362"/>
    <w:rsid w:val="005A436F"/>
    <w:rsid w:val="005A44CC"/>
    <w:rsid w:val="005B02B1"/>
    <w:rsid w:val="005B02CE"/>
    <w:rsid w:val="005B0310"/>
    <w:rsid w:val="005B204B"/>
    <w:rsid w:val="005B2F20"/>
    <w:rsid w:val="005B2F2A"/>
    <w:rsid w:val="005B31E4"/>
    <w:rsid w:val="005B3599"/>
    <w:rsid w:val="005B3AFF"/>
    <w:rsid w:val="005B3D14"/>
    <w:rsid w:val="005B523C"/>
    <w:rsid w:val="005B53E6"/>
    <w:rsid w:val="005B58E1"/>
    <w:rsid w:val="005B5BC6"/>
    <w:rsid w:val="005B674D"/>
    <w:rsid w:val="005B7050"/>
    <w:rsid w:val="005B75C5"/>
    <w:rsid w:val="005B7D9C"/>
    <w:rsid w:val="005C06ED"/>
    <w:rsid w:val="005C1710"/>
    <w:rsid w:val="005C28BF"/>
    <w:rsid w:val="005C2C14"/>
    <w:rsid w:val="005C2D96"/>
    <w:rsid w:val="005C3116"/>
    <w:rsid w:val="005C340D"/>
    <w:rsid w:val="005C3557"/>
    <w:rsid w:val="005C3D8B"/>
    <w:rsid w:val="005C4250"/>
    <w:rsid w:val="005C45BA"/>
    <w:rsid w:val="005C46EF"/>
    <w:rsid w:val="005C4908"/>
    <w:rsid w:val="005C4BC4"/>
    <w:rsid w:val="005C5032"/>
    <w:rsid w:val="005C55AB"/>
    <w:rsid w:val="005C660F"/>
    <w:rsid w:val="005C6C43"/>
    <w:rsid w:val="005C6F3B"/>
    <w:rsid w:val="005C73E9"/>
    <w:rsid w:val="005D0607"/>
    <w:rsid w:val="005D16CC"/>
    <w:rsid w:val="005D27F0"/>
    <w:rsid w:val="005D54A8"/>
    <w:rsid w:val="005D61F6"/>
    <w:rsid w:val="005D6E58"/>
    <w:rsid w:val="005D70BF"/>
    <w:rsid w:val="005D78DD"/>
    <w:rsid w:val="005E0722"/>
    <w:rsid w:val="005E0871"/>
    <w:rsid w:val="005E0A4A"/>
    <w:rsid w:val="005E0EC7"/>
    <w:rsid w:val="005E1024"/>
    <w:rsid w:val="005E12F3"/>
    <w:rsid w:val="005E1F60"/>
    <w:rsid w:val="005E23E2"/>
    <w:rsid w:val="005E2D1B"/>
    <w:rsid w:val="005E2ECB"/>
    <w:rsid w:val="005E44AE"/>
    <w:rsid w:val="005E4522"/>
    <w:rsid w:val="005E4774"/>
    <w:rsid w:val="005E5D1E"/>
    <w:rsid w:val="005E6631"/>
    <w:rsid w:val="005E6A2C"/>
    <w:rsid w:val="005E6B5A"/>
    <w:rsid w:val="005E72EF"/>
    <w:rsid w:val="005F1067"/>
    <w:rsid w:val="005F1404"/>
    <w:rsid w:val="005F2D33"/>
    <w:rsid w:val="005F2FFE"/>
    <w:rsid w:val="005F30B2"/>
    <w:rsid w:val="005F46C7"/>
    <w:rsid w:val="005F5B85"/>
    <w:rsid w:val="005F5D0F"/>
    <w:rsid w:val="005F6F01"/>
    <w:rsid w:val="005F75B9"/>
    <w:rsid w:val="00600329"/>
    <w:rsid w:val="006004F9"/>
    <w:rsid w:val="006015E5"/>
    <w:rsid w:val="00602CE8"/>
    <w:rsid w:val="0060410B"/>
    <w:rsid w:val="00604422"/>
    <w:rsid w:val="00604600"/>
    <w:rsid w:val="006057D7"/>
    <w:rsid w:val="00605D58"/>
    <w:rsid w:val="006063DE"/>
    <w:rsid w:val="00606871"/>
    <w:rsid w:val="00607E11"/>
    <w:rsid w:val="0061082E"/>
    <w:rsid w:val="00611E33"/>
    <w:rsid w:val="00612B43"/>
    <w:rsid w:val="00612CAF"/>
    <w:rsid w:val="00614548"/>
    <w:rsid w:val="00615215"/>
    <w:rsid w:val="00616A38"/>
    <w:rsid w:val="00620002"/>
    <w:rsid w:val="00620344"/>
    <w:rsid w:val="006206C6"/>
    <w:rsid w:val="0062155D"/>
    <w:rsid w:val="006227C6"/>
    <w:rsid w:val="0062298C"/>
    <w:rsid w:val="00624025"/>
    <w:rsid w:val="00624BD0"/>
    <w:rsid w:val="006253ED"/>
    <w:rsid w:val="006257DF"/>
    <w:rsid w:val="00627CB6"/>
    <w:rsid w:val="00631C74"/>
    <w:rsid w:val="00631D41"/>
    <w:rsid w:val="00631E50"/>
    <w:rsid w:val="006326D8"/>
    <w:rsid w:val="00632BE6"/>
    <w:rsid w:val="0063380B"/>
    <w:rsid w:val="006340B8"/>
    <w:rsid w:val="0063522F"/>
    <w:rsid w:val="006369CD"/>
    <w:rsid w:val="00636CD2"/>
    <w:rsid w:val="00636E3C"/>
    <w:rsid w:val="006371D4"/>
    <w:rsid w:val="00637367"/>
    <w:rsid w:val="00637FB0"/>
    <w:rsid w:val="006403B3"/>
    <w:rsid w:val="006409E9"/>
    <w:rsid w:val="00640B37"/>
    <w:rsid w:val="006422E9"/>
    <w:rsid w:val="006426AA"/>
    <w:rsid w:val="0064330A"/>
    <w:rsid w:val="006433EF"/>
    <w:rsid w:val="00643AC9"/>
    <w:rsid w:val="00643BB9"/>
    <w:rsid w:val="00643DDF"/>
    <w:rsid w:val="0064487F"/>
    <w:rsid w:val="00644A00"/>
    <w:rsid w:val="00644F40"/>
    <w:rsid w:val="006450D6"/>
    <w:rsid w:val="00645940"/>
    <w:rsid w:val="00645984"/>
    <w:rsid w:val="00645AB6"/>
    <w:rsid w:val="00647037"/>
    <w:rsid w:val="006474F7"/>
    <w:rsid w:val="00647EDC"/>
    <w:rsid w:val="006501D9"/>
    <w:rsid w:val="00650211"/>
    <w:rsid w:val="00650B70"/>
    <w:rsid w:val="00651122"/>
    <w:rsid w:val="00652258"/>
    <w:rsid w:val="006523F2"/>
    <w:rsid w:val="00652E40"/>
    <w:rsid w:val="00654574"/>
    <w:rsid w:val="00656366"/>
    <w:rsid w:val="006612D2"/>
    <w:rsid w:val="0066199B"/>
    <w:rsid w:val="006626B6"/>
    <w:rsid w:val="00662C2A"/>
    <w:rsid w:val="0066443E"/>
    <w:rsid w:val="00664851"/>
    <w:rsid w:val="00664C3A"/>
    <w:rsid w:val="00665143"/>
    <w:rsid w:val="0066623E"/>
    <w:rsid w:val="0066662D"/>
    <w:rsid w:val="00667361"/>
    <w:rsid w:val="006673EE"/>
    <w:rsid w:val="00667ADD"/>
    <w:rsid w:val="00667B35"/>
    <w:rsid w:val="006700AF"/>
    <w:rsid w:val="00670406"/>
    <w:rsid w:val="006705CE"/>
    <w:rsid w:val="00670877"/>
    <w:rsid w:val="00670DD1"/>
    <w:rsid w:val="00671DA9"/>
    <w:rsid w:val="006727A7"/>
    <w:rsid w:val="00672880"/>
    <w:rsid w:val="006734D2"/>
    <w:rsid w:val="00673805"/>
    <w:rsid w:val="006748F5"/>
    <w:rsid w:val="00675B8F"/>
    <w:rsid w:val="00677003"/>
    <w:rsid w:val="00677537"/>
    <w:rsid w:val="00677750"/>
    <w:rsid w:val="006803F1"/>
    <w:rsid w:val="0068104B"/>
    <w:rsid w:val="00681DC1"/>
    <w:rsid w:val="00681FD1"/>
    <w:rsid w:val="00681FFA"/>
    <w:rsid w:val="00682EC5"/>
    <w:rsid w:val="006851CA"/>
    <w:rsid w:val="0068537A"/>
    <w:rsid w:val="0068577E"/>
    <w:rsid w:val="006863B0"/>
    <w:rsid w:val="0068780D"/>
    <w:rsid w:val="006925D2"/>
    <w:rsid w:val="006928DB"/>
    <w:rsid w:val="006929D7"/>
    <w:rsid w:val="00692D56"/>
    <w:rsid w:val="006931ED"/>
    <w:rsid w:val="006933D2"/>
    <w:rsid w:val="0069367E"/>
    <w:rsid w:val="00693C10"/>
    <w:rsid w:val="00694D0D"/>
    <w:rsid w:val="006958F4"/>
    <w:rsid w:val="00695B97"/>
    <w:rsid w:val="00695D96"/>
    <w:rsid w:val="0069625A"/>
    <w:rsid w:val="0069627B"/>
    <w:rsid w:val="00697597"/>
    <w:rsid w:val="006979A4"/>
    <w:rsid w:val="006A1375"/>
    <w:rsid w:val="006A189B"/>
    <w:rsid w:val="006A3249"/>
    <w:rsid w:val="006A5B11"/>
    <w:rsid w:val="006A6473"/>
    <w:rsid w:val="006A6752"/>
    <w:rsid w:val="006A6F19"/>
    <w:rsid w:val="006A6F29"/>
    <w:rsid w:val="006A7299"/>
    <w:rsid w:val="006A74C0"/>
    <w:rsid w:val="006B0333"/>
    <w:rsid w:val="006B062C"/>
    <w:rsid w:val="006B1288"/>
    <w:rsid w:val="006B1AB0"/>
    <w:rsid w:val="006B261A"/>
    <w:rsid w:val="006B2CFD"/>
    <w:rsid w:val="006B2E1E"/>
    <w:rsid w:val="006B2F21"/>
    <w:rsid w:val="006B3E81"/>
    <w:rsid w:val="006B409F"/>
    <w:rsid w:val="006B4E93"/>
    <w:rsid w:val="006B5370"/>
    <w:rsid w:val="006B5BC7"/>
    <w:rsid w:val="006B78E3"/>
    <w:rsid w:val="006C0646"/>
    <w:rsid w:val="006C0B3F"/>
    <w:rsid w:val="006C3776"/>
    <w:rsid w:val="006C43D9"/>
    <w:rsid w:val="006C49BA"/>
    <w:rsid w:val="006C52D6"/>
    <w:rsid w:val="006C6207"/>
    <w:rsid w:val="006C6647"/>
    <w:rsid w:val="006D0726"/>
    <w:rsid w:val="006D07EA"/>
    <w:rsid w:val="006D0B38"/>
    <w:rsid w:val="006D1102"/>
    <w:rsid w:val="006D24F1"/>
    <w:rsid w:val="006D2619"/>
    <w:rsid w:val="006D3954"/>
    <w:rsid w:val="006D416D"/>
    <w:rsid w:val="006D4E08"/>
    <w:rsid w:val="006D5DA6"/>
    <w:rsid w:val="006D6A34"/>
    <w:rsid w:val="006D6BCF"/>
    <w:rsid w:val="006D6C86"/>
    <w:rsid w:val="006D7B04"/>
    <w:rsid w:val="006D7BAB"/>
    <w:rsid w:val="006E0ECD"/>
    <w:rsid w:val="006E0F24"/>
    <w:rsid w:val="006E1001"/>
    <w:rsid w:val="006E129C"/>
    <w:rsid w:val="006E1568"/>
    <w:rsid w:val="006E1E5D"/>
    <w:rsid w:val="006E2B13"/>
    <w:rsid w:val="006E2E18"/>
    <w:rsid w:val="006E3578"/>
    <w:rsid w:val="006E3DD6"/>
    <w:rsid w:val="006E499E"/>
    <w:rsid w:val="006E61EA"/>
    <w:rsid w:val="006E63C9"/>
    <w:rsid w:val="006E6BB4"/>
    <w:rsid w:val="006F027A"/>
    <w:rsid w:val="006F064B"/>
    <w:rsid w:val="006F0A72"/>
    <w:rsid w:val="006F1295"/>
    <w:rsid w:val="006F1BD8"/>
    <w:rsid w:val="006F1DF3"/>
    <w:rsid w:val="006F370C"/>
    <w:rsid w:val="006F3BAE"/>
    <w:rsid w:val="006F4053"/>
    <w:rsid w:val="006F5518"/>
    <w:rsid w:val="006F5D6B"/>
    <w:rsid w:val="006F6071"/>
    <w:rsid w:val="006F60DE"/>
    <w:rsid w:val="006F615E"/>
    <w:rsid w:val="006F6BB9"/>
    <w:rsid w:val="006F6F94"/>
    <w:rsid w:val="006F7FB1"/>
    <w:rsid w:val="00700232"/>
    <w:rsid w:val="007007DC"/>
    <w:rsid w:val="00700BA3"/>
    <w:rsid w:val="00701B71"/>
    <w:rsid w:val="00702109"/>
    <w:rsid w:val="007022A7"/>
    <w:rsid w:val="007033E3"/>
    <w:rsid w:val="00703960"/>
    <w:rsid w:val="00703995"/>
    <w:rsid w:val="00703DF1"/>
    <w:rsid w:val="00704E98"/>
    <w:rsid w:val="00704FCB"/>
    <w:rsid w:val="0070532D"/>
    <w:rsid w:val="00705845"/>
    <w:rsid w:val="007059B3"/>
    <w:rsid w:val="00705D5F"/>
    <w:rsid w:val="00706C9F"/>
    <w:rsid w:val="00706CD2"/>
    <w:rsid w:val="0070780B"/>
    <w:rsid w:val="007078E9"/>
    <w:rsid w:val="007102CA"/>
    <w:rsid w:val="007111F0"/>
    <w:rsid w:val="007148F4"/>
    <w:rsid w:val="0071551F"/>
    <w:rsid w:val="00715C89"/>
    <w:rsid w:val="00717E23"/>
    <w:rsid w:val="007205A5"/>
    <w:rsid w:val="00720E1D"/>
    <w:rsid w:val="00720E5E"/>
    <w:rsid w:val="00721727"/>
    <w:rsid w:val="0072380F"/>
    <w:rsid w:val="00723C17"/>
    <w:rsid w:val="0072417D"/>
    <w:rsid w:val="0072501E"/>
    <w:rsid w:val="00725A27"/>
    <w:rsid w:val="00725CB2"/>
    <w:rsid w:val="00726647"/>
    <w:rsid w:val="0072687D"/>
    <w:rsid w:val="007275BC"/>
    <w:rsid w:val="00730566"/>
    <w:rsid w:val="00730B64"/>
    <w:rsid w:val="007317C6"/>
    <w:rsid w:val="007328CF"/>
    <w:rsid w:val="00732BD0"/>
    <w:rsid w:val="00732F78"/>
    <w:rsid w:val="007335FA"/>
    <w:rsid w:val="00733684"/>
    <w:rsid w:val="00734118"/>
    <w:rsid w:val="00734BC4"/>
    <w:rsid w:val="00734C4B"/>
    <w:rsid w:val="007355DD"/>
    <w:rsid w:val="0073572F"/>
    <w:rsid w:val="00735FFC"/>
    <w:rsid w:val="007367E3"/>
    <w:rsid w:val="007402D4"/>
    <w:rsid w:val="00740386"/>
    <w:rsid w:val="00740862"/>
    <w:rsid w:val="007411C2"/>
    <w:rsid w:val="00741CEC"/>
    <w:rsid w:val="00741D81"/>
    <w:rsid w:val="00741FBC"/>
    <w:rsid w:val="007434A5"/>
    <w:rsid w:val="00745958"/>
    <w:rsid w:val="00746E2B"/>
    <w:rsid w:val="00747199"/>
    <w:rsid w:val="00747444"/>
    <w:rsid w:val="0075048E"/>
    <w:rsid w:val="00750B38"/>
    <w:rsid w:val="00751A3F"/>
    <w:rsid w:val="0075343F"/>
    <w:rsid w:val="0075351B"/>
    <w:rsid w:val="00754242"/>
    <w:rsid w:val="007546CF"/>
    <w:rsid w:val="00757688"/>
    <w:rsid w:val="007578CA"/>
    <w:rsid w:val="007608FC"/>
    <w:rsid w:val="0076110C"/>
    <w:rsid w:val="00761FC1"/>
    <w:rsid w:val="00762557"/>
    <w:rsid w:val="00763B42"/>
    <w:rsid w:val="007640C9"/>
    <w:rsid w:val="00764BBE"/>
    <w:rsid w:val="00764CC4"/>
    <w:rsid w:val="00765031"/>
    <w:rsid w:val="00765303"/>
    <w:rsid w:val="00765407"/>
    <w:rsid w:val="007661FE"/>
    <w:rsid w:val="0076677B"/>
    <w:rsid w:val="0076678D"/>
    <w:rsid w:val="00766FB0"/>
    <w:rsid w:val="0076724E"/>
    <w:rsid w:val="00767464"/>
    <w:rsid w:val="00767499"/>
    <w:rsid w:val="007702A9"/>
    <w:rsid w:val="00770518"/>
    <w:rsid w:val="00770740"/>
    <w:rsid w:val="00770C52"/>
    <w:rsid w:val="00770FB0"/>
    <w:rsid w:val="00771C88"/>
    <w:rsid w:val="00771CB0"/>
    <w:rsid w:val="007722A9"/>
    <w:rsid w:val="007722FF"/>
    <w:rsid w:val="00772749"/>
    <w:rsid w:val="0077279C"/>
    <w:rsid w:val="007736C2"/>
    <w:rsid w:val="007738A0"/>
    <w:rsid w:val="0077444F"/>
    <w:rsid w:val="0077480D"/>
    <w:rsid w:val="007754FC"/>
    <w:rsid w:val="007758D6"/>
    <w:rsid w:val="00775BEE"/>
    <w:rsid w:val="00775FC8"/>
    <w:rsid w:val="007761FD"/>
    <w:rsid w:val="00777101"/>
    <w:rsid w:val="0077722F"/>
    <w:rsid w:val="007773CD"/>
    <w:rsid w:val="0077754E"/>
    <w:rsid w:val="007775F5"/>
    <w:rsid w:val="0077781A"/>
    <w:rsid w:val="00783449"/>
    <w:rsid w:val="0078465F"/>
    <w:rsid w:val="00784860"/>
    <w:rsid w:val="00785E84"/>
    <w:rsid w:val="0078666D"/>
    <w:rsid w:val="00786844"/>
    <w:rsid w:val="00787260"/>
    <w:rsid w:val="00787BFE"/>
    <w:rsid w:val="00787D53"/>
    <w:rsid w:val="0079018C"/>
    <w:rsid w:val="0079041C"/>
    <w:rsid w:val="00790FAD"/>
    <w:rsid w:val="00791365"/>
    <w:rsid w:val="007915AD"/>
    <w:rsid w:val="007918F2"/>
    <w:rsid w:val="0079199F"/>
    <w:rsid w:val="00791E5B"/>
    <w:rsid w:val="00791EB9"/>
    <w:rsid w:val="007947A3"/>
    <w:rsid w:val="00794B61"/>
    <w:rsid w:val="00794E7E"/>
    <w:rsid w:val="00795CF8"/>
    <w:rsid w:val="00796331"/>
    <w:rsid w:val="0079680A"/>
    <w:rsid w:val="00797F20"/>
    <w:rsid w:val="007A1096"/>
    <w:rsid w:val="007A11FD"/>
    <w:rsid w:val="007A1206"/>
    <w:rsid w:val="007A17FD"/>
    <w:rsid w:val="007A34CE"/>
    <w:rsid w:val="007A49C5"/>
    <w:rsid w:val="007A5825"/>
    <w:rsid w:val="007A5CC9"/>
    <w:rsid w:val="007A5D16"/>
    <w:rsid w:val="007A61E5"/>
    <w:rsid w:val="007A63EF"/>
    <w:rsid w:val="007A641B"/>
    <w:rsid w:val="007A6959"/>
    <w:rsid w:val="007A7E17"/>
    <w:rsid w:val="007A7F9F"/>
    <w:rsid w:val="007B024D"/>
    <w:rsid w:val="007B0C6E"/>
    <w:rsid w:val="007B13B0"/>
    <w:rsid w:val="007B2CF2"/>
    <w:rsid w:val="007B495B"/>
    <w:rsid w:val="007B4F52"/>
    <w:rsid w:val="007B616B"/>
    <w:rsid w:val="007B63DF"/>
    <w:rsid w:val="007B767F"/>
    <w:rsid w:val="007B77CA"/>
    <w:rsid w:val="007C04E8"/>
    <w:rsid w:val="007C0A99"/>
    <w:rsid w:val="007C0EEB"/>
    <w:rsid w:val="007C1162"/>
    <w:rsid w:val="007C21A5"/>
    <w:rsid w:val="007C2211"/>
    <w:rsid w:val="007C2F06"/>
    <w:rsid w:val="007C2FAB"/>
    <w:rsid w:val="007C3F1A"/>
    <w:rsid w:val="007C4108"/>
    <w:rsid w:val="007C6B82"/>
    <w:rsid w:val="007C7301"/>
    <w:rsid w:val="007C75F1"/>
    <w:rsid w:val="007C78CB"/>
    <w:rsid w:val="007D0861"/>
    <w:rsid w:val="007D09CA"/>
    <w:rsid w:val="007D3128"/>
    <w:rsid w:val="007D390F"/>
    <w:rsid w:val="007D3E50"/>
    <w:rsid w:val="007D423E"/>
    <w:rsid w:val="007D46AF"/>
    <w:rsid w:val="007D5082"/>
    <w:rsid w:val="007D569E"/>
    <w:rsid w:val="007D5ABD"/>
    <w:rsid w:val="007D5C60"/>
    <w:rsid w:val="007D5DA2"/>
    <w:rsid w:val="007D677E"/>
    <w:rsid w:val="007D67F0"/>
    <w:rsid w:val="007D68E6"/>
    <w:rsid w:val="007D6C8A"/>
    <w:rsid w:val="007D6DA5"/>
    <w:rsid w:val="007D72FB"/>
    <w:rsid w:val="007D7659"/>
    <w:rsid w:val="007D78BA"/>
    <w:rsid w:val="007E0489"/>
    <w:rsid w:val="007E0FB6"/>
    <w:rsid w:val="007E10D9"/>
    <w:rsid w:val="007E18AB"/>
    <w:rsid w:val="007E19F8"/>
    <w:rsid w:val="007E1D6B"/>
    <w:rsid w:val="007E1F87"/>
    <w:rsid w:val="007E30B3"/>
    <w:rsid w:val="007E3624"/>
    <w:rsid w:val="007E3B5D"/>
    <w:rsid w:val="007E3C37"/>
    <w:rsid w:val="007E4380"/>
    <w:rsid w:val="007E44F8"/>
    <w:rsid w:val="007E4DEA"/>
    <w:rsid w:val="007E6780"/>
    <w:rsid w:val="007E7A17"/>
    <w:rsid w:val="007F00A7"/>
    <w:rsid w:val="007F2841"/>
    <w:rsid w:val="007F29F8"/>
    <w:rsid w:val="007F2DD0"/>
    <w:rsid w:val="007F3608"/>
    <w:rsid w:val="007F37C7"/>
    <w:rsid w:val="007F3840"/>
    <w:rsid w:val="007F391C"/>
    <w:rsid w:val="007F4F69"/>
    <w:rsid w:val="007F66F1"/>
    <w:rsid w:val="00800642"/>
    <w:rsid w:val="00801656"/>
    <w:rsid w:val="008017D1"/>
    <w:rsid w:val="008018D2"/>
    <w:rsid w:val="008030D8"/>
    <w:rsid w:val="008033E4"/>
    <w:rsid w:val="00804A8D"/>
    <w:rsid w:val="00806DA4"/>
    <w:rsid w:val="008072AC"/>
    <w:rsid w:val="008073E5"/>
    <w:rsid w:val="00810770"/>
    <w:rsid w:val="008110E4"/>
    <w:rsid w:val="0081132A"/>
    <w:rsid w:val="00811594"/>
    <w:rsid w:val="00811AAB"/>
    <w:rsid w:val="00811D82"/>
    <w:rsid w:val="008148EF"/>
    <w:rsid w:val="008149B6"/>
    <w:rsid w:val="00814C98"/>
    <w:rsid w:val="008151F8"/>
    <w:rsid w:val="00815373"/>
    <w:rsid w:val="00815C37"/>
    <w:rsid w:val="00816D4A"/>
    <w:rsid w:val="008173F0"/>
    <w:rsid w:val="0081793C"/>
    <w:rsid w:val="008202F4"/>
    <w:rsid w:val="0082084B"/>
    <w:rsid w:val="00820939"/>
    <w:rsid w:val="00820CA1"/>
    <w:rsid w:val="00821A05"/>
    <w:rsid w:val="00821BA2"/>
    <w:rsid w:val="00822094"/>
    <w:rsid w:val="00822C6B"/>
    <w:rsid w:val="00823107"/>
    <w:rsid w:val="0082331F"/>
    <w:rsid w:val="00823474"/>
    <w:rsid w:val="00823503"/>
    <w:rsid w:val="00823602"/>
    <w:rsid w:val="00823727"/>
    <w:rsid w:val="008237DD"/>
    <w:rsid w:val="00823BF8"/>
    <w:rsid w:val="00823CA4"/>
    <w:rsid w:val="00823CF3"/>
    <w:rsid w:val="00823E87"/>
    <w:rsid w:val="00824AE4"/>
    <w:rsid w:val="00825626"/>
    <w:rsid w:val="00825943"/>
    <w:rsid w:val="00825B65"/>
    <w:rsid w:val="00826071"/>
    <w:rsid w:val="008266F8"/>
    <w:rsid w:val="00826B4D"/>
    <w:rsid w:val="00827064"/>
    <w:rsid w:val="0082739F"/>
    <w:rsid w:val="00827E10"/>
    <w:rsid w:val="00830885"/>
    <w:rsid w:val="008308CC"/>
    <w:rsid w:val="00830BAB"/>
    <w:rsid w:val="00830E4B"/>
    <w:rsid w:val="0083184F"/>
    <w:rsid w:val="008319A5"/>
    <w:rsid w:val="0083202E"/>
    <w:rsid w:val="00832A69"/>
    <w:rsid w:val="00832B21"/>
    <w:rsid w:val="0083306E"/>
    <w:rsid w:val="00833CA5"/>
    <w:rsid w:val="00834026"/>
    <w:rsid w:val="008352DA"/>
    <w:rsid w:val="008355CC"/>
    <w:rsid w:val="00835753"/>
    <w:rsid w:val="00836041"/>
    <w:rsid w:val="00836340"/>
    <w:rsid w:val="00836AEC"/>
    <w:rsid w:val="0083720D"/>
    <w:rsid w:val="00837457"/>
    <w:rsid w:val="0083753E"/>
    <w:rsid w:val="0083767F"/>
    <w:rsid w:val="00837FA9"/>
    <w:rsid w:val="008403BD"/>
    <w:rsid w:val="008405F6"/>
    <w:rsid w:val="00840AC9"/>
    <w:rsid w:val="0084155C"/>
    <w:rsid w:val="008422B3"/>
    <w:rsid w:val="008430B6"/>
    <w:rsid w:val="00843C26"/>
    <w:rsid w:val="00844333"/>
    <w:rsid w:val="0084442A"/>
    <w:rsid w:val="008454CF"/>
    <w:rsid w:val="00845728"/>
    <w:rsid w:val="00845D3E"/>
    <w:rsid w:val="00845E3A"/>
    <w:rsid w:val="00846BDC"/>
    <w:rsid w:val="008505BC"/>
    <w:rsid w:val="008507A9"/>
    <w:rsid w:val="00850D11"/>
    <w:rsid w:val="00850F25"/>
    <w:rsid w:val="00851068"/>
    <w:rsid w:val="00851CA1"/>
    <w:rsid w:val="00852969"/>
    <w:rsid w:val="008537E7"/>
    <w:rsid w:val="00853B6B"/>
    <w:rsid w:val="00854E2C"/>
    <w:rsid w:val="0085534F"/>
    <w:rsid w:val="00857054"/>
    <w:rsid w:val="008602FD"/>
    <w:rsid w:val="00860A89"/>
    <w:rsid w:val="0086193E"/>
    <w:rsid w:val="008619F2"/>
    <w:rsid w:val="00861AEB"/>
    <w:rsid w:val="00862225"/>
    <w:rsid w:val="00862493"/>
    <w:rsid w:val="008627B2"/>
    <w:rsid w:val="00863945"/>
    <w:rsid w:val="00863A1C"/>
    <w:rsid w:val="00863B3F"/>
    <w:rsid w:val="00864879"/>
    <w:rsid w:val="00864888"/>
    <w:rsid w:val="00864D4C"/>
    <w:rsid w:val="00865605"/>
    <w:rsid w:val="00865885"/>
    <w:rsid w:val="00865B56"/>
    <w:rsid w:val="0086643F"/>
    <w:rsid w:val="008664CB"/>
    <w:rsid w:val="0086672E"/>
    <w:rsid w:val="008669CE"/>
    <w:rsid w:val="00866CDE"/>
    <w:rsid w:val="00867A6E"/>
    <w:rsid w:val="0087013B"/>
    <w:rsid w:val="00871142"/>
    <w:rsid w:val="0087151C"/>
    <w:rsid w:val="008716CA"/>
    <w:rsid w:val="00871E46"/>
    <w:rsid w:val="0087227C"/>
    <w:rsid w:val="00872BE3"/>
    <w:rsid w:val="00873F46"/>
    <w:rsid w:val="008742AB"/>
    <w:rsid w:val="008750C2"/>
    <w:rsid w:val="008753F0"/>
    <w:rsid w:val="0087541D"/>
    <w:rsid w:val="00875635"/>
    <w:rsid w:val="00876391"/>
    <w:rsid w:val="00877550"/>
    <w:rsid w:val="0088040B"/>
    <w:rsid w:val="00880949"/>
    <w:rsid w:val="00881507"/>
    <w:rsid w:val="00881C7A"/>
    <w:rsid w:val="0088257E"/>
    <w:rsid w:val="008825D2"/>
    <w:rsid w:val="00882601"/>
    <w:rsid w:val="0088310B"/>
    <w:rsid w:val="0088356B"/>
    <w:rsid w:val="00883B0B"/>
    <w:rsid w:val="00883BEC"/>
    <w:rsid w:val="00884440"/>
    <w:rsid w:val="0088597E"/>
    <w:rsid w:val="00885996"/>
    <w:rsid w:val="00885D12"/>
    <w:rsid w:val="00885FE1"/>
    <w:rsid w:val="00886257"/>
    <w:rsid w:val="008865C3"/>
    <w:rsid w:val="00886C06"/>
    <w:rsid w:val="00886EC6"/>
    <w:rsid w:val="008871AA"/>
    <w:rsid w:val="0088755A"/>
    <w:rsid w:val="008876C4"/>
    <w:rsid w:val="00887A3A"/>
    <w:rsid w:val="008908FE"/>
    <w:rsid w:val="00891D63"/>
    <w:rsid w:val="00891F8E"/>
    <w:rsid w:val="00892049"/>
    <w:rsid w:val="008920D7"/>
    <w:rsid w:val="00892877"/>
    <w:rsid w:val="008928C6"/>
    <w:rsid w:val="0089290F"/>
    <w:rsid w:val="00892B0D"/>
    <w:rsid w:val="00892C72"/>
    <w:rsid w:val="0089316A"/>
    <w:rsid w:val="008934F7"/>
    <w:rsid w:val="008935C2"/>
    <w:rsid w:val="00893A3F"/>
    <w:rsid w:val="0089430C"/>
    <w:rsid w:val="0089444B"/>
    <w:rsid w:val="008947DD"/>
    <w:rsid w:val="00894BCD"/>
    <w:rsid w:val="008A0100"/>
    <w:rsid w:val="008A16EC"/>
    <w:rsid w:val="008A1A2A"/>
    <w:rsid w:val="008A3844"/>
    <w:rsid w:val="008A3FDD"/>
    <w:rsid w:val="008A40A5"/>
    <w:rsid w:val="008A43ED"/>
    <w:rsid w:val="008A453D"/>
    <w:rsid w:val="008A483D"/>
    <w:rsid w:val="008A48DC"/>
    <w:rsid w:val="008A5DD4"/>
    <w:rsid w:val="008A636F"/>
    <w:rsid w:val="008A76E0"/>
    <w:rsid w:val="008B05EB"/>
    <w:rsid w:val="008B062D"/>
    <w:rsid w:val="008B0737"/>
    <w:rsid w:val="008B0BDD"/>
    <w:rsid w:val="008B1482"/>
    <w:rsid w:val="008B1BC6"/>
    <w:rsid w:val="008B28D2"/>
    <w:rsid w:val="008B3237"/>
    <w:rsid w:val="008B3A4B"/>
    <w:rsid w:val="008B3D2F"/>
    <w:rsid w:val="008B4179"/>
    <w:rsid w:val="008B44D3"/>
    <w:rsid w:val="008B4998"/>
    <w:rsid w:val="008B5289"/>
    <w:rsid w:val="008B535D"/>
    <w:rsid w:val="008B5EB9"/>
    <w:rsid w:val="008B66EC"/>
    <w:rsid w:val="008B68FE"/>
    <w:rsid w:val="008B6E66"/>
    <w:rsid w:val="008B704E"/>
    <w:rsid w:val="008C098D"/>
    <w:rsid w:val="008C0CF8"/>
    <w:rsid w:val="008C1043"/>
    <w:rsid w:val="008C1D1D"/>
    <w:rsid w:val="008C207A"/>
    <w:rsid w:val="008C2952"/>
    <w:rsid w:val="008C2C23"/>
    <w:rsid w:val="008C2DF9"/>
    <w:rsid w:val="008C575E"/>
    <w:rsid w:val="008C5819"/>
    <w:rsid w:val="008C6532"/>
    <w:rsid w:val="008C6920"/>
    <w:rsid w:val="008C6931"/>
    <w:rsid w:val="008C706B"/>
    <w:rsid w:val="008C7491"/>
    <w:rsid w:val="008C7EC1"/>
    <w:rsid w:val="008D008B"/>
    <w:rsid w:val="008D0259"/>
    <w:rsid w:val="008D07ED"/>
    <w:rsid w:val="008D0E02"/>
    <w:rsid w:val="008D301E"/>
    <w:rsid w:val="008D3450"/>
    <w:rsid w:val="008D3F42"/>
    <w:rsid w:val="008D46F2"/>
    <w:rsid w:val="008D53B4"/>
    <w:rsid w:val="008D5686"/>
    <w:rsid w:val="008D58B7"/>
    <w:rsid w:val="008D6A28"/>
    <w:rsid w:val="008D6E3A"/>
    <w:rsid w:val="008D75DB"/>
    <w:rsid w:val="008D761A"/>
    <w:rsid w:val="008D7F39"/>
    <w:rsid w:val="008E053E"/>
    <w:rsid w:val="008E120D"/>
    <w:rsid w:val="008E19A2"/>
    <w:rsid w:val="008E1EB6"/>
    <w:rsid w:val="008E3650"/>
    <w:rsid w:val="008E525F"/>
    <w:rsid w:val="008E5382"/>
    <w:rsid w:val="008E5488"/>
    <w:rsid w:val="008E5985"/>
    <w:rsid w:val="008E6096"/>
    <w:rsid w:val="008E60A6"/>
    <w:rsid w:val="008E6A44"/>
    <w:rsid w:val="008E6FCB"/>
    <w:rsid w:val="008E716C"/>
    <w:rsid w:val="008E7C9D"/>
    <w:rsid w:val="008E7E1F"/>
    <w:rsid w:val="008F0254"/>
    <w:rsid w:val="008F0612"/>
    <w:rsid w:val="008F1807"/>
    <w:rsid w:val="008F1931"/>
    <w:rsid w:val="008F1AEB"/>
    <w:rsid w:val="008F2165"/>
    <w:rsid w:val="008F471F"/>
    <w:rsid w:val="008F4A04"/>
    <w:rsid w:val="008F54CE"/>
    <w:rsid w:val="008F5A40"/>
    <w:rsid w:val="008F5DAD"/>
    <w:rsid w:val="008F5F99"/>
    <w:rsid w:val="008F6692"/>
    <w:rsid w:val="008F68F8"/>
    <w:rsid w:val="008F77C4"/>
    <w:rsid w:val="008F7968"/>
    <w:rsid w:val="00901A6D"/>
    <w:rsid w:val="00901D1D"/>
    <w:rsid w:val="00902030"/>
    <w:rsid w:val="00902310"/>
    <w:rsid w:val="009032D2"/>
    <w:rsid w:val="009039CC"/>
    <w:rsid w:val="00903EEC"/>
    <w:rsid w:val="009043B4"/>
    <w:rsid w:val="00905BA7"/>
    <w:rsid w:val="0090644C"/>
    <w:rsid w:val="00906A33"/>
    <w:rsid w:val="0090720E"/>
    <w:rsid w:val="0090746D"/>
    <w:rsid w:val="00907701"/>
    <w:rsid w:val="009078DF"/>
    <w:rsid w:val="00907B58"/>
    <w:rsid w:val="00907C3E"/>
    <w:rsid w:val="00907DBC"/>
    <w:rsid w:val="00910C94"/>
    <w:rsid w:val="00911208"/>
    <w:rsid w:val="009117C2"/>
    <w:rsid w:val="00911A6F"/>
    <w:rsid w:val="00911EEE"/>
    <w:rsid w:val="0091282E"/>
    <w:rsid w:val="00912838"/>
    <w:rsid w:val="009128BF"/>
    <w:rsid w:val="00912900"/>
    <w:rsid w:val="00912E0C"/>
    <w:rsid w:val="00912F56"/>
    <w:rsid w:val="00913199"/>
    <w:rsid w:val="009135AA"/>
    <w:rsid w:val="009150E7"/>
    <w:rsid w:val="00915B9B"/>
    <w:rsid w:val="0091602C"/>
    <w:rsid w:val="009217D2"/>
    <w:rsid w:val="00921D89"/>
    <w:rsid w:val="009221BB"/>
    <w:rsid w:val="00923006"/>
    <w:rsid w:val="009237F9"/>
    <w:rsid w:val="009238DD"/>
    <w:rsid w:val="00923B5B"/>
    <w:rsid w:val="00923EB9"/>
    <w:rsid w:val="00923F66"/>
    <w:rsid w:val="00925DA8"/>
    <w:rsid w:val="00926BDD"/>
    <w:rsid w:val="00927392"/>
    <w:rsid w:val="009312AC"/>
    <w:rsid w:val="00932D41"/>
    <w:rsid w:val="00934F70"/>
    <w:rsid w:val="00935ADF"/>
    <w:rsid w:val="00935AE7"/>
    <w:rsid w:val="009370BE"/>
    <w:rsid w:val="00940BEA"/>
    <w:rsid w:val="00940C55"/>
    <w:rsid w:val="00941C96"/>
    <w:rsid w:val="00941F00"/>
    <w:rsid w:val="0094277C"/>
    <w:rsid w:val="00943A12"/>
    <w:rsid w:val="00943E17"/>
    <w:rsid w:val="00943E33"/>
    <w:rsid w:val="00943F1B"/>
    <w:rsid w:val="009442F6"/>
    <w:rsid w:val="00944532"/>
    <w:rsid w:val="00944B66"/>
    <w:rsid w:val="0094512C"/>
    <w:rsid w:val="009456CA"/>
    <w:rsid w:val="009466AC"/>
    <w:rsid w:val="009469A7"/>
    <w:rsid w:val="00947756"/>
    <w:rsid w:val="009478C1"/>
    <w:rsid w:val="00947C6B"/>
    <w:rsid w:val="0095139F"/>
    <w:rsid w:val="00951B51"/>
    <w:rsid w:val="00952ADD"/>
    <w:rsid w:val="00952F45"/>
    <w:rsid w:val="00952FDE"/>
    <w:rsid w:val="0095310B"/>
    <w:rsid w:val="00953524"/>
    <w:rsid w:val="00953AE0"/>
    <w:rsid w:val="00953B2A"/>
    <w:rsid w:val="009542D8"/>
    <w:rsid w:val="00954798"/>
    <w:rsid w:val="00954924"/>
    <w:rsid w:val="009553A5"/>
    <w:rsid w:val="00956F2B"/>
    <w:rsid w:val="0096010F"/>
    <w:rsid w:val="00960494"/>
    <w:rsid w:val="009609F0"/>
    <w:rsid w:val="0096192F"/>
    <w:rsid w:val="00961E13"/>
    <w:rsid w:val="0096205F"/>
    <w:rsid w:val="00962707"/>
    <w:rsid w:val="0096292E"/>
    <w:rsid w:val="00962AB9"/>
    <w:rsid w:val="00963BC9"/>
    <w:rsid w:val="009644E2"/>
    <w:rsid w:val="00964676"/>
    <w:rsid w:val="0096599A"/>
    <w:rsid w:val="00965C83"/>
    <w:rsid w:val="0096654A"/>
    <w:rsid w:val="00966869"/>
    <w:rsid w:val="00967384"/>
    <w:rsid w:val="009673BA"/>
    <w:rsid w:val="00967F7D"/>
    <w:rsid w:val="00971390"/>
    <w:rsid w:val="00972414"/>
    <w:rsid w:val="009735F6"/>
    <w:rsid w:val="009739E7"/>
    <w:rsid w:val="00973B0D"/>
    <w:rsid w:val="00973D1F"/>
    <w:rsid w:val="00974F5F"/>
    <w:rsid w:val="009766F8"/>
    <w:rsid w:val="00980091"/>
    <w:rsid w:val="0098021B"/>
    <w:rsid w:val="009802C7"/>
    <w:rsid w:val="009803A3"/>
    <w:rsid w:val="00980477"/>
    <w:rsid w:val="0098123F"/>
    <w:rsid w:val="00981767"/>
    <w:rsid w:val="00981F46"/>
    <w:rsid w:val="00982114"/>
    <w:rsid w:val="00982465"/>
    <w:rsid w:val="0098301A"/>
    <w:rsid w:val="0098311E"/>
    <w:rsid w:val="00983995"/>
    <w:rsid w:val="009844F4"/>
    <w:rsid w:val="00984B76"/>
    <w:rsid w:val="00985404"/>
    <w:rsid w:val="00985E62"/>
    <w:rsid w:val="009872EE"/>
    <w:rsid w:val="00987690"/>
    <w:rsid w:val="00992481"/>
    <w:rsid w:val="009924F2"/>
    <w:rsid w:val="00992FB6"/>
    <w:rsid w:val="00993D07"/>
    <w:rsid w:val="0099462C"/>
    <w:rsid w:val="00994CA6"/>
    <w:rsid w:val="00994E03"/>
    <w:rsid w:val="00996D53"/>
    <w:rsid w:val="009973BD"/>
    <w:rsid w:val="00997E08"/>
    <w:rsid w:val="009A11DB"/>
    <w:rsid w:val="009A1654"/>
    <w:rsid w:val="009A2352"/>
    <w:rsid w:val="009A362B"/>
    <w:rsid w:val="009A3CAD"/>
    <w:rsid w:val="009A465B"/>
    <w:rsid w:val="009A4893"/>
    <w:rsid w:val="009A4D59"/>
    <w:rsid w:val="009A6037"/>
    <w:rsid w:val="009A6155"/>
    <w:rsid w:val="009A623C"/>
    <w:rsid w:val="009A7379"/>
    <w:rsid w:val="009A7E48"/>
    <w:rsid w:val="009A7FE0"/>
    <w:rsid w:val="009B1576"/>
    <w:rsid w:val="009B18BF"/>
    <w:rsid w:val="009B1E47"/>
    <w:rsid w:val="009B2486"/>
    <w:rsid w:val="009B32E8"/>
    <w:rsid w:val="009B43A3"/>
    <w:rsid w:val="009B4488"/>
    <w:rsid w:val="009B5183"/>
    <w:rsid w:val="009B58FC"/>
    <w:rsid w:val="009B68C0"/>
    <w:rsid w:val="009B6AC1"/>
    <w:rsid w:val="009B6F3C"/>
    <w:rsid w:val="009B75E0"/>
    <w:rsid w:val="009B7940"/>
    <w:rsid w:val="009B7CBA"/>
    <w:rsid w:val="009C0CC7"/>
    <w:rsid w:val="009C151B"/>
    <w:rsid w:val="009C233C"/>
    <w:rsid w:val="009C287E"/>
    <w:rsid w:val="009C367C"/>
    <w:rsid w:val="009C4F9F"/>
    <w:rsid w:val="009C5214"/>
    <w:rsid w:val="009C5B6E"/>
    <w:rsid w:val="009C5D79"/>
    <w:rsid w:val="009C700E"/>
    <w:rsid w:val="009D06BB"/>
    <w:rsid w:val="009D0965"/>
    <w:rsid w:val="009D108C"/>
    <w:rsid w:val="009D1372"/>
    <w:rsid w:val="009D21C4"/>
    <w:rsid w:val="009D2741"/>
    <w:rsid w:val="009D2FE2"/>
    <w:rsid w:val="009D4493"/>
    <w:rsid w:val="009D44F2"/>
    <w:rsid w:val="009D4D10"/>
    <w:rsid w:val="009D5B7B"/>
    <w:rsid w:val="009D5F37"/>
    <w:rsid w:val="009D661B"/>
    <w:rsid w:val="009D6E50"/>
    <w:rsid w:val="009D7409"/>
    <w:rsid w:val="009E02A9"/>
    <w:rsid w:val="009E04D8"/>
    <w:rsid w:val="009E144D"/>
    <w:rsid w:val="009E2568"/>
    <w:rsid w:val="009E27D2"/>
    <w:rsid w:val="009E2BBD"/>
    <w:rsid w:val="009E3E3B"/>
    <w:rsid w:val="009E4B32"/>
    <w:rsid w:val="009E5BFC"/>
    <w:rsid w:val="009E6CAA"/>
    <w:rsid w:val="009E6ED9"/>
    <w:rsid w:val="009E7063"/>
    <w:rsid w:val="009E722B"/>
    <w:rsid w:val="009E72E6"/>
    <w:rsid w:val="009E7C7C"/>
    <w:rsid w:val="009F19A7"/>
    <w:rsid w:val="009F1E25"/>
    <w:rsid w:val="009F2510"/>
    <w:rsid w:val="009F2BDC"/>
    <w:rsid w:val="009F356F"/>
    <w:rsid w:val="009F3B8B"/>
    <w:rsid w:val="009F3DFA"/>
    <w:rsid w:val="009F400C"/>
    <w:rsid w:val="009F40E9"/>
    <w:rsid w:val="009F642C"/>
    <w:rsid w:val="009F7E8F"/>
    <w:rsid w:val="00A0078A"/>
    <w:rsid w:val="00A01838"/>
    <w:rsid w:val="00A01FB9"/>
    <w:rsid w:val="00A025C2"/>
    <w:rsid w:val="00A02DEF"/>
    <w:rsid w:val="00A0324B"/>
    <w:rsid w:val="00A041C9"/>
    <w:rsid w:val="00A042E2"/>
    <w:rsid w:val="00A04400"/>
    <w:rsid w:val="00A04A4C"/>
    <w:rsid w:val="00A04C24"/>
    <w:rsid w:val="00A0507F"/>
    <w:rsid w:val="00A05622"/>
    <w:rsid w:val="00A059B6"/>
    <w:rsid w:val="00A05A79"/>
    <w:rsid w:val="00A0667A"/>
    <w:rsid w:val="00A07041"/>
    <w:rsid w:val="00A07134"/>
    <w:rsid w:val="00A0748D"/>
    <w:rsid w:val="00A079F2"/>
    <w:rsid w:val="00A07E05"/>
    <w:rsid w:val="00A105B4"/>
    <w:rsid w:val="00A108D8"/>
    <w:rsid w:val="00A109A7"/>
    <w:rsid w:val="00A120CC"/>
    <w:rsid w:val="00A12D03"/>
    <w:rsid w:val="00A12F31"/>
    <w:rsid w:val="00A12F73"/>
    <w:rsid w:val="00A13106"/>
    <w:rsid w:val="00A13743"/>
    <w:rsid w:val="00A14125"/>
    <w:rsid w:val="00A150A6"/>
    <w:rsid w:val="00A1515E"/>
    <w:rsid w:val="00A15272"/>
    <w:rsid w:val="00A15607"/>
    <w:rsid w:val="00A15FF8"/>
    <w:rsid w:val="00A1681C"/>
    <w:rsid w:val="00A16E0A"/>
    <w:rsid w:val="00A17440"/>
    <w:rsid w:val="00A20826"/>
    <w:rsid w:val="00A208B5"/>
    <w:rsid w:val="00A20D7D"/>
    <w:rsid w:val="00A212D9"/>
    <w:rsid w:val="00A214C7"/>
    <w:rsid w:val="00A217D4"/>
    <w:rsid w:val="00A221E2"/>
    <w:rsid w:val="00A22256"/>
    <w:rsid w:val="00A22C26"/>
    <w:rsid w:val="00A22F26"/>
    <w:rsid w:val="00A22F38"/>
    <w:rsid w:val="00A23112"/>
    <w:rsid w:val="00A232FC"/>
    <w:rsid w:val="00A2482C"/>
    <w:rsid w:val="00A24C36"/>
    <w:rsid w:val="00A25BDE"/>
    <w:rsid w:val="00A26A41"/>
    <w:rsid w:val="00A26B29"/>
    <w:rsid w:val="00A27E9E"/>
    <w:rsid w:val="00A302EE"/>
    <w:rsid w:val="00A3033B"/>
    <w:rsid w:val="00A30CF8"/>
    <w:rsid w:val="00A31735"/>
    <w:rsid w:val="00A31C9A"/>
    <w:rsid w:val="00A31EFD"/>
    <w:rsid w:val="00A320D3"/>
    <w:rsid w:val="00A32229"/>
    <w:rsid w:val="00A32667"/>
    <w:rsid w:val="00A33A0E"/>
    <w:rsid w:val="00A33F23"/>
    <w:rsid w:val="00A346BC"/>
    <w:rsid w:val="00A34C32"/>
    <w:rsid w:val="00A35570"/>
    <w:rsid w:val="00A35FF0"/>
    <w:rsid w:val="00A36C84"/>
    <w:rsid w:val="00A37AF2"/>
    <w:rsid w:val="00A403CD"/>
    <w:rsid w:val="00A40DE2"/>
    <w:rsid w:val="00A41644"/>
    <w:rsid w:val="00A41BC6"/>
    <w:rsid w:val="00A41D4E"/>
    <w:rsid w:val="00A431DF"/>
    <w:rsid w:val="00A436ED"/>
    <w:rsid w:val="00A437B0"/>
    <w:rsid w:val="00A44555"/>
    <w:rsid w:val="00A44655"/>
    <w:rsid w:val="00A44990"/>
    <w:rsid w:val="00A45F81"/>
    <w:rsid w:val="00A46419"/>
    <w:rsid w:val="00A46CB8"/>
    <w:rsid w:val="00A477FB"/>
    <w:rsid w:val="00A47868"/>
    <w:rsid w:val="00A50C4D"/>
    <w:rsid w:val="00A52D23"/>
    <w:rsid w:val="00A52E64"/>
    <w:rsid w:val="00A53436"/>
    <w:rsid w:val="00A53859"/>
    <w:rsid w:val="00A5400A"/>
    <w:rsid w:val="00A54D6A"/>
    <w:rsid w:val="00A5504B"/>
    <w:rsid w:val="00A55C5E"/>
    <w:rsid w:val="00A56315"/>
    <w:rsid w:val="00A57156"/>
    <w:rsid w:val="00A576DB"/>
    <w:rsid w:val="00A57E4F"/>
    <w:rsid w:val="00A6041C"/>
    <w:rsid w:val="00A61132"/>
    <w:rsid w:val="00A61EA3"/>
    <w:rsid w:val="00A61F0B"/>
    <w:rsid w:val="00A61F74"/>
    <w:rsid w:val="00A62182"/>
    <w:rsid w:val="00A6226F"/>
    <w:rsid w:val="00A62796"/>
    <w:rsid w:val="00A62884"/>
    <w:rsid w:val="00A64293"/>
    <w:rsid w:val="00A643AC"/>
    <w:rsid w:val="00A644AE"/>
    <w:rsid w:val="00A6456D"/>
    <w:rsid w:val="00A64D33"/>
    <w:rsid w:val="00A654D4"/>
    <w:rsid w:val="00A655C6"/>
    <w:rsid w:val="00A65E28"/>
    <w:rsid w:val="00A66150"/>
    <w:rsid w:val="00A66354"/>
    <w:rsid w:val="00A6654A"/>
    <w:rsid w:val="00A6687D"/>
    <w:rsid w:val="00A66DB2"/>
    <w:rsid w:val="00A67077"/>
    <w:rsid w:val="00A670A1"/>
    <w:rsid w:val="00A6716E"/>
    <w:rsid w:val="00A677A8"/>
    <w:rsid w:val="00A67E8B"/>
    <w:rsid w:val="00A67F67"/>
    <w:rsid w:val="00A710BB"/>
    <w:rsid w:val="00A71BA4"/>
    <w:rsid w:val="00A73773"/>
    <w:rsid w:val="00A74530"/>
    <w:rsid w:val="00A74EFD"/>
    <w:rsid w:val="00A75DE6"/>
    <w:rsid w:val="00A75DF8"/>
    <w:rsid w:val="00A75F30"/>
    <w:rsid w:val="00A76463"/>
    <w:rsid w:val="00A764C6"/>
    <w:rsid w:val="00A7692F"/>
    <w:rsid w:val="00A76BCE"/>
    <w:rsid w:val="00A76F81"/>
    <w:rsid w:val="00A7712F"/>
    <w:rsid w:val="00A77422"/>
    <w:rsid w:val="00A77D2D"/>
    <w:rsid w:val="00A80C06"/>
    <w:rsid w:val="00A810CC"/>
    <w:rsid w:val="00A82770"/>
    <w:rsid w:val="00A837B1"/>
    <w:rsid w:val="00A85448"/>
    <w:rsid w:val="00A85942"/>
    <w:rsid w:val="00A869AC"/>
    <w:rsid w:val="00A86A17"/>
    <w:rsid w:val="00A87119"/>
    <w:rsid w:val="00A8789C"/>
    <w:rsid w:val="00A9028F"/>
    <w:rsid w:val="00A90610"/>
    <w:rsid w:val="00A90723"/>
    <w:rsid w:val="00A93C6F"/>
    <w:rsid w:val="00A93FFB"/>
    <w:rsid w:val="00A940B8"/>
    <w:rsid w:val="00A94B58"/>
    <w:rsid w:val="00A95059"/>
    <w:rsid w:val="00A956A1"/>
    <w:rsid w:val="00A975F7"/>
    <w:rsid w:val="00A9775E"/>
    <w:rsid w:val="00A97827"/>
    <w:rsid w:val="00A97F52"/>
    <w:rsid w:val="00AA0480"/>
    <w:rsid w:val="00AA0875"/>
    <w:rsid w:val="00AA0955"/>
    <w:rsid w:val="00AA0B68"/>
    <w:rsid w:val="00AA0D8A"/>
    <w:rsid w:val="00AA1EBD"/>
    <w:rsid w:val="00AA35B4"/>
    <w:rsid w:val="00AA3B16"/>
    <w:rsid w:val="00AA3DB8"/>
    <w:rsid w:val="00AA523C"/>
    <w:rsid w:val="00AA5FF6"/>
    <w:rsid w:val="00AA65B6"/>
    <w:rsid w:val="00AA6EB2"/>
    <w:rsid w:val="00AA707A"/>
    <w:rsid w:val="00AA72F7"/>
    <w:rsid w:val="00AA7F89"/>
    <w:rsid w:val="00AB02AB"/>
    <w:rsid w:val="00AB18C2"/>
    <w:rsid w:val="00AB20E4"/>
    <w:rsid w:val="00AB25DF"/>
    <w:rsid w:val="00AB3DE5"/>
    <w:rsid w:val="00AB3EEB"/>
    <w:rsid w:val="00AB427C"/>
    <w:rsid w:val="00AB610A"/>
    <w:rsid w:val="00AB6ABC"/>
    <w:rsid w:val="00AB6BFA"/>
    <w:rsid w:val="00AB6DED"/>
    <w:rsid w:val="00AB7603"/>
    <w:rsid w:val="00AB7917"/>
    <w:rsid w:val="00AB7C83"/>
    <w:rsid w:val="00AC218B"/>
    <w:rsid w:val="00AC219F"/>
    <w:rsid w:val="00AC2C9A"/>
    <w:rsid w:val="00AC34B0"/>
    <w:rsid w:val="00AC3658"/>
    <w:rsid w:val="00AC38B9"/>
    <w:rsid w:val="00AC4ABF"/>
    <w:rsid w:val="00AC4F1C"/>
    <w:rsid w:val="00AC5F85"/>
    <w:rsid w:val="00AC65E6"/>
    <w:rsid w:val="00AC66DE"/>
    <w:rsid w:val="00AC70E5"/>
    <w:rsid w:val="00AC71F9"/>
    <w:rsid w:val="00AC7268"/>
    <w:rsid w:val="00AC7796"/>
    <w:rsid w:val="00AC7DCF"/>
    <w:rsid w:val="00AD017B"/>
    <w:rsid w:val="00AD02F0"/>
    <w:rsid w:val="00AD0E6F"/>
    <w:rsid w:val="00AD1402"/>
    <w:rsid w:val="00AD1F5E"/>
    <w:rsid w:val="00AD2D6F"/>
    <w:rsid w:val="00AD3A5B"/>
    <w:rsid w:val="00AD3D92"/>
    <w:rsid w:val="00AD58E7"/>
    <w:rsid w:val="00AD5C8A"/>
    <w:rsid w:val="00AD70CC"/>
    <w:rsid w:val="00AD7644"/>
    <w:rsid w:val="00AD7D02"/>
    <w:rsid w:val="00AE0DC9"/>
    <w:rsid w:val="00AE19E2"/>
    <w:rsid w:val="00AE2C26"/>
    <w:rsid w:val="00AE3082"/>
    <w:rsid w:val="00AE375E"/>
    <w:rsid w:val="00AE3E27"/>
    <w:rsid w:val="00AE4686"/>
    <w:rsid w:val="00AE5FBA"/>
    <w:rsid w:val="00AE7358"/>
    <w:rsid w:val="00AE7A93"/>
    <w:rsid w:val="00AE7BBF"/>
    <w:rsid w:val="00AF0178"/>
    <w:rsid w:val="00AF062C"/>
    <w:rsid w:val="00AF0721"/>
    <w:rsid w:val="00AF113E"/>
    <w:rsid w:val="00AF14F1"/>
    <w:rsid w:val="00AF20AE"/>
    <w:rsid w:val="00AF228C"/>
    <w:rsid w:val="00AF31A2"/>
    <w:rsid w:val="00AF35B6"/>
    <w:rsid w:val="00AF3672"/>
    <w:rsid w:val="00AF4224"/>
    <w:rsid w:val="00AF436C"/>
    <w:rsid w:val="00AF4CD0"/>
    <w:rsid w:val="00AF5B95"/>
    <w:rsid w:val="00AF6555"/>
    <w:rsid w:val="00AF7492"/>
    <w:rsid w:val="00AF75E1"/>
    <w:rsid w:val="00B00A57"/>
    <w:rsid w:val="00B0122D"/>
    <w:rsid w:val="00B02EAA"/>
    <w:rsid w:val="00B02F4D"/>
    <w:rsid w:val="00B03225"/>
    <w:rsid w:val="00B04601"/>
    <w:rsid w:val="00B0462D"/>
    <w:rsid w:val="00B0504A"/>
    <w:rsid w:val="00B05BF5"/>
    <w:rsid w:val="00B0609E"/>
    <w:rsid w:val="00B060E3"/>
    <w:rsid w:val="00B0638C"/>
    <w:rsid w:val="00B06AA9"/>
    <w:rsid w:val="00B0743A"/>
    <w:rsid w:val="00B106D4"/>
    <w:rsid w:val="00B10A1E"/>
    <w:rsid w:val="00B10F76"/>
    <w:rsid w:val="00B11030"/>
    <w:rsid w:val="00B110B8"/>
    <w:rsid w:val="00B114B9"/>
    <w:rsid w:val="00B1167E"/>
    <w:rsid w:val="00B12471"/>
    <w:rsid w:val="00B12510"/>
    <w:rsid w:val="00B12904"/>
    <w:rsid w:val="00B12E54"/>
    <w:rsid w:val="00B1437F"/>
    <w:rsid w:val="00B14EDD"/>
    <w:rsid w:val="00B14F51"/>
    <w:rsid w:val="00B1546E"/>
    <w:rsid w:val="00B15611"/>
    <w:rsid w:val="00B15BBD"/>
    <w:rsid w:val="00B16304"/>
    <w:rsid w:val="00B167C4"/>
    <w:rsid w:val="00B16C37"/>
    <w:rsid w:val="00B17EE5"/>
    <w:rsid w:val="00B2008E"/>
    <w:rsid w:val="00B2035B"/>
    <w:rsid w:val="00B2181C"/>
    <w:rsid w:val="00B221DA"/>
    <w:rsid w:val="00B22862"/>
    <w:rsid w:val="00B230A1"/>
    <w:rsid w:val="00B23464"/>
    <w:rsid w:val="00B238D0"/>
    <w:rsid w:val="00B23D73"/>
    <w:rsid w:val="00B2426C"/>
    <w:rsid w:val="00B246B3"/>
    <w:rsid w:val="00B24B6C"/>
    <w:rsid w:val="00B25011"/>
    <w:rsid w:val="00B2509B"/>
    <w:rsid w:val="00B25745"/>
    <w:rsid w:val="00B2746F"/>
    <w:rsid w:val="00B27E90"/>
    <w:rsid w:val="00B30409"/>
    <w:rsid w:val="00B304AD"/>
    <w:rsid w:val="00B30F86"/>
    <w:rsid w:val="00B323DC"/>
    <w:rsid w:val="00B32720"/>
    <w:rsid w:val="00B32A75"/>
    <w:rsid w:val="00B34C95"/>
    <w:rsid w:val="00B35158"/>
    <w:rsid w:val="00B35425"/>
    <w:rsid w:val="00B369F4"/>
    <w:rsid w:val="00B40160"/>
    <w:rsid w:val="00B4133D"/>
    <w:rsid w:val="00B41F55"/>
    <w:rsid w:val="00B42A83"/>
    <w:rsid w:val="00B42CD3"/>
    <w:rsid w:val="00B42E31"/>
    <w:rsid w:val="00B43989"/>
    <w:rsid w:val="00B44466"/>
    <w:rsid w:val="00B44470"/>
    <w:rsid w:val="00B44E98"/>
    <w:rsid w:val="00B4500F"/>
    <w:rsid w:val="00B45343"/>
    <w:rsid w:val="00B454A9"/>
    <w:rsid w:val="00B463D3"/>
    <w:rsid w:val="00B46D12"/>
    <w:rsid w:val="00B47939"/>
    <w:rsid w:val="00B5091C"/>
    <w:rsid w:val="00B510CD"/>
    <w:rsid w:val="00B510F4"/>
    <w:rsid w:val="00B513F9"/>
    <w:rsid w:val="00B51439"/>
    <w:rsid w:val="00B514BA"/>
    <w:rsid w:val="00B51E3B"/>
    <w:rsid w:val="00B51EAE"/>
    <w:rsid w:val="00B52027"/>
    <w:rsid w:val="00B52FED"/>
    <w:rsid w:val="00B53DB4"/>
    <w:rsid w:val="00B54174"/>
    <w:rsid w:val="00B54991"/>
    <w:rsid w:val="00B54BC1"/>
    <w:rsid w:val="00B54F7C"/>
    <w:rsid w:val="00B55123"/>
    <w:rsid w:val="00B5520E"/>
    <w:rsid w:val="00B55963"/>
    <w:rsid w:val="00B559EB"/>
    <w:rsid w:val="00B55B65"/>
    <w:rsid w:val="00B55D60"/>
    <w:rsid w:val="00B60146"/>
    <w:rsid w:val="00B601FE"/>
    <w:rsid w:val="00B6020A"/>
    <w:rsid w:val="00B60A4C"/>
    <w:rsid w:val="00B6130A"/>
    <w:rsid w:val="00B6235E"/>
    <w:rsid w:val="00B63C76"/>
    <w:rsid w:val="00B64840"/>
    <w:rsid w:val="00B6499A"/>
    <w:rsid w:val="00B64A32"/>
    <w:rsid w:val="00B65C4B"/>
    <w:rsid w:val="00B65E6F"/>
    <w:rsid w:val="00B6643A"/>
    <w:rsid w:val="00B66815"/>
    <w:rsid w:val="00B676A0"/>
    <w:rsid w:val="00B67992"/>
    <w:rsid w:val="00B67BAC"/>
    <w:rsid w:val="00B710C2"/>
    <w:rsid w:val="00B71440"/>
    <w:rsid w:val="00B715D2"/>
    <w:rsid w:val="00B7171D"/>
    <w:rsid w:val="00B72912"/>
    <w:rsid w:val="00B73D8C"/>
    <w:rsid w:val="00B74766"/>
    <w:rsid w:val="00B76130"/>
    <w:rsid w:val="00B76B1C"/>
    <w:rsid w:val="00B771A8"/>
    <w:rsid w:val="00B80426"/>
    <w:rsid w:val="00B8043D"/>
    <w:rsid w:val="00B81215"/>
    <w:rsid w:val="00B821D4"/>
    <w:rsid w:val="00B82202"/>
    <w:rsid w:val="00B828B1"/>
    <w:rsid w:val="00B8403D"/>
    <w:rsid w:val="00B84D5E"/>
    <w:rsid w:val="00B85C36"/>
    <w:rsid w:val="00B86070"/>
    <w:rsid w:val="00B86726"/>
    <w:rsid w:val="00B87055"/>
    <w:rsid w:val="00B9152C"/>
    <w:rsid w:val="00B91C56"/>
    <w:rsid w:val="00B92690"/>
    <w:rsid w:val="00B92A68"/>
    <w:rsid w:val="00B93807"/>
    <w:rsid w:val="00B93A0E"/>
    <w:rsid w:val="00B93AAB"/>
    <w:rsid w:val="00B93D39"/>
    <w:rsid w:val="00B9471A"/>
    <w:rsid w:val="00B947DC"/>
    <w:rsid w:val="00B95A75"/>
    <w:rsid w:val="00B95DCD"/>
    <w:rsid w:val="00B962A6"/>
    <w:rsid w:val="00B96358"/>
    <w:rsid w:val="00BA10EC"/>
    <w:rsid w:val="00BA1896"/>
    <w:rsid w:val="00BA39A7"/>
    <w:rsid w:val="00BA42BF"/>
    <w:rsid w:val="00BA4333"/>
    <w:rsid w:val="00BA506F"/>
    <w:rsid w:val="00BA50B5"/>
    <w:rsid w:val="00BA5164"/>
    <w:rsid w:val="00BA5482"/>
    <w:rsid w:val="00BA56BB"/>
    <w:rsid w:val="00BA5F83"/>
    <w:rsid w:val="00BA6133"/>
    <w:rsid w:val="00BA66F1"/>
    <w:rsid w:val="00BA67CC"/>
    <w:rsid w:val="00BA6F09"/>
    <w:rsid w:val="00BA761F"/>
    <w:rsid w:val="00BB02F8"/>
    <w:rsid w:val="00BB04C3"/>
    <w:rsid w:val="00BB100E"/>
    <w:rsid w:val="00BB101C"/>
    <w:rsid w:val="00BB11D7"/>
    <w:rsid w:val="00BB15B5"/>
    <w:rsid w:val="00BB1CE4"/>
    <w:rsid w:val="00BB1EC4"/>
    <w:rsid w:val="00BB224B"/>
    <w:rsid w:val="00BB23A8"/>
    <w:rsid w:val="00BB2670"/>
    <w:rsid w:val="00BB26D6"/>
    <w:rsid w:val="00BB297D"/>
    <w:rsid w:val="00BB2C8F"/>
    <w:rsid w:val="00BB3C1A"/>
    <w:rsid w:val="00BB4203"/>
    <w:rsid w:val="00BB4D74"/>
    <w:rsid w:val="00BB4FE4"/>
    <w:rsid w:val="00BB53A0"/>
    <w:rsid w:val="00BB53EA"/>
    <w:rsid w:val="00BB55CA"/>
    <w:rsid w:val="00BB56D8"/>
    <w:rsid w:val="00BB5D58"/>
    <w:rsid w:val="00BB624F"/>
    <w:rsid w:val="00BB6772"/>
    <w:rsid w:val="00BB79B3"/>
    <w:rsid w:val="00BC00F5"/>
    <w:rsid w:val="00BC020C"/>
    <w:rsid w:val="00BC1021"/>
    <w:rsid w:val="00BC1736"/>
    <w:rsid w:val="00BC2811"/>
    <w:rsid w:val="00BC2C6E"/>
    <w:rsid w:val="00BC2E8C"/>
    <w:rsid w:val="00BC436D"/>
    <w:rsid w:val="00BC50C0"/>
    <w:rsid w:val="00BC5655"/>
    <w:rsid w:val="00BC56EE"/>
    <w:rsid w:val="00BC58DD"/>
    <w:rsid w:val="00BC795D"/>
    <w:rsid w:val="00BC7A88"/>
    <w:rsid w:val="00BC7CC1"/>
    <w:rsid w:val="00BC7EB7"/>
    <w:rsid w:val="00BD12FE"/>
    <w:rsid w:val="00BD13B3"/>
    <w:rsid w:val="00BD171D"/>
    <w:rsid w:val="00BD183F"/>
    <w:rsid w:val="00BD2E38"/>
    <w:rsid w:val="00BD362D"/>
    <w:rsid w:val="00BD3BC0"/>
    <w:rsid w:val="00BD3CBE"/>
    <w:rsid w:val="00BD431B"/>
    <w:rsid w:val="00BD4681"/>
    <w:rsid w:val="00BD6C02"/>
    <w:rsid w:val="00BD71D1"/>
    <w:rsid w:val="00BD7376"/>
    <w:rsid w:val="00BD7CBD"/>
    <w:rsid w:val="00BD7E35"/>
    <w:rsid w:val="00BE0ACB"/>
    <w:rsid w:val="00BE10E3"/>
    <w:rsid w:val="00BE1D58"/>
    <w:rsid w:val="00BE2045"/>
    <w:rsid w:val="00BE30B8"/>
    <w:rsid w:val="00BE4024"/>
    <w:rsid w:val="00BE47E1"/>
    <w:rsid w:val="00BE4F15"/>
    <w:rsid w:val="00BE5222"/>
    <w:rsid w:val="00BE6465"/>
    <w:rsid w:val="00BE65BB"/>
    <w:rsid w:val="00BE6BC8"/>
    <w:rsid w:val="00BE7977"/>
    <w:rsid w:val="00BF0091"/>
    <w:rsid w:val="00BF0AA0"/>
    <w:rsid w:val="00BF0E98"/>
    <w:rsid w:val="00BF0F9E"/>
    <w:rsid w:val="00BF11BA"/>
    <w:rsid w:val="00BF127A"/>
    <w:rsid w:val="00BF12EF"/>
    <w:rsid w:val="00BF1C43"/>
    <w:rsid w:val="00BF2252"/>
    <w:rsid w:val="00BF2AF3"/>
    <w:rsid w:val="00BF3BE3"/>
    <w:rsid w:val="00BF4163"/>
    <w:rsid w:val="00BF43CD"/>
    <w:rsid w:val="00BF4B43"/>
    <w:rsid w:val="00BF51D6"/>
    <w:rsid w:val="00BF57D3"/>
    <w:rsid w:val="00BF6067"/>
    <w:rsid w:val="00BF6A6E"/>
    <w:rsid w:val="00BF767A"/>
    <w:rsid w:val="00BF7BC0"/>
    <w:rsid w:val="00BF7D8B"/>
    <w:rsid w:val="00BF7FB8"/>
    <w:rsid w:val="00C001B7"/>
    <w:rsid w:val="00C00FA3"/>
    <w:rsid w:val="00C01460"/>
    <w:rsid w:val="00C01D9B"/>
    <w:rsid w:val="00C041B4"/>
    <w:rsid w:val="00C05495"/>
    <w:rsid w:val="00C0699A"/>
    <w:rsid w:val="00C06AEB"/>
    <w:rsid w:val="00C07BF8"/>
    <w:rsid w:val="00C07C8B"/>
    <w:rsid w:val="00C1037E"/>
    <w:rsid w:val="00C1145F"/>
    <w:rsid w:val="00C11995"/>
    <w:rsid w:val="00C11B46"/>
    <w:rsid w:val="00C12100"/>
    <w:rsid w:val="00C14FEA"/>
    <w:rsid w:val="00C153E3"/>
    <w:rsid w:val="00C15499"/>
    <w:rsid w:val="00C15622"/>
    <w:rsid w:val="00C17683"/>
    <w:rsid w:val="00C176B6"/>
    <w:rsid w:val="00C1798D"/>
    <w:rsid w:val="00C17FC8"/>
    <w:rsid w:val="00C20B15"/>
    <w:rsid w:val="00C2158D"/>
    <w:rsid w:val="00C21865"/>
    <w:rsid w:val="00C2362F"/>
    <w:rsid w:val="00C23866"/>
    <w:rsid w:val="00C23FB0"/>
    <w:rsid w:val="00C2549F"/>
    <w:rsid w:val="00C25DAA"/>
    <w:rsid w:val="00C266F2"/>
    <w:rsid w:val="00C279D9"/>
    <w:rsid w:val="00C27F79"/>
    <w:rsid w:val="00C308CB"/>
    <w:rsid w:val="00C3099F"/>
    <w:rsid w:val="00C30A8B"/>
    <w:rsid w:val="00C30FE8"/>
    <w:rsid w:val="00C319E3"/>
    <w:rsid w:val="00C31F92"/>
    <w:rsid w:val="00C32079"/>
    <w:rsid w:val="00C3320E"/>
    <w:rsid w:val="00C33AA9"/>
    <w:rsid w:val="00C36D08"/>
    <w:rsid w:val="00C41FC6"/>
    <w:rsid w:val="00C423E2"/>
    <w:rsid w:val="00C42962"/>
    <w:rsid w:val="00C43306"/>
    <w:rsid w:val="00C43993"/>
    <w:rsid w:val="00C43C43"/>
    <w:rsid w:val="00C43E9F"/>
    <w:rsid w:val="00C43FD6"/>
    <w:rsid w:val="00C440AF"/>
    <w:rsid w:val="00C441BB"/>
    <w:rsid w:val="00C4504B"/>
    <w:rsid w:val="00C46072"/>
    <w:rsid w:val="00C47530"/>
    <w:rsid w:val="00C47FA6"/>
    <w:rsid w:val="00C502A7"/>
    <w:rsid w:val="00C5079E"/>
    <w:rsid w:val="00C50E4B"/>
    <w:rsid w:val="00C5272E"/>
    <w:rsid w:val="00C53743"/>
    <w:rsid w:val="00C53D98"/>
    <w:rsid w:val="00C5443D"/>
    <w:rsid w:val="00C549EC"/>
    <w:rsid w:val="00C553A1"/>
    <w:rsid w:val="00C555ED"/>
    <w:rsid w:val="00C556AA"/>
    <w:rsid w:val="00C56067"/>
    <w:rsid w:val="00C560B8"/>
    <w:rsid w:val="00C56DF0"/>
    <w:rsid w:val="00C57080"/>
    <w:rsid w:val="00C571B2"/>
    <w:rsid w:val="00C57285"/>
    <w:rsid w:val="00C579E1"/>
    <w:rsid w:val="00C60291"/>
    <w:rsid w:val="00C602E5"/>
    <w:rsid w:val="00C604CB"/>
    <w:rsid w:val="00C60B94"/>
    <w:rsid w:val="00C61093"/>
    <w:rsid w:val="00C62271"/>
    <w:rsid w:val="00C624EB"/>
    <w:rsid w:val="00C626A5"/>
    <w:rsid w:val="00C631F7"/>
    <w:rsid w:val="00C63BDD"/>
    <w:rsid w:val="00C64797"/>
    <w:rsid w:val="00C6497F"/>
    <w:rsid w:val="00C64B87"/>
    <w:rsid w:val="00C65D15"/>
    <w:rsid w:val="00C65DDE"/>
    <w:rsid w:val="00C665A7"/>
    <w:rsid w:val="00C66785"/>
    <w:rsid w:val="00C673C9"/>
    <w:rsid w:val="00C67AC0"/>
    <w:rsid w:val="00C67B71"/>
    <w:rsid w:val="00C67CB5"/>
    <w:rsid w:val="00C67EA6"/>
    <w:rsid w:val="00C70E0A"/>
    <w:rsid w:val="00C71814"/>
    <w:rsid w:val="00C722E0"/>
    <w:rsid w:val="00C72BB4"/>
    <w:rsid w:val="00C72F95"/>
    <w:rsid w:val="00C74242"/>
    <w:rsid w:val="00C7456C"/>
    <w:rsid w:val="00C74B56"/>
    <w:rsid w:val="00C74ED4"/>
    <w:rsid w:val="00C75885"/>
    <w:rsid w:val="00C76484"/>
    <w:rsid w:val="00C77945"/>
    <w:rsid w:val="00C803B7"/>
    <w:rsid w:val="00C804B4"/>
    <w:rsid w:val="00C81600"/>
    <w:rsid w:val="00C8192D"/>
    <w:rsid w:val="00C81F1A"/>
    <w:rsid w:val="00C82F78"/>
    <w:rsid w:val="00C83437"/>
    <w:rsid w:val="00C8351D"/>
    <w:rsid w:val="00C83B76"/>
    <w:rsid w:val="00C84396"/>
    <w:rsid w:val="00C8440F"/>
    <w:rsid w:val="00C846BF"/>
    <w:rsid w:val="00C848BF"/>
    <w:rsid w:val="00C84DB0"/>
    <w:rsid w:val="00C85238"/>
    <w:rsid w:val="00C85B5A"/>
    <w:rsid w:val="00C85F53"/>
    <w:rsid w:val="00C86028"/>
    <w:rsid w:val="00C87701"/>
    <w:rsid w:val="00C87F1A"/>
    <w:rsid w:val="00C901C0"/>
    <w:rsid w:val="00C90A79"/>
    <w:rsid w:val="00C91563"/>
    <w:rsid w:val="00C92C01"/>
    <w:rsid w:val="00C93361"/>
    <w:rsid w:val="00C93D12"/>
    <w:rsid w:val="00C93E15"/>
    <w:rsid w:val="00C94F4D"/>
    <w:rsid w:val="00C954DA"/>
    <w:rsid w:val="00C960CA"/>
    <w:rsid w:val="00C96982"/>
    <w:rsid w:val="00C97751"/>
    <w:rsid w:val="00CA0A68"/>
    <w:rsid w:val="00CA0B0F"/>
    <w:rsid w:val="00CA12EB"/>
    <w:rsid w:val="00CA1304"/>
    <w:rsid w:val="00CA151F"/>
    <w:rsid w:val="00CA1D24"/>
    <w:rsid w:val="00CA1E47"/>
    <w:rsid w:val="00CA20E4"/>
    <w:rsid w:val="00CA275B"/>
    <w:rsid w:val="00CA2F02"/>
    <w:rsid w:val="00CA361F"/>
    <w:rsid w:val="00CA3B1B"/>
    <w:rsid w:val="00CA3C5A"/>
    <w:rsid w:val="00CA4B55"/>
    <w:rsid w:val="00CA4F1C"/>
    <w:rsid w:val="00CA6098"/>
    <w:rsid w:val="00CA69A9"/>
    <w:rsid w:val="00CA6F59"/>
    <w:rsid w:val="00CA71A1"/>
    <w:rsid w:val="00CB10A9"/>
    <w:rsid w:val="00CB275C"/>
    <w:rsid w:val="00CB4396"/>
    <w:rsid w:val="00CB479B"/>
    <w:rsid w:val="00CB4DA5"/>
    <w:rsid w:val="00CB63E5"/>
    <w:rsid w:val="00CB665D"/>
    <w:rsid w:val="00CB71B2"/>
    <w:rsid w:val="00CB745C"/>
    <w:rsid w:val="00CB7C95"/>
    <w:rsid w:val="00CC18F3"/>
    <w:rsid w:val="00CC2303"/>
    <w:rsid w:val="00CC24F3"/>
    <w:rsid w:val="00CC28C1"/>
    <w:rsid w:val="00CC2C71"/>
    <w:rsid w:val="00CC2E46"/>
    <w:rsid w:val="00CC36A1"/>
    <w:rsid w:val="00CC41D9"/>
    <w:rsid w:val="00CC42CC"/>
    <w:rsid w:val="00CC4419"/>
    <w:rsid w:val="00CC4BCE"/>
    <w:rsid w:val="00CC4D73"/>
    <w:rsid w:val="00CC4EB5"/>
    <w:rsid w:val="00CC4F27"/>
    <w:rsid w:val="00CC5132"/>
    <w:rsid w:val="00CC5AFF"/>
    <w:rsid w:val="00CC5B30"/>
    <w:rsid w:val="00CC6F03"/>
    <w:rsid w:val="00CC703D"/>
    <w:rsid w:val="00CD0B92"/>
    <w:rsid w:val="00CD0BC4"/>
    <w:rsid w:val="00CD0C4F"/>
    <w:rsid w:val="00CD1A00"/>
    <w:rsid w:val="00CD1C6B"/>
    <w:rsid w:val="00CD29E8"/>
    <w:rsid w:val="00CD2DB9"/>
    <w:rsid w:val="00CD3854"/>
    <w:rsid w:val="00CD3914"/>
    <w:rsid w:val="00CD393E"/>
    <w:rsid w:val="00CD394D"/>
    <w:rsid w:val="00CD4533"/>
    <w:rsid w:val="00CD465A"/>
    <w:rsid w:val="00CD4BA1"/>
    <w:rsid w:val="00CD5A2F"/>
    <w:rsid w:val="00CD5A45"/>
    <w:rsid w:val="00CD5B4F"/>
    <w:rsid w:val="00CD6409"/>
    <w:rsid w:val="00CD6F67"/>
    <w:rsid w:val="00CD7BA2"/>
    <w:rsid w:val="00CE0218"/>
    <w:rsid w:val="00CE0CED"/>
    <w:rsid w:val="00CE1CF6"/>
    <w:rsid w:val="00CE1F12"/>
    <w:rsid w:val="00CE2FA6"/>
    <w:rsid w:val="00CE3564"/>
    <w:rsid w:val="00CE43F2"/>
    <w:rsid w:val="00CE45DF"/>
    <w:rsid w:val="00CE5023"/>
    <w:rsid w:val="00CE56B8"/>
    <w:rsid w:val="00CE5E77"/>
    <w:rsid w:val="00CE6A29"/>
    <w:rsid w:val="00CF0070"/>
    <w:rsid w:val="00CF0DE5"/>
    <w:rsid w:val="00CF0FD6"/>
    <w:rsid w:val="00CF13DF"/>
    <w:rsid w:val="00CF182B"/>
    <w:rsid w:val="00CF22B8"/>
    <w:rsid w:val="00CF25E9"/>
    <w:rsid w:val="00CF2FCF"/>
    <w:rsid w:val="00CF3BDF"/>
    <w:rsid w:val="00CF413C"/>
    <w:rsid w:val="00CF4647"/>
    <w:rsid w:val="00CF486F"/>
    <w:rsid w:val="00CF53B7"/>
    <w:rsid w:val="00CF60A5"/>
    <w:rsid w:val="00CF7733"/>
    <w:rsid w:val="00CF783E"/>
    <w:rsid w:val="00CF7E2A"/>
    <w:rsid w:val="00D001AB"/>
    <w:rsid w:val="00D0031A"/>
    <w:rsid w:val="00D00DD2"/>
    <w:rsid w:val="00D01629"/>
    <w:rsid w:val="00D01671"/>
    <w:rsid w:val="00D01CE4"/>
    <w:rsid w:val="00D01CE5"/>
    <w:rsid w:val="00D02C81"/>
    <w:rsid w:val="00D03018"/>
    <w:rsid w:val="00D04D51"/>
    <w:rsid w:val="00D05089"/>
    <w:rsid w:val="00D055CD"/>
    <w:rsid w:val="00D05E16"/>
    <w:rsid w:val="00D06207"/>
    <w:rsid w:val="00D0638D"/>
    <w:rsid w:val="00D07C6D"/>
    <w:rsid w:val="00D07E9F"/>
    <w:rsid w:val="00D07F40"/>
    <w:rsid w:val="00D10F68"/>
    <w:rsid w:val="00D12323"/>
    <w:rsid w:val="00D12813"/>
    <w:rsid w:val="00D13241"/>
    <w:rsid w:val="00D13D22"/>
    <w:rsid w:val="00D13FED"/>
    <w:rsid w:val="00D1479C"/>
    <w:rsid w:val="00D15067"/>
    <w:rsid w:val="00D15E7F"/>
    <w:rsid w:val="00D16508"/>
    <w:rsid w:val="00D16758"/>
    <w:rsid w:val="00D16CC3"/>
    <w:rsid w:val="00D16FC9"/>
    <w:rsid w:val="00D17A54"/>
    <w:rsid w:val="00D2020A"/>
    <w:rsid w:val="00D20B5F"/>
    <w:rsid w:val="00D20D5F"/>
    <w:rsid w:val="00D21ACA"/>
    <w:rsid w:val="00D22CA6"/>
    <w:rsid w:val="00D24196"/>
    <w:rsid w:val="00D24BFB"/>
    <w:rsid w:val="00D24EF8"/>
    <w:rsid w:val="00D2512D"/>
    <w:rsid w:val="00D2553D"/>
    <w:rsid w:val="00D25A4A"/>
    <w:rsid w:val="00D26194"/>
    <w:rsid w:val="00D26968"/>
    <w:rsid w:val="00D27FAC"/>
    <w:rsid w:val="00D30734"/>
    <w:rsid w:val="00D30C7C"/>
    <w:rsid w:val="00D30E40"/>
    <w:rsid w:val="00D31AA5"/>
    <w:rsid w:val="00D32220"/>
    <w:rsid w:val="00D32453"/>
    <w:rsid w:val="00D329B4"/>
    <w:rsid w:val="00D35B99"/>
    <w:rsid w:val="00D36127"/>
    <w:rsid w:val="00D37032"/>
    <w:rsid w:val="00D37274"/>
    <w:rsid w:val="00D37424"/>
    <w:rsid w:val="00D420D7"/>
    <w:rsid w:val="00D428BE"/>
    <w:rsid w:val="00D4291D"/>
    <w:rsid w:val="00D43990"/>
    <w:rsid w:val="00D45EEF"/>
    <w:rsid w:val="00D466A1"/>
    <w:rsid w:val="00D4790B"/>
    <w:rsid w:val="00D5043E"/>
    <w:rsid w:val="00D50497"/>
    <w:rsid w:val="00D51308"/>
    <w:rsid w:val="00D52ABB"/>
    <w:rsid w:val="00D53E56"/>
    <w:rsid w:val="00D548B3"/>
    <w:rsid w:val="00D54A35"/>
    <w:rsid w:val="00D55D39"/>
    <w:rsid w:val="00D55EF9"/>
    <w:rsid w:val="00D5608D"/>
    <w:rsid w:val="00D567F5"/>
    <w:rsid w:val="00D57800"/>
    <w:rsid w:val="00D57EA9"/>
    <w:rsid w:val="00D60A24"/>
    <w:rsid w:val="00D60E67"/>
    <w:rsid w:val="00D6115A"/>
    <w:rsid w:val="00D621EF"/>
    <w:rsid w:val="00D635D2"/>
    <w:rsid w:val="00D63761"/>
    <w:rsid w:val="00D639C9"/>
    <w:rsid w:val="00D63D45"/>
    <w:rsid w:val="00D63DDB"/>
    <w:rsid w:val="00D64E8D"/>
    <w:rsid w:val="00D64ECF"/>
    <w:rsid w:val="00D64EDA"/>
    <w:rsid w:val="00D64FC5"/>
    <w:rsid w:val="00D6516A"/>
    <w:rsid w:val="00D655D0"/>
    <w:rsid w:val="00D65980"/>
    <w:rsid w:val="00D65E11"/>
    <w:rsid w:val="00D676E6"/>
    <w:rsid w:val="00D678D8"/>
    <w:rsid w:val="00D67D76"/>
    <w:rsid w:val="00D705E9"/>
    <w:rsid w:val="00D706E1"/>
    <w:rsid w:val="00D720ED"/>
    <w:rsid w:val="00D721C2"/>
    <w:rsid w:val="00D723F0"/>
    <w:rsid w:val="00D726BF"/>
    <w:rsid w:val="00D727AF"/>
    <w:rsid w:val="00D72BD0"/>
    <w:rsid w:val="00D730ED"/>
    <w:rsid w:val="00D734DD"/>
    <w:rsid w:val="00D74497"/>
    <w:rsid w:val="00D74799"/>
    <w:rsid w:val="00D74F77"/>
    <w:rsid w:val="00D75101"/>
    <w:rsid w:val="00D76065"/>
    <w:rsid w:val="00D761FA"/>
    <w:rsid w:val="00D76590"/>
    <w:rsid w:val="00D76617"/>
    <w:rsid w:val="00D76822"/>
    <w:rsid w:val="00D76C0A"/>
    <w:rsid w:val="00D76C30"/>
    <w:rsid w:val="00D7724A"/>
    <w:rsid w:val="00D804F5"/>
    <w:rsid w:val="00D80735"/>
    <w:rsid w:val="00D80F88"/>
    <w:rsid w:val="00D81091"/>
    <w:rsid w:val="00D817C5"/>
    <w:rsid w:val="00D817D8"/>
    <w:rsid w:val="00D81E45"/>
    <w:rsid w:val="00D820CF"/>
    <w:rsid w:val="00D825B0"/>
    <w:rsid w:val="00D837E3"/>
    <w:rsid w:val="00D83928"/>
    <w:rsid w:val="00D84509"/>
    <w:rsid w:val="00D84834"/>
    <w:rsid w:val="00D85B35"/>
    <w:rsid w:val="00D85F6F"/>
    <w:rsid w:val="00D86822"/>
    <w:rsid w:val="00D86B9E"/>
    <w:rsid w:val="00D90132"/>
    <w:rsid w:val="00D907B9"/>
    <w:rsid w:val="00D90828"/>
    <w:rsid w:val="00D90ED5"/>
    <w:rsid w:val="00D91429"/>
    <w:rsid w:val="00D9192D"/>
    <w:rsid w:val="00D91B61"/>
    <w:rsid w:val="00D945EA"/>
    <w:rsid w:val="00D9491E"/>
    <w:rsid w:val="00D94B8A"/>
    <w:rsid w:val="00D976A0"/>
    <w:rsid w:val="00D97A76"/>
    <w:rsid w:val="00DA0249"/>
    <w:rsid w:val="00DA0B6E"/>
    <w:rsid w:val="00DA1197"/>
    <w:rsid w:val="00DA1391"/>
    <w:rsid w:val="00DA2899"/>
    <w:rsid w:val="00DA2CC6"/>
    <w:rsid w:val="00DA2EE1"/>
    <w:rsid w:val="00DA2F68"/>
    <w:rsid w:val="00DA3E9E"/>
    <w:rsid w:val="00DA477C"/>
    <w:rsid w:val="00DA4E1B"/>
    <w:rsid w:val="00DA5173"/>
    <w:rsid w:val="00DA5E59"/>
    <w:rsid w:val="00DA5E7E"/>
    <w:rsid w:val="00DA5F15"/>
    <w:rsid w:val="00DA60BD"/>
    <w:rsid w:val="00DA6F1A"/>
    <w:rsid w:val="00DA7717"/>
    <w:rsid w:val="00DA78D8"/>
    <w:rsid w:val="00DA7CB9"/>
    <w:rsid w:val="00DB04A5"/>
    <w:rsid w:val="00DB211F"/>
    <w:rsid w:val="00DB216D"/>
    <w:rsid w:val="00DB227D"/>
    <w:rsid w:val="00DB24BA"/>
    <w:rsid w:val="00DB2828"/>
    <w:rsid w:val="00DB2CCB"/>
    <w:rsid w:val="00DB36AC"/>
    <w:rsid w:val="00DB37BA"/>
    <w:rsid w:val="00DB4D5C"/>
    <w:rsid w:val="00DB4EEB"/>
    <w:rsid w:val="00DB4F7C"/>
    <w:rsid w:val="00DB5F5A"/>
    <w:rsid w:val="00DB6D54"/>
    <w:rsid w:val="00DB7B03"/>
    <w:rsid w:val="00DB7C08"/>
    <w:rsid w:val="00DB7F72"/>
    <w:rsid w:val="00DB7FC4"/>
    <w:rsid w:val="00DC021E"/>
    <w:rsid w:val="00DC1053"/>
    <w:rsid w:val="00DC13EF"/>
    <w:rsid w:val="00DC14F8"/>
    <w:rsid w:val="00DC278D"/>
    <w:rsid w:val="00DC4D90"/>
    <w:rsid w:val="00DC4DA4"/>
    <w:rsid w:val="00DC4F56"/>
    <w:rsid w:val="00DC641D"/>
    <w:rsid w:val="00DC69A4"/>
    <w:rsid w:val="00DC6D3D"/>
    <w:rsid w:val="00DC7492"/>
    <w:rsid w:val="00DD21AF"/>
    <w:rsid w:val="00DD243E"/>
    <w:rsid w:val="00DD28DD"/>
    <w:rsid w:val="00DD298A"/>
    <w:rsid w:val="00DD2EC1"/>
    <w:rsid w:val="00DD3077"/>
    <w:rsid w:val="00DD3286"/>
    <w:rsid w:val="00DD343E"/>
    <w:rsid w:val="00DD416A"/>
    <w:rsid w:val="00DD4914"/>
    <w:rsid w:val="00DD4CF4"/>
    <w:rsid w:val="00DD52BC"/>
    <w:rsid w:val="00DD55EE"/>
    <w:rsid w:val="00DD57E8"/>
    <w:rsid w:val="00DD5983"/>
    <w:rsid w:val="00DD5FCB"/>
    <w:rsid w:val="00DD6305"/>
    <w:rsid w:val="00DD7C61"/>
    <w:rsid w:val="00DE0451"/>
    <w:rsid w:val="00DE04CC"/>
    <w:rsid w:val="00DE0D4E"/>
    <w:rsid w:val="00DE19BC"/>
    <w:rsid w:val="00DE1FFD"/>
    <w:rsid w:val="00DE267F"/>
    <w:rsid w:val="00DE3367"/>
    <w:rsid w:val="00DE35A0"/>
    <w:rsid w:val="00DE42AF"/>
    <w:rsid w:val="00DE44E7"/>
    <w:rsid w:val="00DE4FEB"/>
    <w:rsid w:val="00DE52FE"/>
    <w:rsid w:val="00DE5D38"/>
    <w:rsid w:val="00DE5E5A"/>
    <w:rsid w:val="00DE618A"/>
    <w:rsid w:val="00DE7D25"/>
    <w:rsid w:val="00DF0800"/>
    <w:rsid w:val="00DF1141"/>
    <w:rsid w:val="00DF18C4"/>
    <w:rsid w:val="00DF1BB8"/>
    <w:rsid w:val="00DF1C38"/>
    <w:rsid w:val="00DF1E10"/>
    <w:rsid w:val="00DF21B4"/>
    <w:rsid w:val="00DF2692"/>
    <w:rsid w:val="00DF50F9"/>
    <w:rsid w:val="00DF54D9"/>
    <w:rsid w:val="00DF66CA"/>
    <w:rsid w:val="00DF6721"/>
    <w:rsid w:val="00DF72BE"/>
    <w:rsid w:val="00DF7974"/>
    <w:rsid w:val="00E006F3"/>
    <w:rsid w:val="00E00962"/>
    <w:rsid w:val="00E00B13"/>
    <w:rsid w:val="00E00BFF"/>
    <w:rsid w:val="00E01662"/>
    <w:rsid w:val="00E01D3A"/>
    <w:rsid w:val="00E01E89"/>
    <w:rsid w:val="00E023C5"/>
    <w:rsid w:val="00E028A7"/>
    <w:rsid w:val="00E02E4F"/>
    <w:rsid w:val="00E034B4"/>
    <w:rsid w:val="00E03C43"/>
    <w:rsid w:val="00E03F54"/>
    <w:rsid w:val="00E048B4"/>
    <w:rsid w:val="00E05010"/>
    <w:rsid w:val="00E05118"/>
    <w:rsid w:val="00E051D0"/>
    <w:rsid w:val="00E061BE"/>
    <w:rsid w:val="00E0678B"/>
    <w:rsid w:val="00E068B5"/>
    <w:rsid w:val="00E07229"/>
    <w:rsid w:val="00E07A26"/>
    <w:rsid w:val="00E101E0"/>
    <w:rsid w:val="00E1185C"/>
    <w:rsid w:val="00E11C04"/>
    <w:rsid w:val="00E13242"/>
    <w:rsid w:val="00E14613"/>
    <w:rsid w:val="00E14E24"/>
    <w:rsid w:val="00E152BE"/>
    <w:rsid w:val="00E15960"/>
    <w:rsid w:val="00E16B2A"/>
    <w:rsid w:val="00E211BE"/>
    <w:rsid w:val="00E22126"/>
    <w:rsid w:val="00E22C2B"/>
    <w:rsid w:val="00E2326B"/>
    <w:rsid w:val="00E23F8B"/>
    <w:rsid w:val="00E25F3F"/>
    <w:rsid w:val="00E26A5D"/>
    <w:rsid w:val="00E26E3F"/>
    <w:rsid w:val="00E27379"/>
    <w:rsid w:val="00E275D2"/>
    <w:rsid w:val="00E27C17"/>
    <w:rsid w:val="00E27C23"/>
    <w:rsid w:val="00E300A0"/>
    <w:rsid w:val="00E30A73"/>
    <w:rsid w:val="00E31737"/>
    <w:rsid w:val="00E318D5"/>
    <w:rsid w:val="00E31EEA"/>
    <w:rsid w:val="00E32CE3"/>
    <w:rsid w:val="00E32DA5"/>
    <w:rsid w:val="00E3395F"/>
    <w:rsid w:val="00E33A09"/>
    <w:rsid w:val="00E349B8"/>
    <w:rsid w:val="00E34DE2"/>
    <w:rsid w:val="00E3541D"/>
    <w:rsid w:val="00E356B0"/>
    <w:rsid w:val="00E358DA"/>
    <w:rsid w:val="00E35911"/>
    <w:rsid w:val="00E3710F"/>
    <w:rsid w:val="00E3742F"/>
    <w:rsid w:val="00E37A25"/>
    <w:rsid w:val="00E37D4A"/>
    <w:rsid w:val="00E37D92"/>
    <w:rsid w:val="00E4096B"/>
    <w:rsid w:val="00E41D67"/>
    <w:rsid w:val="00E42959"/>
    <w:rsid w:val="00E4306B"/>
    <w:rsid w:val="00E434CE"/>
    <w:rsid w:val="00E43AA2"/>
    <w:rsid w:val="00E4495D"/>
    <w:rsid w:val="00E453F1"/>
    <w:rsid w:val="00E458FF"/>
    <w:rsid w:val="00E46821"/>
    <w:rsid w:val="00E47984"/>
    <w:rsid w:val="00E47C2B"/>
    <w:rsid w:val="00E47C2C"/>
    <w:rsid w:val="00E507C1"/>
    <w:rsid w:val="00E517AD"/>
    <w:rsid w:val="00E5220D"/>
    <w:rsid w:val="00E529CB"/>
    <w:rsid w:val="00E52C45"/>
    <w:rsid w:val="00E52C9F"/>
    <w:rsid w:val="00E530F9"/>
    <w:rsid w:val="00E54920"/>
    <w:rsid w:val="00E54E03"/>
    <w:rsid w:val="00E55789"/>
    <w:rsid w:val="00E55EE5"/>
    <w:rsid w:val="00E5612A"/>
    <w:rsid w:val="00E56D9A"/>
    <w:rsid w:val="00E56E12"/>
    <w:rsid w:val="00E5718B"/>
    <w:rsid w:val="00E57618"/>
    <w:rsid w:val="00E57C01"/>
    <w:rsid w:val="00E602C6"/>
    <w:rsid w:val="00E60C7F"/>
    <w:rsid w:val="00E614AB"/>
    <w:rsid w:val="00E61E2F"/>
    <w:rsid w:val="00E62A42"/>
    <w:rsid w:val="00E633BF"/>
    <w:rsid w:val="00E63FC5"/>
    <w:rsid w:val="00E640FD"/>
    <w:rsid w:val="00E64558"/>
    <w:rsid w:val="00E65086"/>
    <w:rsid w:val="00E65497"/>
    <w:rsid w:val="00E656B6"/>
    <w:rsid w:val="00E66529"/>
    <w:rsid w:val="00E66B09"/>
    <w:rsid w:val="00E66E50"/>
    <w:rsid w:val="00E67442"/>
    <w:rsid w:val="00E67A0B"/>
    <w:rsid w:val="00E67ADB"/>
    <w:rsid w:val="00E700E8"/>
    <w:rsid w:val="00E702C1"/>
    <w:rsid w:val="00E70D2F"/>
    <w:rsid w:val="00E7157E"/>
    <w:rsid w:val="00E71B15"/>
    <w:rsid w:val="00E72B8D"/>
    <w:rsid w:val="00E7325C"/>
    <w:rsid w:val="00E73A44"/>
    <w:rsid w:val="00E73A7D"/>
    <w:rsid w:val="00E7472D"/>
    <w:rsid w:val="00E76070"/>
    <w:rsid w:val="00E767B8"/>
    <w:rsid w:val="00E772A1"/>
    <w:rsid w:val="00E82FF8"/>
    <w:rsid w:val="00E83078"/>
    <w:rsid w:val="00E8385B"/>
    <w:rsid w:val="00E83F8E"/>
    <w:rsid w:val="00E86244"/>
    <w:rsid w:val="00E8699A"/>
    <w:rsid w:val="00E86FA7"/>
    <w:rsid w:val="00E8762C"/>
    <w:rsid w:val="00E906B1"/>
    <w:rsid w:val="00E90AE7"/>
    <w:rsid w:val="00E90DAF"/>
    <w:rsid w:val="00E9288C"/>
    <w:rsid w:val="00E92C4D"/>
    <w:rsid w:val="00E93EA3"/>
    <w:rsid w:val="00E9428F"/>
    <w:rsid w:val="00E955F9"/>
    <w:rsid w:val="00E97347"/>
    <w:rsid w:val="00E97EF5"/>
    <w:rsid w:val="00EA007E"/>
    <w:rsid w:val="00EA1167"/>
    <w:rsid w:val="00EA184E"/>
    <w:rsid w:val="00EA1B8C"/>
    <w:rsid w:val="00EA21CB"/>
    <w:rsid w:val="00EA24D5"/>
    <w:rsid w:val="00EA2511"/>
    <w:rsid w:val="00EA2E93"/>
    <w:rsid w:val="00EA2FBC"/>
    <w:rsid w:val="00EA39F3"/>
    <w:rsid w:val="00EA3A3F"/>
    <w:rsid w:val="00EA4153"/>
    <w:rsid w:val="00EA47EB"/>
    <w:rsid w:val="00EA47FF"/>
    <w:rsid w:val="00EA52AC"/>
    <w:rsid w:val="00EA5D6B"/>
    <w:rsid w:val="00EB04D3"/>
    <w:rsid w:val="00EB05DB"/>
    <w:rsid w:val="00EB09AD"/>
    <w:rsid w:val="00EB1DB5"/>
    <w:rsid w:val="00EB3065"/>
    <w:rsid w:val="00EB3627"/>
    <w:rsid w:val="00EB39EB"/>
    <w:rsid w:val="00EB3BC0"/>
    <w:rsid w:val="00EB3F66"/>
    <w:rsid w:val="00EB4DD8"/>
    <w:rsid w:val="00EB60DF"/>
    <w:rsid w:val="00EB63E4"/>
    <w:rsid w:val="00EB6853"/>
    <w:rsid w:val="00EB7944"/>
    <w:rsid w:val="00EB7E00"/>
    <w:rsid w:val="00EC067B"/>
    <w:rsid w:val="00EC0C73"/>
    <w:rsid w:val="00EC0F59"/>
    <w:rsid w:val="00EC10AC"/>
    <w:rsid w:val="00EC11CB"/>
    <w:rsid w:val="00EC1C40"/>
    <w:rsid w:val="00EC2775"/>
    <w:rsid w:val="00EC3825"/>
    <w:rsid w:val="00EC47C5"/>
    <w:rsid w:val="00EC4950"/>
    <w:rsid w:val="00EC580B"/>
    <w:rsid w:val="00EC5D48"/>
    <w:rsid w:val="00EC6544"/>
    <w:rsid w:val="00EC702D"/>
    <w:rsid w:val="00EC76CD"/>
    <w:rsid w:val="00ED03B9"/>
    <w:rsid w:val="00ED0738"/>
    <w:rsid w:val="00ED07A6"/>
    <w:rsid w:val="00ED0C0C"/>
    <w:rsid w:val="00ED1CF4"/>
    <w:rsid w:val="00ED1D2A"/>
    <w:rsid w:val="00ED22B2"/>
    <w:rsid w:val="00ED3755"/>
    <w:rsid w:val="00ED3EFD"/>
    <w:rsid w:val="00ED404B"/>
    <w:rsid w:val="00ED4943"/>
    <w:rsid w:val="00ED501E"/>
    <w:rsid w:val="00ED509F"/>
    <w:rsid w:val="00ED5B02"/>
    <w:rsid w:val="00ED5CFB"/>
    <w:rsid w:val="00ED6A3C"/>
    <w:rsid w:val="00ED7CA0"/>
    <w:rsid w:val="00ED7E15"/>
    <w:rsid w:val="00EE0103"/>
    <w:rsid w:val="00EE1BAE"/>
    <w:rsid w:val="00EE1EC6"/>
    <w:rsid w:val="00EE2811"/>
    <w:rsid w:val="00EE2A63"/>
    <w:rsid w:val="00EE3406"/>
    <w:rsid w:val="00EE39DF"/>
    <w:rsid w:val="00EE49C5"/>
    <w:rsid w:val="00EE4F00"/>
    <w:rsid w:val="00EE541A"/>
    <w:rsid w:val="00EE582F"/>
    <w:rsid w:val="00EE5AEF"/>
    <w:rsid w:val="00EE5EA3"/>
    <w:rsid w:val="00EE5FEE"/>
    <w:rsid w:val="00EE6279"/>
    <w:rsid w:val="00EF09AB"/>
    <w:rsid w:val="00EF100B"/>
    <w:rsid w:val="00EF10F5"/>
    <w:rsid w:val="00EF260C"/>
    <w:rsid w:val="00EF35C3"/>
    <w:rsid w:val="00EF3806"/>
    <w:rsid w:val="00EF3810"/>
    <w:rsid w:val="00EF3DCF"/>
    <w:rsid w:val="00EF493D"/>
    <w:rsid w:val="00EF4C8A"/>
    <w:rsid w:val="00EF5459"/>
    <w:rsid w:val="00EF5517"/>
    <w:rsid w:val="00EF56F4"/>
    <w:rsid w:val="00EF59CF"/>
    <w:rsid w:val="00F0004C"/>
    <w:rsid w:val="00F00434"/>
    <w:rsid w:val="00F007E8"/>
    <w:rsid w:val="00F0196A"/>
    <w:rsid w:val="00F01BEC"/>
    <w:rsid w:val="00F023E8"/>
    <w:rsid w:val="00F02892"/>
    <w:rsid w:val="00F02BE3"/>
    <w:rsid w:val="00F03172"/>
    <w:rsid w:val="00F03AAC"/>
    <w:rsid w:val="00F03EE2"/>
    <w:rsid w:val="00F0418A"/>
    <w:rsid w:val="00F04508"/>
    <w:rsid w:val="00F04F3C"/>
    <w:rsid w:val="00F05A82"/>
    <w:rsid w:val="00F05AF0"/>
    <w:rsid w:val="00F0621F"/>
    <w:rsid w:val="00F06E66"/>
    <w:rsid w:val="00F070EC"/>
    <w:rsid w:val="00F07279"/>
    <w:rsid w:val="00F07514"/>
    <w:rsid w:val="00F07B7C"/>
    <w:rsid w:val="00F1010B"/>
    <w:rsid w:val="00F10FDA"/>
    <w:rsid w:val="00F11892"/>
    <w:rsid w:val="00F12F9A"/>
    <w:rsid w:val="00F1358C"/>
    <w:rsid w:val="00F13B86"/>
    <w:rsid w:val="00F13F13"/>
    <w:rsid w:val="00F157F9"/>
    <w:rsid w:val="00F16DA8"/>
    <w:rsid w:val="00F17769"/>
    <w:rsid w:val="00F17898"/>
    <w:rsid w:val="00F17B53"/>
    <w:rsid w:val="00F20F9F"/>
    <w:rsid w:val="00F2123F"/>
    <w:rsid w:val="00F213AE"/>
    <w:rsid w:val="00F2163F"/>
    <w:rsid w:val="00F2215D"/>
    <w:rsid w:val="00F22A6C"/>
    <w:rsid w:val="00F22F2D"/>
    <w:rsid w:val="00F22FBE"/>
    <w:rsid w:val="00F239C6"/>
    <w:rsid w:val="00F23EC3"/>
    <w:rsid w:val="00F23F29"/>
    <w:rsid w:val="00F247CF"/>
    <w:rsid w:val="00F24CBA"/>
    <w:rsid w:val="00F24F09"/>
    <w:rsid w:val="00F25334"/>
    <w:rsid w:val="00F25352"/>
    <w:rsid w:val="00F25415"/>
    <w:rsid w:val="00F25FB6"/>
    <w:rsid w:val="00F3094A"/>
    <w:rsid w:val="00F31F3F"/>
    <w:rsid w:val="00F32092"/>
    <w:rsid w:val="00F320CE"/>
    <w:rsid w:val="00F3292C"/>
    <w:rsid w:val="00F32F94"/>
    <w:rsid w:val="00F3360E"/>
    <w:rsid w:val="00F33ACC"/>
    <w:rsid w:val="00F346BE"/>
    <w:rsid w:val="00F34B38"/>
    <w:rsid w:val="00F34C47"/>
    <w:rsid w:val="00F3543D"/>
    <w:rsid w:val="00F35775"/>
    <w:rsid w:val="00F358A2"/>
    <w:rsid w:val="00F35F28"/>
    <w:rsid w:val="00F36083"/>
    <w:rsid w:val="00F36141"/>
    <w:rsid w:val="00F361BB"/>
    <w:rsid w:val="00F365CF"/>
    <w:rsid w:val="00F36782"/>
    <w:rsid w:val="00F3785B"/>
    <w:rsid w:val="00F3789C"/>
    <w:rsid w:val="00F37922"/>
    <w:rsid w:val="00F37DA2"/>
    <w:rsid w:val="00F4115E"/>
    <w:rsid w:val="00F42201"/>
    <w:rsid w:val="00F42257"/>
    <w:rsid w:val="00F42D29"/>
    <w:rsid w:val="00F433E7"/>
    <w:rsid w:val="00F43C28"/>
    <w:rsid w:val="00F44CE5"/>
    <w:rsid w:val="00F46E0C"/>
    <w:rsid w:val="00F47A9F"/>
    <w:rsid w:val="00F508B0"/>
    <w:rsid w:val="00F52400"/>
    <w:rsid w:val="00F5269E"/>
    <w:rsid w:val="00F53268"/>
    <w:rsid w:val="00F5447A"/>
    <w:rsid w:val="00F54A20"/>
    <w:rsid w:val="00F55C69"/>
    <w:rsid w:val="00F567F2"/>
    <w:rsid w:val="00F569AA"/>
    <w:rsid w:val="00F569CB"/>
    <w:rsid w:val="00F577FD"/>
    <w:rsid w:val="00F579E6"/>
    <w:rsid w:val="00F57BB0"/>
    <w:rsid w:val="00F617B1"/>
    <w:rsid w:val="00F620D6"/>
    <w:rsid w:val="00F62E4D"/>
    <w:rsid w:val="00F63598"/>
    <w:rsid w:val="00F63F86"/>
    <w:rsid w:val="00F6529A"/>
    <w:rsid w:val="00F6658D"/>
    <w:rsid w:val="00F7024C"/>
    <w:rsid w:val="00F703BB"/>
    <w:rsid w:val="00F7084D"/>
    <w:rsid w:val="00F70EE5"/>
    <w:rsid w:val="00F7133D"/>
    <w:rsid w:val="00F718E9"/>
    <w:rsid w:val="00F7318D"/>
    <w:rsid w:val="00F73594"/>
    <w:rsid w:val="00F7437A"/>
    <w:rsid w:val="00F754B9"/>
    <w:rsid w:val="00F7572F"/>
    <w:rsid w:val="00F768A5"/>
    <w:rsid w:val="00F76947"/>
    <w:rsid w:val="00F76F7C"/>
    <w:rsid w:val="00F774FA"/>
    <w:rsid w:val="00F806F5"/>
    <w:rsid w:val="00F80849"/>
    <w:rsid w:val="00F80F4A"/>
    <w:rsid w:val="00F8209E"/>
    <w:rsid w:val="00F825C1"/>
    <w:rsid w:val="00F82819"/>
    <w:rsid w:val="00F83216"/>
    <w:rsid w:val="00F84457"/>
    <w:rsid w:val="00F84BD3"/>
    <w:rsid w:val="00F84D7E"/>
    <w:rsid w:val="00F87042"/>
    <w:rsid w:val="00F874D6"/>
    <w:rsid w:val="00F87CBB"/>
    <w:rsid w:val="00F90439"/>
    <w:rsid w:val="00F90891"/>
    <w:rsid w:val="00F90C26"/>
    <w:rsid w:val="00F90C60"/>
    <w:rsid w:val="00F90D7B"/>
    <w:rsid w:val="00F91A3F"/>
    <w:rsid w:val="00F966C0"/>
    <w:rsid w:val="00F96D61"/>
    <w:rsid w:val="00F97E9D"/>
    <w:rsid w:val="00FA1757"/>
    <w:rsid w:val="00FA1AAC"/>
    <w:rsid w:val="00FA2191"/>
    <w:rsid w:val="00FA22B6"/>
    <w:rsid w:val="00FA2837"/>
    <w:rsid w:val="00FA405C"/>
    <w:rsid w:val="00FA40BD"/>
    <w:rsid w:val="00FA4643"/>
    <w:rsid w:val="00FA53C5"/>
    <w:rsid w:val="00FA5836"/>
    <w:rsid w:val="00FA6ED7"/>
    <w:rsid w:val="00FB0BED"/>
    <w:rsid w:val="00FB11E1"/>
    <w:rsid w:val="00FB2F3F"/>
    <w:rsid w:val="00FB3A2A"/>
    <w:rsid w:val="00FB3FB3"/>
    <w:rsid w:val="00FB4AE3"/>
    <w:rsid w:val="00FB62F4"/>
    <w:rsid w:val="00FB6756"/>
    <w:rsid w:val="00FB7BB0"/>
    <w:rsid w:val="00FC0354"/>
    <w:rsid w:val="00FC10E1"/>
    <w:rsid w:val="00FC38D0"/>
    <w:rsid w:val="00FC402C"/>
    <w:rsid w:val="00FC4291"/>
    <w:rsid w:val="00FC4499"/>
    <w:rsid w:val="00FC45BD"/>
    <w:rsid w:val="00FC4CDB"/>
    <w:rsid w:val="00FC4F4A"/>
    <w:rsid w:val="00FC5A4B"/>
    <w:rsid w:val="00FC6AC2"/>
    <w:rsid w:val="00FC7633"/>
    <w:rsid w:val="00FD05A2"/>
    <w:rsid w:val="00FD0E19"/>
    <w:rsid w:val="00FD18A1"/>
    <w:rsid w:val="00FD3D85"/>
    <w:rsid w:val="00FD43DF"/>
    <w:rsid w:val="00FD46A5"/>
    <w:rsid w:val="00FD4B96"/>
    <w:rsid w:val="00FD6073"/>
    <w:rsid w:val="00FD62AB"/>
    <w:rsid w:val="00FD6403"/>
    <w:rsid w:val="00FD672D"/>
    <w:rsid w:val="00FD751A"/>
    <w:rsid w:val="00FD78CC"/>
    <w:rsid w:val="00FD7A91"/>
    <w:rsid w:val="00FD7AE4"/>
    <w:rsid w:val="00FD7EE4"/>
    <w:rsid w:val="00FE1588"/>
    <w:rsid w:val="00FE195A"/>
    <w:rsid w:val="00FE2031"/>
    <w:rsid w:val="00FE236F"/>
    <w:rsid w:val="00FE2505"/>
    <w:rsid w:val="00FE2619"/>
    <w:rsid w:val="00FE3122"/>
    <w:rsid w:val="00FE3530"/>
    <w:rsid w:val="00FE41C0"/>
    <w:rsid w:val="00FE5A5B"/>
    <w:rsid w:val="00FE5C86"/>
    <w:rsid w:val="00FE683F"/>
    <w:rsid w:val="00FE6935"/>
    <w:rsid w:val="00FE7161"/>
    <w:rsid w:val="00FE75C5"/>
    <w:rsid w:val="00FE7962"/>
    <w:rsid w:val="00FE7DFC"/>
    <w:rsid w:val="00FF0509"/>
    <w:rsid w:val="00FF13F4"/>
    <w:rsid w:val="00FF1E0A"/>
    <w:rsid w:val="00FF2882"/>
    <w:rsid w:val="00FF2B26"/>
    <w:rsid w:val="00FF3B26"/>
    <w:rsid w:val="00FF3BC6"/>
    <w:rsid w:val="00FF4F80"/>
    <w:rsid w:val="00FF5082"/>
    <w:rsid w:val="00FF5E1F"/>
    <w:rsid w:val="00FF6159"/>
    <w:rsid w:val="00FF62B0"/>
    <w:rsid w:val="00FF65BB"/>
    <w:rsid w:val="00FF7385"/>
    <w:rsid w:val="0152F7BC"/>
    <w:rsid w:val="03440436"/>
    <w:rsid w:val="0488C7C7"/>
    <w:rsid w:val="05F06967"/>
    <w:rsid w:val="088B0285"/>
    <w:rsid w:val="08AECEC7"/>
    <w:rsid w:val="095079EB"/>
    <w:rsid w:val="0AF0BB57"/>
    <w:rsid w:val="0C4ACA10"/>
    <w:rsid w:val="0D36CF9D"/>
    <w:rsid w:val="0DDDB7D9"/>
    <w:rsid w:val="0F13D710"/>
    <w:rsid w:val="1088E406"/>
    <w:rsid w:val="11EE010F"/>
    <w:rsid w:val="1373FE57"/>
    <w:rsid w:val="13D4E68C"/>
    <w:rsid w:val="141907E6"/>
    <w:rsid w:val="14E846F5"/>
    <w:rsid w:val="154C82EC"/>
    <w:rsid w:val="1692304D"/>
    <w:rsid w:val="195E28F1"/>
    <w:rsid w:val="1A29BB1D"/>
    <w:rsid w:val="1B83BF82"/>
    <w:rsid w:val="1DFAE72D"/>
    <w:rsid w:val="1E7363AC"/>
    <w:rsid w:val="20A555A1"/>
    <w:rsid w:val="2239E6D4"/>
    <w:rsid w:val="2337EC1A"/>
    <w:rsid w:val="257A76F6"/>
    <w:rsid w:val="266A3D67"/>
    <w:rsid w:val="285F0F4B"/>
    <w:rsid w:val="2A1B4AB0"/>
    <w:rsid w:val="2AB644E8"/>
    <w:rsid w:val="2FF0E59C"/>
    <w:rsid w:val="34ADED5A"/>
    <w:rsid w:val="350D211A"/>
    <w:rsid w:val="3A162A38"/>
    <w:rsid w:val="3A3CB0C6"/>
    <w:rsid w:val="3AF90FD9"/>
    <w:rsid w:val="3B62D2A1"/>
    <w:rsid w:val="3BB7CE68"/>
    <w:rsid w:val="3CA74AA7"/>
    <w:rsid w:val="3E9E621C"/>
    <w:rsid w:val="43DE5AC4"/>
    <w:rsid w:val="444918D9"/>
    <w:rsid w:val="499FA213"/>
    <w:rsid w:val="4A113ED2"/>
    <w:rsid w:val="4A913B8E"/>
    <w:rsid w:val="4AE49D79"/>
    <w:rsid w:val="4B5AC820"/>
    <w:rsid w:val="5008CC1D"/>
    <w:rsid w:val="53AB9FB3"/>
    <w:rsid w:val="5564F8E8"/>
    <w:rsid w:val="5858A96C"/>
    <w:rsid w:val="5CB64872"/>
    <w:rsid w:val="60AFAF5C"/>
    <w:rsid w:val="60DE3AD6"/>
    <w:rsid w:val="62650AB9"/>
    <w:rsid w:val="63437FC9"/>
    <w:rsid w:val="638808F0"/>
    <w:rsid w:val="66BB6E08"/>
    <w:rsid w:val="698A9376"/>
    <w:rsid w:val="6BC6E192"/>
    <w:rsid w:val="7261BBA6"/>
    <w:rsid w:val="736202A9"/>
    <w:rsid w:val="76476EF5"/>
    <w:rsid w:val="79ACF185"/>
    <w:rsid w:val="7C89A6E2"/>
    <w:rsid w:val="7EE0D9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2FA63"/>
  <w15:chartTrackingRefBased/>
  <w15:docId w15:val="{683A5B24-562F-45FF-9520-28018100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101"/>
    <w:pPr>
      <w:spacing w:after="0" w:line="240" w:lineRule="auto"/>
      <w:jc w:val="both"/>
    </w:pPr>
    <w:rPr>
      <w:rFonts w:ascii="Times New Roman" w:eastAsia="MS Mincho" w:hAnsi="Times New Roman" w:cs="Times New Roman"/>
      <w:szCs w:val="24"/>
    </w:rPr>
  </w:style>
  <w:style w:type="paragraph" w:styleId="Titre1">
    <w:name w:val="heading 1"/>
    <w:basedOn w:val="Normal"/>
    <w:next w:val="Normal"/>
    <w:link w:val="Titre1Car"/>
    <w:qFormat/>
    <w:rsid w:val="00777101"/>
    <w:pPr>
      <w:keepNext/>
      <w:overflowPunct w:val="0"/>
      <w:autoSpaceDE w:val="0"/>
      <w:autoSpaceDN w:val="0"/>
      <w:adjustRightInd w:val="0"/>
      <w:textAlignment w:val="baseline"/>
      <w:outlineLvl w:val="0"/>
    </w:pPr>
    <w:rPr>
      <w:b/>
      <w:bCs/>
    </w:rPr>
  </w:style>
  <w:style w:type="paragraph" w:styleId="Titre2">
    <w:name w:val="heading 2"/>
    <w:basedOn w:val="Normal"/>
    <w:next w:val="Normal"/>
    <w:link w:val="Titre2Car"/>
    <w:qFormat/>
    <w:rsid w:val="00777101"/>
    <w:pPr>
      <w:keepNext/>
      <w:spacing w:before="240" w:after="60"/>
      <w:outlineLvl w:val="1"/>
    </w:pPr>
    <w:rPr>
      <w:rFonts w:ascii="Calibri" w:hAnsi="Calibri"/>
      <w:b/>
      <w:bCs/>
      <w:i/>
      <w:iCs/>
      <w:sz w:val="28"/>
      <w:szCs w:val="28"/>
    </w:rPr>
  </w:style>
  <w:style w:type="paragraph" w:styleId="Titre3">
    <w:name w:val="heading 3"/>
    <w:basedOn w:val="Normal"/>
    <w:next w:val="Normal"/>
    <w:link w:val="Titre3Car"/>
    <w:qFormat/>
    <w:rsid w:val="00777101"/>
    <w:pPr>
      <w:keepNext/>
      <w:spacing w:before="240" w:after="60"/>
      <w:outlineLvl w:val="2"/>
    </w:pPr>
    <w:rPr>
      <w:rFonts w:ascii="Calibri" w:hAnsi="Calibr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77101"/>
    <w:rPr>
      <w:rFonts w:ascii="Times New Roman" w:eastAsia="MS Mincho" w:hAnsi="Times New Roman" w:cs="Times New Roman"/>
      <w:b/>
      <w:bCs/>
      <w:szCs w:val="24"/>
    </w:rPr>
  </w:style>
  <w:style w:type="character" w:customStyle="1" w:styleId="Titre2Car">
    <w:name w:val="Titre 2 Car"/>
    <w:basedOn w:val="Policepardfaut"/>
    <w:link w:val="Titre2"/>
    <w:rsid w:val="00777101"/>
    <w:rPr>
      <w:rFonts w:ascii="Calibri" w:eastAsia="MS Mincho" w:hAnsi="Calibri" w:cs="Times New Roman"/>
      <w:b/>
      <w:bCs/>
      <w:i/>
      <w:iCs/>
      <w:sz w:val="28"/>
      <w:szCs w:val="28"/>
    </w:rPr>
  </w:style>
  <w:style w:type="character" w:customStyle="1" w:styleId="Titre3Car">
    <w:name w:val="Titre 3 Car"/>
    <w:basedOn w:val="Policepardfaut"/>
    <w:link w:val="Titre3"/>
    <w:rsid w:val="00777101"/>
    <w:rPr>
      <w:rFonts w:ascii="Calibri" w:eastAsia="MS Mincho" w:hAnsi="Calibri" w:cs="Times New Roman"/>
      <w:b/>
      <w:bCs/>
      <w:sz w:val="26"/>
      <w:szCs w:val="26"/>
    </w:rPr>
  </w:style>
  <w:style w:type="paragraph" w:styleId="Notedebasdepage">
    <w:name w:val="footnote text"/>
    <w:basedOn w:val="Normal"/>
    <w:link w:val="NotedebasdepageCar"/>
    <w:semiHidden/>
    <w:rsid w:val="00777101"/>
    <w:pPr>
      <w:spacing w:before="60"/>
    </w:pPr>
    <w:rPr>
      <w:sz w:val="20"/>
    </w:rPr>
  </w:style>
  <w:style w:type="character" w:customStyle="1" w:styleId="NotedebasdepageCar">
    <w:name w:val="Note de bas de page Car"/>
    <w:basedOn w:val="Policepardfaut"/>
    <w:link w:val="Notedebasdepage"/>
    <w:semiHidden/>
    <w:rsid w:val="00777101"/>
    <w:rPr>
      <w:rFonts w:ascii="Times New Roman" w:eastAsia="MS Mincho" w:hAnsi="Times New Roman" w:cs="Times New Roman"/>
      <w:sz w:val="20"/>
      <w:szCs w:val="24"/>
    </w:rPr>
  </w:style>
  <w:style w:type="character" w:styleId="Appelnotedebasdep">
    <w:name w:val="footnote reference"/>
    <w:basedOn w:val="Policepardfaut"/>
    <w:semiHidden/>
    <w:rsid w:val="00777101"/>
    <w:rPr>
      <w:vertAlign w:val="superscript"/>
    </w:rPr>
  </w:style>
  <w:style w:type="paragraph" w:customStyle="1" w:styleId="Style">
    <w:name w:val="Style"/>
    <w:basedOn w:val="Pieddepage"/>
    <w:autoRedefine/>
    <w:qFormat/>
    <w:rsid w:val="00777101"/>
    <w:pPr>
      <w:pBdr>
        <w:top w:val="single" w:sz="4" w:space="1" w:color="auto"/>
      </w:pBdr>
      <w:tabs>
        <w:tab w:val="clear" w:pos="4680"/>
        <w:tab w:val="clear" w:pos="9360"/>
        <w:tab w:val="right" w:pos="9072"/>
      </w:tabs>
      <w:spacing w:after="120"/>
      <w:jc w:val="left"/>
    </w:pPr>
    <w:rPr>
      <w:rFonts w:ascii="Arial" w:eastAsia="Times" w:hAnsi="Arial"/>
      <w:sz w:val="18"/>
      <w:lang w:eastAsia="en-GB"/>
    </w:rPr>
  </w:style>
  <w:style w:type="paragraph" w:styleId="Pieddepage">
    <w:name w:val="footer"/>
    <w:basedOn w:val="Normal"/>
    <w:link w:val="PieddepageCar"/>
    <w:rsid w:val="00777101"/>
    <w:pPr>
      <w:tabs>
        <w:tab w:val="center" w:pos="4680"/>
        <w:tab w:val="right" w:pos="9360"/>
      </w:tabs>
    </w:pPr>
  </w:style>
  <w:style w:type="character" w:customStyle="1" w:styleId="PieddepageCar">
    <w:name w:val="Pied de page Car"/>
    <w:basedOn w:val="Policepardfaut"/>
    <w:link w:val="Pieddepage"/>
    <w:rsid w:val="00777101"/>
    <w:rPr>
      <w:rFonts w:ascii="Times New Roman" w:eastAsia="MS Mincho" w:hAnsi="Times New Roman" w:cs="Times New Roman"/>
      <w:szCs w:val="24"/>
    </w:rPr>
  </w:style>
  <w:style w:type="character" w:styleId="Numrodepage">
    <w:name w:val="page number"/>
    <w:rsid w:val="00777101"/>
    <w:rPr>
      <w:rFonts w:ascii="Arial" w:hAnsi="Arial"/>
      <w:b/>
      <w:sz w:val="18"/>
    </w:rPr>
  </w:style>
  <w:style w:type="paragraph" w:customStyle="1" w:styleId="IPPArialFootnote">
    <w:name w:val="IPP Arial Footnote"/>
    <w:basedOn w:val="IPPArialTable"/>
    <w:qFormat/>
    <w:rsid w:val="00777101"/>
    <w:pPr>
      <w:tabs>
        <w:tab w:val="left" w:pos="28"/>
      </w:tabs>
      <w:ind w:left="284" w:hanging="284"/>
    </w:pPr>
    <w:rPr>
      <w:sz w:val="16"/>
    </w:rPr>
  </w:style>
  <w:style w:type="paragraph" w:customStyle="1" w:styleId="IPPContentsHead">
    <w:name w:val="IPP ContentsHead"/>
    <w:basedOn w:val="IPPSubhead"/>
    <w:next w:val="IPPNormal"/>
    <w:qFormat/>
    <w:rsid w:val="00777101"/>
    <w:pPr>
      <w:spacing w:after="240"/>
    </w:pPr>
    <w:rPr>
      <w:sz w:val="24"/>
    </w:rPr>
  </w:style>
  <w:style w:type="table" w:styleId="Grilledutableau">
    <w:name w:val="Table Grid"/>
    <w:basedOn w:val="TableauNormal"/>
    <w:rsid w:val="00777101"/>
    <w:pPr>
      <w:spacing w:after="0" w:line="240" w:lineRule="auto"/>
    </w:pPr>
    <w:rPr>
      <w:rFonts w:ascii="Cambria" w:eastAsia="MS Mincho" w:hAnsi="Cambria"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777101"/>
    <w:rPr>
      <w:rFonts w:ascii="Tahoma" w:hAnsi="Tahoma" w:cs="Tahoma"/>
      <w:sz w:val="16"/>
      <w:szCs w:val="16"/>
    </w:rPr>
  </w:style>
  <w:style w:type="character" w:customStyle="1" w:styleId="TextedebullesCar">
    <w:name w:val="Texte de bulles Car"/>
    <w:basedOn w:val="Policepardfaut"/>
    <w:link w:val="Textedebulles"/>
    <w:rsid w:val="00777101"/>
    <w:rPr>
      <w:rFonts w:ascii="Tahoma" w:eastAsia="MS Mincho" w:hAnsi="Tahoma" w:cs="Tahoma"/>
      <w:sz w:val="16"/>
      <w:szCs w:val="16"/>
    </w:rPr>
  </w:style>
  <w:style w:type="paragraph" w:customStyle="1" w:styleId="IPPBullet2">
    <w:name w:val="IPP Bullet2"/>
    <w:basedOn w:val="IPPNormal"/>
    <w:next w:val="IPPBullet1"/>
    <w:qFormat/>
    <w:rsid w:val="00777101"/>
    <w:pPr>
      <w:numPr>
        <w:numId w:val="4"/>
      </w:numPr>
      <w:tabs>
        <w:tab w:val="left" w:pos="1134"/>
      </w:tabs>
      <w:spacing w:after="60"/>
      <w:ind w:left="1134" w:hanging="567"/>
    </w:pPr>
  </w:style>
  <w:style w:type="paragraph" w:customStyle="1" w:styleId="IPPQuote">
    <w:name w:val="IPP Quote"/>
    <w:basedOn w:val="IPPNormal"/>
    <w:qFormat/>
    <w:rsid w:val="00777101"/>
    <w:pPr>
      <w:ind w:left="851" w:right="851"/>
    </w:pPr>
    <w:rPr>
      <w:sz w:val="18"/>
    </w:rPr>
  </w:style>
  <w:style w:type="paragraph" w:customStyle="1" w:styleId="IPPNormal">
    <w:name w:val="IPP Normal"/>
    <w:basedOn w:val="Normal"/>
    <w:qFormat/>
    <w:rsid w:val="00777101"/>
    <w:pPr>
      <w:spacing w:after="180"/>
    </w:pPr>
    <w:rPr>
      <w:rFonts w:eastAsia="Times"/>
    </w:rPr>
  </w:style>
  <w:style w:type="paragraph" w:customStyle="1" w:styleId="IPPIndentClose">
    <w:name w:val="IPP Indent Close"/>
    <w:basedOn w:val="IPPNormal"/>
    <w:qFormat/>
    <w:rsid w:val="00777101"/>
    <w:pPr>
      <w:tabs>
        <w:tab w:val="left" w:pos="2835"/>
      </w:tabs>
      <w:spacing w:after="60"/>
      <w:ind w:left="567"/>
    </w:pPr>
  </w:style>
  <w:style w:type="paragraph" w:customStyle="1" w:styleId="IPPIndent">
    <w:name w:val="IPP Indent"/>
    <w:basedOn w:val="IPPIndentClose"/>
    <w:qFormat/>
    <w:rsid w:val="00777101"/>
    <w:pPr>
      <w:spacing w:after="180"/>
    </w:pPr>
  </w:style>
  <w:style w:type="paragraph" w:customStyle="1" w:styleId="IPPFootnote">
    <w:name w:val="IPP Footnote"/>
    <w:basedOn w:val="IPPArialFootnote"/>
    <w:qFormat/>
    <w:rsid w:val="00777101"/>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777101"/>
    <w:pPr>
      <w:keepNext/>
      <w:tabs>
        <w:tab w:val="left" w:pos="567"/>
      </w:tabs>
      <w:spacing w:before="120" w:after="120"/>
      <w:ind w:left="567" w:hanging="567"/>
    </w:pPr>
    <w:rPr>
      <w:b/>
      <w:i/>
    </w:rPr>
  </w:style>
  <w:style w:type="character" w:customStyle="1" w:styleId="IPPnormalitalics">
    <w:name w:val="IPP normal italics"/>
    <w:basedOn w:val="Policepardfaut"/>
    <w:rsid w:val="00777101"/>
    <w:rPr>
      <w:rFonts w:ascii="Times New Roman" w:hAnsi="Times New Roman"/>
      <w:i/>
      <w:sz w:val="22"/>
      <w:lang w:val="fr-FR"/>
    </w:rPr>
  </w:style>
  <w:style w:type="character" w:customStyle="1" w:styleId="IPPNormalbold">
    <w:name w:val="IPP Normal bold"/>
    <w:basedOn w:val="TextebrutCar"/>
    <w:rsid w:val="00777101"/>
    <w:rPr>
      <w:rFonts w:ascii="Times New Roman" w:eastAsia="Times" w:hAnsi="Times New Roman" w:cs="Times New Roman"/>
      <w:b/>
      <w:sz w:val="22"/>
      <w:szCs w:val="21"/>
      <w:lang w:val="fr-FR"/>
    </w:rPr>
  </w:style>
  <w:style w:type="paragraph" w:customStyle="1" w:styleId="IPPHeadSection">
    <w:name w:val="IPP HeadSection"/>
    <w:basedOn w:val="Normal"/>
    <w:next w:val="Normal"/>
    <w:qFormat/>
    <w:rsid w:val="00777101"/>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777101"/>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777101"/>
    <w:pPr>
      <w:keepNext/>
      <w:ind w:left="567" w:hanging="567"/>
      <w:jc w:val="left"/>
    </w:pPr>
    <w:rPr>
      <w:b/>
      <w:bCs/>
      <w:iCs/>
      <w:szCs w:val="22"/>
    </w:rPr>
  </w:style>
  <w:style w:type="character" w:customStyle="1" w:styleId="IPPNormalunderlined">
    <w:name w:val="IPP Normal underlined"/>
    <w:basedOn w:val="Policepardfaut"/>
    <w:rsid w:val="00777101"/>
    <w:rPr>
      <w:rFonts w:ascii="Times New Roman" w:hAnsi="Times New Roman"/>
      <w:sz w:val="22"/>
      <w:u w:val="single"/>
      <w:lang w:val="fr-FR"/>
    </w:rPr>
  </w:style>
  <w:style w:type="paragraph" w:customStyle="1" w:styleId="IPPBullet1">
    <w:name w:val="IPP Bullet1"/>
    <w:basedOn w:val="IPPBullet1Last"/>
    <w:qFormat/>
    <w:rsid w:val="00777101"/>
    <w:pPr>
      <w:numPr>
        <w:numId w:val="9"/>
      </w:numPr>
      <w:spacing w:after="60"/>
      <w:ind w:left="567" w:hanging="567"/>
    </w:pPr>
  </w:style>
  <w:style w:type="paragraph" w:customStyle="1" w:styleId="IPPBullet1Last">
    <w:name w:val="IPP Bullet1Last"/>
    <w:basedOn w:val="IPPNormal"/>
    <w:next w:val="IPPNormal"/>
    <w:qFormat/>
    <w:rsid w:val="00777101"/>
    <w:pPr>
      <w:numPr>
        <w:numId w:val="5"/>
      </w:numPr>
    </w:pPr>
  </w:style>
  <w:style w:type="character" w:customStyle="1" w:styleId="IPPNormalstrikethrough">
    <w:name w:val="IPP Normal strikethrough"/>
    <w:rsid w:val="00777101"/>
    <w:rPr>
      <w:rFonts w:ascii="Times New Roman" w:hAnsi="Times New Roman"/>
      <w:strike/>
      <w:dstrike w:val="0"/>
      <w:sz w:val="22"/>
    </w:rPr>
  </w:style>
  <w:style w:type="paragraph" w:customStyle="1" w:styleId="IPPTitle16pt">
    <w:name w:val="IPP Title16pt"/>
    <w:basedOn w:val="Normal"/>
    <w:qFormat/>
    <w:rsid w:val="00777101"/>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777101"/>
    <w:pPr>
      <w:spacing w:after="360"/>
      <w:jc w:val="center"/>
    </w:pPr>
    <w:rPr>
      <w:rFonts w:ascii="Arial" w:hAnsi="Arial" w:cs="Arial"/>
      <w:b/>
      <w:bCs/>
      <w:sz w:val="36"/>
      <w:szCs w:val="36"/>
    </w:rPr>
  </w:style>
  <w:style w:type="paragraph" w:customStyle="1" w:styleId="IPPHeader">
    <w:name w:val="IPP Header"/>
    <w:basedOn w:val="Normal"/>
    <w:qFormat/>
    <w:rsid w:val="00777101"/>
    <w:pPr>
      <w:pBdr>
        <w:bottom w:val="single" w:sz="4" w:space="4" w:color="auto"/>
      </w:pBdr>
      <w:tabs>
        <w:tab w:val="left" w:pos="1134"/>
        <w:tab w:val="right" w:pos="9072"/>
      </w:tabs>
      <w:spacing w:after="120"/>
      <w:jc w:val="left"/>
    </w:pPr>
    <w:rPr>
      <w:rFonts w:ascii="Arial" w:hAnsi="Arial"/>
      <w:sz w:val="18"/>
    </w:rPr>
  </w:style>
  <w:style w:type="paragraph" w:customStyle="1" w:styleId="IPPAnnexHead">
    <w:name w:val="IPP AnnexHead"/>
    <w:basedOn w:val="IPPNormal"/>
    <w:next w:val="IPPNormal"/>
    <w:qFormat/>
    <w:rsid w:val="00777101"/>
    <w:pPr>
      <w:keepNext/>
      <w:tabs>
        <w:tab w:val="left" w:pos="567"/>
      </w:tabs>
      <w:spacing w:before="120"/>
      <w:jc w:val="left"/>
      <w:outlineLvl w:val="1"/>
    </w:pPr>
    <w:rPr>
      <w:b/>
      <w:sz w:val="24"/>
    </w:rPr>
  </w:style>
  <w:style w:type="numbering" w:customStyle="1" w:styleId="IPPParagraphnumberedlist">
    <w:name w:val="IPP Paragraph numbered list"/>
    <w:rsid w:val="00777101"/>
    <w:pPr>
      <w:numPr>
        <w:numId w:val="3"/>
      </w:numPr>
    </w:pPr>
  </w:style>
  <w:style w:type="paragraph" w:customStyle="1" w:styleId="IPPNormalCloseSpace">
    <w:name w:val="IPP NormalCloseSpace"/>
    <w:basedOn w:val="Normal"/>
    <w:qFormat/>
    <w:rsid w:val="00777101"/>
    <w:pPr>
      <w:keepNext/>
      <w:spacing w:after="60"/>
    </w:pPr>
  </w:style>
  <w:style w:type="paragraph" w:customStyle="1" w:styleId="IPPHeading2">
    <w:name w:val="IPP Heading2"/>
    <w:basedOn w:val="IPPNormal"/>
    <w:next w:val="IPPNormal"/>
    <w:qFormat/>
    <w:rsid w:val="00777101"/>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Textebrut"/>
    <w:qFormat/>
    <w:rsid w:val="00777101"/>
    <w:pPr>
      <w:pBdr>
        <w:top w:val="single" w:sz="4" w:space="4" w:color="auto"/>
        <w:bottom w:val="none" w:sz="0" w:space="0" w:color="auto"/>
      </w:pBdr>
      <w:tabs>
        <w:tab w:val="clear" w:pos="1134"/>
      </w:tabs>
      <w:jc w:val="right"/>
    </w:pPr>
    <w:rPr>
      <w:b/>
    </w:rPr>
  </w:style>
  <w:style w:type="paragraph" w:styleId="TM1">
    <w:name w:val="toc 1"/>
    <w:basedOn w:val="IPPNormalCloseSpace"/>
    <w:next w:val="Normal"/>
    <w:autoRedefine/>
    <w:uiPriority w:val="39"/>
    <w:rsid w:val="00777101"/>
    <w:pPr>
      <w:tabs>
        <w:tab w:val="right" w:leader="dot" w:pos="9072"/>
      </w:tabs>
      <w:spacing w:before="240"/>
      <w:ind w:left="567" w:hanging="567"/>
    </w:pPr>
  </w:style>
  <w:style w:type="paragraph" w:styleId="TM2">
    <w:name w:val="toc 2"/>
    <w:basedOn w:val="TM1"/>
    <w:next w:val="Normal"/>
    <w:autoRedefine/>
    <w:uiPriority w:val="39"/>
    <w:rsid w:val="00777101"/>
    <w:pPr>
      <w:keepNext w:val="0"/>
      <w:tabs>
        <w:tab w:val="left" w:pos="425"/>
      </w:tabs>
      <w:spacing w:before="120" w:after="0"/>
      <w:ind w:left="425" w:right="284" w:hanging="425"/>
    </w:pPr>
  </w:style>
  <w:style w:type="paragraph" w:styleId="TM3">
    <w:name w:val="toc 3"/>
    <w:basedOn w:val="TM2"/>
    <w:next w:val="Normal"/>
    <w:autoRedefine/>
    <w:uiPriority w:val="39"/>
    <w:rsid w:val="00777101"/>
    <w:pPr>
      <w:tabs>
        <w:tab w:val="left" w:pos="1276"/>
      </w:tabs>
      <w:spacing w:before="60"/>
      <w:ind w:left="1276" w:hanging="851"/>
    </w:pPr>
    <w:rPr>
      <w:rFonts w:eastAsia="Times"/>
    </w:rPr>
  </w:style>
  <w:style w:type="paragraph" w:styleId="TM4">
    <w:name w:val="toc 4"/>
    <w:basedOn w:val="Normal"/>
    <w:next w:val="Normal"/>
    <w:autoRedefine/>
    <w:uiPriority w:val="39"/>
    <w:rsid w:val="00777101"/>
    <w:pPr>
      <w:spacing w:after="120"/>
      <w:ind w:left="660"/>
    </w:pPr>
    <w:rPr>
      <w:rFonts w:eastAsia="Times"/>
    </w:rPr>
  </w:style>
  <w:style w:type="paragraph" w:styleId="TM5">
    <w:name w:val="toc 5"/>
    <w:basedOn w:val="Normal"/>
    <w:next w:val="Normal"/>
    <w:autoRedefine/>
    <w:uiPriority w:val="39"/>
    <w:rsid w:val="00777101"/>
    <w:pPr>
      <w:spacing w:after="120"/>
      <w:ind w:left="880"/>
    </w:pPr>
    <w:rPr>
      <w:rFonts w:eastAsia="Times"/>
    </w:rPr>
  </w:style>
  <w:style w:type="paragraph" w:styleId="TM6">
    <w:name w:val="toc 6"/>
    <w:basedOn w:val="Normal"/>
    <w:next w:val="Normal"/>
    <w:autoRedefine/>
    <w:uiPriority w:val="39"/>
    <w:rsid w:val="00777101"/>
    <w:pPr>
      <w:spacing w:after="120"/>
      <w:ind w:left="1100"/>
    </w:pPr>
    <w:rPr>
      <w:rFonts w:eastAsia="Times"/>
    </w:rPr>
  </w:style>
  <w:style w:type="paragraph" w:styleId="TM7">
    <w:name w:val="toc 7"/>
    <w:basedOn w:val="Normal"/>
    <w:next w:val="Normal"/>
    <w:autoRedefine/>
    <w:uiPriority w:val="39"/>
    <w:rsid w:val="00777101"/>
    <w:pPr>
      <w:spacing w:after="120"/>
      <w:ind w:left="1320"/>
    </w:pPr>
    <w:rPr>
      <w:rFonts w:eastAsia="Times"/>
    </w:rPr>
  </w:style>
  <w:style w:type="paragraph" w:styleId="TM8">
    <w:name w:val="toc 8"/>
    <w:basedOn w:val="Normal"/>
    <w:next w:val="Normal"/>
    <w:autoRedefine/>
    <w:uiPriority w:val="39"/>
    <w:rsid w:val="00777101"/>
    <w:pPr>
      <w:spacing w:after="120"/>
      <w:ind w:left="1540"/>
    </w:pPr>
    <w:rPr>
      <w:rFonts w:eastAsia="Times"/>
    </w:rPr>
  </w:style>
  <w:style w:type="paragraph" w:styleId="TM9">
    <w:name w:val="toc 9"/>
    <w:basedOn w:val="Normal"/>
    <w:next w:val="Normal"/>
    <w:autoRedefine/>
    <w:uiPriority w:val="39"/>
    <w:rsid w:val="00777101"/>
    <w:pPr>
      <w:spacing w:after="120"/>
      <w:ind w:left="1760"/>
    </w:pPr>
    <w:rPr>
      <w:rFonts w:eastAsia="Times"/>
    </w:rPr>
  </w:style>
  <w:style w:type="paragraph" w:customStyle="1" w:styleId="IPPReferences">
    <w:name w:val="IPP References"/>
    <w:basedOn w:val="IPPNormal"/>
    <w:qFormat/>
    <w:rsid w:val="00777101"/>
    <w:pPr>
      <w:spacing w:after="60"/>
      <w:ind w:left="567" w:hanging="567"/>
    </w:pPr>
  </w:style>
  <w:style w:type="paragraph" w:customStyle="1" w:styleId="IPPArial">
    <w:name w:val="IPP Arial"/>
    <w:basedOn w:val="IPPNormal"/>
    <w:qFormat/>
    <w:rsid w:val="00777101"/>
    <w:pPr>
      <w:spacing w:after="0"/>
    </w:pPr>
    <w:rPr>
      <w:rFonts w:ascii="Arial" w:hAnsi="Arial"/>
      <w:sz w:val="18"/>
    </w:rPr>
  </w:style>
  <w:style w:type="paragraph" w:customStyle="1" w:styleId="IPPArialTable">
    <w:name w:val="IPP Arial Table"/>
    <w:basedOn w:val="IPPArial"/>
    <w:qFormat/>
    <w:rsid w:val="00777101"/>
    <w:pPr>
      <w:spacing w:before="60" w:after="60"/>
      <w:jc w:val="left"/>
    </w:pPr>
  </w:style>
  <w:style w:type="paragraph" w:customStyle="1" w:styleId="IPPHeaderlandscape">
    <w:name w:val="IPP Header landscape"/>
    <w:basedOn w:val="IPPHeader"/>
    <w:qFormat/>
    <w:rsid w:val="00777101"/>
    <w:pPr>
      <w:pBdr>
        <w:bottom w:val="single" w:sz="4" w:space="1" w:color="auto"/>
      </w:pBdr>
      <w:tabs>
        <w:tab w:val="clear" w:pos="9072"/>
        <w:tab w:val="right" w:pos="14034"/>
      </w:tabs>
      <w:spacing w:after="0"/>
      <w:ind w:right="-32"/>
    </w:pPr>
    <w:rPr>
      <w:noProof/>
    </w:rPr>
  </w:style>
  <w:style w:type="paragraph" w:styleId="Textebrut">
    <w:name w:val="Plain Text"/>
    <w:basedOn w:val="Normal"/>
    <w:link w:val="TextebrutCar"/>
    <w:uiPriority w:val="99"/>
    <w:unhideWhenUsed/>
    <w:rsid w:val="00777101"/>
    <w:pPr>
      <w:jc w:val="left"/>
    </w:pPr>
    <w:rPr>
      <w:rFonts w:ascii="Courier" w:eastAsia="Times" w:hAnsi="Courier"/>
      <w:sz w:val="21"/>
      <w:szCs w:val="21"/>
    </w:rPr>
  </w:style>
  <w:style w:type="character" w:customStyle="1" w:styleId="TextebrutCar">
    <w:name w:val="Texte brut Car"/>
    <w:basedOn w:val="Policepardfaut"/>
    <w:link w:val="Textebrut"/>
    <w:uiPriority w:val="99"/>
    <w:rsid w:val="00777101"/>
    <w:rPr>
      <w:rFonts w:ascii="Courier" w:eastAsia="Times" w:hAnsi="Courier" w:cs="Times New Roman"/>
      <w:sz w:val="21"/>
      <w:szCs w:val="21"/>
      <w:lang w:val="fr-FR"/>
    </w:rPr>
  </w:style>
  <w:style w:type="paragraph" w:customStyle="1" w:styleId="IPPLetterList">
    <w:name w:val="IPP LetterList"/>
    <w:basedOn w:val="IPPBullet2"/>
    <w:qFormat/>
    <w:rsid w:val="00777101"/>
    <w:pPr>
      <w:numPr>
        <w:numId w:val="1"/>
      </w:numPr>
      <w:jc w:val="left"/>
    </w:pPr>
  </w:style>
  <w:style w:type="paragraph" w:customStyle="1" w:styleId="IPPLetterListIndent">
    <w:name w:val="IPP LetterList Indent"/>
    <w:basedOn w:val="IPPLetterList"/>
    <w:qFormat/>
    <w:rsid w:val="00777101"/>
    <w:pPr>
      <w:numPr>
        <w:numId w:val="2"/>
      </w:numPr>
    </w:pPr>
  </w:style>
  <w:style w:type="paragraph" w:customStyle="1" w:styleId="IPPFooterLandscape">
    <w:name w:val="IPP Footer Landscape"/>
    <w:basedOn w:val="IPPHeaderlandscape"/>
    <w:qFormat/>
    <w:rsid w:val="00777101"/>
    <w:pPr>
      <w:pBdr>
        <w:top w:val="single" w:sz="4" w:space="1" w:color="auto"/>
        <w:bottom w:val="none" w:sz="0" w:space="0" w:color="auto"/>
      </w:pBdr>
      <w:jc w:val="right"/>
    </w:pPr>
    <w:rPr>
      <w:b/>
    </w:rPr>
  </w:style>
  <w:style w:type="paragraph" w:customStyle="1" w:styleId="IPPSubheadSpace">
    <w:name w:val="IPP Subhead Space"/>
    <w:basedOn w:val="IPPSubhead"/>
    <w:qFormat/>
    <w:rsid w:val="00777101"/>
    <w:pPr>
      <w:tabs>
        <w:tab w:val="left" w:pos="567"/>
      </w:tabs>
      <w:spacing w:before="60" w:after="60"/>
    </w:pPr>
  </w:style>
  <w:style w:type="paragraph" w:customStyle="1" w:styleId="IPPSubheadSpaceAfter">
    <w:name w:val="IPP Subhead SpaceAfter"/>
    <w:basedOn w:val="IPPSubhead"/>
    <w:qFormat/>
    <w:rsid w:val="00777101"/>
    <w:pPr>
      <w:spacing w:after="60"/>
    </w:pPr>
  </w:style>
  <w:style w:type="paragraph" w:customStyle="1" w:styleId="IPPHdg1Num">
    <w:name w:val="IPP Hdg1Num"/>
    <w:basedOn w:val="IPPHeading1"/>
    <w:next w:val="IPPNormal"/>
    <w:qFormat/>
    <w:rsid w:val="00777101"/>
    <w:pPr>
      <w:numPr>
        <w:numId w:val="6"/>
      </w:numPr>
    </w:pPr>
  </w:style>
  <w:style w:type="paragraph" w:customStyle="1" w:styleId="IPPHdg2Num">
    <w:name w:val="IPP Hdg2Num"/>
    <w:basedOn w:val="IPPHeading2"/>
    <w:next w:val="IPPNormal"/>
    <w:qFormat/>
    <w:rsid w:val="00777101"/>
    <w:pPr>
      <w:numPr>
        <w:ilvl w:val="1"/>
        <w:numId w:val="7"/>
      </w:numPr>
    </w:pPr>
  </w:style>
  <w:style w:type="paragraph" w:customStyle="1" w:styleId="IPPNumberedList">
    <w:name w:val="IPP NumberedList"/>
    <w:basedOn w:val="IPPBullet1"/>
    <w:qFormat/>
    <w:rsid w:val="00777101"/>
    <w:pPr>
      <w:numPr>
        <w:numId w:val="8"/>
      </w:numPr>
    </w:pPr>
  </w:style>
  <w:style w:type="paragraph" w:styleId="En-tte">
    <w:name w:val="header"/>
    <w:basedOn w:val="Normal"/>
    <w:link w:val="En-tteCar"/>
    <w:rsid w:val="00777101"/>
    <w:pPr>
      <w:tabs>
        <w:tab w:val="center" w:pos="4680"/>
        <w:tab w:val="right" w:pos="9360"/>
      </w:tabs>
    </w:pPr>
  </w:style>
  <w:style w:type="character" w:customStyle="1" w:styleId="En-tteCar">
    <w:name w:val="En-tête Car"/>
    <w:basedOn w:val="Policepardfaut"/>
    <w:link w:val="En-tte"/>
    <w:rsid w:val="00777101"/>
    <w:rPr>
      <w:rFonts w:ascii="Times New Roman" w:eastAsia="MS Mincho" w:hAnsi="Times New Roman" w:cs="Times New Roman"/>
      <w:szCs w:val="24"/>
    </w:rPr>
  </w:style>
  <w:style w:type="character" w:styleId="lev">
    <w:name w:val="Strong"/>
    <w:basedOn w:val="Policepardfaut"/>
    <w:qFormat/>
    <w:rsid w:val="00777101"/>
    <w:rPr>
      <w:b/>
      <w:bCs/>
    </w:rPr>
  </w:style>
  <w:style w:type="paragraph" w:styleId="Paragraphedeliste">
    <w:name w:val="List Paragraph"/>
    <w:basedOn w:val="Normal"/>
    <w:uiPriority w:val="34"/>
    <w:qFormat/>
    <w:rsid w:val="00777101"/>
    <w:pPr>
      <w:spacing w:line="240" w:lineRule="atLeast"/>
      <w:ind w:leftChars="400" w:left="800"/>
    </w:pPr>
    <w:rPr>
      <w:rFonts w:ascii="Verdana" w:eastAsia="Times New Roman" w:hAnsi="Verdana"/>
      <w:sz w:val="20"/>
      <w:lang w:eastAsia="nl-NL"/>
    </w:rPr>
  </w:style>
  <w:style w:type="paragraph" w:customStyle="1" w:styleId="IPPParagraphnumbering">
    <w:name w:val="IPP Paragraph numbering"/>
    <w:basedOn w:val="IPPNormal"/>
    <w:qFormat/>
    <w:rsid w:val="00777101"/>
    <w:pPr>
      <w:numPr>
        <w:numId w:val="49"/>
      </w:numPr>
    </w:pPr>
  </w:style>
  <w:style w:type="paragraph" w:customStyle="1" w:styleId="IPPParagraphnumberingclose">
    <w:name w:val="IPP Paragraph numbering close"/>
    <w:basedOn w:val="IPPParagraphnumbering"/>
    <w:qFormat/>
    <w:rsid w:val="00777101"/>
    <w:pPr>
      <w:keepNext/>
      <w:spacing w:after="60"/>
    </w:pPr>
  </w:style>
  <w:style w:type="paragraph" w:customStyle="1" w:styleId="IPPNumberedListLast">
    <w:name w:val="IPP NumberedListLast"/>
    <w:basedOn w:val="IPPNumberedList"/>
    <w:qFormat/>
    <w:rsid w:val="00777101"/>
    <w:pPr>
      <w:spacing w:after="180"/>
    </w:pPr>
  </w:style>
  <w:style w:type="character" w:styleId="Lienhypertexte">
    <w:name w:val="Hyperlink"/>
    <w:basedOn w:val="Policepardfaut"/>
    <w:unhideWhenUsed/>
    <w:rsid w:val="00777101"/>
    <w:rPr>
      <w:color w:val="0000FF"/>
      <w:u w:val="single"/>
    </w:rPr>
  </w:style>
  <w:style w:type="character" w:styleId="Lienhypertextesuivivisit">
    <w:name w:val="FollowedHyperlink"/>
    <w:basedOn w:val="Policepardfaut"/>
    <w:semiHidden/>
    <w:unhideWhenUsed/>
    <w:rsid w:val="00777101"/>
    <w:rPr>
      <w:color w:val="954F72" w:themeColor="followedHyperlink"/>
      <w:u w:val="single"/>
    </w:rPr>
  </w:style>
  <w:style w:type="character" w:styleId="Marquedecommentaire">
    <w:name w:val="annotation reference"/>
    <w:basedOn w:val="Policepardfaut"/>
    <w:uiPriority w:val="99"/>
    <w:unhideWhenUsed/>
    <w:rsid w:val="009456CA"/>
    <w:rPr>
      <w:sz w:val="16"/>
      <w:szCs w:val="16"/>
    </w:rPr>
  </w:style>
  <w:style w:type="paragraph" w:styleId="Commentaire">
    <w:name w:val="annotation text"/>
    <w:basedOn w:val="Normal"/>
    <w:link w:val="CommentaireCar"/>
    <w:uiPriority w:val="99"/>
    <w:unhideWhenUsed/>
    <w:qFormat/>
    <w:rsid w:val="009456CA"/>
    <w:rPr>
      <w:sz w:val="20"/>
      <w:szCs w:val="20"/>
    </w:rPr>
  </w:style>
  <w:style w:type="character" w:customStyle="1" w:styleId="CommentaireCar">
    <w:name w:val="Commentaire Car"/>
    <w:basedOn w:val="Policepardfaut"/>
    <w:link w:val="Commentaire"/>
    <w:uiPriority w:val="99"/>
    <w:qFormat/>
    <w:rsid w:val="009456CA"/>
    <w:rPr>
      <w:rFonts w:ascii="Times New Roman" w:eastAsia="MS Mincho"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9456CA"/>
    <w:rPr>
      <w:b/>
      <w:bCs/>
    </w:rPr>
  </w:style>
  <w:style w:type="character" w:customStyle="1" w:styleId="ObjetducommentaireCar">
    <w:name w:val="Objet du commentaire Car"/>
    <w:basedOn w:val="CommentaireCar"/>
    <w:link w:val="Objetducommentaire"/>
    <w:uiPriority w:val="99"/>
    <w:semiHidden/>
    <w:rsid w:val="009456CA"/>
    <w:rPr>
      <w:rFonts w:ascii="Times New Roman" w:eastAsia="MS Mincho" w:hAnsi="Times New Roman" w:cs="Times New Roman"/>
      <w:b/>
      <w:bCs/>
      <w:sz w:val="20"/>
      <w:szCs w:val="20"/>
    </w:rPr>
  </w:style>
  <w:style w:type="character" w:customStyle="1" w:styleId="normaltextrun">
    <w:name w:val="normaltextrun"/>
    <w:basedOn w:val="Policepardfaut"/>
    <w:rsid w:val="004735D5"/>
  </w:style>
  <w:style w:type="character" w:styleId="Mentionnonrsolue">
    <w:name w:val="Unresolved Mention"/>
    <w:basedOn w:val="Policepardfaut"/>
    <w:uiPriority w:val="99"/>
    <w:semiHidden/>
    <w:unhideWhenUsed/>
    <w:rsid w:val="00277EC9"/>
    <w:rPr>
      <w:color w:val="605E5C"/>
      <w:shd w:val="clear" w:color="auto" w:fill="E1DFDD"/>
    </w:rPr>
  </w:style>
  <w:style w:type="paragraph" w:styleId="Rvision">
    <w:name w:val="Revision"/>
    <w:hidden/>
    <w:uiPriority w:val="99"/>
    <w:semiHidden/>
    <w:rsid w:val="003F6688"/>
    <w:pPr>
      <w:spacing w:after="0" w:line="240" w:lineRule="auto"/>
    </w:pPr>
    <w:rPr>
      <w:rFonts w:ascii="Times New Roman" w:eastAsia="MS Mincho" w:hAnsi="Times New Roman" w:cs="Times New Roman"/>
      <w:szCs w:val="24"/>
    </w:rPr>
  </w:style>
  <w:style w:type="character" w:styleId="Mention">
    <w:name w:val="Mention"/>
    <w:basedOn w:val="Policepardfaut"/>
    <w:uiPriority w:val="99"/>
    <w:unhideWhenUsed/>
    <w:rsid w:val="004510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esktop\IPPC_2024-06-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1FFF2-C280-45BD-9955-19CBC72A0C66}">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2.xml><?xml version="1.0" encoding="utf-8"?>
<ds:datastoreItem xmlns:ds="http://schemas.openxmlformats.org/officeDocument/2006/customXml" ds:itemID="{E4FBDF4A-9EFF-4818-BCE6-BF201DCDA6F5}">
  <ds:schemaRefs>
    <ds:schemaRef ds:uri="http://schemas.openxmlformats.org/officeDocument/2006/bibliography"/>
  </ds:schemaRefs>
</ds:datastoreItem>
</file>

<file path=customXml/itemProps3.xml><?xml version="1.0" encoding="utf-8"?>
<ds:datastoreItem xmlns:ds="http://schemas.openxmlformats.org/officeDocument/2006/customXml" ds:itemID="{ED279F87-521B-47D5-965C-E1CB511F0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34BEA-0364-4B9F-9178-A1AD3E8B1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IPPC_2024-06-17.dotx</Template>
  <TotalTime>2</TotalTime>
  <Pages>19</Pages>
  <Words>10256</Words>
  <Characters>56410</Characters>
  <Application>Microsoft Office Word</Application>
  <DocSecurity>0</DocSecurity>
  <Lines>470</Lines>
  <Paragraphs>133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dc:creator>
  <cp:keywords/>
  <dc:description/>
  <cp:lastModifiedBy>Cyril</cp:lastModifiedBy>
  <cp:revision>3</cp:revision>
  <dcterms:created xsi:type="dcterms:W3CDTF">2026-03-12T15:45:00Z</dcterms:created>
  <dcterms:modified xsi:type="dcterms:W3CDTF">2026-03-12T15:45:00Z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docLang">
    <vt:lpwstr>en</vt:lpwstr>
  </property>
  <property fmtid="{D5CDD505-2E9C-101B-9397-08002B2CF9AE}" pid="4" name="MediaServiceImageTags">
    <vt:lpwstr/>
  </property>
  <property fmtid="{D5CDD505-2E9C-101B-9397-08002B2CF9AE}" pid="5" name="GrammarlyDocumentId">
    <vt:lpwstr>30727ab8-051f-4304-8e22-29fde59d90d1</vt:lpwstr>
  </property>
</Properties>
</file>