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B0735" w14:textId="77777777" w:rsidR="00393659" w:rsidRPr="00712597" w:rsidRDefault="00393659" w:rsidP="00393659">
      <w:pPr>
        <w:pStyle w:val="IPPHeading1"/>
      </w:pPr>
      <w:r>
        <w:t>5.</w:t>
      </w:r>
      <w:r>
        <w:tab/>
        <w:t>Доклад Бюро КФМ о проверке полномочий</w:t>
      </w:r>
    </w:p>
    <w:p w14:paraId="0AF062FC" w14:textId="74BE7590" w:rsidR="00393659" w:rsidRPr="00712597" w:rsidRDefault="00393659" w:rsidP="00393659">
      <w:pPr>
        <w:pStyle w:val="IPPParagraphnumbering"/>
      </w:pPr>
      <w:r>
        <w:t>Председатель КФМ пояснил, что в соответствии с рекомендацией Управления по правовым вопросам ФАО Бюро КФМ приняло решение самостоятельно провести проверку полномочий, не создавая комитет по проверке полномочий</w:t>
      </w:r>
      <w:r w:rsidRPr="00712597">
        <w:rPr>
          <w:rStyle w:val="FootnoteReference"/>
          <w:lang w:val="en-GB"/>
        </w:rPr>
        <w:footnoteReference w:id="2"/>
      </w:r>
      <w:r>
        <w:t>.</w:t>
      </w:r>
    </w:p>
    <w:p w14:paraId="43121226" w14:textId="77777777" w:rsidR="00393659" w:rsidRPr="00712597" w:rsidRDefault="00393659" w:rsidP="00393659">
      <w:pPr>
        <w:pStyle w:val="IPPParagraphnumberingclose"/>
      </w:pPr>
      <w:r>
        <w:t>КФМ:</w:t>
      </w:r>
    </w:p>
    <w:p w14:paraId="274F02EA" w14:textId="77777777" w:rsidR="00393659" w:rsidRPr="000B2ADC" w:rsidRDefault="00393659" w:rsidP="00184AF8">
      <w:pPr>
        <w:pStyle w:val="IPPNumberedList"/>
        <w:rPr>
          <w:b/>
        </w:rPr>
      </w:pPr>
      <w:r>
        <w:rPr>
          <w:i/>
        </w:rPr>
        <w:t xml:space="preserve">приняла к сведению </w:t>
      </w:r>
      <w:r>
        <w:t>доклад Бюро КФМ, которое утвердило перечень из 110 действительных документов о полномочиях, что составляет большинство членов КФМ, необходимое для формирования кворума (93 члена).</w:t>
      </w:r>
    </w:p>
    <w:p w14:paraId="11C90B48" w14:textId="77777777" w:rsidR="000B2ADC" w:rsidRPr="00846605" w:rsidRDefault="000B2ADC" w:rsidP="000B2ADC">
      <w:pPr>
        <w:pStyle w:val="IPPHeading2"/>
      </w:pPr>
      <w:r>
        <w:t>12.1</w:t>
      </w:r>
      <w:r>
        <w:tab/>
        <w:t>Гармонизация процессов электронного обмена данными</w:t>
      </w:r>
    </w:p>
    <w:p w14:paraId="68C2925C" w14:textId="77777777" w:rsidR="000B2ADC" w:rsidRPr="00A60E9F" w:rsidRDefault="000B2ADC" w:rsidP="000B2ADC">
      <w:pPr>
        <w:pStyle w:val="IPPParagraphnumbering"/>
      </w:pPr>
      <w:r>
        <w:t>Секретариат представил обновленную информацию о работе системы электронной фитосанитарной сертификации (ЭФС), в том числе предварительные результаты анализа затрат, выгод и отдачи в глобальном масштабе, и поблагодарил ДС, РОКЗР и других партнеров за их поддержку в денежной и неденежной формах</w:t>
      </w:r>
      <w:r w:rsidRPr="00A60E9F">
        <w:rPr>
          <w:rStyle w:val="FootnoteReference"/>
          <w:lang w:val="en-GB"/>
        </w:rPr>
        <w:footnoteReference w:id="3"/>
      </w:r>
      <w:r>
        <w:t>. Секретариат представил также Стратегический план реализации системы электронной фитосанитарной сертификации на 2024–2030 годы.</w:t>
      </w:r>
    </w:p>
    <w:p w14:paraId="0B75BF06" w14:textId="77777777" w:rsidR="000B2ADC" w:rsidRDefault="000B2ADC" w:rsidP="000B2ADC">
      <w:pPr>
        <w:pStyle w:val="IPPParagraphnumbering"/>
      </w:pPr>
      <w:r>
        <w:t>Представитель Бюро КФМ в составе Целевой группы КФМ по устойчивому финансированию системы электронной фитосанитарной сертификации МККЗР представил подготовленные Целевой группой предложения в отношении механизма долгосрочного финансирования системы ЭФС</w:t>
      </w:r>
      <w:r w:rsidRPr="00712597">
        <w:rPr>
          <w:rStyle w:val="FootnoteReference"/>
          <w:lang w:val="en-GB"/>
        </w:rPr>
        <w:footnoteReference w:id="4"/>
      </w:r>
      <w:r>
        <w:t>. Предлагаемая модель финансирования была выбрана из множества вариантов и пересмотрена с учетом замечаний, высказанных КФМ на ее 17-й сессии (2023 год), ГСП на ее совещании в октябре 2023 года и членами Бюро КФМ. Было предложено рассмотреть результаты применения этой модели через два года с учетом того, что необязательные первые взносы от ДС, использующих систему ЭФС МККЗР, должны были поступить в 2025 календарном году.</w:t>
      </w:r>
    </w:p>
    <w:p w14:paraId="3F2DF65D" w14:textId="77777777" w:rsidR="000B2ADC" w:rsidRDefault="000B2ADC" w:rsidP="000B2ADC">
      <w:pPr>
        <w:pStyle w:val="IPPParagraphnumbering"/>
      </w:pPr>
      <w:r>
        <w:t xml:space="preserve">Некоторые ДС поддержали предлагаемую модель финансирования в качестве важного первого шага на пути к созданию полноценной системы ЭФС, другие же призвали внести в нее изменения сейчас или в будущем. Речь шла о таких изменениях, как возможность освобождения наименее развитых стран от уплаты сборов, использование при определении размера базового сбора не только классификации Всемирного банка, но и других критериев, проведение различия между обменом электронными фитосанитарными сертификатами в коммерческих и некоммерческих целях, а также установление сборов исходя в большей степени из экспорта, чем из импорта. ДС также высказались за дальнейшее изучение возможности финансирования системы ЭФС за счет средств ФАО. </w:t>
      </w:r>
    </w:p>
    <w:p w14:paraId="61511591" w14:textId="77777777" w:rsidR="000B2ADC" w:rsidRPr="00F56296" w:rsidRDefault="000B2ADC" w:rsidP="000B2ADC">
      <w:pPr>
        <w:pStyle w:val="IPPParagraphnumbering"/>
      </w:pPr>
      <w:r>
        <w:t>С учетом ожидаемого в предстоящие годы увеличения числа ДС, использующих систему ЭФС, КФМ приняла к сведению предложение о том, чтобы в ходе рассмотрения результатов применения данной модели через два года после ее внедрения было проанализировано, каким образом такое увеличение влияет на различные аспекты модели финансирования, включая соотношение базовых сборов и сборов за использование, а также возможную необходимость повышения доли сборов за использование</w:t>
      </w:r>
      <w:r w:rsidRPr="001C7086">
        <w:rPr>
          <w:rStyle w:val="FootnoteReference"/>
          <w:rFonts w:eastAsia="Calibri"/>
          <w:lang w:val="en-IE"/>
        </w:rPr>
        <w:footnoteReference w:id="5"/>
      </w:r>
      <w:r>
        <w:t>.</w:t>
      </w:r>
    </w:p>
    <w:p w14:paraId="7EB535F6" w14:textId="77777777" w:rsidR="000B2ADC" w:rsidRPr="00F56296" w:rsidRDefault="000B2ADC" w:rsidP="000B2ADC">
      <w:pPr>
        <w:pStyle w:val="IPPParagraphnumbering"/>
      </w:pPr>
      <w:r>
        <w:t>Соединенное Королевство Великобритании и Северной Ирландии обязалось внести добровольный взнос в размере 75 000 фунтов стерлингов, а Соединенные Штаты Америки обязались на ежегодной основе вносить взносы на цели финансирования системы ЭФС МККЗР, как они это делали на протяжении уже нескольких лет.</w:t>
      </w:r>
    </w:p>
    <w:p w14:paraId="08E419DA" w14:textId="77777777" w:rsidR="000B2ADC" w:rsidRPr="000414CE" w:rsidRDefault="000B2ADC" w:rsidP="000B2ADC">
      <w:pPr>
        <w:pStyle w:val="IPPParagraphnumbering"/>
      </w:pPr>
      <w:r>
        <w:lastRenderedPageBreak/>
        <w:t>Поскольку мнения разошлись, Председатель КФМ предложил заинтересованным ДС принять участие в совещании друзей Председателя, которое состоялось вне рамок сессии. По итогам этого совещания на рассмотрение КФМ был вынесен скорректированный проект решений</w:t>
      </w:r>
      <w:r>
        <w:rPr>
          <w:rStyle w:val="FootnoteReference"/>
          <w:lang w:val="en-GB"/>
        </w:rPr>
        <w:footnoteReference w:id="6"/>
      </w:r>
      <w:r>
        <w:t>. Представитель Бюро КФМ в составе Целевой группы пояснил, что в 2025 году страны могут начать делать выплаты по своему желанию, при этом страны, которые не готовы оплачивать сборы, не обязаны делать этого; затем в 2027 году модель будет рассмотрена КФМ, причем любые изменения, согласованные КФМ на этом этапе, вступят в силу не ранее 2028 года.</w:t>
      </w:r>
    </w:p>
    <w:p w14:paraId="31C080DC" w14:textId="77777777" w:rsidR="000B2ADC" w:rsidRPr="00355C15" w:rsidRDefault="000B2ADC" w:rsidP="000B2ADC">
      <w:pPr>
        <w:pStyle w:val="IPPParagraphnumbering"/>
      </w:pPr>
      <w:r>
        <w:t>Председатель КФМ поблагодарил партнеров, предоставивших в 2023 году взносы в денежной или неденежной форме для обеспечения деятельности, связанной с системой ЭФС: Канаду, Францию, Соединенное Королевство, Европейский союз и САОКЗР/Соединенные Штаты Америки.</w:t>
      </w:r>
    </w:p>
    <w:p w14:paraId="411C4865" w14:textId="77777777" w:rsidR="000B2ADC" w:rsidRPr="00846605" w:rsidRDefault="000B2ADC" w:rsidP="000B2ADC">
      <w:pPr>
        <w:pStyle w:val="IPPParagraphnumberingclose"/>
      </w:pPr>
      <w:r>
        <w:t>КФМ:</w:t>
      </w:r>
    </w:p>
    <w:p w14:paraId="751227AD" w14:textId="77777777" w:rsidR="000B2ADC" w:rsidRPr="00846605" w:rsidRDefault="000B2ADC" w:rsidP="000B2ADC">
      <w:pPr>
        <w:pStyle w:val="IPPNumberedList"/>
        <w:numPr>
          <w:ilvl w:val="0"/>
          <w:numId w:val="76"/>
        </w:numPr>
      </w:pPr>
      <w:r>
        <w:rPr>
          <w:i/>
        </w:rPr>
        <w:t>приняла к сведению</w:t>
      </w:r>
      <w:r>
        <w:t xml:space="preserve"> информацию о достигнутых на сегодняшний день успехах в деле внедрения системы ЭФС МККЗР;</w:t>
      </w:r>
    </w:p>
    <w:p w14:paraId="548901A5" w14:textId="77777777" w:rsidR="000B2ADC" w:rsidRPr="00846605" w:rsidRDefault="000B2ADC" w:rsidP="000B2ADC">
      <w:pPr>
        <w:pStyle w:val="IPPNumberedList"/>
      </w:pPr>
      <w:r>
        <w:rPr>
          <w:i/>
        </w:rPr>
        <w:t>утвердила</w:t>
      </w:r>
      <w:r>
        <w:t xml:space="preserve"> Стратегический план реализации системы электронной фитосанитарной сертификации на 2024–2030 годы, представленный в Приложении 1 к документу CPM 2024/14;</w:t>
      </w:r>
    </w:p>
    <w:p w14:paraId="27110311" w14:textId="77777777" w:rsidR="000B2ADC" w:rsidRPr="00846605" w:rsidRDefault="000B2ADC" w:rsidP="000B2ADC">
      <w:pPr>
        <w:pStyle w:val="IPPNumberedList"/>
      </w:pPr>
      <w:r>
        <w:rPr>
          <w:i/>
        </w:rPr>
        <w:t>приняла решение</w:t>
      </w:r>
      <w:r>
        <w:t xml:space="preserve"> стимулировать применение системы ЭФС МККЗР;</w:t>
      </w:r>
    </w:p>
    <w:p w14:paraId="52AF5AC6" w14:textId="77777777" w:rsidR="000B2ADC" w:rsidRPr="00846605" w:rsidRDefault="000B2ADC" w:rsidP="000B2ADC">
      <w:pPr>
        <w:pStyle w:val="IPPNumberedList"/>
      </w:pPr>
      <w:r>
        <w:rPr>
          <w:i/>
        </w:rPr>
        <w:t>призвала</w:t>
      </w:r>
      <w:r>
        <w:t xml:space="preserve"> Договаривающиеся Стороны, которые еще не сделали этого, зарегистрироваться в качестве участников информационного узла системы ЭФС;</w:t>
      </w:r>
    </w:p>
    <w:p w14:paraId="2C3A2F3A" w14:textId="77777777" w:rsidR="000B2ADC" w:rsidRPr="00846605" w:rsidRDefault="000B2ADC" w:rsidP="000B2ADC">
      <w:pPr>
        <w:pStyle w:val="IPPNumberedList"/>
      </w:pPr>
      <w:r>
        <w:rPr>
          <w:i/>
        </w:rPr>
        <w:t>настоятельно призвала</w:t>
      </w:r>
      <w:r>
        <w:t xml:space="preserve"> все Договаривающиеся Стороны и впредь оказывать поддержку системе ЭФС МККЗР через Многосторонний донорский целевой фонд;</w:t>
      </w:r>
    </w:p>
    <w:p w14:paraId="4F32A0FB" w14:textId="77777777" w:rsidR="000B2ADC" w:rsidRDefault="000B2ADC" w:rsidP="000B2ADC">
      <w:pPr>
        <w:pStyle w:val="IPPNumberedList"/>
      </w:pPr>
      <w:r>
        <w:rPr>
          <w:i/>
        </w:rPr>
        <w:t>приняла к сведению</w:t>
      </w:r>
      <w:r>
        <w:t>, что некоторые ДС выразили готовность внести взносы для финансирования системы ЭФС МККЗР в соответствии с предлагаемой моделью;</w:t>
      </w:r>
    </w:p>
    <w:p w14:paraId="6456A003" w14:textId="77777777" w:rsidR="000B2ADC" w:rsidRDefault="000B2ADC" w:rsidP="000B2ADC">
      <w:pPr>
        <w:pStyle w:val="IPPNumberedList"/>
      </w:pPr>
      <w:r>
        <w:rPr>
          <w:i/>
          <w:iCs/>
        </w:rPr>
        <w:t>приняла к сведению</w:t>
      </w:r>
      <w:r>
        <w:t>, что некоторые ДС просили предоставить им больше времени или рассмотреть возможность внесения изменений в предлагаемую модель, прежде чем начать уплачивать взносы для финансирования системы ЭФС МККЗР;</w:t>
      </w:r>
    </w:p>
    <w:p w14:paraId="6A458355" w14:textId="77777777" w:rsidR="000B2ADC" w:rsidRDefault="000B2ADC" w:rsidP="000B2ADC">
      <w:pPr>
        <w:pStyle w:val="IPPNumberedList"/>
      </w:pPr>
      <w:r>
        <w:rPr>
          <w:i/>
        </w:rPr>
        <w:t>утвердила</w:t>
      </w:r>
      <w:r>
        <w:t xml:space="preserve"> порядок и модель финансирования системы ЭФС МККЗР, представленные в Приложении 1 к документу CPM 2024/15;</w:t>
      </w:r>
    </w:p>
    <w:p w14:paraId="07CC3178" w14:textId="77777777" w:rsidR="000B2ADC" w:rsidRDefault="000B2ADC" w:rsidP="000B2ADC">
      <w:pPr>
        <w:pStyle w:val="IPPNumberedList"/>
      </w:pPr>
      <w:r>
        <w:rPr>
          <w:i/>
        </w:rPr>
        <w:t>отметила</w:t>
      </w:r>
      <w:r>
        <w:t>, что ни для одной из стран взносы на цели финансирования системы ЭФС МККЗР не будут обязательными;</w:t>
      </w:r>
    </w:p>
    <w:p w14:paraId="3F92770D" w14:textId="77777777" w:rsidR="000B2ADC" w:rsidRDefault="000B2ADC" w:rsidP="000B2ADC">
      <w:pPr>
        <w:pStyle w:val="IPPNumberedList"/>
      </w:pPr>
      <w:r>
        <w:rPr>
          <w:i/>
        </w:rPr>
        <w:t>постановила</w:t>
      </w:r>
      <w:r>
        <w:t>, что в течение переходного периода КФМ не будут представляться отчеты с сопоставлением ожидаемых и фактических взносов стран (пункт 23 документа "Порядок и модель финансирования системы электронной фитосанитарной сертификации");</w:t>
      </w:r>
    </w:p>
    <w:p w14:paraId="70EDF8E0" w14:textId="77777777" w:rsidR="000B2ADC" w:rsidRDefault="000B2ADC" w:rsidP="000B2ADC">
      <w:pPr>
        <w:pStyle w:val="IPPNumberedList"/>
      </w:pPr>
      <w:r>
        <w:rPr>
          <w:i/>
        </w:rPr>
        <w:t>постановила</w:t>
      </w:r>
      <w:r>
        <w:t>, что модель финансирования будет внедрена на временной, экспериментальной основе и будет вновь рассмотрена два года спустя (в 2027 году), а соответствующая информация будет представлена КФМ;</w:t>
      </w:r>
    </w:p>
    <w:p w14:paraId="74718A54" w14:textId="77777777" w:rsidR="000B2ADC" w:rsidRDefault="000B2ADC" w:rsidP="000B2ADC">
      <w:pPr>
        <w:pStyle w:val="IPPNumberedList"/>
      </w:pPr>
      <w:r>
        <w:rPr>
          <w:i/>
        </w:rPr>
        <w:t>постановила</w:t>
      </w:r>
      <w:r>
        <w:t xml:space="preserve"> в течение переходного периода изучить альтернативные варианты предусмотренной моделью структуры сборов;</w:t>
      </w:r>
    </w:p>
    <w:p w14:paraId="42D4BA84" w14:textId="7AE8F2F0" w:rsidR="000B2ADC" w:rsidRDefault="000B2ADC" w:rsidP="000B2ADC">
      <w:pPr>
        <w:pStyle w:val="IPPNumberedList"/>
      </w:pPr>
      <w:r>
        <w:rPr>
          <w:i/>
        </w:rPr>
        <w:t>постановила</w:t>
      </w:r>
      <w:r>
        <w:t xml:space="preserve"> продлить сроки работы Целевой группы КФМ по устойчивому финансированию системы электронной фитосанитарной сертификации МККЗР до </w:t>
      </w:r>
      <w:r w:rsidR="001935E6">
        <w:br/>
      </w:r>
      <w:r>
        <w:t xml:space="preserve">19-й сессии КФМ (2025 год) и </w:t>
      </w:r>
      <w:r>
        <w:rPr>
          <w:i/>
        </w:rPr>
        <w:t>поручила</w:t>
      </w:r>
      <w:r>
        <w:t xml:space="preserve"> Целевой группе изучить возможные изменения и корректировки, в том числе предложенные в ходе 18-й сессии КФМ (2024 год), представив КФМ соответствующую информацию;</w:t>
      </w:r>
    </w:p>
    <w:p w14:paraId="7604397C" w14:textId="77777777" w:rsidR="000B2ADC" w:rsidRDefault="000B2ADC" w:rsidP="000B2ADC">
      <w:pPr>
        <w:pStyle w:val="IPPNumberedList"/>
      </w:pPr>
      <w:r>
        <w:rPr>
          <w:i/>
        </w:rPr>
        <w:t>поручила</w:t>
      </w:r>
      <w:r>
        <w:t xml:space="preserve"> ДС в оперативном порядке представить Секретариату предложения о любых дополнительных изменениях модели финансирования для их рассмотрения Целевой группой;</w:t>
      </w:r>
    </w:p>
    <w:p w14:paraId="1B1E3A97" w14:textId="77777777" w:rsidR="000B2ADC" w:rsidRDefault="000B2ADC" w:rsidP="000B2ADC">
      <w:pPr>
        <w:pStyle w:val="IPPNumberedList"/>
      </w:pPr>
      <w:r>
        <w:rPr>
          <w:i/>
          <w:iCs/>
        </w:rPr>
        <w:lastRenderedPageBreak/>
        <w:t>постановила</w:t>
      </w:r>
      <w:r>
        <w:t>, что Бюро КФМ будет управлять моделью финансирования до тех пор, пока КФМ не утвердит альтернативный механизм управления; и</w:t>
      </w:r>
    </w:p>
    <w:p w14:paraId="71BA8619" w14:textId="77777777" w:rsidR="000B2ADC" w:rsidRPr="002C2AC2" w:rsidRDefault="000B2ADC" w:rsidP="00184AF8">
      <w:pPr>
        <w:pStyle w:val="IPPNumberedList"/>
      </w:pPr>
      <w:r>
        <w:rPr>
          <w:i/>
        </w:rPr>
        <w:t>предложила</w:t>
      </w:r>
      <w:r>
        <w:t xml:space="preserve"> ДС, выступившим за то, чтобы ФАО обеспечивала финансирование системы ЭФС МККЗР, проработать этот вопрос с привлечением своих постоянных представителей.</w:t>
      </w:r>
    </w:p>
    <w:p w14:paraId="35FABE42" w14:textId="77777777" w:rsidR="00F514A6" w:rsidRPr="006C1249" w:rsidRDefault="00F514A6" w:rsidP="00F514A6">
      <w:pPr>
        <w:pStyle w:val="IPPHeading2"/>
      </w:pPr>
      <w:r>
        <w:t>12.7</w:t>
      </w:r>
      <w:r>
        <w:tab/>
        <w:t>Координация фитосанитарных исследований на глобальном уровне – круг ведения целевой группы КФМ</w:t>
      </w:r>
    </w:p>
    <w:p w14:paraId="6F61BCB2" w14:textId="77777777" w:rsidR="00F514A6" w:rsidRDefault="00F514A6" w:rsidP="00F514A6">
      <w:pPr>
        <w:pStyle w:val="IPPParagraphnumbering"/>
      </w:pPr>
      <w:r>
        <w:t>В соответствии с принятым КФМ на ее 17-й сессии (2023 год) решением об учреждении целевой группы КФМ в поддержку выполнения ППР "Координация фитосанитарных исследований на глобальном уровне" член Бюро КФМ, курирующий данный ППР, представил на утверждение КФМ проект круга ведения этой целевой группы</w:t>
      </w:r>
      <w:r w:rsidRPr="006C1249">
        <w:rPr>
          <w:rStyle w:val="FootnoteReference"/>
        </w:rPr>
        <w:footnoteReference w:id="7"/>
      </w:r>
      <w:r>
        <w:t xml:space="preserve">. </w:t>
      </w:r>
    </w:p>
    <w:p w14:paraId="1390FDE4" w14:textId="77777777" w:rsidR="00F514A6" w:rsidRDefault="00F514A6" w:rsidP="00F514A6">
      <w:pPr>
        <w:pStyle w:val="IPPParagraphnumbering"/>
      </w:pPr>
      <w:r>
        <w:t>Договаривающиеся Стороны предложили ряд изменений к проекту круга ведения, включая следующие: утверждение любых изменений в функциях целевой группы Бюро КФМ, а не самой целевой группой; необходимость увеличения числа представителей РОКЗР</w:t>
      </w:r>
      <w:r>
        <w:rPr>
          <w:rStyle w:val="FootnoteReference"/>
          <w:lang w:val="en-GB"/>
        </w:rPr>
        <w:footnoteReference w:id="8"/>
      </w:r>
      <w:r>
        <w:t>; изменение статуса представителя научных кругов, который должен быть полноценным членом целевой группы, а не наблюдателем в факультативном порядке; обеспечение перевода для заседаний целевой группы; изменение основной направленности работы с целью оказания содействия существующим организациям, занимающимся координацией фитосанитарных исследований.</w:t>
      </w:r>
    </w:p>
    <w:p w14:paraId="3C68C5CE" w14:textId="77777777" w:rsidR="00F514A6" w:rsidRDefault="00F514A6" w:rsidP="00F514A6">
      <w:pPr>
        <w:pStyle w:val="IPPParagraphnumbering"/>
      </w:pPr>
      <w:r>
        <w:t>Учитывая широкий спектр высказанных мнений, Председатель КФМ предложил заинтересованным ДС принять участие в совещании Группы друзей Председателя, которое состоялось вне рамок сессии. По итогам этого совещания был подготовлен пересмотренный проект круга ведения</w:t>
      </w:r>
      <w:r>
        <w:rPr>
          <w:rStyle w:val="FootnoteReference"/>
          <w:lang w:val="en-GB"/>
        </w:rPr>
        <w:footnoteReference w:id="9"/>
      </w:r>
      <w:r>
        <w:t>.</w:t>
      </w:r>
    </w:p>
    <w:p w14:paraId="1A794F99" w14:textId="77777777" w:rsidR="00F514A6" w:rsidRPr="00321B8D" w:rsidRDefault="00F514A6" w:rsidP="00F514A6">
      <w:pPr>
        <w:pStyle w:val="IPPParagraphnumberingclose"/>
      </w:pPr>
      <w:r>
        <w:t>КФМ:</w:t>
      </w:r>
    </w:p>
    <w:p w14:paraId="3AEF594E" w14:textId="77777777" w:rsidR="00F514A6" w:rsidRDefault="00F514A6" w:rsidP="00F514A6">
      <w:pPr>
        <w:pStyle w:val="IPPNumberedList"/>
        <w:numPr>
          <w:ilvl w:val="0"/>
          <w:numId w:val="82"/>
        </w:numPr>
        <w:spacing w:after="180"/>
      </w:pPr>
      <w:r>
        <w:rPr>
          <w:i/>
        </w:rPr>
        <w:t>утвердила</w:t>
      </w:r>
      <w:r>
        <w:t xml:space="preserve"> круг ведения Целевой группы КФМ по координации фитосанитарных исследований на глобальном уровне с учетом изменений, внесенных в ходе этого заседания (CPM 2024/CRP/09).</w:t>
      </w:r>
    </w:p>
    <w:p w14:paraId="0B41CC12" w14:textId="77777777" w:rsidR="00F514A6" w:rsidRPr="00321B8D" w:rsidRDefault="00F514A6" w:rsidP="00F514A6">
      <w:pPr>
        <w:pStyle w:val="IPPHeading2"/>
      </w:pPr>
      <w:r>
        <w:t>12.8</w:t>
      </w:r>
      <w:r>
        <w:tab/>
        <w:t>Создание сети диагностических лабораторий – круг ведения целевой группы КФМ</w:t>
      </w:r>
    </w:p>
    <w:p w14:paraId="763E93FF" w14:textId="77777777" w:rsidR="00F514A6" w:rsidRPr="00013DFB" w:rsidRDefault="00F514A6" w:rsidP="00F514A6">
      <w:pPr>
        <w:pStyle w:val="IPPParagraphnumbering"/>
      </w:pPr>
      <w:r>
        <w:t>В соответствии с принятым КФМ на ее 17-й сессии (2023 год) решением об учреждении целевой группы КФМ в поддержку выполнения ППР "Создание сети диагностических лабораторий" Секретариат и член Бюро КФМ, курирующий данный ППР, представили на утверждение КФМ проект круга ведения этой целевой группы</w:t>
      </w:r>
      <w:r w:rsidRPr="00321B8D">
        <w:rPr>
          <w:rStyle w:val="FootnoteReference"/>
          <w:lang w:val="en-GB"/>
        </w:rPr>
        <w:footnoteReference w:id="10"/>
      </w:r>
      <w:r>
        <w:t>. Секретариат представил КФМ обновленную информацию о ходе найма международного консультанта для проведения анализа пробелов в существующей сети диагностических лабораторий. Курирующий данный ППР член Бюро КФМ подчеркнул необходимость достоверной диагностики вредных организмов и создания сети лабораторий для проведения такой диагностики. Он также призвал регионы выдвинуть кандидатуры экспертов в состав целевой группы в случае утверждения КФМ ее круга ведения.</w:t>
      </w:r>
    </w:p>
    <w:p w14:paraId="59C08616" w14:textId="77777777" w:rsidR="00F514A6" w:rsidRPr="005303D1" w:rsidRDefault="00F514A6" w:rsidP="00F514A6">
      <w:pPr>
        <w:pStyle w:val="IPPParagraphnumbering"/>
      </w:pPr>
      <w:r>
        <w:t xml:space="preserve">КФМ приняла к сведению предложение рассмотреть возможность создания региональных сетей диагностических лабораторий и представить дополнительные разъяснения касательно масштабов сетей диагностических лабораторий и соответствующих правил процедуры. Секретариат пояснил, что определение масштабов является одной из задач целевой группы. </w:t>
      </w:r>
    </w:p>
    <w:p w14:paraId="49E4DBEC" w14:textId="77777777" w:rsidR="00F514A6" w:rsidRPr="005A10BD" w:rsidRDefault="00F514A6" w:rsidP="00F514A6">
      <w:pPr>
        <w:pStyle w:val="IPPParagraphnumbering"/>
      </w:pPr>
      <w:r>
        <w:lastRenderedPageBreak/>
        <w:t>Договаривающиеся Стороны предложили, чтобы в состав целевой группы входило более одного представителя РОКЗР.</w:t>
      </w:r>
    </w:p>
    <w:p w14:paraId="6BD5D615" w14:textId="77777777" w:rsidR="00F514A6" w:rsidRPr="00BD0391" w:rsidRDefault="00F514A6" w:rsidP="00F514A6">
      <w:pPr>
        <w:pStyle w:val="IPPParagraphnumbering"/>
      </w:pPr>
      <w:bookmarkStart w:id="0" w:name="_Hlk164253111"/>
      <w:r>
        <w:t>Поскольку мнения разошлись, Председатель КФМ предложил заинтересованным ДС во взаимодействии с Секретариатом рассмотреть поправки к проекту Круга ведения, в результате чего КФМ был представлен пересмотренный проект</w:t>
      </w:r>
      <w:r>
        <w:rPr>
          <w:rStyle w:val="FootnoteReference"/>
          <w:lang w:val="en-GB"/>
        </w:rPr>
        <w:footnoteReference w:id="11"/>
      </w:r>
      <w:r>
        <w:t>.</w:t>
      </w:r>
      <w:bookmarkEnd w:id="0"/>
    </w:p>
    <w:p w14:paraId="0582CC4F" w14:textId="77777777" w:rsidR="00F514A6" w:rsidRPr="00321B8D" w:rsidRDefault="00F514A6" w:rsidP="00F514A6">
      <w:pPr>
        <w:pStyle w:val="IPPParagraphnumberingclose"/>
      </w:pPr>
      <w:r>
        <w:t>КФМ:</w:t>
      </w:r>
    </w:p>
    <w:p w14:paraId="05E49CBD" w14:textId="77777777" w:rsidR="00F514A6" w:rsidRPr="000063AA" w:rsidRDefault="00F514A6" w:rsidP="00F514A6">
      <w:pPr>
        <w:pStyle w:val="IPPNumberedList"/>
        <w:numPr>
          <w:ilvl w:val="0"/>
          <w:numId w:val="83"/>
        </w:numPr>
        <w:spacing w:after="180"/>
      </w:pPr>
      <w:r>
        <w:rPr>
          <w:i/>
        </w:rPr>
        <w:t>утвердила</w:t>
      </w:r>
      <w:r>
        <w:t xml:space="preserve"> Круг ведения Целевой группы по созданию сети диагностических лабораторий КФМ с учетом изменений, внесенных в ходе этого заседания (CPM 2023/CRP/11).</w:t>
      </w:r>
    </w:p>
    <w:p w14:paraId="55C66542" w14:textId="77777777" w:rsidR="003C2CC2" w:rsidRPr="00321B8D" w:rsidRDefault="003C2CC2" w:rsidP="003C2CC2">
      <w:pPr>
        <w:pStyle w:val="IPPHeading2"/>
      </w:pPr>
      <w:r>
        <w:t>13.2</w:t>
      </w:r>
      <w:r>
        <w:tab/>
        <w:t>Морские контейнеры</w:t>
      </w:r>
    </w:p>
    <w:p w14:paraId="37276573" w14:textId="73ECAAF8" w:rsidR="003C2CC2" w:rsidRPr="00391C70" w:rsidRDefault="003C2CC2" w:rsidP="003C2CC2">
      <w:pPr>
        <w:pStyle w:val="IPPParagraphnumbering"/>
      </w:pPr>
      <w:r>
        <w:t>Два члена Целевой группы по морским контейнерам КФМ представили обновленную информацию о деятельности Целевой группы</w:t>
      </w:r>
      <w:r w:rsidRPr="00321B8D">
        <w:rPr>
          <w:rStyle w:val="FootnoteReference"/>
          <w:lang w:val="en-GB"/>
        </w:rPr>
        <w:footnoteReference w:id="12"/>
      </w:r>
      <w:r>
        <w:t>, включая итоговый доклад о ее работе</w:t>
      </w:r>
      <w:r w:rsidRPr="00321B8D">
        <w:rPr>
          <w:rStyle w:val="FootnoteReference"/>
          <w:lang w:val="en-GB"/>
        </w:rPr>
        <w:footnoteReference w:id="13"/>
      </w:r>
      <w:r>
        <w:t>. Докладчики пояснили, что в дополнение к сбору фактических данных Целевая группа занималась такими вопросами, как пересмотр рекомендации КФМ "Морские контейнеры"</w:t>
      </w:r>
      <w:r>
        <w:rPr>
          <w:i/>
        </w:rPr>
        <w:t xml:space="preserve"> </w:t>
      </w:r>
      <w:r w:rsidR="001935E6">
        <w:rPr>
          <w:i/>
        </w:rPr>
        <w:br/>
      </w:r>
      <w:r>
        <w:t>(R-06), концепция ответственности за хранение, обновление Кодекса практики по укладке грузов в грузовые транспортные единицы (Кодекс ГТЕ), оценка рисков, связанных с вредными организмами, инициатива Всемирной таможенной организации (внесение изменений в модели данных и обновление рамочных стандартов SAFE) и совершенствование конструкции морских контейнеров. Эти вопросы также были вынесены на обсуждение и рассмотрение международного семинара по морским контейнерам, состоявшемся в Австралии в июле 2023</w:t>
      </w:r>
      <w:r w:rsidR="001935E6">
        <w:t> </w:t>
      </w:r>
      <w:r>
        <w:t>года. Целевая группа рекомендовала продлить ее мандат, с тем чтобы она могла завершить выполнение задач, предусмотренных ее нынешним кругом ведения, и проделать дополнительную работу. В этой связи КФМ было предложено утвердить новый круг ведения Целевой группы и продлить ее мандат еще на три года</w:t>
      </w:r>
      <w:r w:rsidRPr="00391C70">
        <w:rPr>
          <w:rStyle w:val="FootnoteReference"/>
          <w:lang w:val="en-GB"/>
        </w:rPr>
        <w:footnoteReference w:id="14"/>
      </w:r>
      <w:r>
        <w:t>. Докладчики поблагодарили членов Целевой группы, Секретариат и Австралию за проведение второго международного семинара по морским контейнерам, а также страны, которые проводили испытания, участвовали в обмене данными, внесли финансовый вклад или представили замечания по итогам консультаций.</w:t>
      </w:r>
    </w:p>
    <w:p w14:paraId="7D6BC9C3" w14:textId="77777777" w:rsidR="003C2CC2" w:rsidRDefault="003C2CC2" w:rsidP="003C2CC2">
      <w:pPr>
        <w:pStyle w:val="IPPParagraphnumbering"/>
      </w:pPr>
      <w:r>
        <w:t>Договаривающиеся Стороны внесли различные предложения относительно продления мандата Целевой группы и утверждения круга ее ведения. В частности, было предложено предоставить представителям отрасли статус наблюдателей, а не полноправных членов (с учетом предыдущей рекомендации Управления по правовым вопросам ФАО), ограничить количество представителей отрасли в составе Целевой группы до двух, упорядочить деятельность Целевой группы в соответствии с уровнем сложности стоящих перед ней задач, провести опрос по тематике морских контейнеров с участием всех ДС и изменить критерии членства для обеспечения полноценной географической представленности. Были подняты вопросы о целесообразности внедрения новых технологий биозащиты в портах; выражена обеспокоенность в связи с затратами на внедрение для развивающихся стран; и высказана просьба рассмотреть более эффективный способ взаимодействия с таможенными органами, с тем чтобы НОКЗР не приходилось заниматься этим в индивидуальном порядке. Кроме того, КФМ приняла к сведению предложения о внесении изменений в функции Целевой группы, включая разработку МСФМ, переформулировании одной из функций</w:t>
      </w:r>
      <w:r w:rsidRPr="009C66C6">
        <w:rPr>
          <w:rStyle w:val="FootnoteReference"/>
        </w:rPr>
        <w:footnoteReference w:id="15"/>
      </w:r>
      <w:r>
        <w:t>, предоставлении фактологических данных, подтверждающих снижение риска распространения вредных организмов до приемлемого уровня, и продлении мандата Целевой группы на меньший срок.</w:t>
      </w:r>
    </w:p>
    <w:p w14:paraId="2B2827A4" w14:textId="77777777" w:rsidR="003C2CC2" w:rsidRPr="009E5884" w:rsidRDefault="003C2CC2" w:rsidP="003C2CC2">
      <w:pPr>
        <w:pStyle w:val="IPPParagraphnumbering"/>
      </w:pPr>
      <w:r>
        <w:lastRenderedPageBreak/>
        <w:t>Один наблюдатель, представляющий отрасль морских контейнерных перевозок, указал, что обеспечение чистоты морских контейнеров является общей ответственностью, и сослался на Совместные отраслевые рекомендации по очистке морских контейнеров, которые были пересмотрены в 2023 году</w:t>
      </w:r>
      <w:r w:rsidRPr="009E5884">
        <w:rPr>
          <w:rStyle w:val="FootnoteReference"/>
          <w:lang w:val="en-GB"/>
        </w:rPr>
        <w:footnoteReference w:id="16"/>
      </w:r>
      <w:r>
        <w:t>.</w:t>
      </w:r>
    </w:p>
    <w:p w14:paraId="3E858456" w14:textId="77777777" w:rsidR="003C2CC2" w:rsidRDefault="003C2CC2" w:rsidP="003C2CC2">
      <w:pPr>
        <w:pStyle w:val="IPPParagraphnumbering"/>
      </w:pPr>
      <w:r>
        <w:t>Председатель КФМ объяснил причины включения представителей отрасли в состав Целевой группы, сославшись на сложность маршрутов морских контейнерных перевозок, разнообразие требуемого опыта, необходимость взаимодействия с отраслью и риски для репутации МККЗР, если согласованное решение не обеспечит достижение желаемых результатов.</w:t>
      </w:r>
    </w:p>
    <w:p w14:paraId="2332B534" w14:textId="77777777" w:rsidR="003C2CC2" w:rsidRDefault="003C2CC2" w:rsidP="003C2CC2">
      <w:pPr>
        <w:pStyle w:val="IPPParagraphnumbering"/>
      </w:pPr>
      <w:r>
        <w:t>Учитывая широкий спектр высказанных мнений, Председатель КФМ предложил заинтересованным ДС принять участие в совещании Группы друзей Председателя, которое состоялось вне рамок сессии. По итогам обсуждений на рассмотрение КФМ был представлен пересмотренный проект круга ведения и проект решений</w:t>
      </w:r>
      <w:r>
        <w:rPr>
          <w:rStyle w:val="FootnoteReference"/>
          <w:lang w:val="en-GB"/>
        </w:rPr>
        <w:footnoteReference w:id="17"/>
      </w:r>
      <w:r>
        <w:t>.</w:t>
      </w:r>
    </w:p>
    <w:p w14:paraId="6B5E5D2F" w14:textId="77777777" w:rsidR="003C2CC2" w:rsidRPr="00D40C90" w:rsidRDefault="003C2CC2" w:rsidP="003C2CC2">
      <w:pPr>
        <w:pStyle w:val="IPPParagraphnumbering"/>
      </w:pPr>
      <w:r>
        <w:t xml:space="preserve">В связи с участием представителей отрасли в работе Целевой группы Председатель КФМ пояснил, что любые решения по вопросам существа, принимаемые Целевой группой, являются лишь рекомендациями, которые затем выносятся на рассмотрение КФМ. </w:t>
      </w:r>
    </w:p>
    <w:p w14:paraId="1E29D75A" w14:textId="77777777" w:rsidR="003C2CC2" w:rsidRPr="002B4D99" w:rsidRDefault="003C2CC2" w:rsidP="003C2CC2">
      <w:pPr>
        <w:pStyle w:val="IPPParagraphnumberingclose"/>
        <w:numPr>
          <w:ilvl w:val="0"/>
          <w:numId w:val="109"/>
        </w:numPr>
      </w:pPr>
      <w:r>
        <w:t>КФМ:</w:t>
      </w:r>
    </w:p>
    <w:p w14:paraId="4637542A" w14:textId="77777777" w:rsidR="003C2CC2" w:rsidRPr="00E16B5F" w:rsidRDefault="003C2CC2" w:rsidP="003C2CC2">
      <w:pPr>
        <w:pStyle w:val="IPPNumberedList"/>
        <w:numPr>
          <w:ilvl w:val="0"/>
          <w:numId w:val="60"/>
        </w:numPr>
      </w:pPr>
      <w:r>
        <w:rPr>
          <w:i/>
          <w:iCs/>
        </w:rPr>
        <w:t>приняла к сведению</w:t>
      </w:r>
      <w:r>
        <w:t xml:space="preserve"> доклад о работе Целевой группы КФМ по морским контейнерам 2023 года; </w:t>
      </w:r>
    </w:p>
    <w:p w14:paraId="53A49923" w14:textId="0EFC9F79" w:rsidR="003C2CC2" w:rsidRPr="00E16B5F" w:rsidRDefault="003C2CC2" w:rsidP="003C2CC2">
      <w:pPr>
        <w:pStyle w:val="IPPNumberedList"/>
      </w:pPr>
      <w:r>
        <w:rPr>
          <w:i/>
          <w:iCs/>
        </w:rPr>
        <w:t>постановила</w:t>
      </w:r>
      <w:r>
        <w:t xml:space="preserve"> продлить мандат Целевой группы КФМ по морским контейнерам до </w:t>
      </w:r>
      <w:r w:rsidR="001935E6">
        <w:br/>
      </w:r>
      <w:r>
        <w:t>21-й сессии КФМ (2027 год);</w:t>
      </w:r>
    </w:p>
    <w:p w14:paraId="6C93B14C" w14:textId="77777777" w:rsidR="003C2CC2" w:rsidRPr="00E16B5F" w:rsidRDefault="003C2CC2" w:rsidP="003C2CC2">
      <w:pPr>
        <w:pStyle w:val="IPPNumberedList"/>
      </w:pPr>
      <w:r>
        <w:rPr>
          <w:i/>
          <w:iCs/>
        </w:rPr>
        <w:t>утвердила</w:t>
      </w:r>
      <w:r>
        <w:t xml:space="preserve"> Круг ведения в связи с продлением мандата Целевой группы КФМ по морским контейнерам с учетом изменений, внесенных в ходе этого заседания (CPM 2024/CRP/14);</w:t>
      </w:r>
    </w:p>
    <w:p w14:paraId="7905ABCA" w14:textId="77777777" w:rsidR="003C2CC2" w:rsidRPr="00E16B5F" w:rsidRDefault="003C2CC2" w:rsidP="003C2CC2">
      <w:pPr>
        <w:pStyle w:val="IPPNumberedList"/>
      </w:pPr>
      <w:r>
        <w:rPr>
          <w:i/>
          <w:iCs/>
        </w:rPr>
        <w:t>постановила</w:t>
      </w:r>
      <w:r>
        <w:t xml:space="preserve"> создать канал постоянной обратной связи с назначенными для этого сотрудниками Секретариата для получения и обобщения информации относительно использования и эффективности новой редакции рекомендации R-6 КФМ и для периодического предоставления этой информации Целевой группе в целях обеспечения ее работы;</w:t>
      </w:r>
    </w:p>
    <w:p w14:paraId="699C55E6" w14:textId="77777777" w:rsidR="003C2CC2" w:rsidRPr="00E16B5F" w:rsidRDefault="003C2CC2" w:rsidP="003C2CC2">
      <w:pPr>
        <w:pStyle w:val="IPPNumberedList"/>
      </w:pPr>
      <w:r>
        <w:rPr>
          <w:i/>
          <w:iCs/>
        </w:rPr>
        <w:t>поручила</w:t>
      </w:r>
      <w:r>
        <w:t xml:space="preserve"> Секретариату продолжать сотрудничество с Международной морской организацией, Секретариатом Конвенции о биологическом разнообразии, Всемирной таможенной организацией, Всемирной организацией по охране здоровья животных и Европейской экономической комиссией Организации Объединенных Наций в целях согласования руководства по чистоте морских контейнеров на основе рекомендации R-06 КФМ и любой иной новой информации;</w:t>
      </w:r>
      <w:r>
        <w:rPr>
          <w:i/>
          <w:highlight w:val="yellow"/>
        </w:rPr>
        <w:t>[Данное примечание будет исключено после утверждения доклада о работе: упоминание о ЕЭК ООН добавлено для учета Секретариатом в связи с Кодексом ГТЕ]</w:t>
      </w:r>
    </w:p>
    <w:p w14:paraId="2D983997" w14:textId="77777777" w:rsidR="003C2CC2" w:rsidRPr="00E16B5F" w:rsidRDefault="003C2CC2" w:rsidP="003C2CC2">
      <w:pPr>
        <w:pStyle w:val="IPPNumberedList"/>
      </w:pPr>
      <w:r>
        <w:rPr>
          <w:i/>
          <w:iCs/>
        </w:rPr>
        <w:t>одобрила</w:t>
      </w:r>
      <w:r>
        <w:t xml:space="preserve"> включение в текущий состав Целевой группы третьего представителя Отраслевой консультативной группы по чистоте контейнеров, с тем чтобы обеспечить надлежащее представительство логистического направления отрасли морских контейнерных перевозок и необходимый спектр экспертных знаний и опыта;</w:t>
      </w:r>
    </w:p>
    <w:p w14:paraId="43E611F3" w14:textId="77777777" w:rsidR="003C2CC2" w:rsidRPr="00E16B5F" w:rsidRDefault="003C2CC2" w:rsidP="003C2CC2">
      <w:pPr>
        <w:pStyle w:val="IPPNumberedList"/>
      </w:pPr>
      <w:r>
        <w:rPr>
          <w:i/>
          <w:iCs/>
        </w:rPr>
        <w:t>поручила</w:t>
      </w:r>
      <w:r>
        <w:t xml:space="preserve"> Секретариату провести конкурс для отбора экспертов в состав Целевой группы КФМ по морским контейнерам, с тем чтобы ее членский состав соответствовал кругу ведения; и</w:t>
      </w:r>
    </w:p>
    <w:p w14:paraId="6C4B64AD" w14:textId="77777777" w:rsidR="003C2CC2" w:rsidRPr="00A65C46" w:rsidRDefault="003C2CC2" w:rsidP="00184AF8">
      <w:pPr>
        <w:pStyle w:val="IPPNumberedList"/>
      </w:pPr>
      <w:r>
        <w:rPr>
          <w:i/>
          <w:iCs/>
        </w:rPr>
        <w:t>постановила</w:t>
      </w:r>
      <w:r>
        <w:t>, что при необходимости Целевая группа может на временной основе кооптировать специалистов или консультантов для рассмотрения конкретных вопросов, причем срок такого кооптирования не должен превышать шести месяцев.</w:t>
      </w:r>
    </w:p>
    <w:p w14:paraId="0635A89D" w14:textId="77777777" w:rsidR="00EE0F4F" w:rsidRPr="008064F1" w:rsidRDefault="00EE0F4F" w:rsidP="00EE0F4F">
      <w:pPr>
        <w:pStyle w:val="IPPHeading1"/>
      </w:pPr>
      <w:r>
        <w:lastRenderedPageBreak/>
        <w:t>16.</w:t>
      </w:r>
      <w:r>
        <w:tab/>
        <w:t>Прочие актуальные темы</w:t>
      </w:r>
    </w:p>
    <w:p w14:paraId="53923AB8" w14:textId="77777777" w:rsidR="00EE0F4F" w:rsidRPr="008064F1" w:rsidRDefault="00EE0F4F" w:rsidP="00EE0F4F">
      <w:pPr>
        <w:pStyle w:val="IPPHeading2"/>
      </w:pPr>
      <w:r>
        <w:t>16.1</w:t>
      </w:r>
      <w:r>
        <w:tab/>
        <w:t>Обновленная информация о реализации подхода "Единое здоровье"</w:t>
      </w:r>
    </w:p>
    <w:p w14:paraId="2BE37AB7" w14:textId="6E7CD993" w:rsidR="00EE0F4F" w:rsidRPr="00400688" w:rsidRDefault="00EE0F4F" w:rsidP="00EE0F4F">
      <w:pPr>
        <w:pStyle w:val="IPPParagraphnumbering"/>
      </w:pPr>
      <w:r>
        <w:t>Член редакционной группы, сформированной из членов Группы стратегического планирования, представил документ, посвященный подходу "Единое здоровье", в котором приводятся в том числе базовые сведения, информация о текущей деятельности Секретариата, а также излагаются предложения по возможным целям, которые КФМ могла бы рассмотреть</w:t>
      </w:r>
      <w:r w:rsidRPr="00265277">
        <w:rPr>
          <w:rStyle w:val="FootnoteReference"/>
          <w:lang w:val="en-GB"/>
        </w:rPr>
        <w:footnoteReference w:id="18"/>
      </w:r>
      <w:r>
        <w:t xml:space="preserve">. В документе подчеркивается, что цель состоит не в том, чтобы разработать новую инициативу или программу, ориентированную на подход "Единое здоровье", </w:t>
      </w:r>
      <w:r w:rsidR="001935E6">
        <w:t>а</w:t>
      </w:r>
      <w:r>
        <w:t xml:space="preserve"> в том, чтобы члены сообщества МККЗР выявили бы направления деятельности, которая уже ведется и при этом непосредственно поддерживает и вносит вклад в достижение итогов, предусмотренных подходом "Единое здоровье", и сообщили бы о них. Докладчик также представил проект круга ведения целевой группы КФМ, которая должна будет заняться подготовкой проекта плана действий в области коммуникаций и разъяснительной работы</w:t>
      </w:r>
      <w:r w:rsidRPr="00712597">
        <w:rPr>
          <w:rStyle w:val="FootnoteReference"/>
          <w:lang w:val="en-GB"/>
        </w:rPr>
        <w:footnoteReference w:id="19"/>
      </w:r>
      <w:r>
        <w:t>.</w:t>
      </w:r>
    </w:p>
    <w:p w14:paraId="50E7781A" w14:textId="77777777" w:rsidR="00EE0F4F" w:rsidRDefault="00EE0F4F" w:rsidP="00EE0F4F">
      <w:pPr>
        <w:pStyle w:val="IPPParagraphnumbering"/>
      </w:pPr>
      <w:r>
        <w:t>КФМ приняла к сведению три письменных заявления: в первом указывается на необходимость направлять любые изменения в функциях целевой группы на утверждение Бюро КФМ</w:t>
      </w:r>
      <w:r>
        <w:rPr>
          <w:rStyle w:val="FootnoteReference"/>
          <w:lang w:val="en-GB"/>
        </w:rPr>
        <w:footnoteReference w:id="20"/>
      </w:r>
      <w:r>
        <w:t>; во втором предлагается поручить проведение соответствующей работы не целевой группе, а небольшой группе экспертов и упорядочить предлагаемый круг ведения</w:t>
      </w:r>
      <w:r>
        <w:rPr>
          <w:rStyle w:val="FootnoteReference"/>
          <w:lang w:val="en-GB"/>
        </w:rPr>
        <w:footnoteReference w:id="21"/>
      </w:r>
      <w:r>
        <w:t>; в третьем предлагается использовать двухэтапный подход, начав с предварительного исследования</w:t>
      </w:r>
      <w:r>
        <w:rPr>
          <w:rStyle w:val="FootnoteReference"/>
          <w:lang w:val="en-GB"/>
        </w:rPr>
        <w:footnoteReference w:id="22"/>
      </w:r>
      <w:r>
        <w:t>.</w:t>
      </w:r>
    </w:p>
    <w:p w14:paraId="5AF74B12" w14:textId="77777777" w:rsidR="00EE0F4F" w:rsidRDefault="00EE0F4F" w:rsidP="00EE0F4F">
      <w:pPr>
        <w:pStyle w:val="IPPParagraphnumbering"/>
      </w:pPr>
      <w:r>
        <w:t xml:space="preserve">КФМ рассмотрела относительные преимущества учреждения целевой группы (более высокий статус) или небольшой группы экспертов (меньшая нагрузка на Секретариат). Ряд ДС поддержали более активное участие в реализации подхода "Единое здоровье", в то время как другие отметили, что первоочередное внимание МККЗР следует уделять выполнению возложенного на МККЗР мандата и осуществлению Стратегической рамочной программы МККЗР. </w:t>
      </w:r>
    </w:p>
    <w:p w14:paraId="5C07D245" w14:textId="77777777" w:rsidR="00EE0F4F" w:rsidRDefault="00EE0F4F" w:rsidP="00EE0F4F">
      <w:pPr>
        <w:pStyle w:val="IPPParagraphnumbering"/>
      </w:pPr>
      <w:r>
        <w:t>Учитывая расхождение во мнениях, заинтересованные ДС приняли решение провести совещание по данному вопросу вне рамок сессии. В результате был подготовлен пересмотренный проект круга ведения</w:t>
      </w:r>
      <w:r>
        <w:rPr>
          <w:rStyle w:val="FootnoteReference"/>
          <w:lang w:val="en-GB"/>
        </w:rPr>
        <w:footnoteReference w:id="23"/>
      </w:r>
      <w:r>
        <w:t>.</w:t>
      </w:r>
    </w:p>
    <w:p w14:paraId="331A8E03" w14:textId="77777777" w:rsidR="00EE0F4F" w:rsidRPr="008064F1" w:rsidRDefault="00EE0F4F" w:rsidP="00EE0F4F">
      <w:pPr>
        <w:pStyle w:val="IPPParagraphnumberingclose"/>
      </w:pPr>
      <w:r>
        <w:t>КФМ:</w:t>
      </w:r>
    </w:p>
    <w:p w14:paraId="1CC6E6FA" w14:textId="77777777" w:rsidR="00EE0F4F" w:rsidRPr="006554D8" w:rsidRDefault="00EE0F4F" w:rsidP="00EE0F4F">
      <w:pPr>
        <w:pStyle w:val="IPPNumberedList"/>
        <w:numPr>
          <w:ilvl w:val="0"/>
          <w:numId w:val="93"/>
        </w:numPr>
      </w:pPr>
      <w:r>
        <w:rPr>
          <w:i/>
          <w:iCs/>
        </w:rPr>
        <w:t>учредила</w:t>
      </w:r>
      <w:r>
        <w:t xml:space="preserve"> Целевую группу КФМ по вопросам охраны здоровья растений в контексте подхода "Единое здоровье", поручив ей подготовить рекомендации и ожидаемые практические результаты, которые должны быть представлены КФМ на ее сессии в 2025 году; </w:t>
      </w:r>
    </w:p>
    <w:p w14:paraId="1597CF27" w14:textId="77777777" w:rsidR="00EE0F4F" w:rsidRPr="008064F1" w:rsidRDefault="00EE0F4F" w:rsidP="00EE0F4F">
      <w:pPr>
        <w:pStyle w:val="IPPNumberedList"/>
      </w:pPr>
      <w:r>
        <w:rPr>
          <w:i/>
        </w:rPr>
        <w:t>утвердила</w:t>
      </w:r>
      <w:r>
        <w:t xml:space="preserve"> круг ведения данной целевой группы, представленный в документе CPM 2024/CRP/16;</w:t>
      </w:r>
    </w:p>
    <w:p w14:paraId="7BF2C5D5" w14:textId="77777777" w:rsidR="00EE0F4F" w:rsidRPr="008064F1" w:rsidRDefault="00EE0F4F" w:rsidP="00EE0F4F">
      <w:pPr>
        <w:pStyle w:val="IPPNumberedList"/>
      </w:pPr>
      <w:r>
        <w:rPr>
          <w:i/>
          <w:iCs/>
        </w:rPr>
        <w:t>постановила</w:t>
      </w:r>
      <w:r>
        <w:t>, что при проведении анализа Целевой группе следует проработать следующие вопросы:</w:t>
      </w:r>
    </w:p>
    <w:p w14:paraId="2B9C8533" w14:textId="77777777" w:rsidR="00EE0F4F" w:rsidRPr="008064F1" w:rsidRDefault="00EE0F4F" w:rsidP="00EE0F4F">
      <w:pPr>
        <w:pStyle w:val="IPPBullet2"/>
      </w:pPr>
      <w:r>
        <w:t>целесообразность выбора подхода "Единое здоровье" в качестве темы одного из следующих МДОЗР; и</w:t>
      </w:r>
    </w:p>
    <w:p w14:paraId="2EAEC314" w14:textId="77777777" w:rsidR="00EE0F4F" w:rsidRPr="008064F1" w:rsidRDefault="00EE0F4F" w:rsidP="00EE0F4F">
      <w:pPr>
        <w:pStyle w:val="IPPBullet2"/>
      </w:pPr>
      <w:r>
        <w:t>разработка в рамках Коммуникационной стратегии МККЗР компонента, посвященного подходу "Единое здоровье";</w:t>
      </w:r>
    </w:p>
    <w:p w14:paraId="017EB009" w14:textId="77777777" w:rsidR="00EE0F4F" w:rsidRPr="008064F1" w:rsidRDefault="00EE0F4F" w:rsidP="00EE0F4F">
      <w:pPr>
        <w:pStyle w:val="IPPNumberedList"/>
      </w:pPr>
      <w:r>
        <w:rPr>
          <w:i/>
          <w:iCs/>
        </w:rPr>
        <w:lastRenderedPageBreak/>
        <w:t>приняла к сведению</w:t>
      </w:r>
      <w:r>
        <w:t xml:space="preserve"> принятые Секретариатом меры по организации в рамках 19-й сессии КФМ (2025 год) параллельного мероприятия в целях дальнейшего информирования членов КФМ и содействия скорейшему представлению материалов и выражению позиций в отношении уточнения планов и задач МККЗР в контексте подхода "Единое здоровье";</w:t>
      </w:r>
    </w:p>
    <w:p w14:paraId="7433ED9B" w14:textId="77777777" w:rsidR="00EE0F4F" w:rsidRDefault="00EE0F4F" w:rsidP="00184AF8">
      <w:pPr>
        <w:pStyle w:val="IPPNumberedList"/>
      </w:pPr>
      <w:r>
        <w:rPr>
          <w:i/>
          <w:iCs/>
        </w:rPr>
        <w:t>приняла к сведению</w:t>
      </w:r>
      <w:r>
        <w:t xml:space="preserve"> договоренности Секретаря МККЗР об участии в намеченном на 2024 год восьмом Всемирном конгрессе "Единое здоровье" в качестве представителя сообщества МККЗР и о проведении в рамках конгресса параллельной сессии совместно с членами Бюро КФМ и другими экспертами, представляющими научные круги.</w:t>
      </w:r>
    </w:p>
    <w:p w14:paraId="09A85D78" w14:textId="77777777" w:rsidR="003C2CC2" w:rsidRPr="008064F1" w:rsidRDefault="003C2CC2" w:rsidP="003C2CC2">
      <w:pPr>
        <w:pStyle w:val="IPPHeading2"/>
      </w:pPr>
      <w:r>
        <w:t>16.2 Обновленная информация о работе, связанной с устойчивостью к противомикробным препаратам</w:t>
      </w:r>
    </w:p>
    <w:p w14:paraId="1B1686D5" w14:textId="6123687B" w:rsidR="003C2CC2" w:rsidRPr="005F796C" w:rsidRDefault="003C2CC2" w:rsidP="003C2CC2">
      <w:pPr>
        <w:pStyle w:val="IPPParagraphnumbering"/>
      </w:pPr>
      <w:r>
        <w:t>КФМ на своей 17-й сессии (2023 год) поручила Секретариату проработать эффективные подходы к проведению исследования по изучению характера и масштабов связанных с УПП рисков в фитосанитарном контексте</w:t>
      </w:r>
      <w:r w:rsidRPr="008064F1">
        <w:rPr>
          <w:rStyle w:val="FootnoteReference"/>
          <w:lang w:val="en-GB"/>
        </w:rPr>
        <w:footnoteReference w:id="24"/>
      </w:r>
      <w:r>
        <w:t>, и в соответствии с этим поручением Секретариат представил обновленную  информацию о своей деятельности, связанной с устойчивостью к противомикробным препаратам (УПП)</w:t>
      </w:r>
      <w:r w:rsidRPr="008064F1">
        <w:rPr>
          <w:rStyle w:val="FootnoteReference"/>
          <w:lang w:val="en-GB"/>
        </w:rPr>
        <w:footnoteReference w:id="25"/>
      </w:r>
      <w:r>
        <w:t xml:space="preserve">. Секретариат проинформировал о том, что в настоящее время реализует двухэтапный подход, суть которого заключается в том, чтобы на первом этапе собирать данные по применению противомикробных препаратов, а на втором – изучить вопросы устойчивости в связи с использованием противомикробных препаратов для защиты растений. Несмотря на то, что доля респондентов, принявших участие в обследованиях, относительно невелика, полученные результаты свидетельствуют о том, что число стран, использующих антибиотики для защиты растений, </w:t>
      </w:r>
      <w:r w:rsidR="001935E6">
        <w:t>довольно мало</w:t>
      </w:r>
      <w:r>
        <w:t>, а использование фунгицидов, как и ожидалось, – широко распространенная практика. На втором этапе предполагалось проведение последующего обследования и углубленного анализа, чтобы определить, в какой степени использование этих препаратов в таких количествах способствует формированию устойчивости к противомикробным препаратам в целом.</w:t>
      </w:r>
    </w:p>
    <w:p w14:paraId="4A3F62BC" w14:textId="77777777" w:rsidR="003C2CC2" w:rsidRPr="001935E6" w:rsidRDefault="003C2CC2" w:rsidP="003C2CC2">
      <w:pPr>
        <w:pStyle w:val="IPPParagraphnumbering"/>
      </w:pPr>
      <w:r>
        <w:t xml:space="preserve">КФМ приняла к сведению предложения о том, чтобы в ходе обследований основное внимание уделялось составу пестицидов и чтобы проводился сбор предоставляемой производителями информации о случаях возникновения устойчивости. КФМ также признала необходимость </w:t>
      </w:r>
      <w:r w:rsidRPr="001935E6">
        <w:t>проведения исследований в контексте подхода "Единое здоровье".</w:t>
      </w:r>
    </w:p>
    <w:p w14:paraId="7CBB9977" w14:textId="53386292" w:rsidR="003C2CC2" w:rsidRPr="00C4046B" w:rsidRDefault="001935E6" w:rsidP="003C2CC2">
      <w:pPr>
        <w:pStyle w:val="IPPParagraphnumbering"/>
      </w:pPr>
      <w:r w:rsidRPr="001935E6">
        <w:t>Договаривающиеся Стороны разошлись во мнениях относительно целесообразности продолжения проведения исследования</w:t>
      </w:r>
      <w:r w:rsidR="003C2CC2">
        <w:t xml:space="preserve"> по противомикробным препаратам, отметив, что для защиты растений противомикробные препараты применяются крайне редко, но что тем не менее сбор данных может помочь оценить масштабы УПП применительно к охране здоровья растений и развеять опасения, которые возникают за пределами фитосанитарного сообщества в связи с тем, что использование противомикробных препаратов для защиты растений может приводить к возникновению устойчивости в контексте здоровья животных и людей.</w:t>
      </w:r>
    </w:p>
    <w:p w14:paraId="43FB5BE6" w14:textId="77777777" w:rsidR="003C2CC2" w:rsidRPr="00060E07" w:rsidRDefault="003C2CC2" w:rsidP="003C2CC2">
      <w:pPr>
        <w:pStyle w:val="IPPParagraphnumbering"/>
      </w:pPr>
      <w:r>
        <w:t>КФМ вернулась к этому вопросу позже в течение заседания и согласилась ограничить количество фунгицидов в перечне, составленном для проведения исследования по устойчивости к противомикробным препаратам.</w:t>
      </w:r>
    </w:p>
    <w:p w14:paraId="1D014F2A" w14:textId="77777777" w:rsidR="003C2CC2" w:rsidRPr="008064F1" w:rsidRDefault="003C2CC2" w:rsidP="003C2CC2">
      <w:pPr>
        <w:pStyle w:val="IPPParagraphnumberingclose"/>
      </w:pPr>
      <w:r>
        <w:t>КФМ:</w:t>
      </w:r>
    </w:p>
    <w:p w14:paraId="5646B21B" w14:textId="77777777" w:rsidR="003C2CC2" w:rsidRPr="008064F1" w:rsidRDefault="003C2CC2" w:rsidP="003C2CC2">
      <w:pPr>
        <w:pStyle w:val="IPPNumberedList"/>
        <w:numPr>
          <w:ilvl w:val="0"/>
          <w:numId w:val="94"/>
        </w:numPr>
      </w:pPr>
      <w:r>
        <w:rPr>
          <w:i/>
          <w:iCs/>
        </w:rPr>
        <w:t>приняла к сведению</w:t>
      </w:r>
      <w:r>
        <w:t xml:space="preserve"> предварительные результаты проведенных Обсерваторией МККЗР обследований применения антибиотиков и фунгицидов для защиты растений;</w:t>
      </w:r>
    </w:p>
    <w:p w14:paraId="712BAA52" w14:textId="77777777" w:rsidR="003C2CC2" w:rsidRPr="008064F1" w:rsidRDefault="003C2CC2" w:rsidP="003C2CC2">
      <w:pPr>
        <w:pStyle w:val="IPPNumberedList"/>
      </w:pPr>
      <w:r>
        <w:rPr>
          <w:i/>
          <w:iCs/>
        </w:rPr>
        <w:t>выразила благодарность</w:t>
      </w:r>
      <w:r>
        <w:t xml:space="preserve"> странам, представившим ответы в рамках двух обследований, за их вклад в лучшее понимание вопросов использования противомикробных препаратов для обеспечения здоровья растений;</w:t>
      </w:r>
    </w:p>
    <w:p w14:paraId="3331F6F0" w14:textId="77777777" w:rsidR="003C2CC2" w:rsidRPr="008064F1" w:rsidRDefault="003C2CC2" w:rsidP="003C2CC2">
      <w:pPr>
        <w:pStyle w:val="IPPNumberedList"/>
      </w:pPr>
      <w:r>
        <w:rPr>
          <w:i/>
          <w:iCs/>
        </w:rPr>
        <w:lastRenderedPageBreak/>
        <w:t>поручила</w:t>
      </w:r>
      <w:r>
        <w:t xml:space="preserve"> Секретариату продлить сроки проведения этих двух обследований и настоятельно рекомендовать странам, которые еще не прислали ответы в рамках этих обследований, сделать это для получения репрезентативных данных по членам сообщества МККЗР; и</w:t>
      </w:r>
    </w:p>
    <w:p w14:paraId="1EDB2570" w14:textId="77777777" w:rsidR="003C2CC2" w:rsidRPr="00934CBB" w:rsidRDefault="003C2CC2" w:rsidP="003C2CC2">
      <w:pPr>
        <w:pStyle w:val="IPPNumberedList"/>
      </w:pPr>
      <w:r>
        <w:rPr>
          <w:i/>
          <w:iCs/>
        </w:rPr>
        <w:t>приняла решение</w:t>
      </w:r>
      <w:r>
        <w:t xml:space="preserve"> о продлении сроков исследования по противомикробным препаратам для проведения анализа устойчивости к противомикробным препаратам и о выделении необходимых ресурсов для этой цели; и</w:t>
      </w:r>
    </w:p>
    <w:p w14:paraId="583801C4" w14:textId="61D377E8" w:rsidR="003C2CC2" w:rsidRDefault="003C2CC2" w:rsidP="00184AF8">
      <w:pPr>
        <w:pStyle w:val="IPPNumberedList"/>
      </w:pPr>
      <w:r>
        <w:rPr>
          <w:i/>
          <w:iCs/>
        </w:rPr>
        <w:t>приняла решение</w:t>
      </w:r>
      <w:r>
        <w:t xml:space="preserve"> ограничить количество фунгицидов в перечне, составленном для проведения исследования, только теми, которые связаны с концепцией "Единое здоровье" (т. е. химические группы, используемые не только в области защиты растений, но и </w:t>
      </w:r>
      <w:r w:rsidR="001935E6">
        <w:t xml:space="preserve">в области </w:t>
      </w:r>
      <w:r>
        <w:t>охраны здоровья животных или человека).</w:t>
      </w:r>
    </w:p>
    <w:p w14:paraId="6CBEB99F" w14:textId="77777777" w:rsidR="00E550EC" w:rsidRPr="006F7FD4" w:rsidRDefault="00E550EC" w:rsidP="00E550EC">
      <w:pPr>
        <w:pStyle w:val="IPPHeading2"/>
      </w:pPr>
      <w:r>
        <w:t>16.3</w:t>
      </w:r>
      <w:r>
        <w:tab/>
        <w:t>Обновленная информация об Африканской фитосанитарной программе</w:t>
      </w:r>
    </w:p>
    <w:p w14:paraId="6BE3E85E" w14:textId="436A8F4C" w:rsidR="00E550EC" w:rsidRPr="00B73AC7" w:rsidRDefault="00E550EC" w:rsidP="00E550EC">
      <w:pPr>
        <w:pStyle w:val="IPPParagraphnumbering"/>
      </w:pPr>
      <w:r>
        <w:t>Секретарь МККЗР представил обновленную информацию об Африканской фитосанитарной программе (АФП)</w:t>
      </w:r>
      <w:r w:rsidRPr="00712597">
        <w:rPr>
          <w:rStyle w:val="FootnoteReference"/>
          <w:lang w:val="en-GB"/>
        </w:rPr>
        <w:footnoteReference w:id="26"/>
      </w:r>
      <w:r>
        <w:t>, призванной обеспечить национальным правительствам и заинтересованным сторонам технический потенциал и поддержку, необходимые для эффективной и последовательной борьбы с вредными организмами растений, воздействие которых значимо с точки зрения регулирования, экономики и экологии. Была представлена информация об осуществлении пилотного этапа программы, в котором принимают участие в общей сложности 11 стран из пяти субрегионов Африки: каждая страна представила список из пяти вредных организмов в соответствии с требованиями для участия в пилотном проекте; были разработаны различные инструменты; в Каире, Египет, был проведен семинар по подготовке инструкторов; обученные инструкторы на основе тех же материалов вели подготовку по меньшей мере 50 технических специалистов на местах в своих стран</w:t>
      </w:r>
      <w:r w:rsidR="001935E6">
        <w:t>ах</w:t>
      </w:r>
      <w:r>
        <w:t>; и Секретариат в настоящее время организует посещение всех стран, участвующих в пилотном этапе, для проведения совещаний с соответствующими министрами с тем, чтобы каждая страна располагала возможностями для осуществления программы. Секретарь МККЗР выразил признательность, отметив, что до настоящего момента проведение работы на данном направлении обеспечивалось благодаря пожертвованиям в денежной и неденежной форме, а также предоставлению предметов снабжения и материалов Соединенными Штатами Америки. Секретарь пояснил, что Служба инспекции здоровья животных и растений Министерства сельского хозяйства США дала согласие на оказание дальнейшей поддержки в 2024 году и что в настоящее время Секретариат занимается подготовкой соглашений с другими донорами.</w:t>
      </w:r>
    </w:p>
    <w:p w14:paraId="215655A9" w14:textId="77777777" w:rsidR="00E550EC" w:rsidRDefault="00E550EC" w:rsidP="00E550EC">
      <w:pPr>
        <w:pStyle w:val="IPPParagraphnumbering"/>
      </w:pPr>
      <w:r>
        <w:t>Председатель КФМ отметил усилия Секретаря МККЗР, благодаря которым на сегодняшний день удалось добиться выдающихся результатов в деле осуществления АФП. Договаривающиеся Стороны также выразили признательность Секретарю и Секретариату МККЗР за программу и обновленную информацию, представленную на 18-й сессии КФМ (2024 год). КФМ приняла к сведению обращенные к донорам просьбы выделить средства на осуществление АФП, в том числе эпиднадзора, а к ФАО – оказать финансовую поддержку этой деятельности. КФМ также признала важность данной программы для развития возможностей диагностирования. Ряд ДС также выступили с предложением рассмотреть возможность более долгосрочного позиционирования АФП при ФАО, и Председатель КФМ подтвердил, что данный вопрос будет обсуждаться Бюро КФМ и будет добавлен в повестку дня совещания ГСП, запланированного на октябрь 2024 года.</w:t>
      </w:r>
    </w:p>
    <w:p w14:paraId="08210373" w14:textId="77777777" w:rsidR="00E550EC" w:rsidRPr="00613AC2" w:rsidRDefault="00E550EC" w:rsidP="00E550EC">
      <w:pPr>
        <w:pStyle w:val="IPPParagraphnumbering"/>
      </w:pPr>
      <w:r>
        <w:t xml:space="preserve">Соединенные Штаты Америки подтвердили свое обязательство продолжать оказывать техническую поддержку в натуральном выражении в 2024 году, а Европейский союз обязался оказывать АФП финансовую поддержку. </w:t>
      </w:r>
    </w:p>
    <w:p w14:paraId="758DF817" w14:textId="77777777" w:rsidR="00E550EC" w:rsidRPr="006F7FD4" w:rsidRDefault="00E550EC" w:rsidP="00E550EC">
      <w:pPr>
        <w:pStyle w:val="IPPParagraphnumberingclose"/>
      </w:pPr>
      <w:r>
        <w:lastRenderedPageBreak/>
        <w:t>КФМ:</w:t>
      </w:r>
    </w:p>
    <w:p w14:paraId="627375BA" w14:textId="77777777" w:rsidR="00E550EC" w:rsidRPr="006F7FD4" w:rsidRDefault="00E550EC" w:rsidP="00E550EC">
      <w:pPr>
        <w:pStyle w:val="IPPNumberedList"/>
        <w:numPr>
          <w:ilvl w:val="0"/>
          <w:numId w:val="95"/>
        </w:numPr>
      </w:pPr>
      <w:r>
        <w:rPr>
          <w:i/>
          <w:iCs/>
        </w:rPr>
        <w:t>отметила</w:t>
      </w:r>
      <w:r>
        <w:t xml:space="preserve"> значительный прогресс, которого сообщество МККЗР достигло в области подготовки к осуществлению Африканской фитосанитарной программы (АФП);</w:t>
      </w:r>
    </w:p>
    <w:p w14:paraId="027845A7" w14:textId="77777777" w:rsidR="00E550EC" w:rsidRPr="006F7FD4" w:rsidRDefault="00E550EC" w:rsidP="00E550EC">
      <w:pPr>
        <w:pStyle w:val="IPPNumberedList"/>
      </w:pPr>
      <w:r>
        <w:rPr>
          <w:i/>
          <w:iCs/>
        </w:rPr>
        <w:t>отметила</w:t>
      </w:r>
      <w:r>
        <w:t xml:space="preserve"> существенный вклад и поддержку со стороны Соединенных Штатов Америки;</w:t>
      </w:r>
    </w:p>
    <w:p w14:paraId="5B14CC6B" w14:textId="77777777" w:rsidR="00E550EC" w:rsidRPr="006F7FD4" w:rsidRDefault="00E550EC" w:rsidP="00E550EC">
      <w:pPr>
        <w:pStyle w:val="IPPNumberedList"/>
      </w:pPr>
      <w:r>
        <w:rPr>
          <w:i/>
          <w:iCs/>
        </w:rPr>
        <w:t>выразила признательность</w:t>
      </w:r>
      <w:r>
        <w:t xml:space="preserve"> Договаривающимся Сторонам, участвующим в осуществлении пилотного этапа: Гвинее-Бисау, Демократической Республике Конго, Египту, Замбии, Зимбабве, Камеруну, Кении, Мали, Марокко, Сьерра‑Леоне и Уганде за проделанную ими важную работу и непоколебимый настрой;</w:t>
      </w:r>
    </w:p>
    <w:p w14:paraId="47F2F9EB" w14:textId="77777777" w:rsidR="00E550EC" w:rsidRPr="006F7FD4" w:rsidRDefault="00E550EC" w:rsidP="00E550EC">
      <w:pPr>
        <w:pStyle w:val="IPPNumberedList"/>
      </w:pPr>
      <w:r>
        <w:rPr>
          <w:i/>
          <w:iCs/>
        </w:rPr>
        <w:t>настоятельно призвала</w:t>
      </w:r>
      <w:r>
        <w:t xml:space="preserve"> Договаривающиеся Стороны и Секретариат МККЗР вести информационно-просветительскую работу в целях привлечения технической и финансовой поддержки доноров для осуществления АФП; и</w:t>
      </w:r>
    </w:p>
    <w:p w14:paraId="4F6A7D11" w14:textId="77777777" w:rsidR="00E550EC" w:rsidRDefault="00E550EC" w:rsidP="00184AF8">
      <w:pPr>
        <w:pStyle w:val="IPPNumberedList"/>
      </w:pPr>
      <w:r>
        <w:rPr>
          <w:i/>
          <w:iCs/>
        </w:rPr>
        <w:t>выразила в поддержку</w:t>
      </w:r>
      <w:r>
        <w:t xml:space="preserve"> дальнейшего развития АФП и ее потенциального преобразования в глобальную фитосанитарную программу.</w:t>
      </w:r>
    </w:p>
    <w:p w14:paraId="69D83497" w14:textId="77777777" w:rsidR="007F24DF" w:rsidRPr="006F7FD4" w:rsidRDefault="007F24DF" w:rsidP="007F24DF">
      <w:pPr>
        <w:pStyle w:val="IPPHeading2"/>
      </w:pPr>
      <w:r>
        <w:t>16.4</w:t>
      </w:r>
      <w:r>
        <w:tab/>
        <w:t>Орган по надзору за урегулированием споров (Круг ведения и Правила процедуры)</w:t>
      </w:r>
    </w:p>
    <w:p w14:paraId="266684AF" w14:textId="034E2C72" w:rsidR="007F24DF" w:rsidRDefault="007F24DF" w:rsidP="007F24DF">
      <w:pPr>
        <w:pStyle w:val="IPPParagraphnumbering"/>
      </w:pPr>
      <w:r>
        <w:t>Представитель Бюро КФМ ознакомил КФМ с документом о предлагаемом круге ведения и правилах процедуры Орган по надзору за урегулированием споров, который был подготовлен Бюро КФМ и доработан с учетом замечаний, полученных от ГСП</w:t>
      </w:r>
      <w:r w:rsidRPr="00712597">
        <w:rPr>
          <w:rStyle w:val="FootnoteReference"/>
          <w:lang w:val="en-GB"/>
        </w:rPr>
        <w:footnoteReference w:id="27"/>
      </w:r>
      <w:r>
        <w:t>. В соответствии с представленным ГСП в 2023 году предложением Бюро КФМ также рассмотрело упрощенную схему процедур МККЗР по урегулированию споров, утвержденную 17-й сессией КФМ (2023</w:t>
      </w:r>
      <w:r w:rsidR="001935E6">
        <w:t> </w:t>
      </w:r>
      <w:r>
        <w:t xml:space="preserve">год). Доработанный вариант схемы был представлен на рассмотрение КФМ. </w:t>
      </w:r>
    </w:p>
    <w:p w14:paraId="45FD02C5" w14:textId="77777777" w:rsidR="007F24DF" w:rsidRDefault="007F24DF" w:rsidP="007F24DF">
      <w:pPr>
        <w:pStyle w:val="IPPParagraphnumbering"/>
      </w:pPr>
      <w:r>
        <w:t>Представитель Бюро согласился с замечанием об отсутствии необходимости в проведении дальнейших консультаций с Управлением ФАО по правовым вопросам, касающихся дополнительных поправок к кругу ведения или правилам процедуры</w:t>
      </w:r>
      <w:r>
        <w:rPr>
          <w:rStyle w:val="FootnoteReference"/>
          <w:lang w:val="en-GB"/>
        </w:rPr>
        <w:footnoteReference w:id="28"/>
      </w:r>
      <w:r>
        <w:t>.</w:t>
      </w:r>
    </w:p>
    <w:p w14:paraId="16600733" w14:textId="77777777" w:rsidR="007F24DF" w:rsidRDefault="007F24DF" w:rsidP="007F24DF">
      <w:pPr>
        <w:pStyle w:val="IPPParagraphnumbering"/>
      </w:pPr>
      <w:r>
        <w:t xml:space="preserve">В ответ на предложение внести поправки в упрощенную схему Председатель КФМ пояснил, что нельзя вносить изменения в содержание схемы без пересмотра самих процедур урегулирования споров, поскольку в схеме отражены процедуры, утвержденные на 16-й сессии КФМ (2022 год). </w:t>
      </w:r>
    </w:p>
    <w:p w14:paraId="7D00FBE0" w14:textId="55F58BEF" w:rsidR="007F24DF" w:rsidRDefault="007F24DF" w:rsidP="007F24DF">
      <w:pPr>
        <w:pStyle w:val="IPPParagraphnumbering"/>
      </w:pPr>
      <w:r>
        <w:t>КФМ постановила, что в будущем любое решение о проведении консультаций с Управлением ФАО по правовым вопросам, касающи</w:t>
      </w:r>
      <w:r w:rsidR="001935E6">
        <w:t>м</w:t>
      </w:r>
      <w:r>
        <w:t>ся круга ведения и правил процедуры, будет приниматься Бюро КФМ.</w:t>
      </w:r>
    </w:p>
    <w:p w14:paraId="29CBC41A" w14:textId="77777777" w:rsidR="007F24DF" w:rsidRDefault="007F24DF" w:rsidP="007F24DF">
      <w:pPr>
        <w:pStyle w:val="IPPParagraphnumbering"/>
      </w:pPr>
      <w:r>
        <w:t xml:space="preserve">КФМ приняла к сведению исправление, которое необходимо было внести в редакцию круга ведения на французском языке, в которой при переводе с английского языка слово </w:t>
      </w:r>
      <w:r>
        <w:rPr>
          <w:i/>
          <w:iCs/>
        </w:rPr>
        <w:t>must</w:t>
      </w:r>
      <w:r>
        <w:t xml:space="preserve"> (правильное использование) было переведено эквивалентом слова </w:t>
      </w:r>
      <w:r>
        <w:rPr>
          <w:i/>
          <w:iCs/>
        </w:rPr>
        <w:t>can</w:t>
      </w:r>
      <w:r>
        <w:t>.</w:t>
      </w:r>
    </w:p>
    <w:p w14:paraId="092ED983" w14:textId="77777777" w:rsidR="007F24DF" w:rsidRPr="006F7FD4" w:rsidRDefault="007F24DF" w:rsidP="007F24DF">
      <w:pPr>
        <w:pStyle w:val="IPPParagraphnumberingclose"/>
      </w:pPr>
      <w:r>
        <w:t>КФМ:</w:t>
      </w:r>
    </w:p>
    <w:p w14:paraId="655B35AD" w14:textId="77777777" w:rsidR="007F24DF" w:rsidRPr="006F7FD4" w:rsidRDefault="007F24DF" w:rsidP="007F24DF">
      <w:pPr>
        <w:pStyle w:val="IPPNumberedList"/>
        <w:numPr>
          <w:ilvl w:val="0"/>
          <w:numId w:val="96"/>
        </w:numPr>
      </w:pPr>
      <w:r>
        <w:rPr>
          <w:i/>
          <w:iCs/>
        </w:rPr>
        <w:t>утвердила</w:t>
      </w:r>
      <w:r>
        <w:t xml:space="preserve"> круг ведения и правила процедуры органа по надзору за урегулированием споров, представленные в документе CPM 2024/33; и</w:t>
      </w:r>
    </w:p>
    <w:p w14:paraId="77272BCD" w14:textId="77777777" w:rsidR="007F24DF" w:rsidRPr="00124DAB" w:rsidRDefault="007F24DF" w:rsidP="007F24DF">
      <w:pPr>
        <w:pStyle w:val="IPPNumberedList"/>
      </w:pPr>
      <w:r>
        <w:rPr>
          <w:i/>
          <w:iCs/>
        </w:rPr>
        <w:t xml:space="preserve">утвердила </w:t>
      </w:r>
      <w:r>
        <w:t>пересмотренный вариант упрощенной схемы процедуры урегулирования споров, представленный в Приложении 2 документа CPM 2024/33.</w:t>
      </w:r>
    </w:p>
    <w:p w14:paraId="32B0B1D2" w14:textId="77777777" w:rsidR="002D71B1" w:rsidRPr="006F7FD4" w:rsidRDefault="002D71B1" w:rsidP="002D71B1">
      <w:pPr>
        <w:pStyle w:val="IPPHeading1"/>
      </w:pPr>
      <w:r>
        <w:t>17.</w:t>
      </w:r>
      <w:r>
        <w:tab/>
        <w:t>Заседание по научным вопросам, посвященное тематическим исследованиям применения системных подходов</w:t>
      </w:r>
    </w:p>
    <w:p w14:paraId="3FA289D9" w14:textId="77777777" w:rsidR="002D71B1" w:rsidRPr="001057EA" w:rsidRDefault="002D71B1" w:rsidP="002D71B1">
      <w:pPr>
        <w:pStyle w:val="IPPParagraphnumbering"/>
      </w:pPr>
      <w:r>
        <w:t>Было проведено заседание по научным вопросам с целью изучения стратегических вопросов, связанных с применением системных подходов</w:t>
      </w:r>
      <w:r w:rsidRPr="006F7FD4">
        <w:rPr>
          <w:rStyle w:val="FootnoteReference"/>
          <w:lang w:val="en-GB"/>
        </w:rPr>
        <w:footnoteReference w:id="29"/>
      </w:r>
      <w:r>
        <w:t xml:space="preserve">. В ходе заседания состоялись подробные </w:t>
      </w:r>
      <w:r>
        <w:lastRenderedPageBreak/>
        <w:t>обсуждения проблем, успехов и решений в контексте применения системных подходов и полученного странами опыта использования МСФМ 14 ("Использование интегрированных мер в системном подходе к управлению фитосанитарным риском").</w:t>
      </w:r>
    </w:p>
    <w:p w14:paraId="598F2B63" w14:textId="77777777" w:rsidR="002D71B1" w:rsidRPr="006F7FD4" w:rsidRDefault="002D71B1" w:rsidP="002D71B1">
      <w:pPr>
        <w:pStyle w:val="IPPParagraphnumberingclose"/>
      </w:pPr>
      <w:r>
        <w:t>С докладами выступили:</w:t>
      </w:r>
    </w:p>
    <w:p w14:paraId="648061D5" w14:textId="77777777" w:rsidR="002D71B1" w:rsidRPr="006F7FD4" w:rsidRDefault="002D71B1" w:rsidP="002D71B1">
      <w:pPr>
        <w:pStyle w:val="IPPBullet1"/>
      </w:pPr>
      <w:r>
        <w:t>Рикс ван Клинкен (Организация Содружества по научным и промышленным исследованиям) – "Передовая практика и количественные перспективы";</w:t>
      </w:r>
    </w:p>
    <w:p w14:paraId="2C3625A9" w14:textId="77777777" w:rsidR="002D71B1" w:rsidRPr="006F7FD4" w:rsidRDefault="002D71B1" w:rsidP="002D71B1">
      <w:pPr>
        <w:pStyle w:val="IPPBullet1"/>
      </w:pPr>
      <w:r>
        <w:t>Мартин Эдгардо Делусис (Национальная служба здравоохранения и качества продовольствия) – "Практический опыт и проблемы";</w:t>
      </w:r>
    </w:p>
    <w:p w14:paraId="344F92D8" w14:textId="77777777" w:rsidR="002D71B1" w:rsidRPr="006F7FD4" w:rsidRDefault="002D71B1" w:rsidP="002D71B1">
      <w:pPr>
        <w:pStyle w:val="IPPBullet1"/>
      </w:pPr>
      <w:r>
        <w:t>Кори Пенка (Министерство сельского хозяйства США, Служба инспекции здоровья животных и растений, Отдел карантина и защиты растений) – "Опыт США в использовании системного подхода в целях экспорта"; а также</w:t>
      </w:r>
    </w:p>
    <w:p w14:paraId="6BC14920" w14:textId="77777777" w:rsidR="002D71B1" w:rsidRPr="006F7FD4" w:rsidRDefault="002D71B1" w:rsidP="002D71B1">
      <w:pPr>
        <w:pStyle w:val="IPPBullet1Last"/>
      </w:pPr>
      <w:r>
        <w:t>Джастин Уолл (Министерство сельского хозяйства США, Служба инспекции здоровья животных и растений, Отдел карантина и защиты растений, координатор программ по недопущению проникновения вредных организмов и импорту) – "Опыт США в использовании системного подхода в целях импорта".</w:t>
      </w:r>
    </w:p>
    <w:p w14:paraId="711F369A" w14:textId="77777777" w:rsidR="002D71B1" w:rsidRDefault="002D71B1" w:rsidP="002D71B1">
      <w:pPr>
        <w:pStyle w:val="IPPParagraphnumbering"/>
      </w:pPr>
      <w:r>
        <w:t>После чего состоялась тематическая дискуссия, участники которой ответили на вопросы присутствующих в зале делегатов.</w:t>
      </w:r>
    </w:p>
    <w:p w14:paraId="557E9407" w14:textId="77777777" w:rsidR="002D71B1" w:rsidRPr="008A2CC6" w:rsidRDefault="002D71B1" w:rsidP="002D71B1">
      <w:pPr>
        <w:pStyle w:val="IPPParagraphnumbering"/>
      </w:pPr>
      <w:r>
        <w:t>Представитель Бюро КФМ в качестве ведущего заседания обобщил основные выводы по итогам представления докладов и ответов на вопросы. Он подчеркнул важность системных подходов в обеспечении надлежащего уровня защиты для стран-импортеров, эквивалентного другим фитосанитарным мерам, таким как карантинная обработка. Он также подчеркнул, что научно обоснованные системные подходы позволяют регулировать риски распространения вредного организма таким образом, чтобы обеспечить эффективность и минимизировать ограничения торговли. Представитель Бюро принял к сведению поступившую из зала просьбу распространить тексты докладов и поблагодарил докладчиков и организаторов заседания. В заключение он призвал участников прислушаться к призыву к углублению сотрудничества в рамках сообщества МККЗР и использовать полученные сегодня знания при принятии последующих решений, а также для наращивания коллективных усилий сообщества МККЗР по охране здоровья растений.</w:t>
      </w:r>
    </w:p>
    <w:p w14:paraId="7401A18A" w14:textId="77777777" w:rsidR="002D71B1" w:rsidRPr="00655D25" w:rsidRDefault="002D71B1" w:rsidP="002D71B1">
      <w:pPr>
        <w:pStyle w:val="IPPHeading1"/>
      </w:pPr>
      <w:r>
        <w:t>18.</w:t>
      </w:r>
      <w:r>
        <w:tab/>
        <w:t>Успехи и сложности применения МККЗР</w:t>
      </w:r>
    </w:p>
    <w:p w14:paraId="7D9F1288" w14:textId="77777777" w:rsidR="002D71B1" w:rsidRPr="00655D25" w:rsidRDefault="002D71B1" w:rsidP="002D71B1">
      <w:pPr>
        <w:pStyle w:val="IPPParagraphnumberingclose"/>
      </w:pPr>
      <w:r>
        <w:t>Следующие Договаривающиеся Стороны рассказали об успехах, проблемах и решениях, связанных с осуществлением МККЗР</w:t>
      </w:r>
      <w:r w:rsidRPr="00655D25">
        <w:rPr>
          <w:rStyle w:val="FootnoteReference"/>
          <w:lang w:val="en-GB"/>
        </w:rPr>
        <w:footnoteReference w:id="30"/>
      </w:r>
      <w:r>
        <w:t>:</w:t>
      </w:r>
    </w:p>
    <w:p w14:paraId="5A96DEB8" w14:textId="77777777" w:rsidR="002D71B1" w:rsidRPr="00655D25" w:rsidRDefault="002D71B1" w:rsidP="002D71B1">
      <w:pPr>
        <w:pStyle w:val="IPPBullet1"/>
      </w:pPr>
      <w:r>
        <w:t>Аргентина – "Переход к безбумажному документообороту в Аргентине на основе системы электронной фитосанитарной сертификации МККЗР";</w:t>
      </w:r>
    </w:p>
    <w:p w14:paraId="68EB27A9" w14:textId="77777777" w:rsidR="002D71B1" w:rsidRPr="00655D25" w:rsidRDefault="002D71B1" w:rsidP="002D71B1">
      <w:pPr>
        <w:pStyle w:val="IPPBullet1"/>
      </w:pPr>
      <w:r>
        <w:t>Никарагуа – "Имитационные учения по борьбе с фузариозом тропической расы 4 (ТР 4) в Никарагуа";</w:t>
      </w:r>
    </w:p>
    <w:p w14:paraId="205D7109" w14:textId="77777777" w:rsidR="002D71B1" w:rsidRPr="00655D25" w:rsidRDefault="002D71B1" w:rsidP="002D71B1">
      <w:pPr>
        <w:pStyle w:val="IPPBullet1"/>
      </w:pPr>
      <w:r>
        <w:t>Филиппины – "Революция в охране здоровья растений: использование систем дистанционной микроскопии на Филиппинах";</w:t>
      </w:r>
    </w:p>
    <w:p w14:paraId="3BC63CAA" w14:textId="77777777" w:rsidR="002D71B1" w:rsidRPr="00655D25" w:rsidRDefault="002D71B1" w:rsidP="002D71B1">
      <w:pPr>
        <w:pStyle w:val="IPPBullet1"/>
      </w:pPr>
      <w:r>
        <w:t>Уганда – "Отказ от старого, внедрение нового: успешный опыт внедрения СЭФС в Уганде"; а также</w:t>
      </w:r>
    </w:p>
    <w:p w14:paraId="3F1209CB" w14:textId="77777777" w:rsidR="002D71B1" w:rsidRPr="00655D25" w:rsidRDefault="002D71B1" w:rsidP="002D71B1">
      <w:pPr>
        <w:pStyle w:val="IPPBullet1Last"/>
      </w:pPr>
      <w:r>
        <w:t>Узбекистан – "Оценка фитосанитарного потенциала в Узбекистане".</w:t>
      </w:r>
    </w:p>
    <w:p w14:paraId="6B35675D" w14:textId="77777777" w:rsidR="00B51923" w:rsidRPr="006F7FD4" w:rsidRDefault="00B51923" w:rsidP="00B51923">
      <w:pPr>
        <w:pStyle w:val="IPPHeading1"/>
      </w:pPr>
      <w:r>
        <w:lastRenderedPageBreak/>
        <w:t>19.</w:t>
      </w:r>
      <w:r>
        <w:tab/>
        <w:t>Финансовый отчет и бюджет</w:t>
      </w:r>
    </w:p>
    <w:p w14:paraId="7ACB4B19" w14:textId="77777777" w:rsidR="00B51923" w:rsidRPr="006F7FD4" w:rsidRDefault="00B51923" w:rsidP="00B51923">
      <w:pPr>
        <w:pStyle w:val="IPPHeading2"/>
      </w:pPr>
      <w:r>
        <w:t>19.1</w:t>
      </w:r>
      <w:r>
        <w:tab/>
        <w:t>Финансовый отчет МККЗР за 2023 год</w:t>
      </w:r>
    </w:p>
    <w:p w14:paraId="640D0912" w14:textId="77777777" w:rsidR="00B51923" w:rsidRDefault="00B51923" w:rsidP="00B51923">
      <w:pPr>
        <w:pStyle w:val="IPPParagraphnumbering"/>
      </w:pPr>
      <w:r>
        <w:t>Секретариат представил свой финансовый отчет о средствах, поступивших в 2023 году по линии бюджета Регулярной программы ФАО, а также из внебюджетных и нефинансовых источников</w:t>
      </w:r>
      <w:r w:rsidRPr="006F7FD4">
        <w:rPr>
          <w:rStyle w:val="FootnoteReference"/>
          <w:lang w:val="en-GB"/>
        </w:rPr>
        <w:footnoteReference w:id="31"/>
      </w:r>
      <w:r>
        <w:t>.</w:t>
      </w:r>
    </w:p>
    <w:p w14:paraId="6321F5A4" w14:textId="77777777" w:rsidR="00B51923" w:rsidRDefault="00B51923" w:rsidP="00B51923">
      <w:pPr>
        <w:pStyle w:val="IPPParagraphnumbering"/>
      </w:pPr>
      <w:r>
        <w:t>КФМ приняла к сведению информацию об обязательствах по предоставлению финансирования на 2024 год, взятых на себя Австралией (760 000 австралийских долларов) и Японией, а также взносы, уже внесенные Канадой (328 000 канадских долларов), Ирландией (100 000 евро) и Республикой Корея.</w:t>
      </w:r>
    </w:p>
    <w:p w14:paraId="28D98951" w14:textId="77777777" w:rsidR="00B51923" w:rsidRDefault="00B51923" w:rsidP="00B51923">
      <w:pPr>
        <w:pStyle w:val="IPPParagraphnumbering"/>
      </w:pPr>
      <w:r>
        <w:t>Председатель КФМ подчеркнул важность предоставления взносов в финансовой и натуральной форме и поблагодарил все ДС, которые уже предоставили такие взносы или обязались предоставить их в будущем.</w:t>
      </w:r>
    </w:p>
    <w:p w14:paraId="3C75C21E" w14:textId="77777777" w:rsidR="00B51923" w:rsidRPr="006F7FD4" w:rsidRDefault="00B51923" w:rsidP="00B51923">
      <w:pPr>
        <w:pStyle w:val="IPPParagraphnumberingclose"/>
      </w:pPr>
      <w:r>
        <w:t>КФМ:</w:t>
      </w:r>
    </w:p>
    <w:p w14:paraId="0CA4BCA3" w14:textId="77777777" w:rsidR="00B51923" w:rsidRPr="006F7FD4" w:rsidRDefault="00B51923" w:rsidP="00B51923">
      <w:pPr>
        <w:pStyle w:val="IPPNumberedList"/>
        <w:numPr>
          <w:ilvl w:val="0"/>
          <w:numId w:val="99"/>
        </w:numPr>
      </w:pPr>
      <w:r>
        <w:rPr>
          <w:i/>
          <w:iCs/>
        </w:rPr>
        <w:t>приняла к сведению</w:t>
      </w:r>
      <w:r>
        <w:t xml:space="preserve"> финансовый отчет Секретариата МККЗР за 2023 год;</w:t>
      </w:r>
    </w:p>
    <w:p w14:paraId="26E5747C" w14:textId="77777777" w:rsidR="00B51923" w:rsidRPr="006F7FD4" w:rsidRDefault="00B51923" w:rsidP="00B51923">
      <w:pPr>
        <w:pStyle w:val="IPPNumberedList"/>
      </w:pPr>
      <w:r>
        <w:rPr>
          <w:i/>
          <w:iCs/>
        </w:rPr>
        <w:t>утвердила</w:t>
      </w:r>
      <w:r>
        <w:t xml:space="preserve"> финансовый отчет Многостороннего целевого донорского фонда МККЗР (Специальный целевой фонд МККЗР) за 2023 год, представленный в документе CPM 2024/44;</w:t>
      </w:r>
    </w:p>
    <w:p w14:paraId="4BB28686" w14:textId="77777777" w:rsidR="00B51923" w:rsidRPr="006F7FD4" w:rsidRDefault="00B51923" w:rsidP="00B51923">
      <w:pPr>
        <w:pStyle w:val="IPPNumberedList"/>
      </w:pPr>
      <w:r>
        <w:rPr>
          <w:i/>
          <w:iCs/>
        </w:rPr>
        <w:t>призвала</w:t>
      </w:r>
      <w:r>
        <w:t xml:space="preserve"> Договаривающиеся Стороны вносить средства в Многосторонний донорский целевой фонд МККЗР (Специальный целевой фонд МККЗР) и предоставлять средства для финансирования проектов МККЗР, предпочтительно на постоянной основе; и</w:t>
      </w:r>
    </w:p>
    <w:p w14:paraId="1ADF957A" w14:textId="77777777" w:rsidR="00B51923" w:rsidRPr="006F7FD4" w:rsidRDefault="00B51923" w:rsidP="00184AF8">
      <w:pPr>
        <w:pStyle w:val="IPPNumberedList"/>
      </w:pPr>
      <w:r>
        <w:rPr>
          <w:i/>
          <w:iCs/>
        </w:rPr>
        <w:t>выразила благодарность</w:t>
      </w:r>
      <w:r>
        <w:t xml:space="preserve"> Договаривающимся Сторонам, которые в 2023 году внесли вклад в выполнение программы работы Секретариата МККЗР.</w:t>
      </w:r>
    </w:p>
    <w:p w14:paraId="0E763826" w14:textId="77777777" w:rsidR="00B51923" w:rsidRPr="006F7FD4" w:rsidRDefault="00B51923" w:rsidP="00B51923">
      <w:pPr>
        <w:pStyle w:val="IPPHeading2"/>
        <w:ind w:left="0" w:firstLine="0"/>
      </w:pPr>
      <w:r>
        <w:t>19.2.</w:t>
      </w:r>
      <w:r>
        <w:tab/>
        <w:t>План работы и бюджет Секретариата МККЗР на 2024 год</w:t>
      </w:r>
    </w:p>
    <w:p w14:paraId="6854C093" w14:textId="77777777" w:rsidR="00B51923" w:rsidRDefault="00B51923" w:rsidP="00B51923">
      <w:pPr>
        <w:pStyle w:val="IPPParagraphnumbering"/>
      </w:pPr>
      <w:r>
        <w:t>Секретариат представил План работы и бюджет Секретариата на 2024 год</w:t>
      </w:r>
      <w:r w:rsidRPr="00D66AC7">
        <w:rPr>
          <w:rStyle w:val="FootnoteReference"/>
          <w:lang w:val="en-GB"/>
        </w:rPr>
        <w:footnoteReference w:id="32"/>
      </w:r>
      <w:r>
        <w:t>, пояснив, что они увязаны со Стратегической рамочной программой МККЗР на 2020–2030 годы и охватывают все структуры Секретариата и все виды финансирования.</w:t>
      </w:r>
    </w:p>
    <w:p w14:paraId="166CBF24" w14:textId="77777777" w:rsidR="00B51923" w:rsidRPr="00E52FC3" w:rsidRDefault="00B51923" w:rsidP="00B51923">
      <w:pPr>
        <w:pStyle w:val="IPPParagraphnumbering"/>
      </w:pPr>
      <w:r>
        <w:t xml:space="preserve">КФМ рассмотрела вопрос, поднятый в отношении одного из пунктов плана работы – консультации по проекту спецификации для </w:t>
      </w:r>
      <w:r>
        <w:rPr>
          <w:bdr w:val="none" w:sz="0" w:space="0" w:color="auto" w:frame="1"/>
        </w:rPr>
        <w:t xml:space="preserve">проекта приложения "Разработка и применение системных подходов к фитосанитарной сертификации семян" (2018-009) к МСФМ 38 ("Международное перемещение семян"). КФМ отметила расхождения во мнениях между ДС и РОКЗР: одни представители предложили вместо пересмотра спецификации направить проект приложения для проведения консультаций </w:t>
      </w:r>
      <w:r>
        <w:t>в 2024 году, а другие сочли, что проект приложения направлять для проведения консультаций преждевременно. КФМ также отметила, что прогресс по этому вопросу может быть достигнут в ходе региональных совещаний, проводимых в рамках подготовки к совещанию КС в мае.</w:t>
      </w:r>
    </w:p>
    <w:p w14:paraId="64ED8598" w14:textId="77777777" w:rsidR="00B51923" w:rsidRPr="006F7FD4" w:rsidRDefault="00B51923" w:rsidP="00B51923">
      <w:pPr>
        <w:pStyle w:val="IPPParagraphnumberingclose"/>
      </w:pPr>
      <w:r>
        <w:t>КФМ:</w:t>
      </w:r>
    </w:p>
    <w:p w14:paraId="072AF6EF" w14:textId="77777777" w:rsidR="00B51923" w:rsidRDefault="00B51923" w:rsidP="00B51923">
      <w:pPr>
        <w:pStyle w:val="IPPNumberedList"/>
        <w:numPr>
          <w:ilvl w:val="0"/>
          <w:numId w:val="60"/>
        </w:numPr>
      </w:pPr>
      <w:r>
        <w:rPr>
          <w:i/>
          <w:iCs/>
        </w:rPr>
        <w:t>одобрила</w:t>
      </w:r>
      <w:r>
        <w:t xml:space="preserve"> план работы и бюджет Секретариата МККЗР на 2024 год; и</w:t>
      </w:r>
    </w:p>
    <w:p w14:paraId="164FD2B8" w14:textId="77777777" w:rsidR="00B51923" w:rsidRDefault="00B51923" w:rsidP="00184AF8">
      <w:pPr>
        <w:pStyle w:val="IPPNumberedList"/>
      </w:pPr>
      <w:r>
        <w:rPr>
          <w:i/>
          <w:bdr w:val="none" w:sz="0" w:space="0" w:color="auto" w:frame="1"/>
        </w:rPr>
        <w:t>рекомендовал</w:t>
      </w:r>
      <w:r>
        <w:rPr>
          <w:bdr w:val="none" w:sz="0" w:space="0" w:color="auto" w:frame="1"/>
        </w:rPr>
        <w:t>а КС на его совещании в мае 2024 года приложить все усилия для решения технических вопросов, касающихся проекта приложения "Разработка и применение системных подходов к фитосанитарной сертификации семян" (2018-009) к МСФМ 38 ("Международное перемещение семян"), и прийти к консенсусу относительно направления проекта приложения для проведения первого раунда консультаций в июле 2024 года, с тем чтобы избежать необоснованных задержек</w:t>
      </w:r>
      <w:r>
        <w:t>.</w:t>
      </w:r>
    </w:p>
    <w:p w14:paraId="450FE48C" w14:textId="77777777" w:rsidR="00D67CB6" w:rsidRPr="00874E43" w:rsidRDefault="00D67CB6" w:rsidP="00D67CB6">
      <w:pPr>
        <w:pStyle w:val="IPPHeading1"/>
      </w:pPr>
      <w:r>
        <w:lastRenderedPageBreak/>
        <w:t>20.</w:t>
      </w:r>
      <w:r>
        <w:tab/>
        <w:t>Осуществление Коммуникационной стратегии</w:t>
      </w:r>
    </w:p>
    <w:p w14:paraId="0DBFB045" w14:textId="77777777" w:rsidR="00D67CB6" w:rsidRDefault="00D67CB6" w:rsidP="00D67CB6">
      <w:pPr>
        <w:pStyle w:val="IPPParagraphnumbering"/>
      </w:pPr>
      <w:r>
        <w:t>Секретариат представил обновленную информацию о своей коммуникационной и информационно-просветительской деятельности</w:t>
      </w:r>
      <w:r w:rsidRPr="00874E43">
        <w:rPr>
          <w:rStyle w:val="FootnoteReference"/>
          <w:lang w:val="en-GB"/>
        </w:rPr>
        <w:footnoteReference w:id="33"/>
      </w:r>
      <w:r>
        <w:t>. Помимо сведений о результатах работы по всем восьми основным направлениям Коммуникационной стратегии МККЗР на 2023–2030 годы также была представлена обновленная информация о подготовке к проведению Международного дня охраны здоровья растений, который будет отмечаться 12 мая 2024 года. По итогам обсуждений с РОКЗР и на внутриорганизационном уровне Секретариат рекомендовал учредить централизованно управляемые региональные коммуникационные сети вместо создания сообщества специалистов-практиков в области коммуникаций, как это предусмотрено Коммуникационной стратегией. Кроме того, Секретариат рекомендовал учредить Руководящую группу для оказания консультационной поддержки в процессе учреждения таких сетей и для согласования круга их ведения, механизмов управления и порядка участия в их работе.</w:t>
      </w:r>
    </w:p>
    <w:p w14:paraId="0DD9FFA4" w14:textId="77777777" w:rsidR="00D67CB6" w:rsidRPr="00F81202" w:rsidRDefault="00D67CB6" w:rsidP="00D67CB6">
      <w:pPr>
        <w:pStyle w:val="IPPParagraphnumbering"/>
      </w:pPr>
      <w:r>
        <w:t>КФМ выразила признательность Секретариату за его подготовленные им качественные коммуникационные материалы.</w:t>
      </w:r>
    </w:p>
    <w:p w14:paraId="7F30EF5F" w14:textId="77777777" w:rsidR="00D67CB6" w:rsidRPr="000B44F7" w:rsidRDefault="00D67CB6" w:rsidP="00D67CB6">
      <w:pPr>
        <w:pStyle w:val="IPPParagraphnumbering"/>
      </w:pPr>
      <w:r>
        <w:t>Председатель КФМ проинформировал КФМ о том, что на своем совещании, состоявшемся на предыдущей неделе, Бюро постановило предложить КФМ на ее 18-й сессии (2024 год) настоятельно рекомендовать ФАО посвятить МДОЗР 2025 года теме "Единое здоровье".</w:t>
      </w:r>
    </w:p>
    <w:p w14:paraId="135C0394" w14:textId="77777777" w:rsidR="00D67CB6" w:rsidRPr="00C47AA5" w:rsidRDefault="00D67CB6" w:rsidP="00D67CB6">
      <w:pPr>
        <w:pStyle w:val="IPPParagraphnumberingclose"/>
      </w:pPr>
      <w:r>
        <w:t>КФМ:</w:t>
      </w:r>
    </w:p>
    <w:p w14:paraId="4C02062D" w14:textId="77777777" w:rsidR="00D67CB6" w:rsidRPr="00C47AA5" w:rsidRDefault="00D67CB6" w:rsidP="00D67CB6">
      <w:pPr>
        <w:pStyle w:val="IPPNumberedList"/>
        <w:numPr>
          <w:ilvl w:val="0"/>
          <w:numId w:val="101"/>
        </w:numPr>
      </w:pPr>
      <w:r>
        <w:rPr>
          <w:i/>
          <w:iCs/>
        </w:rPr>
        <w:t>приняла к сведению</w:t>
      </w:r>
      <w:r>
        <w:t xml:space="preserve"> обновленную информацию об осуществлении Коммуникационной стратегии МККЗР на 2023–2030 годы; </w:t>
      </w:r>
    </w:p>
    <w:p w14:paraId="04B3DC25" w14:textId="77777777" w:rsidR="00D67CB6" w:rsidRPr="00C47AA5" w:rsidRDefault="00D67CB6" w:rsidP="00D67CB6">
      <w:pPr>
        <w:pStyle w:val="IPPNumberedList"/>
      </w:pPr>
      <w:r>
        <w:rPr>
          <w:i/>
        </w:rPr>
        <w:t>одобрила</w:t>
      </w:r>
      <w:r>
        <w:t xml:space="preserve"> учреждение региональных сетей МККЗР по ведению коммуникационной работы и соответствующей Руководящей группы; и</w:t>
      </w:r>
    </w:p>
    <w:p w14:paraId="03112B39" w14:textId="77777777" w:rsidR="00D67CB6" w:rsidRDefault="00D67CB6" w:rsidP="00184AF8">
      <w:pPr>
        <w:pStyle w:val="IPPNumberedList"/>
      </w:pPr>
      <w:r>
        <w:rPr>
          <w:i/>
        </w:rPr>
        <w:t>настоятельно рекомендовала</w:t>
      </w:r>
      <w:r>
        <w:t xml:space="preserve"> ФАО посвятить Международный день охраны здоровья растений 2025 года теме "Важность здоровья растений для реализации подхода "Единое здоровье" и поручила Секретариат представить ФАО соответствующие материалы. </w:t>
      </w:r>
    </w:p>
    <w:p w14:paraId="44B3CA87" w14:textId="77777777" w:rsidR="00D67CB6" w:rsidRPr="006F7FD4" w:rsidRDefault="00D67CB6" w:rsidP="00D67CB6">
      <w:pPr>
        <w:pStyle w:val="IPPHeading1"/>
      </w:pPr>
      <w:r>
        <w:t>21.</w:t>
      </w:r>
      <w:r>
        <w:tab/>
        <w:t>Внешнее сотрудничество</w:t>
      </w:r>
    </w:p>
    <w:p w14:paraId="406D65F3" w14:textId="77777777" w:rsidR="00D67CB6" w:rsidRPr="006F7FD4" w:rsidRDefault="00D67CB6" w:rsidP="00D67CB6">
      <w:pPr>
        <w:pStyle w:val="IPPHeading2"/>
      </w:pPr>
      <w:r>
        <w:t>21.1</w:t>
      </w:r>
      <w:r>
        <w:tab/>
        <w:t>Обновленная информация о региональных семинарах МККЗР</w:t>
      </w:r>
    </w:p>
    <w:p w14:paraId="3FED0201" w14:textId="040E8AB0" w:rsidR="00D67CB6" w:rsidRDefault="00D67CB6" w:rsidP="00D67CB6">
      <w:pPr>
        <w:pStyle w:val="IPPParagraphnumbering"/>
      </w:pPr>
      <w:r>
        <w:t>Секретариат представил документ о региональных семинарах МККЗР, состоявшихся в 2023</w:t>
      </w:r>
      <w:r w:rsidR="001935E6">
        <w:t> </w:t>
      </w:r>
      <w:r>
        <w:t>году</w:t>
      </w:r>
      <w:r w:rsidRPr="006F7FD4">
        <w:rPr>
          <w:rStyle w:val="FootnoteReference"/>
          <w:lang w:val="en-GB"/>
        </w:rPr>
        <w:footnoteReference w:id="34"/>
      </w:r>
      <w:r>
        <w:t>, и особо отметил рекомендацию Бюро КФМ об увеличении продолжительности работы региональных семинаров до четырех дней.</w:t>
      </w:r>
    </w:p>
    <w:p w14:paraId="0272BB55" w14:textId="77777777" w:rsidR="00D67CB6" w:rsidRPr="007819B3" w:rsidRDefault="00D67CB6" w:rsidP="00D67CB6">
      <w:pPr>
        <w:pStyle w:val="IPPParagraphnumbering"/>
      </w:pPr>
      <w:r>
        <w:t>КФМ приняла к сведению предложение о том, чтобы Секретариат обсудил продолжительность и программу работы каждого семинара с соответствующими РОКЗР. Договаривающиеся Стороны также настоятельно призвали организационные комитеты семинаров предусмотреть проведение в рамках семинаров 2024 года специальных мероприятий, посвященных выявлению и обсуждению важных вопросов охраны здоровья растений, связанных с осуществлением МККЗР (см. пункт 9.2 повестки дня).</w:t>
      </w:r>
    </w:p>
    <w:p w14:paraId="06894CA0" w14:textId="77777777" w:rsidR="00D67CB6" w:rsidRPr="006F7FD4" w:rsidRDefault="00D67CB6" w:rsidP="00D67CB6">
      <w:pPr>
        <w:pStyle w:val="IPPParagraphnumberingclose"/>
      </w:pPr>
      <w:r>
        <w:t>КФМ:</w:t>
      </w:r>
    </w:p>
    <w:p w14:paraId="5C4D5810" w14:textId="77777777" w:rsidR="00D67CB6" w:rsidRPr="006F7FD4" w:rsidRDefault="00D67CB6" w:rsidP="00D67CB6">
      <w:pPr>
        <w:pStyle w:val="IPPNumberedList"/>
        <w:numPr>
          <w:ilvl w:val="0"/>
          <w:numId w:val="102"/>
        </w:numPr>
      </w:pPr>
      <w:r>
        <w:rPr>
          <w:i/>
          <w:iCs/>
        </w:rPr>
        <w:t>приняла к сведению</w:t>
      </w:r>
      <w:r>
        <w:t xml:space="preserve"> обновленную информацию о региональных семинарах МККЗР 2023 года; и</w:t>
      </w:r>
    </w:p>
    <w:p w14:paraId="1E3848A7" w14:textId="77777777" w:rsidR="00D67CB6" w:rsidRPr="006F7FD4" w:rsidRDefault="00D67CB6" w:rsidP="00184AF8">
      <w:pPr>
        <w:pStyle w:val="IPPNumberedList"/>
      </w:pPr>
      <w:r>
        <w:rPr>
          <w:i/>
        </w:rPr>
        <w:t>приняла к сведению</w:t>
      </w:r>
      <w:r>
        <w:t xml:space="preserve"> рекомендацию Бюро КФМ об увеличении продолжительности работы региональных семинаров до четырех дней и </w:t>
      </w:r>
      <w:r>
        <w:rPr>
          <w:i/>
        </w:rPr>
        <w:t>рекомендовала</w:t>
      </w:r>
      <w:r>
        <w:t xml:space="preserve"> Секретариату провести работу с каждой РОКЗР для согласования продолжительности каждого семинара и программы его работы.</w:t>
      </w:r>
    </w:p>
    <w:p w14:paraId="7047F9F8" w14:textId="77777777" w:rsidR="00D67CB6" w:rsidRPr="006F7FD4" w:rsidRDefault="00D67CB6" w:rsidP="00D67CB6">
      <w:pPr>
        <w:pStyle w:val="IPPHeading2"/>
      </w:pPr>
      <w:r>
        <w:lastRenderedPageBreak/>
        <w:t>21.2</w:t>
      </w:r>
      <w:r>
        <w:tab/>
        <w:t>Обновленная информация о международном сотрудничестве</w:t>
      </w:r>
    </w:p>
    <w:p w14:paraId="144D8DFE" w14:textId="77777777" w:rsidR="00D67CB6" w:rsidRPr="006F7FD4" w:rsidRDefault="00D67CB6" w:rsidP="00D67CB6">
      <w:pPr>
        <w:pStyle w:val="IPPParagraphnumbering"/>
      </w:pPr>
      <w:r>
        <w:t>Секретариат представил доклад об основных направлениях сотрудничества с международными организациями, научными и исследовательскими организациями и РОКЗР в 2023 году</w:t>
      </w:r>
      <w:r w:rsidRPr="006F7FD4">
        <w:rPr>
          <w:rStyle w:val="FootnoteReference"/>
          <w:lang w:val="en-GB"/>
        </w:rPr>
        <w:footnoteReference w:id="35"/>
      </w:r>
      <w:r>
        <w:t>.</w:t>
      </w:r>
    </w:p>
    <w:p w14:paraId="7E4CF627" w14:textId="77777777" w:rsidR="00D67CB6" w:rsidRDefault="00D67CB6" w:rsidP="00D67CB6">
      <w:pPr>
        <w:pStyle w:val="IPPParagraphnumbering"/>
      </w:pPr>
      <w:r>
        <w:t>Договаривающиеся Стороны призвали Секретариат продолжить участие в Бернском процессе по биоразнообразию и представить на рассмотрение КФМ доклад о проделанной работе. В связи с предложением о том, чтобы Секретариат МККЗР наладил взаимодействие с Секретариатом Конвенции о биологическом разнообразии (КБР) во избежание дублирования усилий в работе по тематике морских контейнеров, представитель Секретариата КБР заверил КФМ в том, что такое дублирование отсутствует и что доклад о результатах совместной работы с Секретариатом МККЗР будет вынесен на рассмотрение шестнадцатой Конференцией Сторон КБР.</w:t>
      </w:r>
    </w:p>
    <w:p w14:paraId="698C2ECD" w14:textId="77777777" w:rsidR="00D67CB6" w:rsidRPr="006F7FD4" w:rsidRDefault="00D67CB6" w:rsidP="00D67CB6">
      <w:pPr>
        <w:pStyle w:val="IPPParagraphnumberingclose"/>
      </w:pPr>
      <w:r>
        <w:t>КФМ:</w:t>
      </w:r>
    </w:p>
    <w:p w14:paraId="41EC5965" w14:textId="77777777" w:rsidR="00D67CB6" w:rsidRPr="006F7FD4" w:rsidRDefault="00D67CB6" w:rsidP="00D67CB6">
      <w:pPr>
        <w:pStyle w:val="IPPNumberedList"/>
        <w:numPr>
          <w:ilvl w:val="0"/>
          <w:numId w:val="103"/>
        </w:numPr>
        <w:spacing w:after="180"/>
      </w:pPr>
      <w:r>
        <w:rPr>
          <w:i/>
          <w:iCs/>
        </w:rPr>
        <w:t>приняла к сведению</w:t>
      </w:r>
      <w:r>
        <w:t xml:space="preserve"> доклад о международном сотрудничестве в 2023 году.</w:t>
      </w:r>
    </w:p>
    <w:p w14:paraId="232E5940" w14:textId="77777777" w:rsidR="00D67CB6" w:rsidRPr="00EF2B2D" w:rsidRDefault="00D67CB6" w:rsidP="00D67CB6">
      <w:pPr>
        <w:pStyle w:val="IPPHeading2"/>
      </w:pPr>
      <w:r>
        <w:t>21.3</w:t>
      </w:r>
      <w:r>
        <w:tab/>
        <w:t>Письменные доклады международных организаций</w:t>
      </w:r>
    </w:p>
    <w:p w14:paraId="4422B2C2" w14:textId="77777777" w:rsidR="00D67CB6" w:rsidRPr="00712597" w:rsidRDefault="00D67CB6" w:rsidP="00D67CB6">
      <w:pPr>
        <w:pStyle w:val="IPPParagraphnumberingclose"/>
      </w:pPr>
      <w:r>
        <w:t>Письменные доклады представили следующие международные организации</w:t>
      </w:r>
      <w:r w:rsidRPr="00EF2B2D">
        <w:rPr>
          <w:rStyle w:val="FootnoteReference"/>
          <w:lang w:val="en-GB"/>
        </w:rPr>
        <w:footnoteReference w:id="36"/>
      </w:r>
      <w:r>
        <w:t xml:space="preserve">: </w:t>
      </w:r>
    </w:p>
    <w:p w14:paraId="02309366" w14:textId="77777777" w:rsidR="00D67CB6" w:rsidRPr="008D3C86" w:rsidRDefault="00D67CB6" w:rsidP="00D67CB6">
      <w:pPr>
        <w:pStyle w:val="IPPBullet1"/>
      </w:pPr>
      <w:r>
        <w:t xml:space="preserve">Международный центр сельского хозяйства и биологических наук (КАБИ); </w:t>
      </w:r>
    </w:p>
    <w:p w14:paraId="1C935825" w14:textId="77777777" w:rsidR="00D67CB6" w:rsidRPr="008D3C86" w:rsidRDefault="00D67CB6" w:rsidP="00D67CB6">
      <w:pPr>
        <w:pStyle w:val="IPPBullet1"/>
      </w:pPr>
      <w:r>
        <w:t>Конвенция о биологическом разнообразии (КБР);</w:t>
      </w:r>
    </w:p>
    <w:p w14:paraId="5BA93DBD" w14:textId="77777777" w:rsidR="00D67CB6" w:rsidRPr="008D3C86" w:rsidRDefault="00D67CB6" w:rsidP="00D67CB6">
      <w:pPr>
        <w:pStyle w:val="IPPBullet1"/>
      </w:pPr>
      <w:r>
        <w:t>Комитет по связям между предпринимательством, сельским хозяйством и развитием (КОЛЕАД);</w:t>
      </w:r>
    </w:p>
    <w:p w14:paraId="06B25248" w14:textId="77777777" w:rsidR="00D67CB6" w:rsidRPr="008D3C86" w:rsidRDefault="00D67CB6" w:rsidP="00D67CB6">
      <w:pPr>
        <w:pStyle w:val="IPPBullet1"/>
      </w:pPr>
      <w:r>
        <w:t>Международный центр по перспективным агрономическим исследованиям в регионе Средиземноморья (МЦПАИС)</w:t>
      </w:r>
    </w:p>
    <w:p w14:paraId="020B46BD" w14:textId="77777777" w:rsidR="00D67CB6" w:rsidRPr="008D3C86" w:rsidRDefault="00D67CB6" w:rsidP="00D67CB6">
      <w:pPr>
        <w:pStyle w:val="IPPBullet1"/>
      </w:pPr>
      <w:r>
        <w:t>Международная группа по лесокарантинным исследованиям (МГЛКИ);</w:t>
      </w:r>
    </w:p>
    <w:p w14:paraId="05A56514" w14:textId="77777777" w:rsidR="00D67CB6" w:rsidRPr="008D3C86" w:rsidRDefault="00D67CB6" w:rsidP="00D67CB6">
      <w:pPr>
        <w:pStyle w:val="IPPBullet1"/>
      </w:pPr>
      <w:r>
        <w:t>Международная морская организация (ИМО);</w:t>
      </w:r>
    </w:p>
    <w:p w14:paraId="35236E62" w14:textId="77777777" w:rsidR="00D67CB6" w:rsidRPr="008D3C86" w:rsidRDefault="00D67CB6" w:rsidP="00D67CB6">
      <w:pPr>
        <w:pStyle w:val="IPPBullet1"/>
      </w:pPr>
      <w:r>
        <w:t>Международная федерация семеноводов (МФС)</w:t>
      </w:r>
    </w:p>
    <w:p w14:paraId="2B4E8654" w14:textId="77777777" w:rsidR="00D67CB6" w:rsidRPr="008D3C86" w:rsidRDefault="00D67CB6" w:rsidP="00D67CB6">
      <w:pPr>
        <w:pStyle w:val="IPPBullet1"/>
      </w:pPr>
      <w:r>
        <w:t>Совместный центр ФАО/МАГАТЭ по ядерным методам в области продовольствия и сельского хозяйства (МАГАТЭ);</w:t>
      </w:r>
    </w:p>
    <w:p w14:paraId="7E83FBD9" w14:textId="77777777" w:rsidR="00D67CB6" w:rsidRPr="008D3C86" w:rsidRDefault="00D67CB6" w:rsidP="00D67CB6">
      <w:pPr>
        <w:pStyle w:val="IPPBullet1"/>
      </w:pPr>
      <w:r>
        <w:t>Секретариат Международной коалиции по торговле зерном (МКТЗ);</w:t>
      </w:r>
    </w:p>
    <w:p w14:paraId="2861A649" w14:textId="77777777" w:rsidR="00D67CB6" w:rsidRPr="008D3C86" w:rsidRDefault="00D67CB6" w:rsidP="00D67CB6">
      <w:pPr>
        <w:pStyle w:val="IPPBullet1"/>
      </w:pPr>
      <w:r>
        <w:t>Секретариат по озоновому слою Монреальского протокола по веществам, разрушающим озоновый слой;</w:t>
      </w:r>
    </w:p>
    <w:p w14:paraId="453516B6" w14:textId="77777777" w:rsidR="00D67CB6" w:rsidRPr="008D3C86" w:rsidRDefault="00D67CB6" w:rsidP="00D67CB6">
      <w:pPr>
        <w:pStyle w:val="IPPBullet1"/>
      </w:pPr>
      <w:r>
        <w:t>Исследовательская группа по фитосанитарным мерам (ИГФМ);</w:t>
      </w:r>
    </w:p>
    <w:p w14:paraId="20B515F1" w14:textId="77777777" w:rsidR="00D67CB6" w:rsidRPr="008D3C86" w:rsidRDefault="00D67CB6" w:rsidP="00D67CB6">
      <w:pPr>
        <w:pStyle w:val="IPPBullet1"/>
      </w:pPr>
      <w:r>
        <w:t xml:space="preserve">Фонд содействия соблюдению стандартов и развитию торговли (ФСРТ); </w:t>
      </w:r>
    </w:p>
    <w:p w14:paraId="5E177F83" w14:textId="77777777" w:rsidR="00D67CB6" w:rsidRPr="008D3C86" w:rsidRDefault="00D67CB6" w:rsidP="00D67CB6">
      <w:pPr>
        <w:pStyle w:val="IPPBullet1Last"/>
      </w:pPr>
      <w:r>
        <w:t>Всемирная торговая организация (ВТО).</w:t>
      </w:r>
    </w:p>
    <w:p w14:paraId="4683B0F0" w14:textId="77777777" w:rsidR="00D67CB6" w:rsidRPr="00EF2B2D" w:rsidRDefault="00D67CB6" w:rsidP="00D67CB6">
      <w:pPr>
        <w:pStyle w:val="IPPParagraphnumberingclose"/>
      </w:pPr>
      <w:r>
        <w:t>КФМ:</w:t>
      </w:r>
    </w:p>
    <w:p w14:paraId="4527B3B0" w14:textId="77777777" w:rsidR="00D67CB6" w:rsidRDefault="00D67CB6" w:rsidP="00D67CB6">
      <w:pPr>
        <w:pStyle w:val="IPPNumberedList"/>
        <w:numPr>
          <w:ilvl w:val="0"/>
          <w:numId w:val="104"/>
        </w:numPr>
      </w:pPr>
      <w:r>
        <w:rPr>
          <w:i/>
          <w:iCs/>
        </w:rPr>
        <w:t>приняла к сведению</w:t>
      </w:r>
      <w:r>
        <w:t xml:space="preserve"> доклады международных организаций.</w:t>
      </w:r>
    </w:p>
    <w:p w14:paraId="015AF734" w14:textId="77777777" w:rsidR="003B3F83" w:rsidRPr="006F7FD4" w:rsidRDefault="003B3F83" w:rsidP="003B3F83">
      <w:pPr>
        <w:pStyle w:val="IPPHeading1"/>
      </w:pPr>
      <w:r>
        <w:t>22.</w:t>
      </w:r>
      <w:r>
        <w:tab/>
        <w:t>Членский состав и замещающие члены Бюро КФМ, Комитета по стандартам и Комитета по применению и развитию потенциала КФМ</w:t>
      </w:r>
    </w:p>
    <w:p w14:paraId="19CA3A58" w14:textId="77777777" w:rsidR="003B3F83" w:rsidRPr="006F7FD4" w:rsidRDefault="003B3F83" w:rsidP="003B3F83">
      <w:pPr>
        <w:pStyle w:val="IPPHeading2"/>
      </w:pPr>
      <w:r>
        <w:t>22.1</w:t>
      </w:r>
      <w:r>
        <w:tab/>
        <w:t>Членский состав и замещающие члены Бюро КФМ</w:t>
      </w:r>
    </w:p>
    <w:p w14:paraId="7E2CFB23" w14:textId="77777777" w:rsidR="003B3F83" w:rsidRDefault="003B3F83" w:rsidP="003B3F83">
      <w:pPr>
        <w:pStyle w:val="IPPParagraphnumbering"/>
      </w:pPr>
      <w:r>
        <w:t>КФМ было предложено утвердить члена Бюро КФМ от одного региона и избрать ряд замещающих членов Бюро КФМ</w:t>
      </w:r>
      <w:r w:rsidRPr="00712597">
        <w:rPr>
          <w:rStyle w:val="FootnoteReference"/>
          <w:lang w:val="en-GB"/>
        </w:rPr>
        <w:footnoteReference w:id="37"/>
      </w:r>
      <w:r>
        <w:t>.</w:t>
      </w:r>
    </w:p>
    <w:p w14:paraId="1EAB69C3" w14:textId="77777777" w:rsidR="003B3F83" w:rsidRPr="000C0CE2" w:rsidRDefault="003B3F83" w:rsidP="003B3F83">
      <w:pPr>
        <w:pStyle w:val="IPPParagraphnumbering"/>
      </w:pPr>
      <w:r>
        <w:lastRenderedPageBreak/>
        <w:t>КФМ приняла к сведению просьбу представить развернутую информацию о критериях отбора членов Бюро КФМ и КС. Секретарь МККЗР пояснил, что процесс отбора согласован и детально проработан в соответствующих документах. Он предложил Секретариату довести информацию о порядке отбора до всех регионов.</w:t>
      </w:r>
    </w:p>
    <w:p w14:paraId="31051942" w14:textId="77777777" w:rsidR="003B3F83" w:rsidRDefault="003B3F83" w:rsidP="003B3F83">
      <w:pPr>
        <w:pStyle w:val="IPPParagraphnumbering"/>
      </w:pPr>
      <w:r>
        <w:t>Председатель КФМ обратил внимание КФМ на решение, принятое Ближневосточным и Европейским регионами после неожиданной кончины представителя Бюро КФМ от ближневосточного региона. Оба региона пришли к согласию о том, что их представители будут занимать должности заместителей Председателя КФМ, Председателя ГСП и Председателя КФМ в течение соответствующего срока полномочий поочередно</w:t>
      </w:r>
      <w:r>
        <w:rPr>
          <w:rStyle w:val="FootnoteReference"/>
          <w:lang w:val="en-GB"/>
        </w:rPr>
        <w:footnoteReference w:id="38"/>
      </w:r>
      <w:r>
        <w:t>.</w:t>
      </w:r>
    </w:p>
    <w:p w14:paraId="2BA6D464" w14:textId="77777777" w:rsidR="003B3F83" w:rsidRDefault="003B3F83" w:rsidP="003B3F83">
      <w:pPr>
        <w:pStyle w:val="IPPParagraphnumbering"/>
      </w:pPr>
      <w:r>
        <w:t>Что касается замещающих членов Бюро КФМ, то Председатель КФМ проинформировал КФМ о том, что в соответствии с пожеланиями Североамериканского региона должность второго замещающего члена заполняться не будет.</w:t>
      </w:r>
    </w:p>
    <w:p w14:paraId="3A2ECAE2" w14:textId="77777777" w:rsidR="003B3F83" w:rsidRPr="006F7FD4" w:rsidRDefault="003B3F83" w:rsidP="003B3F83">
      <w:pPr>
        <w:pStyle w:val="IPPParagraphnumberingclose"/>
      </w:pPr>
      <w:r>
        <w:t>КФМ:</w:t>
      </w:r>
    </w:p>
    <w:p w14:paraId="302A0FAD" w14:textId="77777777" w:rsidR="003B3F83" w:rsidRPr="006F7FD4" w:rsidRDefault="003B3F83" w:rsidP="003B3F83">
      <w:pPr>
        <w:pStyle w:val="IPPNumberedList"/>
        <w:numPr>
          <w:ilvl w:val="0"/>
          <w:numId w:val="105"/>
        </w:numPr>
      </w:pPr>
      <w:r>
        <w:rPr>
          <w:i/>
        </w:rPr>
        <w:t>приняла к сведению</w:t>
      </w:r>
      <w:r>
        <w:t xml:space="preserve"> информацию о текущем членском составе Бюро КФМ, приведенную в Приложении 1А к документу CPM 2024/38;</w:t>
      </w:r>
    </w:p>
    <w:p w14:paraId="58A835F0" w14:textId="77777777" w:rsidR="003B3F83" w:rsidRPr="006F7FD4" w:rsidRDefault="003B3F83" w:rsidP="003B3F83">
      <w:pPr>
        <w:pStyle w:val="IPPNumberedList"/>
        <w:numPr>
          <w:ilvl w:val="0"/>
          <w:numId w:val="49"/>
        </w:numPr>
      </w:pPr>
      <w:r>
        <w:rPr>
          <w:i/>
        </w:rPr>
        <w:t>утвердила</w:t>
      </w:r>
      <w:r>
        <w:t xml:space="preserve"> кандидатуру Дриса БАРИКА (Марокко) в качестве члена Бюро КФМ от Ближневосточного региона (CPM 2024/CRP/08);</w:t>
      </w:r>
    </w:p>
    <w:p w14:paraId="482A2D13" w14:textId="77777777" w:rsidR="003B3F83" w:rsidRPr="006F7FD4" w:rsidRDefault="003B3F83" w:rsidP="003B3F83">
      <w:pPr>
        <w:pStyle w:val="IPPNumberedList"/>
      </w:pPr>
      <w:r>
        <w:rPr>
          <w:i/>
        </w:rPr>
        <w:t>приняла к сведению</w:t>
      </w:r>
      <w:r>
        <w:t xml:space="preserve"> информацию о текущем составе замещающих членов Бюро КФМ, приведенную в Приложении 1B к документу КФМ 2024/38; и</w:t>
      </w:r>
    </w:p>
    <w:p w14:paraId="15101988" w14:textId="77777777" w:rsidR="003B3F83" w:rsidRPr="006F7FD4" w:rsidRDefault="003B3F83" w:rsidP="00184AF8">
      <w:pPr>
        <w:pStyle w:val="IPPNumberedList"/>
      </w:pPr>
      <w:r>
        <w:rPr>
          <w:i/>
        </w:rPr>
        <w:t>избрала</w:t>
      </w:r>
      <w:r>
        <w:t xml:space="preserve"> замещающих членов Бюро КФМ от регионов Европы, Азии, Ближнего Востока и Северной Африки, а также юго-западной части Тихого океана, информация о которых приведена в документе CPM 2024/CRP/08.</w:t>
      </w:r>
    </w:p>
    <w:p w14:paraId="25B031E7" w14:textId="77777777" w:rsidR="003B3F83" w:rsidRPr="006F7FD4" w:rsidRDefault="003B3F83" w:rsidP="003B3F83">
      <w:pPr>
        <w:pStyle w:val="IPPHeading2"/>
      </w:pPr>
      <w:r>
        <w:t>22.2</w:t>
      </w:r>
      <w:r>
        <w:tab/>
        <w:t>Членский состав и замещающие члены КС</w:t>
      </w:r>
    </w:p>
    <w:p w14:paraId="737726EF" w14:textId="77777777" w:rsidR="003B3F83" w:rsidRPr="00712597" w:rsidRDefault="003B3F83" w:rsidP="003B3F83">
      <w:pPr>
        <w:pStyle w:val="IPPParagraphnumbering"/>
      </w:pPr>
      <w:r>
        <w:t>КФМ было предложено утвердить членский состав и замещающих членов КС</w:t>
      </w:r>
      <w:r w:rsidRPr="00712597">
        <w:rPr>
          <w:rStyle w:val="FootnoteReference"/>
          <w:lang w:val="en-GB"/>
        </w:rPr>
        <w:footnoteReference w:id="39"/>
      </w:r>
      <w:r>
        <w:t>.</w:t>
      </w:r>
    </w:p>
    <w:p w14:paraId="3D1D8B9F" w14:textId="77777777" w:rsidR="003B3F83" w:rsidRPr="006F7FD4" w:rsidRDefault="003B3F83" w:rsidP="003B3F83">
      <w:pPr>
        <w:pStyle w:val="IPPParagraphnumberingclose"/>
      </w:pPr>
      <w:r>
        <w:t>КФМ:</w:t>
      </w:r>
    </w:p>
    <w:p w14:paraId="318222B6" w14:textId="77777777" w:rsidR="003B3F83" w:rsidRPr="006F7FD4" w:rsidRDefault="003B3F83" w:rsidP="003B3F83">
      <w:pPr>
        <w:pStyle w:val="IPPNumberedList"/>
        <w:numPr>
          <w:ilvl w:val="0"/>
          <w:numId w:val="106"/>
        </w:numPr>
      </w:pPr>
      <w:r>
        <w:rPr>
          <w:i/>
        </w:rPr>
        <w:t>приняла к сведению</w:t>
      </w:r>
      <w:r>
        <w:t xml:space="preserve"> информацию о текущем членском составе КС, приведенную в Приложении 1A к документу CPM 2024/39, а также информацию о замещающих членах КС, приведенную в Приложении 1B к документу CPM 2024/39; и</w:t>
      </w:r>
    </w:p>
    <w:p w14:paraId="687A72B0" w14:textId="77777777" w:rsidR="003B3F83" w:rsidRPr="006F7FD4" w:rsidRDefault="003B3F83" w:rsidP="003B3F83">
      <w:pPr>
        <w:pStyle w:val="IPPNumberedList"/>
      </w:pPr>
      <w:r>
        <w:rPr>
          <w:i/>
          <w:iCs/>
        </w:rPr>
        <w:t>утвердила</w:t>
      </w:r>
      <w:r>
        <w:t xml:space="preserve"> кандидатуры новых и замещающих членов КС и очередность замещения для каждого региона (см. документ CPM 2024/CRP/08); и</w:t>
      </w:r>
    </w:p>
    <w:p w14:paraId="3C8EAA39" w14:textId="77777777" w:rsidR="003B3F83" w:rsidRPr="006F7FD4" w:rsidRDefault="003B3F83" w:rsidP="003B3F83">
      <w:pPr>
        <w:pStyle w:val="IPPNumberedList"/>
      </w:pPr>
      <w:r>
        <w:rPr>
          <w:i/>
        </w:rPr>
        <w:t>выразила признательность</w:t>
      </w:r>
      <w:r>
        <w:t xml:space="preserve"> членам КС, оставившим занимаемые ими должности в КС со времени завершения 17-й сессии КФМ: </w:t>
      </w:r>
    </w:p>
    <w:p w14:paraId="48250FD8" w14:textId="77777777" w:rsidR="003B3F83" w:rsidRPr="006F7FD4" w:rsidRDefault="003B3F83" w:rsidP="003B3F83">
      <w:pPr>
        <w:pStyle w:val="IPPBullet2"/>
      </w:pPr>
      <w:r>
        <w:t>Коста-Рика, Эрнандо Морера ГОНСАЛЕС,</w:t>
      </w:r>
    </w:p>
    <w:p w14:paraId="50DDA1B7" w14:textId="77777777" w:rsidR="003B3F83" w:rsidRPr="006F7FD4" w:rsidRDefault="003B3F83" w:rsidP="003B3F83">
      <w:pPr>
        <w:pStyle w:val="IPPBullet2"/>
      </w:pPr>
      <w:r>
        <w:t>Исламская Республика Иран, Марьям Джалили МОГАДАМ,</w:t>
      </w:r>
    </w:p>
    <w:p w14:paraId="6191D7EC" w14:textId="77777777" w:rsidR="003B3F83" w:rsidRPr="006F7FD4" w:rsidRDefault="003B3F83" w:rsidP="003B3F83">
      <w:pPr>
        <w:pStyle w:val="IPPBullet2"/>
      </w:pPr>
      <w:r>
        <w:t xml:space="preserve">Судан, Абдельмонейм Исмаил АДРА АБДЕТАМ; </w:t>
      </w:r>
    </w:p>
    <w:p w14:paraId="33156EE6" w14:textId="77777777" w:rsidR="003B3F83" w:rsidRPr="006F7FD4" w:rsidRDefault="003B3F83" w:rsidP="003B3F83">
      <w:pPr>
        <w:pStyle w:val="IPPBullet2"/>
      </w:pPr>
      <w:r>
        <w:t>Таиланд, Чонтича РАККРАЙ; и</w:t>
      </w:r>
    </w:p>
    <w:p w14:paraId="584C3230" w14:textId="77777777" w:rsidR="003B3F83" w:rsidRPr="006F7FD4" w:rsidRDefault="003B3F83" w:rsidP="003B3F83">
      <w:pPr>
        <w:pStyle w:val="IPPBullet2"/>
        <w:spacing w:after="180"/>
      </w:pPr>
      <w:r>
        <w:t>Соединенное Королевство Великобритании и Северной Ирландии, Самьюэл БИШОП</w:t>
      </w:r>
    </w:p>
    <w:p w14:paraId="7E2E43F6" w14:textId="77777777" w:rsidR="003B3F83" w:rsidRPr="006F7FD4" w:rsidRDefault="003B3F83" w:rsidP="003B3F83">
      <w:pPr>
        <w:pStyle w:val="IPPHeading2"/>
      </w:pPr>
      <w:r>
        <w:t>22.3</w:t>
      </w:r>
      <w:r>
        <w:tab/>
        <w:t>Членский состав и замещающие члены КП</w:t>
      </w:r>
    </w:p>
    <w:p w14:paraId="4FF21D1E" w14:textId="77777777" w:rsidR="003B3F83" w:rsidRPr="006F7FD4" w:rsidRDefault="003B3F83" w:rsidP="003B3F83">
      <w:pPr>
        <w:pStyle w:val="IPPParagraphnumbering"/>
      </w:pPr>
      <w:r>
        <w:t>Секретариат предложил КФМ утвердить членский состав и замещающих членов КП</w:t>
      </w:r>
      <w:r w:rsidRPr="006F7FD4">
        <w:rPr>
          <w:rStyle w:val="FootnoteReference"/>
          <w:lang w:val="en-GB"/>
        </w:rPr>
        <w:footnoteReference w:id="40"/>
      </w:r>
      <w:r>
        <w:t>.</w:t>
      </w:r>
    </w:p>
    <w:p w14:paraId="1653DF58" w14:textId="77777777" w:rsidR="003B3F83" w:rsidRPr="006F7FD4" w:rsidRDefault="003B3F83" w:rsidP="003B3F83">
      <w:pPr>
        <w:pStyle w:val="IPPParagraphnumberingclose"/>
      </w:pPr>
      <w:r>
        <w:lastRenderedPageBreak/>
        <w:t>КФМ:</w:t>
      </w:r>
    </w:p>
    <w:p w14:paraId="2AABE579" w14:textId="27837C19" w:rsidR="003B3F83" w:rsidRPr="006F7FD4" w:rsidRDefault="003B3F83" w:rsidP="003B3F83">
      <w:pPr>
        <w:pStyle w:val="IPPNumberedList"/>
        <w:numPr>
          <w:ilvl w:val="0"/>
          <w:numId w:val="107"/>
        </w:numPr>
      </w:pPr>
      <w:r>
        <w:rPr>
          <w:i/>
        </w:rPr>
        <w:t>утвердила</w:t>
      </w:r>
      <w:r>
        <w:t xml:space="preserve"> членский состав Комитета по применению и развитию потенциала, а также кандидатуры замещающих членов и очередность замещения членов для каждого региона, как это отражено в Приложении 1 к документу CPM 2024/40_Rev1;</w:t>
      </w:r>
    </w:p>
    <w:p w14:paraId="1F8F16C5" w14:textId="77777777" w:rsidR="003B3F83" w:rsidRPr="00022C08" w:rsidRDefault="003B3F83" w:rsidP="003B3F83">
      <w:pPr>
        <w:pStyle w:val="IPPNumberedList"/>
      </w:pPr>
      <w:r>
        <w:rPr>
          <w:i/>
          <w:iCs/>
        </w:rPr>
        <w:t>призвала</w:t>
      </w:r>
      <w:r>
        <w:rPr>
          <w:i/>
        </w:rPr>
        <w:t xml:space="preserve"> </w:t>
      </w:r>
      <w:r>
        <w:t>Азию и юго-западную часть Тихого океана назначить замещающих членов КП от этих регионов; и</w:t>
      </w:r>
    </w:p>
    <w:p w14:paraId="4F6945CD" w14:textId="77777777" w:rsidR="003B3F83" w:rsidRPr="006F7FD4" w:rsidRDefault="003B3F83" w:rsidP="003B3F83">
      <w:pPr>
        <w:pStyle w:val="IPPNumberedList"/>
      </w:pPr>
      <w:r>
        <w:rPr>
          <w:i/>
          <w:iCs/>
        </w:rPr>
        <w:t>выразила признательность</w:t>
      </w:r>
      <w:r>
        <w:t xml:space="preserve"> следующим вышедшим в отставку членам КП за их вклад в его работу:</w:t>
      </w:r>
    </w:p>
    <w:p w14:paraId="14A7B932" w14:textId="77777777" w:rsidR="003B3F83" w:rsidRPr="006F7FD4" w:rsidRDefault="003B3F83" w:rsidP="003B3F83">
      <w:pPr>
        <w:pStyle w:val="IPPBullet2"/>
      </w:pPr>
      <w:r>
        <w:t>Рут АРЕВАЛО МАСИАС (Чили);</w:t>
      </w:r>
    </w:p>
    <w:p w14:paraId="01785FFA" w14:textId="77777777" w:rsidR="003B3F83" w:rsidRPr="006F7FD4" w:rsidRDefault="003B3F83" w:rsidP="003B3F83">
      <w:pPr>
        <w:pStyle w:val="IPPBullet2"/>
      </w:pPr>
      <w:bookmarkStart w:id="1" w:name="_Hlk163201614"/>
      <w:r>
        <w:t>Лалит БАНДУЛ КУМАРАСИНГЕ (Новая Зеландия);</w:t>
      </w:r>
    </w:p>
    <w:bookmarkEnd w:id="1"/>
    <w:p w14:paraId="02069EC4" w14:textId="77777777" w:rsidR="003B3F83" w:rsidRPr="006F7FD4" w:rsidRDefault="003B3F83" w:rsidP="003B3F83">
      <w:pPr>
        <w:pStyle w:val="IPPBullet2"/>
      </w:pPr>
      <w:r>
        <w:t>Стефани БЛУМ (Соединенные Штаты Америки);</w:t>
      </w:r>
    </w:p>
    <w:p w14:paraId="5305675F" w14:textId="77777777" w:rsidR="003B3F83" w:rsidRPr="006F7FD4" w:rsidRDefault="003B3F83" w:rsidP="003B3F83">
      <w:pPr>
        <w:pStyle w:val="IPPBullet2"/>
      </w:pPr>
      <w:r>
        <w:t>Нилеш Ами ЧАНД (Фиджи);</w:t>
      </w:r>
    </w:p>
    <w:p w14:paraId="115B8642" w14:textId="77777777" w:rsidR="003B3F83" w:rsidRPr="006F7FD4" w:rsidRDefault="003B3F83" w:rsidP="003B3F83">
      <w:pPr>
        <w:pStyle w:val="IPPBullet2"/>
      </w:pPr>
      <w:r>
        <w:t>Кристофер ДЕЙЛ (Австралия); и</w:t>
      </w:r>
    </w:p>
    <w:p w14:paraId="7F3A5BED" w14:textId="77777777" w:rsidR="003B3F83" w:rsidRPr="00FE4BBF" w:rsidRDefault="003B3F83" w:rsidP="003B3F83">
      <w:pPr>
        <w:pStyle w:val="IPPBullet2"/>
        <w:spacing w:after="180"/>
        <w:rPr>
          <w:color w:val="7030A0"/>
        </w:rPr>
      </w:pPr>
      <w:r>
        <w:t>Магда ГОНСАЛЕС АРРОЙО (Коста-Рика).</w:t>
      </w:r>
    </w:p>
    <w:p w14:paraId="7CE59E03" w14:textId="77777777" w:rsidR="003B3F83" w:rsidRPr="00D629B3" w:rsidRDefault="003B3F83" w:rsidP="003B3F83">
      <w:pPr>
        <w:pStyle w:val="IPPParagraphnumbering"/>
      </w:pPr>
      <w:r>
        <w:t>Секретарь МККЗР от имени КФМ поблагодарил бывших и оставляющих свои должности членов Бюро КФМ, КС и КП, а также отметил вклад четырех членов сообщества МККЗР, выходящих в отставку после длительного периода работы.</w:t>
      </w:r>
    </w:p>
    <w:p w14:paraId="05E15FB6" w14:textId="77777777" w:rsidR="00375503" w:rsidRPr="006F7FD4" w:rsidRDefault="00375503" w:rsidP="00375503">
      <w:pPr>
        <w:pStyle w:val="IPPHeading1"/>
      </w:pPr>
      <w:r>
        <w:t>23.</w:t>
      </w:r>
      <w:r>
        <w:tab/>
        <w:t>Разное</w:t>
      </w:r>
    </w:p>
    <w:p w14:paraId="37304320" w14:textId="1E1D570E" w:rsidR="000B2ADC" w:rsidRPr="002B2B11" w:rsidRDefault="00375503" w:rsidP="00211EF3">
      <w:pPr>
        <w:pStyle w:val="IPPParagraphnumbering"/>
      </w:pPr>
      <w:r>
        <w:t>В ходе 18-й сессии КФМ (2024 год) состоялись два параллельных заседания: по электронной торговле и фузариозу ТР 4. Перед началом сессии КФМ также состоялось установочное заседание.</w:t>
      </w:r>
    </w:p>
    <w:sectPr w:rsidR="000B2ADC" w:rsidRPr="002B2B11" w:rsidSect="00122E1D">
      <w:footerReference w:type="default" r:id="rId11"/>
      <w:pgSz w:w="11906" w:h="16838" w:code="9"/>
      <w:pgMar w:top="1559" w:right="1418" w:bottom="1418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C832B" w14:textId="77777777" w:rsidR="00122E1D" w:rsidRDefault="00122E1D" w:rsidP="00A911B8">
      <w:r>
        <w:separator/>
      </w:r>
    </w:p>
  </w:endnote>
  <w:endnote w:type="continuationSeparator" w:id="0">
    <w:p w14:paraId="588830BA" w14:textId="77777777" w:rsidR="00122E1D" w:rsidRDefault="00122E1D" w:rsidP="00A911B8">
      <w:r>
        <w:continuationSeparator/>
      </w:r>
    </w:p>
  </w:endnote>
  <w:endnote w:type="continuationNotice" w:id="1">
    <w:p w14:paraId="62B892F2" w14:textId="77777777" w:rsidR="00122E1D" w:rsidRDefault="00122E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96446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945174" w14:textId="6A84D5EE" w:rsidR="00A911B8" w:rsidRDefault="00A911B8">
        <w:pPr>
          <w:pStyle w:val="Footer"/>
          <w:jc w:val="center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>
          <w:t>2</w:t>
        </w:r>
        <w:r>
          <w:rPr>
            <w:color w:val="2B579A"/>
            <w:shd w:val="clear" w:color="auto" w:fill="E6E6E6"/>
          </w:rPr>
          <w:fldChar w:fldCharType="end"/>
        </w:r>
      </w:p>
    </w:sdtContent>
  </w:sdt>
  <w:p w14:paraId="68B5DA46" w14:textId="77777777" w:rsidR="00A911B8" w:rsidRDefault="00A911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947A5" w14:textId="77777777" w:rsidR="00122E1D" w:rsidRDefault="00122E1D" w:rsidP="00A911B8">
      <w:r>
        <w:separator/>
      </w:r>
    </w:p>
  </w:footnote>
  <w:footnote w:type="continuationSeparator" w:id="0">
    <w:p w14:paraId="74938DED" w14:textId="77777777" w:rsidR="00122E1D" w:rsidRDefault="00122E1D" w:rsidP="00A911B8">
      <w:r>
        <w:continuationSeparator/>
      </w:r>
    </w:p>
  </w:footnote>
  <w:footnote w:type="continuationNotice" w:id="1">
    <w:p w14:paraId="55E4AB84" w14:textId="77777777" w:rsidR="00122E1D" w:rsidRDefault="00122E1D"/>
  </w:footnote>
  <w:footnote w:id="2">
    <w:p w14:paraId="443EF3C2" w14:textId="77777777" w:rsidR="00393659" w:rsidRDefault="00393659" w:rsidP="00393659">
      <w:pPr>
        <w:pStyle w:val="IPPFootnote"/>
      </w:pPr>
      <w:r>
        <w:rPr>
          <w:rStyle w:val="FootnoteReference"/>
        </w:rPr>
        <w:footnoteRef/>
      </w:r>
      <w:r>
        <w:t xml:space="preserve"> CPM Bureau 2023/10, пункт 5 повестки дня.</w:t>
      </w:r>
    </w:p>
  </w:footnote>
  <w:footnote w:id="3">
    <w:p w14:paraId="1BB765B8" w14:textId="77777777" w:rsidR="000B2ADC" w:rsidRPr="00184AF8" w:rsidRDefault="000B2ADC" w:rsidP="000B2ADC">
      <w:pPr>
        <w:pStyle w:val="IPPFootnote"/>
        <w:rPr>
          <w:lang w:val="en-US"/>
        </w:rPr>
      </w:pPr>
      <w:r>
        <w:rPr>
          <w:rStyle w:val="FootnoteReference"/>
        </w:rPr>
        <w:footnoteRef/>
      </w:r>
      <w:r w:rsidRPr="00184AF8">
        <w:rPr>
          <w:lang w:val="en-US"/>
        </w:rPr>
        <w:t xml:space="preserve"> CPM 2024/14.</w:t>
      </w:r>
    </w:p>
  </w:footnote>
  <w:footnote w:id="4">
    <w:p w14:paraId="65C60867" w14:textId="77777777" w:rsidR="000B2ADC" w:rsidRPr="00184AF8" w:rsidRDefault="000B2ADC" w:rsidP="000B2ADC">
      <w:pPr>
        <w:pStyle w:val="IPPFootnote"/>
        <w:rPr>
          <w:lang w:val="en-US"/>
        </w:rPr>
      </w:pPr>
      <w:r>
        <w:rPr>
          <w:rStyle w:val="FootnoteReference"/>
        </w:rPr>
        <w:footnoteRef/>
      </w:r>
      <w:r w:rsidRPr="00184AF8">
        <w:rPr>
          <w:lang w:val="en-US"/>
        </w:rPr>
        <w:t xml:space="preserve"> CPM 2024/15_Rev1.</w:t>
      </w:r>
    </w:p>
  </w:footnote>
  <w:footnote w:id="5">
    <w:p w14:paraId="793D38F9" w14:textId="77777777" w:rsidR="000B2ADC" w:rsidRPr="00184AF8" w:rsidRDefault="000B2ADC" w:rsidP="000B2ADC">
      <w:pPr>
        <w:pStyle w:val="IPPFootnote"/>
        <w:rPr>
          <w:lang w:val="en-US"/>
        </w:rPr>
      </w:pPr>
      <w:r>
        <w:rPr>
          <w:rStyle w:val="FootnoteReference"/>
        </w:rPr>
        <w:footnoteRef/>
      </w:r>
      <w:r w:rsidRPr="00184AF8">
        <w:rPr>
          <w:lang w:val="en-US"/>
        </w:rPr>
        <w:t xml:space="preserve"> CPM 2024/CRP/05.</w:t>
      </w:r>
    </w:p>
  </w:footnote>
  <w:footnote w:id="6">
    <w:p w14:paraId="3CBF9554" w14:textId="77777777" w:rsidR="000B2ADC" w:rsidRPr="00184AF8" w:rsidRDefault="000B2ADC" w:rsidP="000B2ADC">
      <w:pPr>
        <w:pStyle w:val="IPPFootnote"/>
        <w:rPr>
          <w:lang w:val="en-US"/>
        </w:rPr>
      </w:pPr>
      <w:r>
        <w:rPr>
          <w:rStyle w:val="FootnoteReference"/>
        </w:rPr>
        <w:footnoteRef/>
      </w:r>
      <w:r w:rsidRPr="00184AF8">
        <w:rPr>
          <w:lang w:val="en-US"/>
        </w:rPr>
        <w:t xml:space="preserve"> CPM2024/CRP/10.</w:t>
      </w:r>
    </w:p>
  </w:footnote>
  <w:footnote w:id="7">
    <w:p w14:paraId="2E5DAE51" w14:textId="77777777" w:rsidR="00F514A6" w:rsidRPr="00184AF8" w:rsidRDefault="00F514A6" w:rsidP="00F514A6">
      <w:pPr>
        <w:pStyle w:val="IPPFootnote"/>
        <w:rPr>
          <w:lang w:val="en-US"/>
        </w:rPr>
      </w:pPr>
      <w:r>
        <w:rPr>
          <w:rStyle w:val="FootnoteReference"/>
        </w:rPr>
        <w:footnoteRef/>
      </w:r>
      <w:r w:rsidRPr="00184AF8">
        <w:rPr>
          <w:lang w:val="en-US"/>
        </w:rPr>
        <w:t xml:space="preserve"> CPM 2024/21.</w:t>
      </w:r>
    </w:p>
  </w:footnote>
  <w:footnote w:id="8">
    <w:p w14:paraId="5AF520FB" w14:textId="77777777" w:rsidR="00F514A6" w:rsidRPr="00184AF8" w:rsidRDefault="00F514A6" w:rsidP="00F514A6">
      <w:pPr>
        <w:pStyle w:val="IPPFootnote"/>
        <w:rPr>
          <w:lang w:val="en-US"/>
        </w:rPr>
      </w:pPr>
      <w:r>
        <w:rPr>
          <w:rStyle w:val="FootnoteReference"/>
        </w:rPr>
        <w:footnoteRef/>
      </w:r>
      <w:r w:rsidRPr="00184AF8">
        <w:rPr>
          <w:lang w:val="en-US"/>
        </w:rPr>
        <w:t xml:space="preserve"> CPM 2024/CRP/05.</w:t>
      </w:r>
    </w:p>
  </w:footnote>
  <w:footnote w:id="9">
    <w:p w14:paraId="08FF28EF" w14:textId="77777777" w:rsidR="00F514A6" w:rsidRPr="00184AF8" w:rsidRDefault="00F514A6" w:rsidP="00F514A6">
      <w:pPr>
        <w:pStyle w:val="IPPFootnote"/>
        <w:rPr>
          <w:lang w:val="en-US"/>
        </w:rPr>
      </w:pPr>
      <w:r>
        <w:rPr>
          <w:rStyle w:val="FootnoteReference"/>
        </w:rPr>
        <w:footnoteRef/>
      </w:r>
      <w:r w:rsidRPr="00184AF8">
        <w:rPr>
          <w:lang w:val="en-US"/>
        </w:rPr>
        <w:t xml:space="preserve"> CPM 2024/CRP/09.</w:t>
      </w:r>
    </w:p>
  </w:footnote>
  <w:footnote w:id="10">
    <w:p w14:paraId="3FD213F1" w14:textId="77777777" w:rsidR="00F514A6" w:rsidRPr="00184AF8" w:rsidRDefault="00F514A6" w:rsidP="00F514A6">
      <w:pPr>
        <w:pStyle w:val="IPPFootnote"/>
        <w:rPr>
          <w:lang w:val="en-US"/>
        </w:rPr>
      </w:pPr>
      <w:r>
        <w:rPr>
          <w:rStyle w:val="FootnoteReference"/>
        </w:rPr>
        <w:footnoteRef/>
      </w:r>
      <w:r w:rsidRPr="00184AF8">
        <w:rPr>
          <w:lang w:val="en-US"/>
        </w:rPr>
        <w:t xml:space="preserve"> CPM 2024/22.</w:t>
      </w:r>
    </w:p>
  </w:footnote>
  <w:footnote w:id="11">
    <w:p w14:paraId="7953EA73" w14:textId="77777777" w:rsidR="00F514A6" w:rsidRPr="00184AF8" w:rsidRDefault="00F514A6" w:rsidP="00F514A6">
      <w:pPr>
        <w:pStyle w:val="IPPFootnote"/>
        <w:rPr>
          <w:lang w:val="en-US"/>
        </w:rPr>
      </w:pPr>
      <w:r>
        <w:rPr>
          <w:rStyle w:val="FootnoteReference"/>
        </w:rPr>
        <w:footnoteRef/>
      </w:r>
      <w:r w:rsidRPr="00184AF8">
        <w:rPr>
          <w:lang w:val="en-US"/>
        </w:rPr>
        <w:t xml:space="preserve"> CPM 2024/CRP/11.</w:t>
      </w:r>
    </w:p>
  </w:footnote>
  <w:footnote w:id="12">
    <w:p w14:paraId="094CD995" w14:textId="77777777" w:rsidR="003C2CC2" w:rsidRPr="00184AF8" w:rsidRDefault="003C2CC2" w:rsidP="003C2CC2">
      <w:pPr>
        <w:pStyle w:val="IPPFootnote"/>
        <w:rPr>
          <w:lang w:val="en-US"/>
        </w:rPr>
      </w:pPr>
      <w:r>
        <w:rPr>
          <w:rStyle w:val="FootnoteReference"/>
        </w:rPr>
        <w:footnoteRef/>
      </w:r>
      <w:r w:rsidRPr="00184AF8">
        <w:rPr>
          <w:lang w:val="en-US"/>
        </w:rPr>
        <w:t xml:space="preserve"> CPM 2024/25.</w:t>
      </w:r>
    </w:p>
  </w:footnote>
  <w:footnote w:id="13">
    <w:p w14:paraId="6443DF86" w14:textId="77777777" w:rsidR="003C2CC2" w:rsidRPr="00184AF8" w:rsidRDefault="003C2CC2" w:rsidP="003C2CC2">
      <w:pPr>
        <w:pStyle w:val="IPPFootnote"/>
        <w:rPr>
          <w:lang w:val="en-US"/>
        </w:rPr>
      </w:pPr>
      <w:r>
        <w:rPr>
          <w:rStyle w:val="FootnoteReference"/>
        </w:rPr>
        <w:footnoteRef/>
      </w:r>
      <w:r w:rsidRPr="00184AF8">
        <w:rPr>
          <w:lang w:val="en-US"/>
        </w:rPr>
        <w:t xml:space="preserve"> CPM 2024/25_01.</w:t>
      </w:r>
    </w:p>
  </w:footnote>
  <w:footnote w:id="14">
    <w:p w14:paraId="1AE312F0" w14:textId="77777777" w:rsidR="003C2CC2" w:rsidRPr="00184AF8" w:rsidRDefault="003C2CC2" w:rsidP="003C2CC2">
      <w:pPr>
        <w:pStyle w:val="IPPFootnote"/>
        <w:rPr>
          <w:lang w:val="en-US"/>
        </w:rPr>
      </w:pPr>
      <w:r>
        <w:rPr>
          <w:rStyle w:val="FootnoteReference"/>
        </w:rPr>
        <w:footnoteRef/>
      </w:r>
      <w:r w:rsidRPr="00184AF8">
        <w:rPr>
          <w:lang w:val="en-US"/>
        </w:rPr>
        <w:t xml:space="preserve"> CPM 2024/25_02.</w:t>
      </w:r>
    </w:p>
  </w:footnote>
  <w:footnote w:id="15">
    <w:p w14:paraId="145A5350" w14:textId="77777777" w:rsidR="003C2CC2" w:rsidRPr="00184AF8" w:rsidRDefault="003C2CC2" w:rsidP="003C2CC2">
      <w:pPr>
        <w:pStyle w:val="IPPFootnote"/>
        <w:rPr>
          <w:lang w:val="en-US"/>
        </w:rPr>
      </w:pPr>
      <w:r>
        <w:rPr>
          <w:rStyle w:val="FootnoteReference"/>
        </w:rPr>
        <w:footnoteRef/>
      </w:r>
      <w:r w:rsidRPr="00184AF8">
        <w:rPr>
          <w:lang w:val="en-US"/>
        </w:rPr>
        <w:t xml:space="preserve"> CPM 2024/CRP/12.</w:t>
      </w:r>
    </w:p>
  </w:footnote>
  <w:footnote w:id="16">
    <w:p w14:paraId="683ADA89" w14:textId="77777777" w:rsidR="003C2CC2" w:rsidRDefault="003C2CC2" w:rsidP="003C2CC2">
      <w:pPr>
        <w:pStyle w:val="IPPFootnote"/>
      </w:pPr>
      <w:r>
        <w:rPr>
          <w:rStyle w:val="FootnoteReference"/>
        </w:rPr>
        <w:footnoteRef/>
      </w:r>
      <w:r>
        <w:t xml:space="preserve"> </w:t>
      </w:r>
      <w:r>
        <w:t>CPM 2024/INF/16.</w:t>
      </w:r>
    </w:p>
  </w:footnote>
  <w:footnote w:id="17">
    <w:p w14:paraId="34DE95A2" w14:textId="77777777" w:rsidR="003C2CC2" w:rsidRDefault="003C2CC2" w:rsidP="003C2CC2">
      <w:pPr>
        <w:pStyle w:val="IPPFootnote"/>
      </w:pPr>
      <w:r>
        <w:rPr>
          <w:rStyle w:val="FootnoteReference"/>
        </w:rPr>
        <w:footnoteRef/>
      </w:r>
      <w:r>
        <w:t xml:space="preserve"> CPM 2024/CRP/14.</w:t>
      </w:r>
    </w:p>
  </w:footnote>
  <w:footnote w:id="18">
    <w:p w14:paraId="072F5730" w14:textId="77777777" w:rsidR="00EE0F4F" w:rsidRDefault="00EE0F4F" w:rsidP="00EE0F4F">
      <w:pPr>
        <w:pStyle w:val="IPPFootnote"/>
      </w:pPr>
      <w:r>
        <w:rPr>
          <w:rStyle w:val="FootnoteReference"/>
        </w:rPr>
        <w:footnoteRef/>
      </w:r>
      <w:r>
        <w:t xml:space="preserve"> </w:t>
      </w:r>
      <w:r>
        <w:t>CPM 2024/31, включая Приложение 1.</w:t>
      </w:r>
    </w:p>
  </w:footnote>
  <w:footnote w:id="19">
    <w:p w14:paraId="3E307F77" w14:textId="77777777" w:rsidR="00EE0F4F" w:rsidRPr="00184AF8" w:rsidRDefault="00EE0F4F" w:rsidP="00EE0F4F">
      <w:pPr>
        <w:pStyle w:val="IPPFootnote"/>
        <w:rPr>
          <w:lang w:val="en-US"/>
        </w:rPr>
      </w:pPr>
      <w:r>
        <w:rPr>
          <w:rStyle w:val="FootnoteReference"/>
        </w:rPr>
        <w:footnoteRef/>
      </w:r>
      <w:r w:rsidRPr="00184AF8">
        <w:rPr>
          <w:lang w:val="en-US"/>
        </w:rPr>
        <w:t xml:space="preserve"> CPM 2024/31_01.</w:t>
      </w:r>
    </w:p>
  </w:footnote>
  <w:footnote w:id="20">
    <w:p w14:paraId="6596C674" w14:textId="77777777" w:rsidR="00EE0F4F" w:rsidRPr="00184AF8" w:rsidRDefault="00EE0F4F" w:rsidP="00EE0F4F">
      <w:pPr>
        <w:pStyle w:val="IPPFootnote"/>
        <w:rPr>
          <w:lang w:val="en-US"/>
        </w:rPr>
      </w:pPr>
      <w:r>
        <w:rPr>
          <w:rStyle w:val="FootnoteReference"/>
        </w:rPr>
        <w:footnoteRef/>
      </w:r>
      <w:r w:rsidRPr="00184AF8">
        <w:rPr>
          <w:lang w:val="en-US"/>
        </w:rPr>
        <w:t xml:space="preserve"> CPM 2024/INF/20.</w:t>
      </w:r>
    </w:p>
  </w:footnote>
  <w:footnote w:id="21">
    <w:p w14:paraId="64484241" w14:textId="77777777" w:rsidR="00EE0F4F" w:rsidRPr="00184AF8" w:rsidRDefault="00EE0F4F" w:rsidP="00EE0F4F">
      <w:pPr>
        <w:pStyle w:val="IPPFootnote"/>
        <w:rPr>
          <w:lang w:val="en-US"/>
        </w:rPr>
      </w:pPr>
      <w:r>
        <w:rPr>
          <w:rStyle w:val="FootnoteReference"/>
        </w:rPr>
        <w:footnoteRef/>
      </w:r>
      <w:r w:rsidRPr="00184AF8">
        <w:rPr>
          <w:lang w:val="en-US"/>
        </w:rPr>
        <w:t xml:space="preserve"> CPM 2024/INF/21.</w:t>
      </w:r>
    </w:p>
  </w:footnote>
  <w:footnote w:id="22">
    <w:p w14:paraId="4322A9F4" w14:textId="77777777" w:rsidR="00EE0F4F" w:rsidRDefault="00EE0F4F" w:rsidP="00EE0F4F">
      <w:pPr>
        <w:pStyle w:val="IPPFootnote"/>
      </w:pPr>
      <w:r>
        <w:rPr>
          <w:rStyle w:val="FootnoteReference"/>
        </w:rPr>
        <w:footnoteRef/>
      </w:r>
      <w:r>
        <w:t xml:space="preserve"> </w:t>
      </w:r>
      <w:r>
        <w:t>CPM 2024/CRP/05.</w:t>
      </w:r>
    </w:p>
  </w:footnote>
  <w:footnote w:id="23">
    <w:p w14:paraId="23DED686" w14:textId="77777777" w:rsidR="00EE0F4F" w:rsidRDefault="00EE0F4F" w:rsidP="00EE0F4F">
      <w:pPr>
        <w:pStyle w:val="IPPFootnote"/>
      </w:pPr>
      <w:r>
        <w:rPr>
          <w:rStyle w:val="FootnoteReference"/>
        </w:rPr>
        <w:footnoteRef/>
      </w:r>
      <w:r>
        <w:t xml:space="preserve"> CPM 2024/CRP/16.</w:t>
      </w:r>
    </w:p>
  </w:footnote>
  <w:footnote w:id="24">
    <w:p w14:paraId="1DCF84C9" w14:textId="77777777" w:rsidR="003C2CC2" w:rsidRDefault="003C2CC2" w:rsidP="003C2CC2">
      <w:pPr>
        <w:pStyle w:val="IPPFootnote"/>
      </w:pPr>
      <w:r>
        <w:rPr>
          <w:rStyle w:val="FootnoteReference"/>
        </w:rPr>
        <w:footnoteRef/>
      </w:r>
      <w:r>
        <w:t xml:space="preserve"> </w:t>
      </w:r>
      <w:r>
        <w:t>17-я сессия КФМ (2023 год), пункт 15.1 повестки дня.</w:t>
      </w:r>
    </w:p>
  </w:footnote>
  <w:footnote w:id="25">
    <w:p w14:paraId="77A8B25D" w14:textId="77777777" w:rsidR="003C2CC2" w:rsidRPr="00184AF8" w:rsidRDefault="003C2CC2" w:rsidP="003C2CC2">
      <w:pPr>
        <w:pStyle w:val="IPPFootnote"/>
        <w:rPr>
          <w:lang w:val="en-US"/>
        </w:rPr>
      </w:pPr>
      <w:r>
        <w:rPr>
          <w:rStyle w:val="FootnoteReference"/>
        </w:rPr>
        <w:footnoteRef/>
      </w:r>
      <w:r w:rsidRPr="00184AF8">
        <w:rPr>
          <w:lang w:val="en-US"/>
        </w:rPr>
        <w:t xml:space="preserve"> CPM 2024/43.</w:t>
      </w:r>
    </w:p>
  </w:footnote>
  <w:footnote w:id="26">
    <w:p w14:paraId="434CE711" w14:textId="77777777" w:rsidR="00E550EC" w:rsidRPr="00184AF8" w:rsidRDefault="00E550EC" w:rsidP="00E550EC">
      <w:pPr>
        <w:pStyle w:val="IPPFootnote"/>
        <w:rPr>
          <w:lang w:val="en-US"/>
        </w:rPr>
      </w:pPr>
      <w:r>
        <w:rPr>
          <w:rStyle w:val="FootnoteReference"/>
        </w:rPr>
        <w:footnoteRef/>
      </w:r>
      <w:r w:rsidRPr="00184AF8">
        <w:rPr>
          <w:lang w:val="en-US"/>
        </w:rPr>
        <w:t xml:space="preserve"> CPM 2024/32.</w:t>
      </w:r>
    </w:p>
  </w:footnote>
  <w:footnote w:id="27">
    <w:p w14:paraId="34C83E46" w14:textId="77777777" w:rsidR="007F24DF" w:rsidRPr="00184AF8" w:rsidRDefault="007F24DF" w:rsidP="007F24DF">
      <w:pPr>
        <w:pStyle w:val="IPPFootnote"/>
        <w:rPr>
          <w:lang w:val="en-US"/>
        </w:rPr>
      </w:pPr>
      <w:r>
        <w:rPr>
          <w:rStyle w:val="FootnoteReference"/>
        </w:rPr>
        <w:footnoteRef/>
      </w:r>
      <w:r w:rsidRPr="00184AF8">
        <w:rPr>
          <w:lang w:val="en-US"/>
        </w:rPr>
        <w:t xml:space="preserve"> CPM 2024/33.</w:t>
      </w:r>
    </w:p>
  </w:footnote>
  <w:footnote w:id="28">
    <w:p w14:paraId="0109E55D" w14:textId="77777777" w:rsidR="007F24DF" w:rsidRPr="00184AF8" w:rsidRDefault="007F24DF" w:rsidP="007F24DF">
      <w:pPr>
        <w:pStyle w:val="IPPFootnote"/>
        <w:rPr>
          <w:lang w:val="en-US"/>
        </w:rPr>
      </w:pPr>
      <w:r>
        <w:rPr>
          <w:rStyle w:val="FootnoteReference"/>
        </w:rPr>
        <w:footnoteRef/>
      </w:r>
      <w:r w:rsidRPr="00184AF8">
        <w:rPr>
          <w:lang w:val="en-US"/>
        </w:rPr>
        <w:t xml:space="preserve"> CPM 2024/INF/20.</w:t>
      </w:r>
    </w:p>
  </w:footnote>
  <w:footnote w:id="29">
    <w:p w14:paraId="320E87E4" w14:textId="77777777" w:rsidR="002D71B1" w:rsidRPr="00184AF8" w:rsidRDefault="002D71B1" w:rsidP="002D71B1">
      <w:pPr>
        <w:pStyle w:val="IPPFootnote"/>
        <w:rPr>
          <w:lang w:val="en-US"/>
        </w:rPr>
      </w:pPr>
      <w:r>
        <w:rPr>
          <w:rStyle w:val="FootnoteReference"/>
        </w:rPr>
        <w:footnoteRef/>
      </w:r>
      <w:r w:rsidRPr="00184AF8">
        <w:rPr>
          <w:lang w:val="en-US"/>
        </w:rPr>
        <w:t xml:space="preserve"> CPM 2024/INF/03.</w:t>
      </w:r>
    </w:p>
  </w:footnote>
  <w:footnote w:id="30">
    <w:p w14:paraId="727FF2D1" w14:textId="77777777" w:rsidR="002D71B1" w:rsidRPr="00184AF8" w:rsidRDefault="002D71B1" w:rsidP="002D71B1">
      <w:pPr>
        <w:pStyle w:val="IPPFootnote"/>
        <w:rPr>
          <w:lang w:val="en-US"/>
        </w:rPr>
      </w:pPr>
      <w:r>
        <w:rPr>
          <w:rStyle w:val="FootnoteReference"/>
        </w:rPr>
        <w:footnoteRef/>
      </w:r>
      <w:r w:rsidRPr="00184AF8">
        <w:rPr>
          <w:lang w:val="en-US"/>
        </w:rPr>
        <w:t xml:space="preserve"> CPM 2024/INF/11</w:t>
      </w:r>
    </w:p>
  </w:footnote>
  <w:footnote w:id="31">
    <w:p w14:paraId="0F53908C" w14:textId="77777777" w:rsidR="00B51923" w:rsidRPr="00184AF8" w:rsidRDefault="00B51923" w:rsidP="00B51923">
      <w:pPr>
        <w:pStyle w:val="IPPFootnote"/>
        <w:rPr>
          <w:lang w:val="en-US"/>
        </w:rPr>
      </w:pPr>
      <w:r>
        <w:rPr>
          <w:rStyle w:val="FootnoteReference"/>
        </w:rPr>
        <w:footnoteRef/>
      </w:r>
      <w:r w:rsidRPr="00184AF8">
        <w:rPr>
          <w:lang w:val="en-US"/>
        </w:rPr>
        <w:t xml:space="preserve"> CPM 2024/44.</w:t>
      </w:r>
    </w:p>
  </w:footnote>
  <w:footnote w:id="32">
    <w:p w14:paraId="13DD0B13" w14:textId="77777777" w:rsidR="00B51923" w:rsidRPr="00184AF8" w:rsidRDefault="00B51923" w:rsidP="00B51923">
      <w:pPr>
        <w:pStyle w:val="IPPFootnote"/>
        <w:rPr>
          <w:lang w:val="en-US"/>
        </w:rPr>
      </w:pPr>
      <w:r>
        <w:rPr>
          <w:rStyle w:val="FootnoteReference"/>
        </w:rPr>
        <w:footnoteRef/>
      </w:r>
      <w:r w:rsidRPr="00184AF8">
        <w:rPr>
          <w:lang w:val="en-US"/>
        </w:rPr>
        <w:t xml:space="preserve"> CPM 2024/45.</w:t>
      </w:r>
    </w:p>
  </w:footnote>
  <w:footnote w:id="33">
    <w:p w14:paraId="1F25523D" w14:textId="77777777" w:rsidR="00D67CB6" w:rsidRPr="00184AF8" w:rsidRDefault="00D67CB6" w:rsidP="00D67CB6">
      <w:pPr>
        <w:pStyle w:val="IPPFootnote"/>
        <w:rPr>
          <w:lang w:val="en-US"/>
        </w:rPr>
      </w:pPr>
      <w:r>
        <w:rPr>
          <w:rStyle w:val="FootnoteReference"/>
        </w:rPr>
        <w:footnoteRef/>
      </w:r>
      <w:r w:rsidRPr="00184AF8">
        <w:rPr>
          <w:lang w:val="en-US"/>
        </w:rPr>
        <w:t xml:space="preserve"> CPM 2024/35.</w:t>
      </w:r>
    </w:p>
  </w:footnote>
  <w:footnote w:id="34">
    <w:p w14:paraId="75D0A5D4" w14:textId="77777777" w:rsidR="00D67CB6" w:rsidRPr="00184AF8" w:rsidRDefault="00D67CB6" w:rsidP="00D67CB6">
      <w:pPr>
        <w:pStyle w:val="IPPFootnote"/>
        <w:rPr>
          <w:lang w:val="en-US"/>
        </w:rPr>
      </w:pPr>
      <w:r>
        <w:rPr>
          <w:rStyle w:val="FootnoteReference"/>
        </w:rPr>
        <w:footnoteRef/>
      </w:r>
      <w:r w:rsidRPr="00184AF8">
        <w:rPr>
          <w:lang w:val="en-US"/>
        </w:rPr>
        <w:t xml:space="preserve"> CPM 2024/36.</w:t>
      </w:r>
    </w:p>
  </w:footnote>
  <w:footnote w:id="35">
    <w:p w14:paraId="6076B4A5" w14:textId="77777777" w:rsidR="00D67CB6" w:rsidRPr="00184AF8" w:rsidRDefault="00D67CB6" w:rsidP="00D67CB6">
      <w:pPr>
        <w:pStyle w:val="IPPFootnote"/>
        <w:rPr>
          <w:lang w:val="en-US"/>
        </w:rPr>
      </w:pPr>
      <w:r>
        <w:rPr>
          <w:rStyle w:val="FootnoteReference"/>
        </w:rPr>
        <w:footnoteRef/>
      </w:r>
      <w:r w:rsidRPr="00184AF8">
        <w:rPr>
          <w:lang w:val="en-US"/>
        </w:rPr>
        <w:t xml:space="preserve"> CPM 2024/37</w:t>
      </w:r>
    </w:p>
  </w:footnote>
  <w:footnote w:id="36">
    <w:p w14:paraId="44FCF6E2" w14:textId="77777777" w:rsidR="00D67CB6" w:rsidRPr="00184AF8" w:rsidRDefault="00D67CB6" w:rsidP="001935E6">
      <w:pPr>
        <w:pStyle w:val="IPPFootnote"/>
        <w:jc w:val="left"/>
        <w:rPr>
          <w:lang w:val="en-US"/>
        </w:rPr>
      </w:pPr>
      <w:r>
        <w:rPr>
          <w:rStyle w:val="FootnoteReference"/>
        </w:rPr>
        <w:footnoteRef/>
      </w:r>
      <w:r w:rsidRPr="00184AF8">
        <w:rPr>
          <w:lang w:val="en-US"/>
        </w:rPr>
        <w:t xml:space="preserve"> CPM 2024/INF/04; CPM 2024/INF/05; CPM 2024/INF/06X; CPM 2024/INF/07; CPM 2024/INF/08;</w:t>
      </w:r>
      <w:r w:rsidRPr="00184AF8">
        <w:rPr>
          <w:highlight w:val="yellow"/>
          <w:lang w:val="en-US"/>
        </w:rPr>
        <w:t xml:space="preserve"> </w:t>
      </w:r>
      <w:r w:rsidRPr="00184AF8">
        <w:rPr>
          <w:lang w:val="en-US"/>
        </w:rPr>
        <w:t>CPM 2024/INF/12; CPM 2024/INF/14; CPM 2024/INF/15; CPM 2024/INF/17; CPM 2024/INF/18; CPM 2024/INF/19; CPM 2024/INF/22; CPM 2024/INF/25; CPM 2024/CRP/06.</w:t>
      </w:r>
    </w:p>
  </w:footnote>
  <w:footnote w:id="37">
    <w:p w14:paraId="0FEBD04E" w14:textId="77777777" w:rsidR="003B3F83" w:rsidRPr="00184AF8" w:rsidRDefault="003B3F83" w:rsidP="001935E6">
      <w:pPr>
        <w:pStyle w:val="IPPFootnote"/>
        <w:jc w:val="left"/>
        <w:rPr>
          <w:lang w:val="en-US"/>
        </w:rPr>
      </w:pPr>
      <w:r>
        <w:rPr>
          <w:rStyle w:val="FootnoteReference"/>
        </w:rPr>
        <w:footnoteRef/>
      </w:r>
      <w:r w:rsidRPr="00184AF8">
        <w:rPr>
          <w:lang w:val="en-US"/>
        </w:rPr>
        <w:t xml:space="preserve"> CPM 2024/CRP/08_Rev1.</w:t>
      </w:r>
    </w:p>
  </w:footnote>
  <w:footnote w:id="38">
    <w:p w14:paraId="64A2F383" w14:textId="77777777" w:rsidR="003B3F83" w:rsidRPr="00184AF8" w:rsidRDefault="003B3F83" w:rsidP="003B3F83">
      <w:pPr>
        <w:pStyle w:val="IPPFootnote"/>
        <w:rPr>
          <w:lang w:val="en-US"/>
        </w:rPr>
      </w:pPr>
      <w:r>
        <w:rPr>
          <w:rStyle w:val="FootnoteReference"/>
        </w:rPr>
        <w:footnoteRef/>
      </w:r>
      <w:r w:rsidRPr="00184AF8">
        <w:rPr>
          <w:lang w:val="en-US"/>
        </w:rPr>
        <w:t xml:space="preserve"> CPM 2024/INF/23_Rev2.</w:t>
      </w:r>
    </w:p>
  </w:footnote>
  <w:footnote w:id="39">
    <w:p w14:paraId="5A64C4C0" w14:textId="77777777" w:rsidR="003B3F83" w:rsidRPr="00184AF8" w:rsidRDefault="003B3F83" w:rsidP="003B3F83">
      <w:pPr>
        <w:pStyle w:val="IPPFootnote"/>
        <w:rPr>
          <w:lang w:val="en-US"/>
        </w:rPr>
      </w:pPr>
      <w:r>
        <w:rPr>
          <w:rStyle w:val="FootnoteReference"/>
        </w:rPr>
        <w:footnoteRef/>
      </w:r>
      <w:r w:rsidRPr="00184AF8">
        <w:rPr>
          <w:lang w:val="en-US"/>
        </w:rPr>
        <w:t xml:space="preserve"> CPM 2024/CRP/08_Rev1.</w:t>
      </w:r>
    </w:p>
  </w:footnote>
  <w:footnote w:id="40">
    <w:p w14:paraId="66DCE39F" w14:textId="77777777" w:rsidR="003B3F83" w:rsidRPr="00184AF8" w:rsidRDefault="003B3F83" w:rsidP="003B3F83">
      <w:pPr>
        <w:pStyle w:val="IPPFootnote"/>
        <w:rPr>
          <w:lang w:val="en-US"/>
        </w:rPr>
      </w:pPr>
      <w:r>
        <w:rPr>
          <w:rStyle w:val="FootnoteReference"/>
        </w:rPr>
        <w:footnoteRef/>
      </w:r>
      <w:r w:rsidRPr="00184AF8">
        <w:rPr>
          <w:lang w:val="en-US"/>
        </w:rPr>
        <w:t xml:space="preserve"> CPM 2024/40_Rev1.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9E055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BA03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CE7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D804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92600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F0A1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3CC3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BE47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A64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10C0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2949"/>
    <w:multiLevelType w:val="hybridMultilevel"/>
    <w:tmpl w:val="008AEE6A"/>
    <w:lvl w:ilvl="0" w:tplc="04090011">
      <w:start w:val="1"/>
      <w:numFmt w:val="decimal"/>
      <w:pStyle w:val="IPPNumberedLis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4C0A6C"/>
    <w:multiLevelType w:val="multilevel"/>
    <w:tmpl w:val="06E871E4"/>
    <w:numStyleLink w:val="IPPParagraphnumberedlist"/>
  </w:abstractNum>
  <w:abstractNum w:abstractNumId="12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15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182D42"/>
    <w:multiLevelType w:val="hybridMultilevel"/>
    <w:tmpl w:val="C8F4B0B2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226531976">
    <w:abstractNumId w:val="18"/>
  </w:num>
  <w:num w:numId="2" w16cid:durableId="1749381087">
    <w:abstractNumId w:val="12"/>
  </w:num>
  <w:num w:numId="3" w16cid:durableId="1189366223">
    <w:abstractNumId w:val="14"/>
  </w:num>
  <w:num w:numId="4" w16cid:durableId="1358458346">
    <w:abstractNumId w:val="20"/>
  </w:num>
  <w:num w:numId="5" w16cid:durableId="636107580">
    <w:abstractNumId w:val="17"/>
  </w:num>
  <w:num w:numId="6" w16cid:durableId="735201531">
    <w:abstractNumId w:val="15"/>
  </w:num>
  <w:num w:numId="7" w16cid:durableId="625426921">
    <w:abstractNumId w:val="22"/>
  </w:num>
  <w:num w:numId="8" w16cid:durableId="1752699161">
    <w:abstractNumId w:val="10"/>
  </w:num>
  <w:num w:numId="9" w16cid:durableId="259989354">
    <w:abstractNumId w:val="19"/>
  </w:num>
  <w:num w:numId="10" w16cid:durableId="2067071154">
    <w:abstractNumId w:val="10"/>
  </w:num>
  <w:num w:numId="11" w16cid:durableId="2034727845">
    <w:abstractNumId w:val="10"/>
  </w:num>
  <w:num w:numId="12" w16cid:durableId="2073776060">
    <w:abstractNumId w:val="10"/>
  </w:num>
  <w:num w:numId="13" w16cid:durableId="35667761">
    <w:abstractNumId w:val="10"/>
  </w:num>
  <w:num w:numId="14" w16cid:durableId="445587674">
    <w:abstractNumId w:val="10"/>
  </w:num>
  <w:num w:numId="15" w16cid:durableId="1871526360">
    <w:abstractNumId w:val="10"/>
  </w:num>
  <w:num w:numId="16" w16cid:durableId="1795249000">
    <w:abstractNumId w:val="10"/>
  </w:num>
  <w:num w:numId="17" w16cid:durableId="277562697">
    <w:abstractNumId w:val="10"/>
  </w:num>
  <w:num w:numId="18" w16cid:durableId="306320772">
    <w:abstractNumId w:val="10"/>
  </w:num>
  <w:num w:numId="19" w16cid:durableId="38359818">
    <w:abstractNumId w:val="10"/>
  </w:num>
  <w:num w:numId="20" w16cid:durableId="891844838">
    <w:abstractNumId w:val="10"/>
  </w:num>
  <w:num w:numId="21" w16cid:durableId="637106705">
    <w:abstractNumId w:val="10"/>
  </w:num>
  <w:num w:numId="22" w16cid:durableId="1707099390">
    <w:abstractNumId w:val="10"/>
  </w:num>
  <w:num w:numId="23" w16cid:durableId="935988320">
    <w:abstractNumId w:val="10"/>
  </w:num>
  <w:num w:numId="24" w16cid:durableId="827406451">
    <w:abstractNumId w:val="10"/>
  </w:num>
  <w:num w:numId="25" w16cid:durableId="1619526989">
    <w:abstractNumId w:val="10"/>
  </w:num>
  <w:num w:numId="26" w16cid:durableId="1388913741">
    <w:abstractNumId w:val="10"/>
  </w:num>
  <w:num w:numId="27" w16cid:durableId="1342046980">
    <w:abstractNumId w:val="10"/>
  </w:num>
  <w:num w:numId="28" w16cid:durableId="695690951">
    <w:abstractNumId w:val="10"/>
  </w:num>
  <w:num w:numId="29" w16cid:durableId="836727507">
    <w:abstractNumId w:val="10"/>
  </w:num>
  <w:num w:numId="30" w16cid:durableId="81608122">
    <w:abstractNumId w:val="10"/>
  </w:num>
  <w:num w:numId="31" w16cid:durableId="2041203480">
    <w:abstractNumId w:val="10"/>
  </w:num>
  <w:num w:numId="32" w16cid:durableId="1155730322">
    <w:abstractNumId w:val="10"/>
  </w:num>
  <w:num w:numId="33" w16cid:durableId="1387800478">
    <w:abstractNumId w:val="10"/>
  </w:num>
  <w:num w:numId="34" w16cid:durableId="102041218">
    <w:abstractNumId w:val="10"/>
  </w:num>
  <w:num w:numId="35" w16cid:durableId="493690190">
    <w:abstractNumId w:val="10"/>
  </w:num>
  <w:num w:numId="36" w16cid:durableId="2098287834">
    <w:abstractNumId w:val="10"/>
  </w:num>
  <w:num w:numId="37" w16cid:durableId="125976083">
    <w:abstractNumId w:val="10"/>
  </w:num>
  <w:num w:numId="38" w16cid:durableId="97530644">
    <w:abstractNumId w:val="10"/>
  </w:num>
  <w:num w:numId="39" w16cid:durableId="1871184463">
    <w:abstractNumId w:val="10"/>
  </w:num>
  <w:num w:numId="40" w16cid:durableId="741948841">
    <w:abstractNumId w:val="10"/>
  </w:num>
  <w:num w:numId="41" w16cid:durableId="63994100">
    <w:abstractNumId w:val="10"/>
  </w:num>
  <w:num w:numId="42" w16cid:durableId="2037150648">
    <w:abstractNumId w:val="10"/>
  </w:num>
  <w:num w:numId="43" w16cid:durableId="412775781">
    <w:abstractNumId w:val="10"/>
  </w:num>
  <w:num w:numId="44" w16cid:durableId="20012456">
    <w:abstractNumId w:val="10"/>
  </w:num>
  <w:num w:numId="45" w16cid:durableId="2087611277">
    <w:abstractNumId w:val="10"/>
  </w:num>
  <w:num w:numId="46" w16cid:durableId="835192051">
    <w:abstractNumId w:val="10"/>
  </w:num>
  <w:num w:numId="47" w16cid:durableId="995885408">
    <w:abstractNumId w:val="10"/>
  </w:num>
  <w:num w:numId="48" w16cid:durableId="764039421">
    <w:abstractNumId w:val="10"/>
  </w:num>
  <w:num w:numId="49" w16cid:durableId="417600670">
    <w:abstractNumId w:val="10"/>
  </w:num>
  <w:num w:numId="50" w16cid:durableId="448165627">
    <w:abstractNumId w:val="10"/>
  </w:num>
  <w:num w:numId="51" w16cid:durableId="1144614584">
    <w:abstractNumId w:val="10"/>
  </w:num>
  <w:num w:numId="52" w16cid:durableId="347996332">
    <w:abstractNumId w:val="10"/>
  </w:num>
  <w:num w:numId="53" w16cid:durableId="47534145">
    <w:abstractNumId w:val="10"/>
  </w:num>
  <w:num w:numId="54" w16cid:durableId="226113132">
    <w:abstractNumId w:val="10"/>
  </w:num>
  <w:num w:numId="55" w16cid:durableId="1364592734">
    <w:abstractNumId w:val="10"/>
  </w:num>
  <w:num w:numId="56" w16cid:durableId="883176008">
    <w:abstractNumId w:val="10"/>
  </w:num>
  <w:num w:numId="57" w16cid:durableId="696734640">
    <w:abstractNumId w:val="10"/>
  </w:num>
  <w:num w:numId="58" w16cid:durableId="1032725211">
    <w:abstractNumId w:val="10"/>
  </w:num>
  <w:num w:numId="59" w16cid:durableId="1977955482">
    <w:abstractNumId w:val="1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60" w16cid:durableId="956371708">
    <w:abstractNumId w:val="10"/>
    <w:lvlOverride w:ilvl="0">
      <w:startOverride w:val="1"/>
    </w:lvlOverride>
  </w:num>
  <w:num w:numId="61" w16cid:durableId="276720852">
    <w:abstractNumId w:val="10"/>
    <w:lvlOverride w:ilvl="0">
      <w:startOverride w:val="1"/>
    </w:lvlOverride>
  </w:num>
  <w:num w:numId="62" w16cid:durableId="1582761502">
    <w:abstractNumId w:val="10"/>
  </w:num>
  <w:num w:numId="63" w16cid:durableId="1325083867">
    <w:abstractNumId w:val="10"/>
    <w:lvlOverride w:ilvl="0">
      <w:startOverride w:val="1"/>
    </w:lvlOverride>
  </w:num>
  <w:num w:numId="64" w16cid:durableId="591082882">
    <w:abstractNumId w:val="10"/>
    <w:lvlOverride w:ilvl="0">
      <w:startOverride w:val="1"/>
    </w:lvlOverride>
  </w:num>
  <w:num w:numId="65" w16cid:durableId="670329298">
    <w:abstractNumId w:val="10"/>
    <w:lvlOverride w:ilvl="0">
      <w:startOverride w:val="1"/>
    </w:lvlOverride>
  </w:num>
  <w:num w:numId="66" w16cid:durableId="381486000">
    <w:abstractNumId w:val="10"/>
    <w:lvlOverride w:ilvl="0">
      <w:startOverride w:val="1"/>
    </w:lvlOverride>
  </w:num>
  <w:num w:numId="67" w16cid:durableId="237057509">
    <w:abstractNumId w:val="10"/>
    <w:lvlOverride w:ilvl="0">
      <w:startOverride w:val="1"/>
    </w:lvlOverride>
  </w:num>
  <w:num w:numId="68" w16cid:durableId="2030914113">
    <w:abstractNumId w:val="10"/>
    <w:lvlOverride w:ilvl="0">
      <w:startOverride w:val="1"/>
    </w:lvlOverride>
  </w:num>
  <w:num w:numId="69" w16cid:durableId="118424130">
    <w:abstractNumId w:val="10"/>
    <w:lvlOverride w:ilvl="0">
      <w:startOverride w:val="1"/>
    </w:lvlOverride>
  </w:num>
  <w:num w:numId="70" w16cid:durableId="755243960">
    <w:abstractNumId w:val="10"/>
    <w:lvlOverride w:ilvl="0">
      <w:startOverride w:val="1"/>
    </w:lvlOverride>
  </w:num>
  <w:num w:numId="71" w16cid:durableId="392241544">
    <w:abstractNumId w:val="10"/>
    <w:lvlOverride w:ilvl="0">
      <w:startOverride w:val="1"/>
    </w:lvlOverride>
  </w:num>
  <w:num w:numId="72" w16cid:durableId="20085295">
    <w:abstractNumId w:val="10"/>
    <w:lvlOverride w:ilvl="0">
      <w:startOverride w:val="1"/>
    </w:lvlOverride>
  </w:num>
  <w:num w:numId="73" w16cid:durableId="864904924">
    <w:abstractNumId w:val="10"/>
    <w:lvlOverride w:ilvl="0">
      <w:startOverride w:val="1"/>
    </w:lvlOverride>
  </w:num>
  <w:num w:numId="74" w16cid:durableId="1422986433">
    <w:abstractNumId w:val="10"/>
    <w:lvlOverride w:ilvl="0">
      <w:startOverride w:val="1"/>
    </w:lvlOverride>
  </w:num>
  <w:num w:numId="75" w16cid:durableId="9336308">
    <w:abstractNumId w:val="10"/>
    <w:lvlOverride w:ilvl="0">
      <w:startOverride w:val="1"/>
    </w:lvlOverride>
  </w:num>
  <w:num w:numId="76" w16cid:durableId="104813092">
    <w:abstractNumId w:val="10"/>
    <w:lvlOverride w:ilvl="0">
      <w:startOverride w:val="1"/>
    </w:lvlOverride>
  </w:num>
  <w:num w:numId="77" w16cid:durableId="63526339">
    <w:abstractNumId w:val="10"/>
    <w:lvlOverride w:ilvl="0">
      <w:startOverride w:val="1"/>
    </w:lvlOverride>
  </w:num>
  <w:num w:numId="78" w16cid:durableId="1727484093">
    <w:abstractNumId w:val="10"/>
    <w:lvlOverride w:ilvl="0">
      <w:startOverride w:val="1"/>
    </w:lvlOverride>
  </w:num>
  <w:num w:numId="79" w16cid:durableId="245916581">
    <w:abstractNumId w:val="10"/>
    <w:lvlOverride w:ilvl="0">
      <w:startOverride w:val="1"/>
    </w:lvlOverride>
  </w:num>
  <w:num w:numId="80" w16cid:durableId="1553620061">
    <w:abstractNumId w:val="10"/>
    <w:lvlOverride w:ilvl="0">
      <w:startOverride w:val="1"/>
    </w:lvlOverride>
  </w:num>
  <w:num w:numId="81" w16cid:durableId="51928746">
    <w:abstractNumId w:val="10"/>
    <w:lvlOverride w:ilvl="0">
      <w:startOverride w:val="1"/>
    </w:lvlOverride>
  </w:num>
  <w:num w:numId="82" w16cid:durableId="760684172">
    <w:abstractNumId w:val="10"/>
    <w:lvlOverride w:ilvl="0">
      <w:startOverride w:val="1"/>
    </w:lvlOverride>
  </w:num>
  <w:num w:numId="83" w16cid:durableId="1174536505">
    <w:abstractNumId w:val="10"/>
    <w:lvlOverride w:ilvl="0">
      <w:startOverride w:val="1"/>
    </w:lvlOverride>
  </w:num>
  <w:num w:numId="84" w16cid:durableId="713120556">
    <w:abstractNumId w:val="10"/>
    <w:lvlOverride w:ilvl="0">
      <w:startOverride w:val="1"/>
    </w:lvlOverride>
  </w:num>
  <w:num w:numId="85" w16cid:durableId="1360928698">
    <w:abstractNumId w:val="10"/>
    <w:lvlOverride w:ilvl="0">
      <w:startOverride w:val="1"/>
    </w:lvlOverride>
  </w:num>
  <w:num w:numId="86" w16cid:durableId="15547593">
    <w:abstractNumId w:val="10"/>
    <w:lvlOverride w:ilvl="0">
      <w:startOverride w:val="1"/>
    </w:lvlOverride>
  </w:num>
  <w:num w:numId="87" w16cid:durableId="139275893">
    <w:abstractNumId w:val="10"/>
    <w:lvlOverride w:ilvl="0">
      <w:startOverride w:val="1"/>
    </w:lvlOverride>
  </w:num>
  <w:num w:numId="88" w16cid:durableId="1796830272">
    <w:abstractNumId w:val="10"/>
    <w:lvlOverride w:ilvl="0">
      <w:startOverride w:val="1"/>
    </w:lvlOverride>
  </w:num>
  <w:num w:numId="89" w16cid:durableId="1405299268">
    <w:abstractNumId w:val="10"/>
    <w:lvlOverride w:ilvl="0">
      <w:startOverride w:val="1"/>
    </w:lvlOverride>
  </w:num>
  <w:num w:numId="90" w16cid:durableId="1542596739">
    <w:abstractNumId w:val="10"/>
    <w:lvlOverride w:ilvl="0">
      <w:startOverride w:val="1"/>
    </w:lvlOverride>
  </w:num>
  <w:num w:numId="91" w16cid:durableId="316570559">
    <w:abstractNumId w:val="10"/>
    <w:lvlOverride w:ilvl="0">
      <w:startOverride w:val="1"/>
    </w:lvlOverride>
  </w:num>
  <w:num w:numId="92" w16cid:durableId="1136678496">
    <w:abstractNumId w:val="10"/>
    <w:lvlOverride w:ilvl="0">
      <w:startOverride w:val="1"/>
    </w:lvlOverride>
  </w:num>
  <w:num w:numId="93" w16cid:durableId="1467045623">
    <w:abstractNumId w:val="10"/>
    <w:lvlOverride w:ilvl="0">
      <w:startOverride w:val="1"/>
    </w:lvlOverride>
  </w:num>
  <w:num w:numId="94" w16cid:durableId="1232421141">
    <w:abstractNumId w:val="10"/>
    <w:lvlOverride w:ilvl="0">
      <w:startOverride w:val="1"/>
    </w:lvlOverride>
  </w:num>
  <w:num w:numId="95" w16cid:durableId="1218935952">
    <w:abstractNumId w:val="10"/>
    <w:lvlOverride w:ilvl="0">
      <w:startOverride w:val="1"/>
    </w:lvlOverride>
  </w:num>
  <w:num w:numId="96" w16cid:durableId="16392187">
    <w:abstractNumId w:val="10"/>
    <w:lvlOverride w:ilvl="0">
      <w:startOverride w:val="1"/>
    </w:lvlOverride>
  </w:num>
  <w:num w:numId="97" w16cid:durableId="414283937">
    <w:abstractNumId w:val="10"/>
    <w:lvlOverride w:ilvl="0">
      <w:startOverride w:val="1"/>
    </w:lvlOverride>
  </w:num>
  <w:num w:numId="98" w16cid:durableId="1839467576">
    <w:abstractNumId w:val="10"/>
    <w:lvlOverride w:ilvl="0">
      <w:startOverride w:val="1"/>
    </w:lvlOverride>
  </w:num>
  <w:num w:numId="99" w16cid:durableId="823817867">
    <w:abstractNumId w:val="10"/>
    <w:lvlOverride w:ilvl="0">
      <w:startOverride w:val="1"/>
    </w:lvlOverride>
  </w:num>
  <w:num w:numId="100" w16cid:durableId="1433746492">
    <w:abstractNumId w:val="10"/>
    <w:lvlOverride w:ilvl="0">
      <w:startOverride w:val="1"/>
    </w:lvlOverride>
  </w:num>
  <w:num w:numId="101" w16cid:durableId="609320745">
    <w:abstractNumId w:val="10"/>
    <w:lvlOverride w:ilvl="0">
      <w:startOverride w:val="1"/>
    </w:lvlOverride>
  </w:num>
  <w:num w:numId="102" w16cid:durableId="821889899">
    <w:abstractNumId w:val="10"/>
    <w:lvlOverride w:ilvl="0">
      <w:startOverride w:val="1"/>
    </w:lvlOverride>
  </w:num>
  <w:num w:numId="103" w16cid:durableId="58795996">
    <w:abstractNumId w:val="10"/>
    <w:lvlOverride w:ilvl="0">
      <w:startOverride w:val="1"/>
    </w:lvlOverride>
  </w:num>
  <w:num w:numId="104" w16cid:durableId="373967370">
    <w:abstractNumId w:val="10"/>
    <w:lvlOverride w:ilvl="0">
      <w:startOverride w:val="1"/>
    </w:lvlOverride>
  </w:num>
  <w:num w:numId="105" w16cid:durableId="1561598503">
    <w:abstractNumId w:val="10"/>
    <w:lvlOverride w:ilvl="0">
      <w:startOverride w:val="1"/>
    </w:lvlOverride>
  </w:num>
  <w:num w:numId="106" w16cid:durableId="1886988642">
    <w:abstractNumId w:val="10"/>
    <w:lvlOverride w:ilvl="0">
      <w:startOverride w:val="1"/>
    </w:lvlOverride>
  </w:num>
  <w:num w:numId="107" w16cid:durableId="507409293">
    <w:abstractNumId w:val="10"/>
    <w:lvlOverride w:ilvl="0">
      <w:startOverride w:val="1"/>
    </w:lvlOverride>
  </w:num>
  <w:num w:numId="108" w16cid:durableId="1030179433">
    <w:abstractNumId w:val="10"/>
    <w:lvlOverride w:ilvl="0">
      <w:startOverride w:val="1"/>
    </w:lvlOverride>
  </w:num>
  <w:num w:numId="109" w16cid:durableId="1634940127">
    <w:abstractNumId w:val="11"/>
  </w:num>
  <w:num w:numId="110" w16cid:durableId="751855798">
    <w:abstractNumId w:val="13"/>
  </w:num>
  <w:num w:numId="111" w16cid:durableId="1096559190">
    <w:abstractNumId w:val="16"/>
  </w:num>
  <w:num w:numId="112" w16cid:durableId="1712146357">
    <w:abstractNumId w:val="9"/>
  </w:num>
  <w:num w:numId="113" w16cid:durableId="1722557205">
    <w:abstractNumId w:val="7"/>
  </w:num>
  <w:num w:numId="114" w16cid:durableId="1201271">
    <w:abstractNumId w:val="6"/>
  </w:num>
  <w:num w:numId="115" w16cid:durableId="185826108">
    <w:abstractNumId w:val="5"/>
  </w:num>
  <w:num w:numId="116" w16cid:durableId="257298398">
    <w:abstractNumId w:val="4"/>
  </w:num>
  <w:num w:numId="117" w16cid:durableId="1676423577">
    <w:abstractNumId w:val="8"/>
  </w:num>
  <w:num w:numId="118" w16cid:durableId="125778737">
    <w:abstractNumId w:val="3"/>
  </w:num>
  <w:num w:numId="119" w16cid:durableId="776291828">
    <w:abstractNumId w:val="2"/>
  </w:num>
  <w:num w:numId="120" w16cid:durableId="410125225">
    <w:abstractNumId w:val="1"/>
  </w:num>
  <w:num w:numId="121" w16cid:durableId="128011168">
    <w:abstractNumId w:val="0"/>
  </w:num>
  <w:num w:numId="122" w16cid:durableId="1787114051">
    <w:abstractNumId w:val="21"/>
  </w:num>
  <w:num w:numId="123" w16cid:durableId="760300074">
    <w:abstractNumId w:val="10"/>
    <w:lvlOverride w:ilvl="0">
      <w:startOverride w:val="1"/>
    </w:lvlOverride>
  </w:num>
  <w:num w:numId="124" w16cid:durableId="299383515">
    <w:abstractNumId w:val="10"/>
    <w:lvlOverride w:ilvl="0">
      <w:startOverride w:val="1"/>
    </w:lvlOverride>
  </w:num>
  <w:num w:numId="125" w16cid:durableId="996761946">
    <w:abstractNumId w:val="10"/>
    <w:lvlOverride w:ilvl="0">
      <w:startOverride w:val="1"/>
    </w:lvlOverride>
  </w:num>
  <w:num w:numId="126" w16cid:durableId="1247956242">
    <w:abstractNumId w:val="10"/>
    <w:lvlOverride w:ilvl="0">
      <w:startOverride w:val="1"/>
    </w:lvlOverride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M1MjYFMiyMLSwMzZV0lIJTi4sz8/NACgxrAVHEK90sAAAA"/>
  </w:docVars>
  <w:rsids>
    <w:rsidRoot w:val="00B914BF"/>
    <w:rsid w:val="00001F72"/>
    <w:rsid w:val="00002148"/>
    <w:rsid w:val="00002666"/>
    <w:rsid w:val="00002C35"/>
    <w:rsid w:val="00004801"/>
    <w:rsid w:val="00004F4A"/>
    <w:rsid w:val="00010AD2"/>
    <w:rsid w:val="00010B68"/>
    <w:rsid w:val="00010C5A"/>
    <w:rsid w:val="000141DF"/>
    <w:rsid w:val="000164B0"/>
    <w:rsid w:val="000168EC"/>
    <w:rsid w:val="00016937"/>
    <w:rsid w:val="000202B0"/>
    <w:rsid w:val="000206B4"/>
    <w:rsid w:val="000210C3"/>
    <w:rsid w:val="00022E11"/>
    <w:rsid w:val="00024555"/>
    <w:rsid w:val="00025345"/>
    <w:rsid w:val="00027A88"/>
    <w:rsid w:val="00032A44"/>
    <w:rsid w:val="0003338D"/>
    <w:rsid w:val="00033F57"/>
    <w:rsid w:val="000348A8"/>
    <w:rsid w:val="000355DD"/>
    <w:rsid w:val="0003584F"/>
    <w:rsid w:val="00035CDF"/>
    <w:rsid w:val="000378F1"/>
    <w:rsid w:val="00040709"/>
    <w:rsid w:val="00041BFA"/>
    <w:rsid w:val="00042328"/>
    <w:rsid w:val="00042396"/>
    <w:rsid w:val="00045BE7"/>
    <w:rsid w:val="00046102"/>
    <w:rsid w:val="0004617B"/>
    <w:rsid w:val="00047442"/>
    <w:rsid w:val="000475D2"/>
    <w:rsid w:val="000509F4"/>
    <w:rsid w:val="00051382"/>
    <w:rsid w:val="00052E20"/>
    <w:rsid w:val="00053348"/>
    <w:rsid w:val="0005448B"/>
    <w:rsid w:val="00054A17"/>
    <w:rsid w:val="00055A13"/>
    <w:rsid w:val="00055C2A"/>
    <w:rsid w:val="00057E8A"/>
    <w:rsid w:val="00057ED7"/>
    <w:rsid w:val="00060E07"/>
    <w:rsid w:val="00061B82"/>
    <w:rsid w:val="00062177"/>
    <w:rsid w:val="00062420"/>
    <w:rsid w:val="000629E5"/>
    <w:rsid w:val="00062D33"/>
    <w:rsid w:val="00064F1B"/>
    <w:rsid w:val="00065144"/>
    <w:rsid w:val="0006644D"/>
    <w:rsid w:val="00067CC4"/>
    <w:rsid w:val="000725A3"/>
    <w:rsid w:val="0007353B"/>
    <w:rsid w:val="0007374D"/>
    <w:rsid w:val="00073F1C"/>
    <w:rsid w:val="00074EF1"/>
    <w:rsid w:val="00074F74"/>
    <w:rsid w:val="00075E97"/>
    <w:rsid w:val="0007601F"/>
    <w:rsid w:val="00077300"/>
    <w:rsid w:val="0008001A"/>
    <w:rsid w:val="00080404"/>
    <w:rsid w:val="0008071A"/>
    <w:rsid w:val="00080D48"/>
    <w:rsid w:val="000829D0"/>
    <w:rsid w:val="00082C86"/>
    <w:rsid w:val="00083A24"/>
    <w:rsid w:val="00084624"/>
    <w:rsid w:val="00084A23"/>
    <w:rsid w:val="00085769"/>
    <w:rsid w:val="00085D7B"/>
    <w:rsid w:val="00086A68"/>
    <w:rsid w:val="00086FBD"/>
    <w:rsid w:val="000911BE"/>
    <w:rsid w:val="00091B2F"/>
    <w:rsid w:val="00092C01"/>
    <w:rsid w:val="00094F64"/>
    <w:rsid w:val="000953A3"/>
    <w:rsid w:val="0009668F"/>
    <w:rsid w:val="00096BD3"/>
    <w:rsid w:val="0009793A"/>
    <w:rsid w:val="00097D2A"/>
    <w:rsid w:val="000A224D"/>
    <w:rsid w:val="000A72A5"/>
    <w:rsid w:val="000A793D"/>
    <w:rsid w:val="000B2ADC"/>
    <w:rsid w:val="000B3B8C"/>
    <w:rsid w:val="000B4048"/>
    <w:rsid w:val="000B44F7"/>
    <w:rsid w:val="000B46FD"/>
    <w:rsid w:val="000B4FA2"/>
    <w:rsid w:val="000B5C76"/>
    <w:rsid w:val="000B693E"/>
    <w:rsid w:val="000B7C24"/>
    <w:rsid w:val="000B7EE7"/>
    <w:rsid w:val="000C0B1A"/>
    <w:rsid w:val="000C11EA"/>
    <w:rsid w:val="000C22A0"/>
    <w:rsid w:val="000C24EA"/>
    <w:rsid w:val="000C4298"/>
    <w:rsid w:val="000C4DF8"/>
    <w:rsid w:val="000C4FE8"/>
    <w:rsid w:val="000D00A7"/>
    <w:rsid w:val="000D0CFF"/>
    <w:rsid w:val="000D0D42"/>
    <w:rsid w:val="000D37E1"/>
    <w:rsid w:val="000D3C90"/>
    <w:rsid w:val="000D3DAA"/>
    <w:rsid w:val="000D503E"/>
    <w:rsid w:val="000E044B"/>
    <w:rsid w:val="000E3382"/>
    <w:rsid w:val="000E51F4"/>
    <w:rsid w:val="000E5A6C"/>
    <w:rsid w:val="000F0ED0"/>
    <w:rsid w:val="000F2E70"/>
    <w:rsid w:val="000F3C7C"/>
    <w:rsid w:val="000F41CE"/>
    <w:rsid w:val="000F5446"/>
    <w:rsid w:val="000F6F05"/>
    <w:rsid w:val="00101086"/>
    <w:rsid w:val="00101557"/>
    <w:rsid w:val="001021BE"/>
    <w:rsid w:val="00104798"/>
    <w:rsid w:val="00107257"/>
    <w:rsid w:val="0010779D"/>
    <w:rsid w:val="001108CC"/>
    <w:rsid w:val="00111792"/>
    <w:rsid w:val="00114BF6"/>
    <w:rsid w:val="0011509E"/>
    <w:rsid w:val="00120A78"/>
    <w:rsid w:val="00122E1D"/>
    <w:rsid w:val="00123E1C"/>
    <w:rsid w:val="001242E9"/>
    <w:rsid w:val="001242ED"/>
    <w:rsid w:val="001312DB"/>
    <w:rsid w:val="00131499"/>
    <w:rsid w:val="00131967"/>
    <w:rsid w:val="001326D8"/>
    <w:rsid w:val="0013316F"/>
    <w:rsid w:val="001334E7"/>
    <w:rsid w:val="00134557"/>
    <w:rsid w:val="00134B66"/>
    <w:rsid w:val="001352B8"/>
    <w:rsid w:val="00136314"/>
    <w:rsid w:val="001372DE"/>
    <w:rsid w:val="00140A79"/>
    <w:rsid w:val="001437A7"/>
    <w:rsid w:val="0014417F"/>
    <w:rsid w:val="001454CE"/>
    <w:rsid w:val="00147822"/>
    <w:rsid w:val="00150B33"/>
    <w:rsid w:val="00151B70"/>
    <w:rsid w:val="00152C13"/>
    <w:rsid w:val="00153833"/>
    <w:rsid w:val="001558D8"/>
    <w:rsid w:val="00156F1F"/>
    <w:rsid w:val="001611EB"/>
    <w:rsid w:val="001616D1"/>
    <w:rsid w:val="00161AED"/>
    <w:rsid w:val="00161FE0"/>
    <w:rsid w:val="00163620"/>
    <w:rsid w:val="00163A8A"/>
    <w:rsid w:val="00164915"/>
    <w:rsid w:val="00166F57"/>
    <w:rsid w:val="0017175C"/>
    <w:rsid w:val="001717EB"/>
    <w:rsid w:val="00174ADE"/>
    <w:rsid w:val="00180900"/>
    <w:rsid w:val="001811B3"/>
    <w:rsid w:val="00181E29"/>
    <w:rsid w:val="0018240D"/>
    <w:rsid w:val="00183E5F"/>
    <w:rsid w:val="00184AF8"/>
    <w:rsid w:val="00186040"/>
    <w:rsid w:val="001860A6"/>
    <w:rsid w:val="00191F79"/>
    <w:rsid w:val="0019280E"/>
    <w:rsid w:val="00192CD6"/>
    <w:rsid w:val="001935E6"/>
    <w:rsid w:val="001956C4"/>
    <w:rsid w:val="001A0215"/>
    <w:rsid w:val="001A0440"/>
    <w:rsid w:val="001A048D"/>
    <w:rsid w:val="001A1FA4"/>
    <w:rsid w:val="001A37D1"/>
    <w:rsid w:val="001A3B7E"/>
    <w:rsid w:val="001A4328"/>
    <w:rsid w:val="001A611F"/>
    <w:rsid w:val="001A6823"/>
    <w:rsid w:val="001A7177"/>
    <w:rsid w:val="001A78A0"/>
    <w:rsid w:val="001B1809"/>
    <w:rsid w:val="001B25B0"/>
    <w:rsid w:val="001B2802"/>
    <w:rsid w:val="001B40A5"/>
    <w:rsid w:val="001B533B"/>
    <w:rsid w:val="001C0E55"/>
    <w:rsid w:val="001C12C8"/>
    <w:rsid w:val="001C1A33"/>
    <w:rsid w:val="001C7086"/>
    <w:rsid w:val="001C7B06"/>
    <w:rsid w:val="001C7D2A"/>
    <w:rsid w:val="001D11D7"/>
    <w:rsid w:val="001D1AEC"/>
    <w:rsid w:val="001D2581"/>
    <w:rsid w:val="001D3666"/>
    <w:rsid w:val="001D6432"/>
    <w:rsid w:val="001E112D"/>
    <w:rsid w:val="001E157A"/>
    <w:rsid w:val="001E3C20"/>
    <w:rsid w:val="001E40BB"/>
    <w:rsid w:val="001E42CF"/>
    <w:rsid w:val="001E469F"/>
    <w:rsid w:val="001E5F3F"/>
    <w:rsid w:val="001E6222"/>
    <w:rsid w:val="001E7A88"/>
    <w:rsid w:val="001E7D34"/>
    <w:rsid w:val="001F0234"/>
    <w:rsid w:val="001F06E9"/>
    <w:rsid w:val="001F1670"/>
    <w:rsid w:val="001F2E22"/>
    <w:rsid w:val="001F2E4E"/>
    <w:rsid w:val="001F3B0B"/>
    <w:rsid w:val="001F3B27"/>
    <w:rsid w:val="001F3CEB"/>
    <w:rsid w:val="001F69DF"/>
    <w:rsid w:val="001F6D59"/>
    <w:rsid w:val="0020043E"/>
    <w:rsid w:val="00201B6E"/>
    <w:rsid w:val="00201FC4"/>
    <w:rsid w:val="00202448"/>
    <w:rsid w:val="00203364"/>
    <w:rsid w:val="0020588D"/>
    <w:rsid w:val="002076DF"/>
    <w:rsid w:val="00210D4B"/>
    <w:rsid w:val="00210E30"/>
    <w:rsid w:val="002110DC"/>
    <w:rsid w:val="00211CC4"/>
    <w:rsid w:val="00215FE0"/>
    <w:rsid w:val="00216915"/>
    <w:rsid w:val="00220DC2"/>
    <w:rsid w:val="002210DF"/>
    <w:rsid w:val="00223836"/>
    <w:rsid w:val="00224101"/>
    <w:rsid w:val="00224424"/>
    <w:rsid w:val="00225017"/>
    <w:rsid w:val="00225D1A"/>
    <w:rsid w:val="00226B19"/>
    <w:rsid w:val="00227D68"/>
    <w:rsid w:val="002328BD"/>
    <w:rsid w:val="0023503E"/>
    <w:rsid w:val="00235AE0"/>
    <w:rsid w:val="00235E5A"/>
    <w:rsid w:val="00236FB6"/>
    <w:rsid w:val="00237309"/>
    <w:rsid w:val="0024336D"/>
    <w:rsid w:val="00243518"/>
    <w:rsid w:val="002441C3"/>
    <w:rsid w:val="002442BD"/>
    <w:rsid w:val="00244580"/>
    <w:rsid w:val="00244799"/>
    <w:rsid w:val="00244CD1"/>
    <w:rsid w:val="00246282"/>
    <w:rsid w:val="00246851"/>
    <w:rsid w:val="00246D5A"/>
    <w:rsid w:val="00250136"/>
    <w:rsid w:val="00251BE5"/>
    <w:rsid w:val="00251EA9"/>
    <w:rsid w:val="002534F9"/>
    <w:rsid w:val="00253CB9"/>
    <w:rsid w:val="00253F25"/>
    <w:rsid w:val="00253F2B"/>
    <w:rsid w:val="00254355"/>
    <w:rsid w:val="00254A27"/>
    <w:rsid w:val="00254FF2"/>
    <w:rsid w:val="002558C7"/>
    <w:rsid w:val="00255939"/>
    <w:rsid w:val="0025634B"/>
    <w:rsid w:val="00256DB8"/>
    <w:rsid w:val="0025772C"/>
    <w:rsid w:val="00257F44"/>
    <w:rsid w:val="00260166"/>
    <w:rsid w:val="00260DF1"/>
    <w:rsid w:val="002616C9"/>
    <w:rsid w:val="00261983"/>
    <w:rsid w:val="002634BA"/>
    <w:rsid w:val="0026384F"/>
    <w:rsid w:val="00264264"/>
    <w:rsid w:val="00265277"/>
    <w:rsid w:val="00265770"/>
    <w:rsid w:val="0026608A"/>
    <w:rsid w:val="00266323"/>
    <w:rsid w:val="002663C6"/>
    <w:rsid w:val="00266A91"/>
    <w:rsid w:val="00266CDD"/>
    <w:rsid w:val="00267268"/>
    <w:rsid w:val="0026790F"/>
    <w:rsid w:val="0027365C"/>
    <w:rsid w:val="00280AB3"/>
    <w:rsid w:val="00281A6F"/>
    <w:rsid w:val="002821BA"/>
    <w:rsid w:val="00283E4C"/>
    <w:rsid w:val="00285989"/>
    <w:rsid w:val="00287550"/>
    <w:rsid w:val="00290B38"/>
    <w:rsid w:val="00290EDB"/>
    <w:rsid w:val="00291C2F"/>
    <w:rsid w:val="00294696"/>
    <w:rsid w:val="002956EC"/>
    <w:rsid w:val="00297EEB"/>
    <w:rsid w:val="002B0B0A"/>
    <w:rsid w:val="002B0DD7"/>
    <w:rsid w:val="002B163A"/>
    <w:rsid w:val="002B215F"/>
    <w:rsid w:val="002B2B11"/>
    <w:rsid w:val="002B2DED"/>
    <w:rsid w:val="002B51EB"/>
    <w:rsid w:val="002B5597"/>
    <w:rsid w:val="002B5831"/>
    <w:rsid w:val="002B5F09"/>
    <w:rsid w:val="002B6AA2"/>
    <w:rsid w:val="002C085D"/>
    <w:rsid w:val="002C0AA2"/>
    <w:rsid w:val="002C3A0B"/>
    <w:rsid w:val="002C4120"/>
    <w:rsid w:val="002C50C4"/>
    <w:rsid w:val="002C51D6"/>
    <w:rsid w:val="002C648A"/>
    <w:rsid w:val="002C7616"/>
    <w:rsid w:val="002D109C"/>
    <w:rsid w:val="002D12DF"/>
    <w:rsid w:val="002D1BAC"/>
    <w:rsid w:val="002D2164"/>
    <w:rsid w:val="002D23FE"/>
    <w:rsid w:val="002D412B"/>
    <w:rsid w:val="002D4213"/>
    <w:rsid w:val="002D4A4D"/>
    <w:rsid w:val="002D59E9"/>
    <w:rsid w:val="002D71B1"/>
    <w:rsid w:val="002E21D4"/>
    <w:rsid w:val="002E26CA"/>
    <w:rsid w:val="002E2973"/>
    <w:rsid w:val="002E50BE"/>
    <w:rsid w:val="002E5BE8"/>
    <w:rsid w:val="002F09BA"/>
    <w:rsid w:val="002F179F"/>
    <w:rsid w:val="002F3539"/>
    <w:rsid w:val="002F44AD"/>
    <w:rsid w:val="002F4C08"/>
    <w:rsid w:val="0030011D"/>
    <w:rsid w:val="00300FBB"/>
    <w:rsid w:val="00301277"/>
    <w:rsid w:val="00301CCD"/>
    <w:rsid w:val="003025F9"/>
    <w:rsid w:val="003038B9"/>
    <w:rsid w:val="00305428"/>
    <w:rsid w:val="003063AB"/>
    <w:rsid w:val="0030684B"/>
    <w:rsid w:val="00306CD0"/>
    <w:rsid w:val="00307374"/>
    <w:rsid w:val="00307FA4"/>
    <w:rsid w:val="00310399"/>
    <w:rsid w:val="00311685"/>
    <w:rsid w:val="00313340"/>
    <w:rsid w:val="0031338F"/>
    <w:rsid w:val="00313747"/>
    <w:rsid w:val="003147C4"/>
    <w:rsid w:val="00315E04"/>
    <w:rsid w:val="00316DCD"/>
    <w:rsid w:val="00321590"/>
    <w:rsid w:val="00321B8D"/>
    <w:rsid w:val="0032240D"/>
    <w:rsid w:val="00323CCC"/>
    <w:rsid w:val="0032544B"/>
    <w:rsid w:val="003255BE"/>
    <w:rsid w:val="00325A0B"/>
    <w:rsid w:val="003305B8"/>
    <w:rsid w:val="003307CC"/>
    <w:rsid w:val="00330C19"/>
    <w:rsid w:val="003318EC"/>
    <w:rsid w:val="0033266F"/>
    <w:rsid w:val="0033279E"/>
    <w:rsid w:val="00332D30"/>
    <w:rsid w:val="00335122"/>
    <w:rsid w:val="003355CA"/>
    <w:rsid w:val="00336B09"/>
    <w:rsid w:val="00337322"/>
    <w:rsid w:val="003400EC"/>
    <w:rsid w:val="00340E6F"/>
    <w:rsid w:val="00341A3F"/>
    <w:rsid w:val="00343529"/>
    <w:rsid w:val="00343599"/>
    <w:rsid w:val="00344406"/>
    <w:rsid w:val="00345A6E"/>
    <w:rsid w:val="0034701B"/>
    <w:rsid w:val="0035087F"/>
    <w:rsid w:val="00350905"/>
    <w:rsid w:val="0035118B"/>
    <w:rsid w:val="00351C10"/>
    <w:rsid w:val="003524C0"/>
    <w:rsid w:val="00354153"/>
    <w:rsid w:val="00354CF5"/>
    <w:rsid w:val="00355601"/>
    <w:rsid w:val="00355C15"/>
    <w:rsid w:val="0035686A"/>
    <w:rsid w:val="00357E7A"/>
    <w:rsid w:val="00362109"/>
    <w:rsid w:val="00363D64"/>
    <w:rsid w:val="003651B7"/>
    <w:rsid w:val="0036616F"/>
    <w:rsid w:val="0036677C"/>
    <w:rsid w:val="00367252"/>
    <w:rsid w:val="00367342"/>
    <w:rsid w:val="00367374"/>
    <w:rsid w:val="00371010"/>
    <w:rsid w:val="00371BE9"/>
    <w:rsid w:val="003728C6"/>
    <w:rsid w:val="00373B01"/>
    <w:rsid w:val="0037495E"/>
    <w:rsid w:val="00374B5B"/>
    <w:rsid w:val="00375503"/>
    <w:rsid w:val="00375C6E"/>
    <w:rsid w:val="00380953"/>
    <w:rsid w:val="00380F6D"/>
    <w:rsid w:val="00382278"/>
    <w:rsid w:val="00384258"/>
    <w:rsid w:val="00384B90"/>
    <w:rsid w:val="00384CA6"/>
    <w:rsid w:val="00385037"/>
    <w:rsid w:val="00385BE4"/>
    <w:rsid w:val="003865B0"/>
    <w:rsid w:val="0038734B"/>
    <w:rsid w:val="00390E4D"/>
    <w:rsid w:val="003911CD"/>
    <w:rsid w:val="00393624"/>
    <w:rsid w:val="00393659"/>
    <w:rsid w:val="00393732"/>
    <w:rsid w:val="00393849"/>
    <w:rsid w:val="00395EF6"/>
    <w:rsid w:val="003A0345"/>
    <w:rsid w:val="003A0858"/>
    <w:rsid w:val="003A09D1"/>
    <w:rsid w:val="003A2EFC"/>
    <w:rsid w:val="003A2F25"/>
    <w:rsid w:val="003A5B18"/>
    <w:rsid w:val="003A5D0C"/>
    <w:rsid w:val="003B072E"/>
    <w:rsid w:val="003B1293"/>
    <w:rsid w:val="003B1545"/>
    <w:rsid w:val="003B2EA4"/>
    <w:rsid w:val="003B3F83"/>
    <w:rsid w:val="003B41B5"/>
    <w:rsid w:val="003B5425"/>
    <w:rsid w:val="003B63F5"/>
    <w:rsid w:val="003B6D82"/>
    <w:rsid w:val="003B7113"/>
    <w:rsid w:val="003C075D"/>
    <w:rsid w:val="003C1F81"/>
    <w:rsid w:val="003C261F"/>
    <w:rsid w:val="003C2CC2"/>
    <w:rsid w:val="003C49AE"/>
    <w:rsid w:val="003C56FA"/>
    <w:rsid w:val="003C6BB2"/>
    <w:rsid w:val="003C6C5F"/>
    <w:rsid w:val="003C733E"/>
    <w:rsid w:val="003C7413"/>
    <w:rsid w:val="003D0FA5"/>
    <w:rsid w:val="003D2984"/>
    <w:rsid w:val="003D3629"/>
    <w:rsid w:val="003D418F"/>
    <w:rsid w:val="003D5FEB"/>
    <w:rsid w:val="003D6447"/>
    <w:rsid w:val="003D78D1"/>
    <w:rsid w:val="003E3A45"/>
    <w:rsid w:val="003E4173"/>
    <w:rsid w:val="003E55E4"/>
    <w:rsid w:val="003E6BCB"/>
    <w:rsid w:val="003E7812"/>
    <w:rsid w:val="003F0C27"/>
    <w:rsid w:val="003F2456"/>
    <w:rsid w:val="003F29F7"/>
    <w:rsid w:val="003F30D5"/>
    <w:rsid w:val="003F437C"/>
    <w:rsid w:val="003F4646"/>
    <w:rsid w:val="003F4902"/>
    <w:rsid w:val="003F6CF2"/>
    <w:rsid w:val="003F7287"/>
    <w:rsid w:val="003F7643"/>
    <w:rsid w:val="003F7C2B"/>
    <w:rsid w:val="00400402"/>
    <w:rsid w:val="00400688"/>
    <w:rsid w:val="00400AD8"/>
    <w:rsid w:val="004020AF"/>
    <w:rsid w:val="00402EEA"/>
    <w:rsid w:val="00404ED8"/>
    <w:rsid w:val="004054E4"/>
    <w:rsid w:val="00406EDD"/>
    <w:rsid w:val="004079E6"/>
    <w:rsid w:val="00407B86"/>
    <w:rsid w:val="00410B15"/>
    <w:rsid w:val="00411B75"/>
    <w:rsid w:val="004132D4"/>
    <w:rsid w:val="00413661"/>
    <w:rsid w:val="00413FFA"/>
    <w:rsid w:val="0041493E"/>
    <w:rsid w:val="004155CE"/>
    <w:rsid w:val="004162C5"/>
    <w:rsid w:val="004172D2"/>
    <w:rsid w:val="004214DF"/>
    <w:rsid w:val="00422D07"/>
    <w:rsid w:val="00422F12"/>
    <w:rsid w:val="004242B7"/>
    <w:rsid w:val="00424EB5"/>
    <w:rsid w:val="00425D12"/>
    <w:rsid w:val="0043021D"/>
    <w:rsid w:val="0043094D"/>
    <w:rsid w:val="004309F3"/>
    <w:rsid w:val="00430D2B"/>
    <w:rsid w:val="00431509"/>
    <w:rsid w:val="00431DDB"/>
    <w:rsid w:val="004324A2"/>
    <w:rsid w:val="004324FE"/>
    <w:rsid w:val="0043340C"/>
    <w:rsid w:val="004338E0"/>
    <w:rsid w:val="0043428F"/>
    <w:rsid w:val="0043467F"/>
    <w:rsid w:val="0043646E"/>
    <w:rsid w:val="00436ADC"/>
    <w:rsid w:val="00436ECC"/>
    <w:rsid w:val="004371D8"/>
    <w:rsid w:val="00437CB5"/>
    <w:rsid w:val="004405B4"/>
    <w:rsid w:val="004407C2"/>
    <w:rsid w:val="00441DBB"/>
    <w:rsid w:val="00443395"/>
    <w:rsid w:val="00444D59"/>
    <w:rsid w:val="00444ED0"/>
    <w:rsid w:val="004453C3"/>
    <w:rsid w:val="00446E44"/>
    <w:rsid w:val="00447886"/>
    <w:rsid w:val="00447AC9"/>
    <w:rsid w:val="00447FBD"/>
    <w:rsid w:val="0045033C"/>
    <w:rsid w:val="004523AA"/>
    <w:rsid w:val="00452600"/>
    <w:rsid w:val="00452993"/>
    <w:rsid w:val="00452FF9"/>
    <w:rsid w:val="004536D7"/>
    <w:rsid w:val="00454844"/>
    <w:rsid w:val="00454C6F"/>
    <w:rsid w:val="00461016"/>
    <w:rsid w:val="00462723"/>
    <w:rsid w:val="00463B0F"/>
    <w:rsid w:val="004647C8"/>
    <w:rsid w:val="00464D0E"/>
    <w:rsid w:val="00465D5C"/>
    <w:rsid w:val="00466A13"/>
    <w:rsid w:val="00470907"/>
    <w:rsid w:val="004710B8"/>
    <w:rsid w:val="004743AD"/>
    <w:rsid w:val="00474830"/>
    <w:rsid w:val="00474E25"/>
    <w:rsid w:val="00475696"/>
    <w:rsid w:val="00475A2A"/>
    <w:rsid w:val="00476DF1"/>
    <w:rsid w:val="00477422"/>
    <w:rsid w:val="004778DB"/>
    <w:rsid w:val="00477A8E"/>
    <w:rsid w:val="0048026E"/>
    <w:rsid w:val="00480BB7"/>
    <w:rsid w:val="0048101F"/>
    <w:rsid w:val="00481079"/>
    <w:rsid w:val="00482DE3"/>
    <w:rsid w:val="00483577"/>
    <w:rsid w:val="00484813"/>
    <w:rsid w:val="004858BF"/>
    <w:rsid w:val="00486788"/>
    <w:rsid w:val="00490107"/>
    <w:rsid w:val="00490585"/>
    <w:rsid w:val="004921C0"/>
    <w:rsid w:val="0049246F"/>
    <w:rsid w:val="00493759"/>
    <w:rsid w:val="004951CD"/>
    <w:rsid w:val="00495335"/>
    <w:rsid w:val="00495D82"/>
    <w:rsid w:val="00496310"/>
    <w:rsid w:val="004964E2"/>
    <w:rsid w:val="004970A1"/>
    <w:rsid w:val="004A0A6D"/>
    <w:rsid w:val="004A3098"/>
    <w:rsid w:val="004A3113"/>
    <w:rsid w:val="004A3B0B"/>
    <w:rsid w:val="004A5D9A"/>
    <w:rsid w:val="004A755C"/>
    <w:rsid w:val="004A789F"/>
    <w:rsid w:val="004A7DBC"/>
    <w:rsid w:val="004B117A"/>
    <w:rsid w:val="004B143B"/>
    <w:rsid w:val="004B15E2"/>
    <w:rsid w:val="004B2552"/>
    <w:rsid w:val="004B29CE"/>
    <w:rsid w:val="004B32AD"/>
    <w:rsid w:val="004B3F24"/>
    <w:rsid w:val="004B473E"/>
    <w:rsid w:val="004B49D8"/>
    <w:rsid w:val="004B5D8E"/>
    <w:rsid w:val="004C04BB"/>
    <w:rsid w:val="004C6173"/>
    <w:rsid w:val="004C68C6"/>
    <w:rsid w:val="004D0D92"/>
    <w:rsid w:val="004D3157"/>
    <w:rsid w:val="004D3F08"/>
    <w:rsid w:val="004D4BE9"/>
    <w:rsid w:val="004E043B"/>
    <w:rsid w:val="004E08FF"/>
    <w:rsid w:val="004E133D"/>
    <w:rsid w:val="004E136F"/>
    <w:rsid w:val="004E1719"/>
    <w:rsid w:val="004E1A2F"/>
    <w:rsid w:val="004E3406"/>
    <w:rsid w:val="004E4D12"/>
    <w:rsid w:val="004F03C9"/>
    <w:rsid w:val="004F3177"/>
    <w:rsid w:val="004F382D"/>
    <w:rsid w:val="004F4A93"/>
    <w:rsid w:val="004F4D07"/>
    <w:rsid w:val="004F7A20"/>
    <w:rsid w:val="004F7FAB"/>
    <w:rsid w:val="0050087B"/>
    <w:rsid w:val="00500BC6"/>
    <w:rsid w:val="00500C89"/>
    <w:rsid w:val="005011D7"/>
    <w:rsid w:val="005015F8"/>
    <w:rsid w:val="00501AEC"/>
    <w:rsid w:val="0050222C"/>
    <w:rsid w:val="00502C08"/>
    <w:rsid w:val="00503127"/>
    <w:rsid w:val="0050334A"/>
    <w:rsid w:val="005039AF"/>
    <w:rsid w:val="0050483D"/>
    <w:rsid w:val="00506FA7"/>
    <w:rsid w:val="00510C12"/>
    <w:rsid w:val="00510D08"/>
    <w:rsid w:val="00510F80"/>
    <w:rsid w:val="00511CE1"/>
    <w:rsid w:val="00512D3E"/>
    <w:rsid w:val="005136FF"/>
    <w:rsid w:val="00514272"/>
    <w:rsid w:val="00515395"/>
    <w:rsid w:val="00517B32"/>
    <w:rsid w:val="00520186"/>
    <w:rsid w:val="00525BB2"/>
    <w:rsid w:val="00526392"/>
    <w:rsid w:val="0052672C"/>
    <w:rsid w:val="005277CD"/>
    <w:rsid w:val="00527C3F"/>
    <w:rsid w:val="00527EDC"/>
    <w:rsid w:val="00530764"/>
    <w:rsid w:val="0053245D"/>
    <w:rsid w:val="005333AF"/>
    <w:rsid w:val="00534203"/>
    <w:rsid w:val="00535280"/>
    <w:rsid w:val="00535DFA"/>
    <w:rsid w:val="0054149C"/>
    <w:rsid w:val="00541507"/>
    <w:rsid w:val="0054172D"/>
    <w:rsid w:val="005417E1"/>
    <w:rsid w:val="0054356D"/>
    <w:rsid w:val="00550302"/>
    <w:rsid w:val="005509AE"/>
    <w:rsid w:val="00551190"/>
    <w:rsid w:val="00553028"/>
    <w:rsid w:val="00553B89"/>
    <w:rsid w:val="0055466B"/>
    <w:rsid w:val="00555577"/>
    <w:rsid w:val="00557474"/>
    <w:rsid w:val="00557623"/>
    <w:rsid w:val="00557C32"/>
    <w:rsid w:val="00557F78"/>
    <w:rsid w:val="00560055"/>
    <w:rsid w:val="005602D8"/>
    <w:rsid w:val="005607B2"/>
    <w:rsid w:val="0056393A"/>
    <w:rsid w:val="00564C77"/>
    <w:rsid w:val="00565370"/>
    <w:rsid w:val="00565941"/>
    <w:rsid w:val="00566CDA"/>
    <w:rsid w:val="00567CB2"/>
    <w:rsid w:val="00567E93"/>
    <w:rsid w:val="005728A3"/>
    <w:rsid w:val="00573345"/>
    <w:rsid w:val="005733CF"/>
    <w:rsid w:val="00574832"/>
    <w:rsid w:val="00575800"/>
    <w:rsid w:val="005769FA"/>
    <w:rsid w:val="00576B06"/>
    <w:rsid w:val="00577876"/>
    <w:rsid w:val="00577D4E"/>
    <w:rsid w:val="0058129C"/>
    <w:rsid w:val="0058350C"/>
    <w:rsid w:val="00584D54"/>
    <w:rsid w:val="005879C1"/>
    <w:rsid w:val="00590B22"/>
    <w:rsid w:val="005910B4"/>
    <w:rsid w:val="005911D7"/>
    <w:rsid w:val="00592B34"/>
    <w:rsid w:val="005930C3"/>
    <w:rsid w:val="00593850"/>
    <w:rsid w:val="005945B0"/>
    <w:rsid w:val="005966CE"/>
    <w:rsid w:val="00597BC0"/>
    <w:rsid w:val="005A0E9F"/>
    <w:rsid w:val="005A12B9"/>
    <w:rsid w:val="005A260D"/>
    <w:rsid w:val="005A2C99"/>
    <w:rsid w:val="005A5A37"/>
    <w:rsid w:val="005A5A98"/>
    <w:rsid w:val="005A5C95"/>
    <w:rsid w:val="005A60EB"/>
    <w:rsid w:val="005A6548"/>
    <w:rsid w:val="005B015B"/>
    <w:rsid w:val="005B1D61"/>
    <w:rsid w:val="005B201E"/>
    <w:rsid w:val="005B3E93"/>
    <w:rsid w:val="005B4002"/>
    <w:rsid w:val="005B42A9"/>
    <w:rsid w:val="005B523F"/>
    <w:rsid w:val="005B67E9"/>
    <w:rsid w:val="005B7CC1"/>
    <w:rsid w:val="005C023F"/>
    <w:rsid w:val="005C04C3"/>
    <w:rsid w:val="005C2001"/>
    <w:rsid w:val="005C51C6"/>
    <w:rsid w:val="005C5503"/>
    <w:rsid w:val="005C5AE4"/>
    <w:rsid w:val="005C64E0"/>
    <w:rsid w:val="005C69CB"/>
    <w:rsid w:val="005C77D0"/>
    <w:rsid w:val="005C7985"/>
    <w:rsid w:val="005D0CFD"/>
    <w:rsid w:val="005D2656"/>
    <w:rsid w:val="005D3F14"/>
    <w:rsid w:val="005D4AB2"/>
    <w:rsid w:val="005D598D"/>
    <w:rsid w:val="005D5F2D"/>
    <w:rsid w:val="005D6A37"/>
    <w:rsid w:val="005D78BE"/>
    <w:rsid w:val="005E156A"/>
    <w:rsid w:val="005E2B4D"/>
    <w:rsid w:val="005E4365"/>
    <w:rsid w:val="005E4CB9"/>
    <w:rsid w:val="005E5E5B"/>
    <w:rsid w:val="005F0D7A"/>
    <w:rsid w:val="005F1597"/>
    <w:rsid w:val="005F1DCC"/>
    <w:rsid w:val="005F1FEE"/>
    <w:rsid w:val="005F2FE5"/>
    <w:rsid w:val="005F4024"/>
    <w:rsid w:val="005F67CF"/>
    <w:rsid w:val="005F77AD"/>
    <w:rsid w:val="0060145E"/>
    <w:rsid w:val="006019F2"/>
    <w:rsid w:val="0060324A"/>
    <w:rsid w:val="00604DB6"/>
    <w:rsid w:val="006054DA"/>
    <w:rsid w:val="00605B0F"/>
    <w:rsid w:val="00610081"/>
    <w:rsid w:val="00611A8E"/>
    <w:rsid w:val="00611E04"/>
    <w:rsid w:val="00612033"/>
    <w:rsid w:val="00612175"/>
    <w:rsid w:val="00612EA4"/>
    <w:rsid w:val="006130E2"/>
    <w:rsid w:val="00613A2A"/>
    <w:rsid w:val="00613AC2"/>
    <w:rsid w:val="00613EBA"/>
    <w:rsid w:val="0061431F"/>
    <w:rsid w:val="006211A3"/>
    <w:rsid w:val="00622190"/>
    <w:rsid w:val="00622A40"/>
    <w:rsid w:val="00624845"/>
    <w:rsid w:val="00625B3A"/>
    <w:rsid w:val="00625B5E"/>
    <w:rsid w:val="0062671E"/>
    <w:rsid w:val="00627567"/>
    <w:rsid w:val="006277D8"/>
    <w:rsid w:val="00627B3A"/>
    <w:rsid w:val="00632948"/>
    <w:rsid w:val="006337B4"/>
    <w:rsid w:val="00635DE1"/>
    <w:rsid w:val="00636509"/>
    <w:rsid w:val="00637575"/>
    <w:rsid w:val="00640F89"/>
    <w:rsid w:val="0064362A"/>
    <w:rsid w:val="00643BA0"/>
    <w:rsid w:val="0064459C"/>
    <w:rsid w:val="0064606C"/>
    <w:rsid w:val="0064677A"/>
    <w:rsid w:val="00647622"/>
    <w:rsid w:val="00647B7E"/>
    <w:rsid w:val="00647F26"/>
    <w:rsid w:val="00651113"/>
    <w:rsid w:val="00651234"/>
    <w:rsid w:val="006512F7"/>
    <w:rsid w:val="0065293A"/>
    <w:rsid w:val="00654430"/>
    <w:rsid w:val="00655D25"/>
    <w:rsid w:val="00655F53"/>
    <w:rsid w:val="00655FDB"/>
    <w:rsid w:val="00655FF0"/>
    <w:rsid w:val="00661380"/>
    <w:rsid w:val="00661BB3"/>
    <w:rsid w:val="006628AD"/>
    <w:rsid w:val="00662F01"/>
    <w:rsid w:val="006642D6"/>
    <w:rsid w:val="00664BDC"/>
    <w:rsid w:val="0066590D"/>
    <w:rsid w:val="00665DA1"/>
    <w:rsid w:val="00667502"/>
    <w:rsid w:val="0067005A"/>
    <w:rsid w:val="00671ADD"/>
    <w:rsid w:val="00671C45"/>
    <w:rsid w:val="0067495E"/>
    <w:rsid w:val="00674E46"/>
    <w:rsid w:val="00676E0E"/>
    <w:rsid w:val="006816EA"/>
    <w:rsid w:val="0068349E"/>
    <w:rsid w:val="006836BE"/>
    <w:rsid w:val="00683851"/>
    <w:rsid w:val="00684992"/>
    <w:rsid w:val="00684C28"/>
    <w:rsid w:val="006914E6"/>
    <w:rsid w:val="00694013"/>
    <w:rsid w:val="00697FAF"/>
    <w:rsid w:val="006A15BF"/>
    <w:rsid w:val="006A20E8"/>
    <w:rsid w:val="006A28A4"/>
    <w:rsid w:val="006A2E43"/>
    <w:rsid w:val="006A33A1"/>
    <w:rsid w:val="006A50B7"/>
    <w:rsid w:val="006B2516"/>
    <w:rsid w:val="006B29A1"/>
    <w:rsid w:val="006B2E42"/>
    <w:rsid w:val="006B30C8"/>
    <w:rsid w:val="006B3E16"/>
    <w:rsid w:val="006B412E"/>
    <w:rsid w:val="006B4698"/>
    <w:rsid w:val="006B586F"/>
    <w:rsid w:val="006B668B"/>
    <w:rsid w:val="006C0048"/>
    <w:rsid w:val="006C0227"/>
    <w:rsid w:val="006C1008"/>
    <w:rsid w:val="006C1249"/>
    <w:rsid w:val="006C1FDE"/>
    <w:rsid w:val="006C264C"/>
    <w:rsid w:val="006C2D36"/>
    <w:rsid w:val="006C33D4"/>
    <w:rsid w:val="006C4222"/>
    <w:rsid w:val="006C5847"/>
    <w:rsid w:val="006C6F3A"/>
    <w:rsid w:val="006D0107"/>
    <w:rsid w:val="006D23F6"/>
    <w:rsid w:val="006D2ABD"/>
    <w:rsid w:val="006D2B9D"/>
    <w:rsid w:val="006D344B"/>
    <w:rsid w:val="006D3997"/>
    <w:rsid w:val="006D453F"/>
    <w:rsid w:val="006D4B33"/>
    <w:rsid w:val="006D56FF"/>
    <w:rsid w:val="006D75AD"/>
    <w:rsid w:val="006D77C2"/>
    <w:rsid w:val="006E1226"/>
    <w:rsid w:val="006E12A8"/>
    <w:rsid w:val="006E14FD"/>
    <w:rsid w:val="006E1500"/>
    <w:rsid w:val="006E3582"/>
    <w:rsid w:val="006E3CFC"/>
    <w:rsid w:val="006E3DF1"/>
    <w:rsid w:val="006E69E9"/>
    <w:rsid w:val="006F10BF"/>
    <w:rsid w:val="006F1874"/>
    <w:rsid w:val="006F1C4B"/>
    <w:rsid w:val="006F38AF"/>
    <w:rsid w:val="006F3E78"/>
    <w:rsid w:val="006F43F5"/>
    <w:rsid w:val="006F4FD3"/>
    <w:rsid w:val="006F6153"/>
    <w:rsid w:val="006F6822"/>
    <w:rsid w:val="006F7CC7"/>
    <w:rsid w:val="006F7D8A"/>
    <w:rsid w:val="006F7FD4"/>
    <w:rsid w:val="0070112F"/>
    <w:rsid w:val="007012C0"/>
    <w:rsid w:val="00702791"/>
    <w:rsid w:val="00702B42"/>
    <w:rsid w:val="00702C51"/>
    <w:rsid w:val="00703A3D"/>
    <w:rsid w:val="00704255"/>
    <w:rsid w:val="007043A8"/>
    <w:rsid w:val="007055CD"/>
    <w:rsid w:val="00706798"/>
    <w:rsid w:val="0070766B"/>
    <w:rsid w:val="00711540"/>
    <w:rsid w:val="00712597"/>
    <w:rsid w:val="00712AA1"/>
    <w:rsid w:val="0071436A"/>
    <w:rsid w:val="007143E0"/>
    <w:rsid w:val="00714716"/>
    <w:rsid w:val="00716806"/>
    <w:rsid w:val="00717C5F"/>
    <w:rsid w:val="007201E7"/>
    <w:rsid w:val="00721455"/>
    <w:rsid w:val="0072152D"/>
    <w:rsid w:val="00721B9A"/>
    <w:rsid w:val="00722D91"/>
    <w:rsid w:val="007236F1"/>
    <w:rsid w:val="007240F9"/>
    <w:rsid w:val="007268D4"/>
    <w:rsid w:val="00730212"/>
    <w:rsid w:val="00731771"/>
    <w:rsid w:val="00734CF1"/>
    <w:rsid w:val="00734F1D"/>
    <w:rsid w:val="007352E5"/>
    <w:rsid w:val="00735FEC"/>
    <w:rsid w:val="007365C7"/>
    <w:rsid w:val="00743483"/>
    <w:rsid w:val="00743CBC"/>
    <w:rsid w:val="00745DA7"/>
    <w:rsid w:val="00747FA2"/>
    <w:rsid w:val="00751B5E"/>
    <w:rsid w:val="00752A42"/>
    <w:rsid w:val="00752D67"/>
    <w:rsid w:val="00757C74"/>
    <w:rsid w:val="007615A8"/>
    <w:rsid w:val="0076169E"/>
    <w:rsid w:val="00763F3F"/>
    <w:rsid w:val="007643E9"/>
    <w:rsid w:val="00764DAB"/>
    <w:rsid w:val="00765351"/>
    <w:rsid w:val="00766DE2"/>
    <w:rsid w:val="007708CF"/>
    <w:rsid w:val="007712B7"/>
    <w:rsid w:val="0077217E"/>
    <w:rsid w:val="007737F7"/>
    <w:rsid w:val="00773DBC"/>
    <w:rsid w:val="00774BC5"/>
    <w:rsid w:val="0077557B"/>
    <w:rsid w:val="00775718"/>
    <w:rsid w:val="00775843"/>
    <w:rsid w:val="0077794C"/>
    <w:rsid w:val="007811A8"/>
    <w:rsid w:val="00781296"/>
    <w:rsid w:val="007826AB"/>
    <w:rsid w:val="0078410D"/>
    <w:rsid w:val="00785217"/>
    <w:rsid w:val="00786EE5"/>
    <w:rsid w:val="007879A3"/>
    <w:rsid w:val="00787CF1"/>
    <w:rsid w:val="0079141B"/>
    <w:rsid w:val="00792F28"/>
    <w:rsid w:val="00793BD9"/>
    <w:rsid w:val="00793ECE"/>
    <w:rsid w:val="00793F4E"/>
    <w:rsid w:val="007959B9"/>
    <w:rsid w:val="00796630"/>
    <w:rsid w:val="00796B74"/>
    <w:rsid w:val="00797B41"/>
    <w:rsid w:val="007A05BB"/>
    <w:rsid w:val="007A1E8D"/>
    <w:rsid w:val="007A23AE"/>
    <w:rsid w:val="007A2669"/>
    <w:rsid w:val="007A2C0D"/>
    <w:rsid w:val="007A30A9"/>
    <w:rsid w:val="007A43FE"/>
    <w:rsid w:val="007A4829"/>
    <w:rsid w:val="007A4894"/>
    <w:rsid w:val="007B02F4"/>
    <w:rsid w:val="007B039E"/>
    <w:rsid w:val="007B060D"/>
    <w:rsid w:val="007B07D4"/>
    <w:rsid w:val="007B14A6"/>
    <w:rsid w:val="007B1B3C"/>
    <w:rsid w:val="007B1C3B"/>
    <w:rsid w:val="007B2D88"/>
    <w:rsid w:val="007B3437"/>
    <w:rsid w:val="007B397F"/>
    <w:rsid w:val="007B3BD0"/>
    <w:rsid w:val="007B549F"/>
    <w:rsid w:val="007B66FC"/>
    <w:rsid w:val="007B7BA4"/>
    <w:rsid w:val="007B7BDC"/>
    <w:rsid w:val="007C1D3B"/>
    <w:rsid w:val="007C29F5"/>
    <w:rsid w:val="007C37DB"/>
    <w:rsid w:val="007C428C"/>
    <w:rsid w:val="007C55C9"/>
    <w:rsid w:val="007C621E"/>
    <w:rsid w:val="007C6723"/>
    <w:rsid w:val="007C7183"/>
    <w:rsid w:val="007C79B6"/>
    <w:rsid w:val="007D167E"/>
    <w:rsid w:val="007D20E2"/>
    <w:rsid w:val="007D21D0"/>
    <w:rsid w:val="007D3A21"/>
    <w:rsid w:val="007D62F1"/>
    <w:rsid w:val="007D7279"/>
    <w:rsid w:val="007E1765"/>
    <w:rsid w:val="007E211F"/>
    <w:rsid w:val="007E2536"/>
    <w:rsid w:val="007E382E"/>
    <w:rsid w:val="007E54D0"/>
    <w:rsid w:val="007E61DD"/>
    <w:rsid w:val="007E7AE8"/>
    <w:rsid w:val="007F0208"/>
    <w:rsid w:val="007F0CDF"/>
    <w:rsid w:val="007F1137"/>
    <w:rsid w:val="007F2074"/>
    <w:rsid w:val="007F24DF"/>
    <w:rsid w:val="007F31DE"/>
    <w:rsid w:val="007F64B0"/>
    <w:rsid w:val="007F7B86"/>
    <w:rsid w:val="00801DD1"/>
    <w:rsid w:val="0080207C"/>
    <w:rsid w:val="00802353"/>
    <w:rsid w:val="00804476"/>
    <w:rsid w:val="00805BC8"/>
    <w:rsid w:val="008064F1"/>
    <w:rsid w:val="00806951"/>
    <w:rsid w:val="00806EF4"/>
    <w:rsid w:val="00814A55"/>
    <w:rsid w:val="008154E6"/>
    <w:rsid w:val="0081555C"/>
    <w:rsid w:val="0081574B"/>
    <w:rsid w:val="00816BD9"/>
    <w:rsid w:val="00820B18"/>
    <w:rsid w:val="00820FC2"/>
    <w:rsid w:val="008211EC"/>
    <w:rsid w:val="00821827"/>
    <w:rsid w:val="00822AC9"/>
    <w:rsid w:val="00822E5A"/>
    <w:rsid w:val="00823A4E"/>
    <w:rsid w:val="00823B53"/>
    <w:rsid w:val="00823C9A"/>
    <w:rsid w:val="00824119"/>
    <w:rsid w:val="008261C1"/>
    <w:rsid w:val="00826A30"/>
    <w:rsid w:val="00830268"/>
    <w:rsid w:val="00831A3F"/>
    <w:rsid w:val="00831D0D"/>
    <w:rsid w:val="00831D70"/>
    <w:rsid w:val="00832233"/>
    <w:rsid w:val="00833DDF"/>
    <w:rsid w:val="008344AF"/>
    <w:rsid w:val="00834E4F"/>
    <w:rsid w:val="00840263"/>
    <w:rsid w:val="00841713"/>
    <w:rsid w:val="008440B9"/>
    <w:rsid w:val="008452D2"/>
    <w:rsid w:val="00846605"/>
    <w:rsid w:val="00846CDF"/>
    <w:rsid w:val="008472DE"/>
    <w:rsid w:val="00847A07"/>
    <w:rsid w:val="00851956"/>
    <w:rsid w:val="00851E2F"/>
    <w:rsid w:val="008563E3"/>
    <w:rsid w:val="008566C5"/>
    <w:rsid w:val="008569CF"/>
    <w:rsid w:val="00856B64"/>
    <w:rsid w:val="00860816"/>
    <w:rsid w:val="00861444"/>
    <w:rsid w:val="008630A6"/>
    <w:rsid w:val="008637ED"/>
    <w:rsid w:val="0086518A"/>
    <w:rsid w:val="00866E82"/>
    <w:rsid w:val="0086746D"/>
    <w:rsid w:val="00870416"/>
    <w:rsid w:val="008716B4"/>
    <w:rsid w:val="00871F21"/>
    <w:rsid w:val="00872255"/>
    <w:rsid w:val="00872672"/>
    <w:rsid w:val="00872C85"/>
    <w:rsid w:val="00874075"/>
    <w:rsid w:val="00874E43"/>
    <w:rsid w:val="00874F2B"/>
    <w:rsid w:val="00875974"/>
    <w:rsid w:val="00877693"/>
    <w:rsid w:val="00884809"/>
    <w:rsid w:val="00884E89"/>
    <w:rsid w:val="00885996"/>
    <w:rsid w:val="0088627C"/>
    <w:rsid w:val="00886A9E"/>
    <w:rsid w:val="00890DF6"/>
    <w:rsid w:val="00891869"/>
    <w:rsid w:val="008933DE"/>
    <w:rsid w:val="00894A1F"/>
    <w:rsid w:val="00896601"/>
    <w:rsid w:val="00897449"/>
    <w:rsid w:val="008A005B"/>
    <w:rsid w:val="008A02FF"/>
    <w:rsid w:val="008A238B"/>
    <w:rsid w:val="008A438D"/>
    <w:rsid w:val="008A6F53"/>
    <w:rsid w:val="008A738F"/>
    <w:rsid w:val="008B0428"/>
    <w:rsid w:val="008B1181"/>
    <w:rsid w:val="008B276E"/>
    <w:rsid w:val="008B513A"/>
    <w:rsid w:val="008B6208"/>
    <w:rsid w:val="008B6C57"/>
    <w:rsid w:val="008C123D"/>
    <w:rsid w:val="008C1297"/>
    <w:rsid w:val="008C1854"/>
    <w:rsid w:val="008C1DB8"/>
    <w:rsid w:val="008C27F2"/>
    <w:rsid w:val="008C2B38"/>
    <w:rsid w:val="008C4096"/>
    <w:rsid w:val="008D016F"/>
    <w:rsid w:val="008D115E"/>
    <w:rsid w:val="008D283B"/>
    <w:rsid w:val="008D2AC4"/>
    <w:rsid w:val="008D2F19"/>
    <w:rsid w:val="008D4D8A"/>
    <w:rsid w:val="008D561B"/>
    <w:rsid w:val="008D68DB"/>
    <w:rsid w:val="008E26EE"/>
    <w:rsid w:val="008E2718"/>
    <w:rsid w:val="008E3552"/>
    <w:rsid w:val="008E398B"/>
    <w:rsid w:val="008E47AB"/>
    <w:rsid w:val="008E637E"/>
    <w:rsid w:val="008E7033"/>
    <w:rsid w:val="008F1A0A"/>
    <w:rsid w:val="008F1DC5"/>
    <w:rsid w:val="008F1F63"/>
    <w:rsid w:val="008F1FE0"/>
    <w:rsid w:val="008F3F14"/>
    <w:rsid w:val="008F5B6A"/>
    <w:rsid w:val="008F5C2A"/>
    <w:rsid w:val="008F680F"/>
    <w:rsid w:val="008F6C76"/>
    <w:rsid w:val="008F7284"/>
    <w:rsid w:val="008F7D25"/>
    <w:rsid w:val="0090211A"/>
    <w:rsid w:val="00903547"/>
    <w:rsid w:val="009044C5"/>
    <w:rsid w:val="009050AE"/>
    <w:rsid w:val="0090566C"/>
    <w:rsid w:val="00905878"/>
    <w:rsid w:val="0090600F"/>
    <w:rsid w:val="009076CA"/>
    <w:rsid w:val="009076F6"/>
    <w:rsid w:val="009079D2"/>
    <w:rsid w:val="00907D4E"/>
    <w:rsid w:val="00907DD1"/>
    <w:rsid w:val="009104EE"/>
    <w:rsid w:val="00911CBD"/>
    <w:rsid w:val="00912555"/>
    <w:rsid w:val="00916047"/>
    <w:rsid w:val="00916986"/>
    <w:rsid w:val="009172FF"/>
    <w:rsid w:val="00920254"/>
    <w:rsid w:val="00922117"/>
    <w:rsid w:val="00925ACC"/>
    <w:rsid w:val="0092611C"/>
    <w:rsid w:val="00926216"/>
    <w:rsid w:val="00926EAD"/>
    <w:rsid w:val="009307A2"/>
    <w:rsid w:val="009309B8"/>
    <w:rsid w:val="009310EA"/>
    <w:rsid w:val="00931504"/>
    <w:rsid w:val="00931A22"/>
    <w:rsid w:val="00931A47"/>
    <w:rsid w:val="009322F9"/>
    <w:rsid w:val="00933207"/>
    <w:rsid w:val="0093333B"/>
    <w:rsid w:val="00934794"/>
    <w:rsid w:val="009347D5"/>
    <w:rsid w:val="0093497B"/>
    <w:rsid w:val="00934A95"/>
    <w:rsid w:val="00934CBB"/>
    <w:rsid w:val="00936189"/>
    <w:rsid w:val="009363F9"/>
    <w:rsid w:val="00940D38"/>
    <w:rsid w:val="00942EEC"/>
    <w:rsid w:val="00945217"/>
    <w:rsid w:val="00947929"/>
    <w:rsid w:val="00947D75"/>
    <w:rsid w:val="00951AC1"/>
    <w:rsid w:val="009523EB"/>
    <w:rsid w:val="0095355E"/>
    <w:rsid w:val="00953FAA"/>
    <w:rsid w:val="00954AA2"/>
    <w:rsid w:val="009558BB"/>
    <w:rsid w:val="00960573"/>
    <w:rsid w:val="00960AAC"/>
    <w:rsid w:val="00961CAA"/>
    <w:rsid w:val="009623EB"/>
    <w:rsid w:val="00963B26"/>
    <w:rsid w:val="00964568"/>
    <w:rsid w:val="009668AD"/>
    <w:rsid w:val="00967A8D"/>
    <w:rsid w:val="00970062"/>
    <w:rsid w:val="0097092C"/>
    <w:rsid w:val="0097094E"/>
    <w:rsid w:val="00973739"/>
    <w:rsid w:val="009760AE"/>
    <w:rsid w:val="009815AA"/>
    <w:rsid w:val="009815EF"/>
    <w:rsid w:val="009823A3"/>
    <w:rsid w:val="0098349F"/>
    <w:rsid w:val="009834E1"/>
    <w:rsid w:val="009839CF"/>
    <w:rsid w:val="009840A3"/>
    <w:rsid w:val="00984E12"/>
    <w:rsid w:val="009905E0"/>
    <w:rsid w:val="009928AF"/>
    <w:rsid w:val="00997F21"/>
    <w:rsid w:val="009A00CF"/>
    <w:rsid w:val="009A0304"/>
    <w:rsid w:val="009A23B1"/>
    <w:rsid w:val="009A3187"/>
    <w:rsid w:val="009A339E"/>
    <w:rsid w:val="009A3491"/>
    <w:rsid w:val="009A38A8"/>
    <w:rsid w:val="009A4770"/>
    <w:rsid w:val="009A5D05"/>
    <w:rsid w:val="009A762A"/>
    <w:rsid w:val="009B0174"/>
    <w:rsid w:val="009B1B58"/>
    <w:rsid w:val="009B2667"/>
    <w:rsid w:val="009B3571"/>
    <w:rsid w:val="009B36B4"/>
    <w:rsid w:val="009B5845"/>
    <w:rsid w:val="009B77BA"/>
    <w:rsid w:val="009B7DA3"/>
    <w:rsid w:val="009C153D"/>
    <w:rsid w:val="009C1BFA"/>
    <w:rsid w:val="009C1C45"/>
    <w:rsid w:val="009C4A4A"/>
    <w:rsid w:val="009C5338"/>
    <w:rsid w:val="009C559E"/>
    <w:rsid w:val="009C654E"/>
    <w:rsid w:val="009C66C6"/>
    <w:rsid w:val="009D1454"/>
    <w:rsid w:val="009D18B5"/>
    <w:rsid w:val="009D33B3"/>
    <w:rsid w:val="009D41C8"/>
    <w:rsid w:val="009D4B4A"/>
    <w:rsid w:val="009D58C7"/>
    <w:rsid w:val="009D6193"/>
    <w:rsid w:val="009D7A63"/>
    <w:rsid w:val="009E076C"/>
    <w:rsid w:val="009E1228"/>
    <w:rsid w:val="009E4F94"/>
    <w:rsid w:val="009E5884"/>
    <w:rsid w:val="009F08B1"/>
    <w:rsid w:val="009F1E85"/>
    <w:rsid w:val="009F415A"/>
    <w:rsid w:val="00A00EFD"/>
    <w:rsid w:val="00A027EB"/>
    <w:rsid w:val="00A02B26"/>
    <w:rsid w:val="00A107DF"/>
    <w:rsid w:val="00A11033"/>
    <w:rsid w:val="00A12252"/>
    <w:rsid w:val="00A1228B"/>
    <w:rsid w:val="00A12A7D"/>
    <w:rsid w:val="00A138F6"/>
    <w:rsid w:val="00A14188"/>
    <w:rsid w:val="00A1570A"/>
    <w:rsid w:val="00A16F8E"/>
    <w:rsid w:val="00A17172"/>
    <w:rsid w:val="00A17A93"/>
    <w:rsid w:val="00A20E7E"/>
    <w:rsid w:val="00A21DB2"/>
    <w:rsid w:val="00A23C92"/>
    <w:rsid w:val="00A248D9"/>
    <w:rsid w:val="00A26204"/>
    <w:rsid w:val="00A27456"/>
    <w:rsid w:val="00A275BC"/>
    <w:rsid w:val="00A277ED"/>
    <w:rsid w:val="00A27A82"/>
    <w:rsid w:val="00A310D9"/>
    <w:rsid w:val="00A32B15"/>
    <w:rsid w:val="00A331E5"/>
    <w:rsid w:val="00A34473"/>
    <w:rsid w:val="00A354BF"/>
    <w:rsid w:val="00A35AF9"/>
    <w:rsid w:val="00A35F75"/>
    <w:rsid w:val="00A36523"/>
    <w:rsid w:val="00A4220C"/>
    <w:rsid w:val="00A4236A"/>
    <w:rsid w:val="00A432F3"/>
    <w:rsid w:val="00A451A0"/>
    <w:rsid w:val="00A45713"/>
    <w:rsid w:val="00A46120"/>
    <w:rsid w:val="00A46C6F"/>
    <w:rsid w:val="00A472DA"/>
    <w:rsid w:val="00A5003E"/>
    <w:rsid w:val="00A5069E"/>
    <w:rsid w:val="00A50949"/>
    <w:rsid w:val="00A56702"/>
    <w:rsid w:val="00A579FC"/>
    <w:rsid w:val="00A61955"/>
    <w:rsid w:val="00A6291F"/>
    <w:rsid w:val="00A62EE2"/>
    <w:rsid w:val="00A6321E"/>
    <w:rsid w:val="00A660AE"/>
    <w:rsid w:val="00A67769"/>
    <w:rsid w:val="00A67B46"/>
    <w:rsid w:val="00A70DFD"/>
    <w:rsid w:val="00A712AF"/>
    <w:rsid w:val="00A712C7"/>
    <w:rsid w:val="00A72068"/>
    <w:rsid w:val="00A72606"/>
    <w:rsid w:val="00A73714"/>
    <w:rsid w:val="00A75970"/>
    <w:rsid w:val="00A75BD8"/>
    <w:rsid w:val="00A76BEA"/>
    <w:rsid w:val="00A8061B"/>
    <w:rsid w:val="00A822BD"/>
    <w:rsid w:val="00A82404"/>
    <w:rsid w:val="00A82E94"/>
    <w:rsid w:val="00A83D4D"/>
    <w:rsid w:val="00A84ADA"/>
    <w:rsid w:val="00A85CF2"/>
    <w:rsid w:val="00A90BA4"/>
    <w:rsid w:val="00A911B8"/>
    <w:rsid w:val="00A91CC4"/>
    <w:rsid w:val="00A93A4C"/>
    <w:rsid w:val="00A95460"/>
    <w:rsid w:val="00A957F0"/>
    <w:rsid w:val="00A9587F"/>
    <w:rsid w:val="00A969AB"/>
    <w:rsid w:val="00A96EF3"/>
    <w:rsid w:val="00A97BBC"/>
    <w:rsid w:val="00AA01BF"/>
    <w:rsid w:val="00AA5034"/>
    <w:rsid w:val="00AA60E3"/>
    <w:rsid w:val="00AB3E19"/>
    <w:rsid w:val="00AB45F3"/>
    <w:rsid w:val="00AB46A5"/>
    <w:rsid w:val="00AB4FA8"/>
    <w:rsid w:val="00AB50B9"/>
    <w:rsid w:val="00AB518E"/>
    <w:rsid w:val="00AB619B"/>
    <w:rsid w:val="00AB6FDA"/>
    <w:rsid w:val="00AB7064"/>
    <w:rsid w:val="00AC04FC"/>
    <w:rsid w:val="00AC314A"/>
    <w:rsid w:val="00AC4CD8"/>
    <w:rsid w:val="00AC4F5A"/>
    <w:rsid w:val="00AC551E"/>
    <w:rsid w:val="00AC69C2"/>
    <w:rsid w:val="00AD30CC"/>
    <w:rsid w:val="00AD3AF3"/>
    <w:rsid w:val="00AD536B"/>
    <w:rsid w:val="00AD5392"/>
    <w:rsid w:val="00AD5C7B"/>
    <w:rsid w:val="00AD7C78"/>
    <w:rsid w:val="00AE0DC8"/>
    <w:rsid w:val="00AE134D"/>
    <w:rsid w:val="00AE2120"/>
    <w:rsid w:val="00AE2FE6"/>
    <w:rsid w:val="00AE3534"/>
    <w:rsid w:val="00AE3777"/>
    <w:rsid w:val="00AE39EA"/>
    <w:rsid w:val="00AE3A48"/>
    <w:rsid w:val="00AE6D2B"/>
    <w:rsid w:val="00AE78EB"/>
    <w:rsid w:val="00AF0559"/>
    <w:rsid w:val="00AF42DA"/>
    <w:rsid w:val="00B00682"/>
    <w:rsid w:val="00B027E1"/>
    <w:rsid w:val="00B03F89"/>
    <w:rsid w:val="00B051F4"/>
    <w:rsid w:val="00B05953"/>
    <w:rsid w:val="00B06020"/>
    <w:rsid w:val="00B06820"/>
    <w:rsid w:val="00B06B51"/>
    <w:rsid w:val="00B11945"/>
    <w:rsid w:val="00B12360"/>
    <w:rsid w:val="00B13489"/>
    <w:rsid w:val="00B13F2B"/>
    <w:rsid w:val="00B1466C"/>
    <w:rsid w:val="00B14777"/>
    <w:rsid w:val="00B15591"/>
    <w:rsid w:val="00B16876"/>
    <w:rsid w:val="00B20EEE"/>
    <w:rsid w:val="00B210B8"/>
    <w:rsid w:val="00B22499"/>
    <w:rsid w:val="00B2478F"/>
    <w:rsid w:val="00B24902"/>
    <w:rsid w:val="00B24A88"/>
    <w:rsid w:val="00B25A46"/>
    <w:rsid w:val="00B2622F"/>
    <w:rsid w:val="00B269EC"/>
    <w:rsid w:val="00B270C2"/>
    <w:rsid w:val="00B276FA"/>
    <w:rsid w:val="00B27D9E"/>
    <w:rsid w:val="00B303EE"/>
    <w:rsid w:val="00B310B5"/>
    <w:rsid w:val="00B320ED"/>
    <w:rsid w:val="00B33696"/>
    <w:rsid w:val="00B354F1"/>
    <w:rsid w:val="00B37E3C"/>
    <w:rsid w:val="00B42216"/>
    <w:rsid w:val="00B426E3"/>
    <w:rsid w:val="00B4313D"/>
    <w:rsid w:val="00B43659"/>
    <w:rsid w:val="00B459D8"/>
    <w:rsid w:val="00B468A5"/>
    <w:rsid w:val="00B46D93"/>
    <w:rsid w:val="00B5003E"/>
    <w:rsid w:val="00B50C81"/>
    <w:rsid w:val="00B51923"/>
    <w:rsid w:val="00B52371"/>
    <w:rsid w:val="00B5245A"/>
    <w:rsid w:val="00B536D2"/>
    <w:rsid w:val="00B53B40"/>
    <w:rsid w:val="00B55EFD"/>
    <w:rsid w:val="00B5725E"/>
    <w:rsid w:val="00B6031D"/>
    <w:rsid w:val="00B605B1"/>
    <w:rsid w:val="00B702E6"/>
    <w:rsid w:val="00B706BD"/>
    <w:rsid w:val="00B71CEE"/>
    <w:rsid w:val="00B7293D"/>
    <w:rsid w:val="00B73AC7"/>
    <w:rsid w:val="00B7412B"/>
    <w:rsid w:val="00B741F8"/>
    <w:rsid w:val="00B75221"/>
    <w:rsid w:val="00B75239"/>
    <w:rsid w:val="00B765DC"/>
    <w:rsid w:val="00B76A9B"/>
    <w:rsid w:val="00B76CE5"/>
    <w:rsid w:val="00B76E72"/>
    <w:rsid w:val="00B80154"/>
    <w:rsid w:val="00B8218B"/>
    <w:rsid w:val="00B828FB"/>
    <w:rsid w:val="00B833D8"/>
    <w:rsid w:val="00B8342D"/>
    <w:rsid w:val="00B84D7B"/>
    <w:rsid w:val="00B85B13"/>
    <w:rsid w:val="00B86915"/>
    <w:rsid w:val="00B86C53"/>
    <w:rsid w:val="00B872EC"/>
    <w:rsid w:val="00B87936"/>
    <w:rsid w:val="00B90889"/>
    <w:rsid w:val="00B913B2"/>
    <w:rsid w:val="00B914BF"/>
    <w:rsid w:val="00B91D6D"/>
    <w:rsid w:val="00B921EF"/>
    <w:rsid w:val="00B92BF5"/>
    <w:rsid w:val="00B94486"/>
    <w:rsid w:val="00B9528C"/>
    <w:rsid w:val="00B96190"/>
    <w:rsid w:val="00B97E3E"/>
    <w:rsid w:val="00BA0730"/>
    <w:rsid w:val="00BA143B"/>
    <w:rsid w:val="00BA2885"/>
    <w:rsid w:val="00BA2E8B"/>
    <w:rsid w:val="00BA5290"/>
    <w:rsid w:val="00BA541F"/>
    <w:rsid w:val="00BA5713"/>
    <w:rsid w:val="00BA6ED2"/>
    <w:rsid w:val="00BB08F4"/>
    <w:rsid w:val="00BB1144"/>
    <w:rsid w:val="00BB1253"/>
    <w:rsid w:val="00BB29A7"/>
    <w:rsid w:val="00BB304A"/>
    <w:rsid w:val="00BB478C"/>
    <w:rsid w:val="00BB48CF"/>
    <w:rsid w:val="00BB4E55"/>
    <w:rsid w:val="00BB62F2"/>
    <w:rsid w:val="00BB6A1D"/>
    <w:rsid w:val="00BC1351"/>
    <w:rsid w:val="00BC3568"/>
    <w:rsid w:val="00BC3B79"/>
    <w:rsid w:val="00BC5DF8"/>
    <w:rsid w:val="00BC5F97"/>
    <w:rsid w:val="00BC7D9A"/>
    <w:rsid w:val="00BD0660"/>
    <w:rsid w:val="00BD1ED6"/>
    <w:rsid w:val="00BD211C"/>
    <w:rsid w:val="00BD24AD"/>
    <w:rsid w:val="00BD281D"/>
    <w:rsid w:val="00BD2BA0"/>
    <w:rsid w:val="00BD42F1"/>
    <w:rsid w:val="00BD4FDE"/>
    <w:rsid w:val="00BD5ED0"/>
    <w:rsid w:val="00BE2734"/>
    <w:rsid w:val="00BE73F2"/>
    <w:rsid w:val="00BE7AF3"/>
    <w:rsid w:val="00BF0E31"/>
    <w:rsid w:val="00BF0FE7"/>
    <w:rsid w:val="00BF4D05"/>
    <w:rsid w:val="00BF5831"/>
    <w:rsid w:val="00BF64CE"/>
    <w:rsid w:val="00BF6E2B"/>
    <w:rsid w:val="00BF75E0"/>
    <w:rsid w:val="00C00421"/>
    <w:rsid w:val="00C0366E"/>
    <w:rsid w:val="00C03F14"/>
    <w:rsid w:val="00C060BE"/>
    <w:rsid w:val="00C144DB"/>
    <w:rsid w:val="00C1527E"/>
    <w:rsid w:val="00C157E7"/>
    <w:rsid w:val="00C20F02"/>
    <w:rsid w:val="00C24497"/>
    <w:rsid w:val="00C262A1"/>
    <w:rsid w:val="00C26B15"/>
    <w:rsid w:val="00C274CB"/>
    <w:rsid w:val="00C30B2A"/>
    <w:rsid w:val="00C30EFE"/>
    <w:rsid w:val="00C31913"/>
    <w:rsid w:val="00C32985"/>
    <w:rsid w:val="00C334BA"/>
    <w:rsid w:val="00C34158"/>
    <w:rsid w:val="00C36BE6"/>
    <w:rsid w:val="00C37112"/>
    <w:rsid w:val="00C4046B"/>
    <w:rsid w:val="00C40593"/>
    <w:rsid w:val="00C40EA2"/>
    <w:rsid w:val="00C42F15"/>
    <w:rsid w:val="00C43C8D"/>
    <w:rsid w:val="00C45B50"/>
    <w:rsid w:val="00C45D04"/>
    <w:rsid w:val="00C46C40"/>
    <w:rsid w:val="00C47AA5"/>
    <w:rsid w:val="00C50112"/>
    <w:rsid w:val="00C50194"/>
    <w:rsid w:val="00C53BD0"/>
    <w:rsid w:val="00C53CFE"/>
    <w:rsid w:val="00C5623A"/>
    <w:rsid w:val="00C563BA"/>
    <w:rsid w:val="00C57F20"/>
    <w:rsid w:val="00C60EF8"/>
    <w:rsid w:val="00C612E0"/>
    <w:rsid w:val="00C6155F"/>
    <w:rsid w:val="00C6211A"/>
    <w:rsid w:val="00C62381"/>
    <w:rsid w:val="00C671C5"/>
    <w:rsid w:val="00C74805"/>
    <w:rsid w:val="00C75FB9"/>
    <w:rsid w:val="00C769BF"/>
    <w:rsid w:val="00C76D8B"/>
    <w:rsid w:val="00C770B1"/>
    <w:rsid w:val="00C802A4"/>
    <w:rsid w:val="00C813BA"/>
    <w:rsid w:val="00C821EF"/>
    <w:rsid w:val="00C8238A"/>
    <w:rsid w:val="00C85F65"/>
    <w:rsid w:val="00C86E30"/>
    <w:rsid w:val="00C8719B"/>
    <w:rsid w:val="00C87984"/>
    <w:rsid w:val="00C90215"/>
    <w:rsid w:val="00C91272"/>
    <w:rsid w:val="00C945D5"/>
    <w:rsid w:val="00C96170"/>
    <w:rsid w:val="00CA1494"/>
    <w:rsid w:val="00CA1920"/>
    <w:rsid w:val="00CA2B95"/>
    <w:rsid w:val="00CA3283"/>
    <w:rsid w:val="00CA3CC3"/>
    <w:rsid w:val="00CA57A4"/>
    <w:rsid w:val="00CA5EB2"/>
    <w:rsid w:val="00CA6912"/>
    <w:rsid w:val="00CA7237"/>
    <w:rsid w:val="00CB008C"/>
    <w:rsid w:val="00CB09A3"/>
    <w:rsid w:val="00CB0CA9"/>
    <w:rsid w:val="00CB1165"/>
    <w:rsid w:val="00CB2FA0"/>
    <w:rsid w:val="00CB54DC"/>
    <w:rsid w:val="00CB59AE"/>
    <w:rsid w:val="00CB64F1"/>
    <w:rsid w:val="00CC0F8A"/>
    <w:rsid w:val="00CC24B3"/>
    <w:rsid w:val="00CC3023"/>
    <w:rsid w:val="00CC3954"/>
    <w:rsid w:val="00CC3D08"/>
    <w:rsid w:val="00CC4640"/>
    <w:rsid w:val="00CC4B6D"/>
    <w:rsid w:val="00CC5A23"/>
    <w:rsid w:val="00CC5AA0"/>
    <w:rsid w:val="00CC5ECA"/>
    <w:rsid w:val="00CC6193"/>
    <w:rsid w:val="00CC6A15"/>
    <w:rsid w:val="00CC7136"/>
    <w:rsid w:val="00CC77A5"/>
    <w:rsid w:val="00CC79FA"/>
    <w:rsid w:val="00CD0E1F"/>
    <w:rsid w:val="00CD1510"/>
    <w:rsid w:val="00CD2552"/>
    <w:rsid w:val="00CD26FE"/>
    <w:rsid w:val="00CD3390"/>
    <w:rsid w:val="00CD3768"/>
    <w:rsid w:val="00CD3B16"/>
    <w:rsid w:val="00CD5E3D"/>
    <w:rsid w:val="00CD7685"/>
    <w:rsid w:val="00CD7695"/>
    <w:rsid w:val="00CE1F61"/>
    <w:rsid w:val="00CE2211"/>
    <w:rsid w:val="00CE3F18"/>
    <w:rsid w:val="00CE5D60"/>
    <w:rsid w:val="00CE5DF2"/>
    <w:rsid w:val="00CF0132"/>
    <w:rsid w:val="00CF021F"/>
    <w:rsid w:val="00CF0559"/>
    <w:rsid w:val="00CF10FE"/>
    <w:rsid w:val="00CF1774"/>
    <w:rsid w:val="00CF5E9C"/>
    <w:rsid w:val="00CF6496"/>
    <w:rsid w:val="00CF6538"/>
    <w:rsid w:val="00CF66CB"/>
    <w:rsid w:val="00D00C2A"/>
    <w:rsid w:val="00D013EC"/>
    <w:rsid w:val="00D0263F"/>
    <w:rsid w:val="00D02815"/>
    <w:rsid w:val="00D03103"/>
    <w:rsid w:val="00D042D0"/>
    <w:rsid w:val="00D04537"/>
    <w:rsid w:val="00D04DFE"/>
    <w:rsid w:val="00D06040"/>
    <w:rsid w:val="00D060B7"/>
    <w:rsid w:val="00D07930"/>
    <w:rsid w:val="00D11CAD"/>
    <w:rsid w:val="00D12437"/>
    <w:rsid w:val="00D126AA"/>
    <w:rsid w:val="00D12C91"/>
    <w:rsid w:val="00D13687"/>
    <w:rsid w:val="00D14DDB"/>
    <w:rsid w:val="00D15839"/>
    <w:rsid w:val="00D15E14"/>
    <w:rsid w:val="00D16ED9"/>
    <w:rsid w:val="00D179BD"/>
    <w:rsid w:val="00D20692"/>
    <w:rsid w:val="00D233FB"/>
    <w:rsid w:val="00D23455"/>
    <w:rsid w:val="00D23B77"/>
    <w:rsid w:val="00D23FD4"/>
    <w:rsid w:val="00D243E4"/>
    <w:rsid w:val="00D243EB"/>
    <w:rsid w:val="00D2522A"/>
    <w:rsid w:val="00D252AF"/>
    <w:rsid w:val="00D264FC"/>
    <w:rsid w:val="00D268E7"/>
    <w:rsid w:val="00D302F1"/>
    <w:rsid w:val="00D30DC4"/>
    <w:rsid w:val="00D313CD"/>
    <w:rsid w:val="00D31814"/>
    <w:rsid w:val="00D31DF8"/>
    <w:rsid w:val="00D3315A"/>
    <w:rsid w:val="00D33271"/>
    <w:rsid w:val="00D338AF"/>
    <w:rsid w:val="00D40988"/>
    <w:rsid w:val="00D40E45"/>
    <w:rsid w:val="00D42441"/>
    <w:rsid w:val="00D4300E"/>
    <w:rsid w:val="00D43176"/>
    <w:rsid w:val="00D43220"/>
    <w:rsid w:val="00D47892"/>
    <w:rsid w:val="00D5195D"/>
    <w:rsid w:val="00D52816"/>
    <w:rsid w:val="00D548AE"/>
    <w:rsid w:val="00D55146"/>
    <w:rsid w:val="00D5546A"/>
    <w:rsid w:val="00D5669F"/>
    <w:rsid w:val="00D57B39"/>
    <w:rsid w:val="00D60A5D"/>
    <w:rsid w:val="00D61030"/>
    <w:rsid w:val="00D61794"/>
    <w:rsid w:val="00D626FC"/>
    <w:rsid w:val="00D62D08"/>
    <w:rsid w:val="00D631C3"/>
    <w:rsid w:val="00D635D5"/>
    <w:rsid w:val="00D64264"/>
    <w:rsid w:val="00D65927"/>
    <w:rsid w:val="00D66273"/>
    <w:rsid w:val="00D66AC7"/>
    <w:rsid w:val="00D676E1"/>
    <w:rsid w:val="00D67CA6"/>
    <w:rsid w:val="00D67CB6"/>
    <w:rsid w:val="00D73413"/>
    <w:rsid w:val="00D734A4"/>
    <w:rsid w:val="00D749FC"/>
    <w:rsid w:val="00D75D05"/>
    <w:rsid w:val="00D75D8F"/>
    <w:rsid w:val="00D77C6A"/>
    <w:rsid w:val="00D79DE1"/>
    <w:rsid w:val="00D80545"/>
    <w:rsid w:val="00D807B6"/>
    <w:rsid w:val="00D808C7"/>
    <w:rsid w:val="00D81752"/>
    <w:rsid w:val="00D84884"/>
    <w:rsid w:val="00D853E9"/>
    <w:rsid w:val="00D8613B"/>
    <w:rsid w:val="00D93F79"/>
    <w:rsid w:val="00D9481E"/>
    <w:rsid w:val="00D974E0"/>
    <w:rsid w:val="00D975D7"/>
    <w:rsid w:val="00D97AAA"/>
    <w:rsid w:val="00DA361B"/>
    <w:rsid w:val="00DA445F"/>
    <w:rsid w:val="00DA4492"/>
    <w:rsid w:val="00DA53A6"/>
    <w:rsid w:val="00DA64B7"/>
    <w:rsid w:val="00DA6D26"/>
    <w:rsid w:val="00DA7479"/>
    <w:rsid w:val="00DB05AF"/>
    <w:rsid w:val="00DB1AE4"/>
    <w:rsid w:val="00DB3113"/>
    <w:rsid w:val="00DB3C3F"/>
    <w:rsid w:val="00DB70D9"/>
    <w:rsid w:val="00DC04B5"/>
    <w:rsid w:val="00DC0685"/>
    <w:rsid w:val="00DC268A"/>
    <w:rsid w:val="00DC387D"/>
    <w:rsid w:val="00DC6DCB"/>
    <w:rsid w:val="00DC7E1E"/>
    <w:rsid w:val="00DD0D9A"/>
    <w:rsid w:val="00DD3E8E"/>
    <w:rsid w:val="00DD5389"/>
    <w:rsid w:val="00DD69DC"/>
    <w:rsid w:val="00DE006B"/>
    <w:rsid w:val="00DE017C"/>
    <w:rsid w:val="00DE235D"/>
    <w:rsid w:val="00DE4643"/>
    <w:rsid w:val="00DE598E"/>
    <w:rsid w:val="00DE718C"/>
    <w:rsid w:val="00DF0E19"/>
    <w:rsid w:val="00DF16C7"/>
    <w:rsid w:val="00DF2382"/>
    <w:rsid w:val="00DF2C29"/>
    <w:rsid w:val="00DF2EB9"/>
    <w:rsid w:val="00DF32FA"/>
    <w:rsid w:val="00DF3D78"/>
    <w:rsid w:val="00DF461F"/>
    <w:rsid w:val="00DF4C9C"/>
    <w:rsid w:val="00DF4F8D"/>
    <w:rsid w:val="00DF65A2"/>
    <w:rsid w:val="00DF7339"/>
    <w:rsid w:val="00DF746A"/>
    <w:rsid w:val="00E0188F"/>
    <w:rsid w:val="00E02EAA"/>
    <w:rsid w:val="00E03669"/>
    <w:rsid w:val="00E044AC"/>
    <w:rsid w:val="00E07398"/>
    <w:rsid w:val="00E10687"/>
    <w:rsid w:val="00E10D8A"/>
    <w:rsid w:val="00E10EF3"/>
    <w:rsid w:val="00E11E70"/>
    <w:rsid w:val="00E135AD"/>
    <w:rsid w:val="00E13F5F"/>
    <w:rsid w:val="00E15B6E"/>
    <w:rsid w:val="00E164D9"/>
    <w:rsid w:val="00E16730"/>
    <w:rsid w:val="00E16B5F"/>
    <w:rsid w:val="00E17129"/>
    <w:rsid w:val="00E17DBE"/>
    <w:rsid w:val="00E20237"/>
    <w:rsid w:val="00E2073A"/>
    <w:rsid w:val="00E20B6F"/>
    <w:rsid w:val="00E20F83"/>
    <w:rsid w:val="00E23A3A"/>
    <w:rsid w:val="00E246D2"/>
    <w:rsid w:val="00E2500C"/>
    <w:rsid w:val="00E25CBF"/>
    <w:rsid w:val="00E275AD"/>
    <w:rsid w:val="00E33896"/>
    <w:rsid w:val="00E33B99"/>
    <w:rsid w:val="00E34AE8"/>
    <w:rsid w:val="00E34B78"/>
    <w:rsid w:val="00E35778"/>
    <w:rsid w:val="00E3584D"/>
    <w:rsid w:val="00E35E0E"/>
    <w:rsid w:val="00E35E59"/>
    <w:rsid w:val="00E36FEA"/>
    <w:rsid w:val="00E40750"/>
    <w:rsid w:val="00E40F05"/>
    <w:rsid w:val="00E412E7"/>
    <w:rsid w:val="00E46121"/>
    <w:rsid w:val="00E4630B"/>
    <w:rsid w:val="00E47205"/>
    <w:rsid w:val="00E47553"/>
    <w:rsid w:val="00E5054C"/>
    <w:rsid w:val="00E51C14"/>
    <w:rsid w:val="00E53234"/>
    <w:rsid w:val="00E5364E"/>
    <w:rsid w:val="00E5437E"/>
    <w:rsid w:val="00E550EC"/>
    <w:rsid w:val="00E56B24"/>
    <w:rsid w:val="00E56B7E"/>
    <w:rsid w:val="00E612D9"/>
    <w:rsid w:val="00E6198D"/>
    <w:rsid w:val="00E61E31"/>
    <w:rsid w:val="00E62F93"/>
    <w:rsid w:val="00E64000"/>
    <w:rsid w:val="00E64FFA"/>
    <w:rsid w:val="00E65680"/>
    <w:rsid w:val="00E657F1"/>
    <w:rsid w:val="00E67618"/>
    <w:rsid w:val="00E704C9"/>
    <w:rsid w:val="00E707FA"/>
    <w:rsid w:val="00E711ED"/>
    <w:rsid w:val="00E72EBF"/>
    <w:rsid w:val="00E76AD4"/>
    <w:rsid w:val="00E81D95"/>
    <w:rsid w:val="00E85377"/>
    <w:rsid w:val="00E853BE"/>
    <w:rsid w:val="00E87897"/>
    <w:rsid w:val="00E87FBD"/>
    <w:rsid w:val="00E90CF4"/>
    <w:rsid w:val="00E94C66"/>
    <w:rsid w:val="00EA18A5"/>
    <w:rsid w:val="00EA2A36"/>
    <w:rsid w:val="00EA4833"/>
    <w:rsid w:val="00EA4CD7"/>
    <w:rsid w:val="00EA5914"/>
    <w:rsid w:val="00EA66F7"/>
    <w:rsid w:val="00EA6DFB"/>
    <w:rsid w:val="00EA6F33"/>
    <w:rsid w:val="00EA7016"/>
    <w:rsid w:val="00EB233B"/>
    <w:rsid w:val="00EB4210"/>
    <w:rsid w:val="00EB5870"/>
    <w:rsid w:val="00EB5A78"/>
    <w:rsid w:val="00EC0202"/>
    <w:rsid w:val="00EC0EEC"/>
    <w:rsid w:val="00EC184B"/>
    <w:rsid w:val="00EC1B71"/>
    <w:rsid w:val="00EC31F0"/>
    <w:rsid w:val="00EC3ED2"/>
    <w:rsid w:val="00EC68FD"/>
    <w:rsid w:val="00EC6CEB"/>
    <w:rsid w:val="00EC793C"/>
    <w:rsid w:val="00ED07D3"/>
    <w:rsid w:val="00ED15D5"/>
    <w:rsid w:val="00ED2958"/>
    <w:rsid w:val="00ED2EF7"/>
    <w:rsid w:val="00ED34B3"/>
    <w:rsid w:val="00ED4318"/>
    <w:rsid w:val="00ED48F8"/>
    <w:rsid w:val="00ED5048"/>
    <w:rsid w:val="00ED7743"/>
    <w:rsid w:val="00ED79AC"/>
    <w:rsid w:val="00ED7F7E"/>
    <w:rsid w:val="00EE0CBC"/>
    <w:rsid w:val="00EE0F4F"/>
    <w:rsid w:val="00EE1DBA"/>
    <w:rsid w:val="00EE3C00"/>
    <w:rsid w:val="00EE3D5C"/>
    <w:rsid w:val="00EE3E19"/>
    <w:rsid w:val="00EE5E12"/>
    <w:rsid w:val="00EE725E"/>
    <w:rsid w:val="00EF0836"/>
    <w:rsid w:val="00EF2B2D"/>
    <w:rsid w:val="00EF2DEA"/>
    <w:rsid w:val="00EF494B"/>
    <w:rsid w:val="00F00523"/>
    <w:rsid w:val="00F00B6E"/>
    <w:rsid w:val="00F0152B"/>
    <w:rsid w:val="00F017CD"/>
    <w:rsid w:val="00F017DA"/>
    <w:rsid w:val="00F01B5C"/>
    <w:rsid w:val="00F01D20"/>
    <w:rsid w:val="00F0487C"/>
    <w:rsid w:val="00F05073"/>
    <w:rsid w:val="00F05B49"/>
    <w:rsid w:val="00F06DA3"/>
    <w:rsid w:val="00F07383"/>
    <w:rsid w:val="00F100FC"/>
    <w:rsid w:val="00F101E7"/>
    <w:rsid w:val="00F1124B"/>
    <w:rsid w:val="00F11433"/>
    <w:rsid w:val="00F11E6F"/>
    <w:rsid w:val="00F128BE"/>
    <w:rsid w:val="00F144CF"/>
    <w:rsid w:val="00F149C0"/>
    <w:rsid w:val="00F14D0A"/>
    <w:rsid w:val="00F157FD"/>
    <w:rsid w:val="00F2011B"/>
    <w:rsid w:val="00F20475"/>
    <w:rsid w:val="00F23478"/>
    <w:rsid w:val="00F23A17"/>
    <w:rsid w:val="00F27900"/>
    <w:rsid w:val="00F27DF4"/>
    <w:rsid w:val="00F30969"/>
    <w:rsid w:val="00F30FDF"/>
    <w:rsid w:val="00F314B9"/>
    <w:rsid w:val="00F31B0F"/>
    <w:rsid w:val="00F32B10"/>
    <w:rsid w:val="00F33AD7"/>
    <w:rsid w:val="00F34C62"/>
    <w:rsid w:val="00F360D8"/>
    <w:rsid w:val="00F36A45"/>
    <w:rsid w:val="00F40D47"/>
    <w:rsid w:val="00F41680"/>
    <w:rsid w:val="00F417A8"/>
    <w:rsid w:val="00F4227F"/>
    <w:rsid w:val="00F42386"/>
    <w:rsid w:val="00F43652"/>
    <w:rsid w:val="00F44CCE"/>
    <w:rsid w:val="00F45AB4"/>
    <w:rsid w:val="00F469B4"/>
    <w:rsid w:val="00F503A0"/>
    <w:rsid w:val="00F514A6"/>
    <w:rsid w:val="00F523DF"/>
    <w:rsid w:val="00F53071"/>
    <w:rsid w:val="00F55824"/>
    <w:rsid w:val="00F55C05"/>
    <w:rsid w:val="00F56F00"/>
    <w:rsid w:val="00F57979"/>
    <w:rsid w:val="00F60C46"/>
    <w:rsid w:val="00F60D86"/>
    <w:rsid w:val="00F617C7"/>
    <w:rsid w:val="00F633D8"/>
    <w:rsid w:val="00F63900"/>
    <w:rsid w:val="00F63B2A"/>
    <w:rsid w:val="00F669E3"/>
    <w:rsid w:val="00F670FD"/>
    <w:rsid w:val="00F67A7F"/>
    <w:rsid w:val="00F70DDF"/>
    <w:rsid w:val="00F728DA"/>
    <w:rsid w:val="00F72907"/>
    <w:rsid w:val="00F72D7D"/>
    <w:rsid w:val="00F73A02"/>
    <w:rsid w:val="00F75253"/>
    <w:rsid w:val="00F756CC"/>
    <w:rsid w:val="00F765D8"/>
    <w:rsid w:val="00F766EC"/>
    <w:rsid w:val="00F7751D"/>
    <w:rsid w:val="00F77D92"/>
    <w:rsid w:val="00F8061E"/>
    <w:rsid w:val="00F81202"/>
    <w:rsid w:val="00F81244"/>
    <w:rsid w:val="00F812DE"/>
    <w:rsid w:val="00F8230C"/>
    <w:rsid w:val="00F86261"/>
    <w:rsid w:val="00F86A88"/>
    <w:rsid w:val="00F907D1"/>
    <w:rsid w:val="00F90F8C"/>
    <w:rsid w:val="00F9303D"/>
    <w:rsid w:val="00F93D98"/>
    <w:rsid w:val="00F942D4"/>
    <w:rsid w:val="00F94D38"/>
    <w:rsid w:val="00F95B5F"/>
    <w:rsid w:val="00F96515"/>
    <w:rsid w:val="00F97268"/>
    <w:rsid w:val="00FA199A"/>
    <w:rsid w:val="00FA2156"/>
    <w:rsid w:val="00FA2652"/>
    <w:rsid w:val="00FA56E1"/>
    <w:rsid w:val="00FA7863"/>
    <w:rsid w:val="00FB0CD0"/>
    <w:rsid w:val="00FB2927"/>
    <w:rsid w:val="00FB33A7"/>
    <w:rsid w:val="00FB4FDC"/>
    <w:rsid w:val="00FB525A"/>
    <w:rsid w:val="00FB5290"/>
    <w:rsid w:val="00FB5A7B"/>
    <w:rsid w:val="00FB638E"/>
    <w:rsid w:val="00FB66EB"/>
    <w:rsid w:val="00FC1255"/>
    <w:rsid w:val="00FC1EEB"/>
    <w:rsid w:val="00FC24D2"/>
    <w:rsid w:val="00FC46A3"/>
    <w:rsid w:val="00FC5157"/>
    <w:rsid w:val="00FC5CE1"/>
    <w:rsid w:val="00FC62A6"/>
    <w:rsid w:val="00FC735C"/>
    <w:rsid w:val="00FD0F38"/>
    <w:rsid w:val="00FD1595"/>
    <w:rsid w:val="00FD50B1"/>
    <w:rsid w:val="00FD5478"/>
    <w:rsid w:val="00FD69F0"/>
    <w:rsid w:val="00FD7840"/>
    <w:rsid w:val="00FD7F26"/>
    <w:rsid w:val="00FE28E1"/>
    <w:rsid w:val="00FE3D87"/>
    <w:rsid w:val="00FE4BBF"/>
    <w:rsid w:val="00FE58C0"/>
    <w:rsid w:val="00FE60E9"/>
    <w:rsid w:val="00FF0256"/>
    <w:rsid w:val="00FF2866"/>
    <w:rsid w:val="00FF6D75"/>
    <w:rsid w:val="0154B0A3"/>
    <w:rsid w:val="029541E0"/>
    <w:rsid w:val="03881917"/>
    <w:rsid w:val="03D3579C"/>
    <w:rsid w:val="04311241"/>
    <w:rsid w:val="051462CC"/>
    <w:rsid w:val="06C018B5"/>
    <w:rsid w:val="09A2431B"/>
    <w:rsid w:val="0B2030F4"/>
    <w:rsid w:val="0B96A58F"/>
    <w:rsid w:val="0DF189F4"/>
    <w:rsid w:val="0E3044C3"/>
    <w:rsid w:val="0E91A6FB"/>
    <w:rsid w:val="0ECC1B42"/>
    <w:rsid w:val="0FA26099"/>
    <w:rsid w:val="1246935B"/>
    <w:rsid w:val="12B7566A"/>
    <w:rsid w:val="12DA015B"/>
    <w:rsid w:val="140F8895"/>
    <w:rsid w:val="14A95CE2"/>
    <w:rsid w:val="15675E26"/>
    <w:rsid w:val="174DC9A6"/>
    <w:rsid w:val="18F28091"/>
    <w:rsid w:val="19D8982A"/>
    <w:rsid w:val="1A908D65"/>
    <w:rsid w:val="1C1556DF"/>
    <w:rsid w:val="1C82E2F7"/>
    <w:rsid w:val="1CD2E6A0"/>
    <w:rsid w:val="1E558F9F"/>
    <w:rsid w:val="1E6EB701"/>
    <w:rsid w:val="1EFC066E"/>
    <w:rsid w:val="1F087265"/>
    <w:rsid w:val="21CFA219"/>
    <w:rsid w:val="221E52A0"/>
    <w:rsid w:val="226642DA"/>
    <w:rsid w:val="231D1B7C"/>
    <w:rsid w:val="23432525"/>
    <w:rsid w:val="238526D8"/>
    <w:rsid w:val="23B962D2"/>
    <w:rsid w:val="245F3A61"/>
    <w:rsid w:val="256A200D"/>
    <w:rsid w:val="262E4635"/>
    <w:rsid w:val="2671779B"/>
    <w:rsid w:val="2826B034"/>
    <w:rsid w:val="286A9C60"/>
    <w:rsid w:val="29D3B818"/>
    <w:rsid w:val="2D433842"/>
    <w:rsid w:val="2DA632FA"/>
    <w:rsid w:val="2F3054B0"/>
    <w:rsid w:val="2F34D5C2"/>
    <w:rsid w:val="2F6B0C67"/>
    <w:rsid w:val="30CA736F"/>
    <w:rsid w:val="32043503"/>
    <w:rsid w:val="324D09A0"/>
    <w:rsid w:val="329ADE71"/>
    <w:rsid w:val="32A7ED35"/>
    <w:rsid w:val="33299F11"/>
    <w:rsid w:val="33D8476A"/>
    <w:rsid w:val="3491E38C"/>
    <w:rsid w:val="352E6604"/>
    <w:rsid w:val="355A9765"/>
    <w:rsid w:val="363F7C69"/>
    <w:rsid w:val="37DB4CCA"/>
    <w:rsid w:val="388B16DE"/>
    <w:rsid w:val="3906250B"/>
    <w:rsid w:val="3ADF5244"/>
    <w:rsid w:val="3BDF29C0"/>
    <w:rsid w:val="3E3B2556"/>
    <w:rsid w:val="3EF2A5E1"/>
    <w:rsid w:val="3F0A6304"/>
    <w:rsid w:val="3F4C65C9"/>
    <w:rsid w:val="3F9BAEB0"/>
    <w:rsid w:val="40E8362A"/>
    <w:rsid w:val="448E4A20"/>
    <w:rsid w:val="44CD1760"/>
    <w:rsid w:val="458228DA"/>
    <w:rsid w:val="46B0D2EC"/>
    <w:rsid w:val="4705F3CA"/>
    <w:rsid w:val="47DAD8E8"/>
    <w:rsid w:val="492468F7"/>
    <w:rsid w:val="498B7ED9"/>
    <w:rsid w:val="4BB535BA"/>
    <w:rsid w:val="4BEA7F5E"/>
    <w:rsid w:val="4D689D53"/>
    <w:rsid w:val="4DA0DFE3"/>
    <w:rsid w:val="4DA4FEF1"/>
    <w:rsid w:val="4E4F15EB"/>
    <w:rsid w:val="4E9AA0C5"/>
    <w:rsid w:val="4E9D57D2"/>
    <w:rsid w:val="4EBF7EEB"/>
    <w:rsid w:val="4EF6CCA6"/>
    <w:rsid w:val="4FDDE217"/>
    <w:rsid w:val="505747C3"/>
    <w:rsid w:val="508803EB"/>
    <w:rsid w:val="50AAB705"/>
    <w:rsid w:val="52776710"/>
    <w:rsid w:val="52953CBF"/>
    <w:rsid w:val="52DA2837"/>
    <w:rsid w:val="535738A2"/>
    <w:rsid w:val="539DC5B1"/>
    <w:rsid w:val="5412E216"/>
    <w:rsid w:val="54793A9A"/>
    <w:rsid w:val="5569B22F"/>
    <w:rsid w:val="571A8FFE"/>
    <w:rsid w:val="58968BAF"/>
    <w:rsid w:val="59422AB7"/>
    <w:rsid w:val="5D52DB0D"/>
    <w:rsid w:val="5D7340BC"/>
    <w:rsid w:val="5ECEAE9C"/>
    <w:rsid w:val="5F0F7AD8"/>
    <w:rsid w:val="5FCB5444"/>
    <w:rsid w:val="602D5163"/>
    <w:rsid w:val="615D4883"/>
    <w:rsid w:val="61E896B6"/>
    <w:rsid w:val="62720CA4"/>
    <w:rsid w:val="62BD65A9"/>
    <w:rsid w:val="62BD7041"/>
    <w:rsid w:val="6350DE41"/>
    <w:rsid w:val="6390A045"/>
    <w:rsid w:val="6424B19A"/>
    <w:rsid w:val="64425E28"/>
    <w:rsid w:val="6486657B"/>
    <w:rsid w:val="661F7ECF"/>
    <w:rsid w:val="692E8F94"/>
    <w:rsid w:val="698ACEE3"/>
    <w:rsid w:val="6ACA766B"/>
    <w:rsid w:val="6B010734"/>
    <w:rsid w:val="6B5E4E06"/>
    <w:rsid w:val="6B81B079"/>
    <w:rsid w:val="6C16AA92"/>
    <w:rsid w:val="6D525693"/>
    <w:rsid w:val="6E78DE90"/>
    <w:rsid w:val="6F6D3ABF"/>
    <w:rsid w:val="70B43A80"/>
    <w:rsid w:val="718598C4"/>
    <w:rsid w:val="718AC202"/>
    <w:rsid w:val="71E74DB7"/>
    <w:rsid w:val="72593690"/>
    <w:rsid w:val="73272B83"/>
    <w:rsid w:val="74176D39"/>
    <w:rsid w:val="741A02BA"/>
    <w:rsid w:val="74B2FA95"/>
    <w:rsid w:val="750ABFF2"/>
    <w:rsid w:val="750B4BF3"/>
    <w:rsid w:val="765D094A"/>
    <w:rsid w:val="7694C9A9"/>
    <w:rsid w:val="7758E7F5"/>
    <w:rsid w:val="77EA9B57"/>
    <w:rsid w:val="7914A1F2"/>
    <w:rsid w:val="79DCC3DD"/>
    <w:rsid w:val="79F0FEA4"/>
    <w:rsid w:val="7A090E20"/>
    <w:rsid w:val="7A4A94FE"/>
    <w:rsid w:val="7B5302D9"/>
    <w:rsid w:val="7B8CCF05"/>
    <w:rsid w:val="7D62F2BA"/>
    <w:rsid w:val="7DD8697A"/>
    <w:rsid w:val="7E8D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7BC40E"/>
  <w15:chartTrackingRefBased/>
  <w15:docId w15:val="{66C36158-8B2F-433A-B976-D644B0E1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6C5"/>
    <w:pPr>
      <w:spacing w:after="0" w:line="240" w:lineRule="auto"/>
      <w:jc w:val="both"/>
    </w:pPr>
    <w:rPr>
      <w:rFonts w:ascii="Times New Roman" w:eastAsia="MS Mincho" w:hAnsi="Times New Roman" w:cs="Times New Roman"/>
      <w:kern w:val="0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8566C5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8566C5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566C5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66C5"/>
    <w:rPr>
      <w:rFonts w:ascii="Times New Roman" w:eastAsia="MS Mincho" w:hAnsi="Times New Roman" w:cs="Times New Roman"/>
      <w:b/>
      <w:bCs/>
      <w:kern w:val="0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rsid w:val="008566C5"/>
    <w:rPr>
      <w:rFonts w:ascii="Calibri" w:eastAsia="MS Mincho" w:hAnsi="Calibri" w:cs="Times New Roman"/>
      <w:b/>
      <w:bCs/>
      <w:i/>
      <w:iCs/>
      <w:kern w:val="0"/>
      <w:sz w:val="28"/>
      <w:szCs w:val="28"/>
      <w14:ligatures w14:val="none"/>
    </w:rPr>
  </w:style>
  <w:style w:type="character" w:customStyle="1" w:styleId="Heading3Char">
    <w:name w:val="Heading 3 Char"/>
    <w:basedOn w:val="DefaultParagraphFont"/>
    <w:link w:val="Heading3"/>
    <w:rsid w:val="008566C5"/>
    <w:rPr>
      <w:rFonts w:ascii="Calibri" w:eastAsia="MS Mincho" w:hAnsi="Calibri" w:cs="Times New Roman"/>
      <w:b/>
      <w:bCs/>
      <w:kern w:val="0"/>
      <w:sz w:val="26"/>
      <w:szCs w:val="26"/>
      <w14:ligatures w14:val="none"/>
    </w:rPr>
  </w:style>
  <w:style w:type="paragraph" w:styleId="FootnoteText">
    <w:name w:val="footnote text"/>
    <w:basedOn w:val="Normal"/>
    <w:link w:val="FootnoteTextChar"/>
    <w:semiHidden/>
    <w:rsid w:val="008566C5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566C5"/>
    <w:rPr>
      <w:rFonts w:ascii="Times New Roman" w:eastAsia="MS Mincho" w:hAnsi="Times New Roman" w:cs="Times New Roman"/>
      <w:kern w:val="0"/>
      <w:sz w:val="20"/>
      <w:szCs w:val="24"/>
      <w14:ligatures w14:val="none"/>
    </w:rPr>
  </w:style>
  <w:style w:type="character" w:styleId="FootnoteReference">
    <w:name w:val="footnote reference"/>
    <w:aliases w:val="Footnote text,Ref,de nota al pie,Footnote Reference1,Ref1,de nota al pie1,註腳內容,de nota al pie + (Asian) MS Mincho,11 pt,16 Point,Superscript 6 Point"/>
    <w:basedOn w:val="DefaultParagraphFont"/>
    <w:rsid w:val="008566C5"/>
    <w:rPr>
      <w:vertAlign w:val="superscript"/>
    </w:rPr>
  </w:style>
  <w:style w:type="paragraph" w:customStyle="1" w:styleId="Style">
    <w:name w:val="Style"/>
    <w:basedOn w:val="Footer"/>
    <w:autoRedefine/>
    <w:qFormat/>
    <w:rsid w:val="008566C5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eastAsia="en-GB"/>
    </w:rPr>
  </w:style>
  <w:style w:type="paragraph" w:styleId="Footer">
    <w:name w:val="footer"/>
    <w:basedOn w:val="Normal"/>
    <w:link w:val="FooterChar"/>
    <w:rsid w:val="008566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566C5"/>
    <w:rPr>
      <w:rFonts w:ascii="Times New Roman" w:eastAsia="MS Mincho" w:hAnsi="Times New Roman" w:cs="Times New Roman"/>
      <w:kern w:val="0"/>
      <w:szCs w:val="24"/>
      <w14:ligatures w14:val="none"/>
    </w:rPr>
  </w:style>
  <w:style w:type="character" w:styleId="PageNumber">
    <w:name w:val="page number"/>
    <w:rsid w:val="008566C5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8566C5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8566C5"/>
    <w:pPr>
      <w:spacing w:after="240"/>
    </w:pPr>
    <w:rPr>
      <w:sz w:val="24"/>
    </w:rPr>
  </w:style>
  <w:style w:type="table" w:styleId="TableGrid">
    <w:name w:val="Table Grid"/>
    <w:basedOn w:val="TableNormal"/>
    <w:rsid w:val="008566C5"/>
    <w:pPr>
      <w:spacing w:after="0" w:line="240" w:lineRule="auto"/>
    </w:pPr>
    <w:rPr>
      <w:rFonts w:ascii="Cambria" w:eastAsia="MS Mincho" w:hAnsi="Cambria" w:cs="Times New Roman"/>
      <w:kern w:val="0"/>
      <w:sz w:val="20"/>
      <w:szCs w:val="20"/>
      <w:lang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566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66C5"/>
    <w:rPr>
      <w:rFonts w:ascii="Tahoma" w:eastAsia="MS Mincho" w:hAnsi="Tahoma" w:cs="Tahoma"/>
      <w:kern w:val="0"/>
      <w:sz w:val="16"/>
      <w:szCs w:val="16"/>
      <w14:ligatures w14:val="none"/>
    </w:rPr>
  </w:style>
  <w:style w:type="paragraph" w:customStyle="1" w:styleId="IPPBullet2">
    <w:name w:val="IPP Bullet2"/>
    <w:basedOn w:val="IPPNormal"/>
    <w:next w:val="IPPBullet1"/>
    <w:qFormat/>
    <w:rsid w:val="008566C5"/>
    <w:pPr>
      <w:numPr>
        <w:numId w:val="4"/>
      </w:numPr>
      <w:tabs>
        <w:tab w:val="left" w:pos="1134"/>
      </w:tabs>
      <w:spacing w:after="60"/>
      <w:ind w:left="1134" w:hanging="567"/>
    </w:pPr>
  </w:style>
  <w:style w:type="paragraph" w:customStyle="1" w:styleId="IPPQuote">
    <w:name w:val="IPP Quote"/>
    <w:basedOn w:val="IPPNormal"/>
    <w:qFormat/>
    <w:rsid w:val="008566C5"/>
    <w:pPr>
      <w:ind w:left="851" w:right="851"/>
    </w:pPr>
    <w:rPr>
      <w:sz w:val="18"/>
    </w:rPr>
  </w:style>
  <w:style w:type="paragraph" w:customStyle="1" w:styleId="IPPNormal">
    <w:name w:val="IPP Normal"/>
    <w:basedOn w:val="Normal"/>
    <w:qFormat/>
    <w:rsid w:val="008566C5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8566C5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8566C5"/>
    <w:pPr>
      <w:spacing w:after="180"/>
    </w:pPr>
  </w:style>
  <w:style w:type="paragraph" w:customStyle="1" w:styleId="IPPFootnote">
    <w:name w:val="IPP Footnote"/>
    <w:basedOn w:val="IPPArialFootnote"/>
    <w:qFormat/>
    <w:rsid w:val="008566C5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8566C5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8566C5"/>
    <w:rPr>
      <w:rFonts w:ascii="Times New Roman" w:hAnsi="Times New Roman"/>
      <w:i/>
      <w:sz w:val="22"/>
      <w:lang w:val="ru-RU"/>
    </w:rPr>
  </w:style>
  <w:style w:type="character" w:customStyle="1" w:styleId="IPPNormalbold">
    <w:name w:val="IPP Normal bold"/>
    <w:basedOn w:val="PlainTextChar"/>
    <w:rsid w:val="008566C5"/>
    <w:rPr>
      <w:rFonts w:ascii="Times New Roman" w:eastAsia="Times" w:hAnsi="Times New Roman" w:cs="Times New Roman"/>
      <w:b/>
      <w:kern w:val="0"/>
      <w:sz w:val="22"/>
      <w:szCs w:val="21"/>
      <w:lang w:val="ru-RU"/>
      <w14:ligatures w14:val="none"/>
    </w:rPr>
  </w:style>
  <w:style w:type="paragraph" w:customStyle="1" w:styleId="IPPHeadSection">
    <w:name w:val="IPP HeadSection"/>
    <w:basedOn w:val="Normal"/>
    <w:next w:val="Normal"/>
    <w:qFormat/>
    <w:rsid w:val="008566C5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8566C5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8566C5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8566C5"/>
    <w:rPr>
      <w:rFonts w:ascii="Times New Roman" w:hAnsi="Times New Roman"/>
      <w:sz w:val="22"/>
      <w:u w:val="single"/>
      <w:lang w:val="ru-RU"/>
    </w:rPr>
  </w:style>
  <w:style w:type="paragraph" w:customStyle="1" w:styleId="IPPBullet1">
    <w:name w:val="IPP Bullet1"/>
    <w:basedOn w:val="IPPBullet1Last"/>
    <w:qFormat/>
    <w:rsid w:val="008566C5"/>
    <w:pPr>
      <w:numPr>
        <w:numId w:val="9"/>
      </w:numPr>
      <w:spacing w:after="60"/>
      <w:ind w:left="567" w:hanging="567"/>
    </w:pPr>
  </w:style>
  <w:style w:type="paragraph" w:customStyle="1" w:styleId="IPPBullet1Last">
    <w:name w:val="IPP Bullet1Last"/>
    <w:basedOn w:val="IPPNormal"/>
    <w:next w:val="IPPNormal"/>
    <w:qFormat/>
    <w:rsid w:val="008566C5"/>
    <w:pPr>
      <w:numPr>
        <w:numId w:val="5"/>
      </w:numPr>
    </w:pPr>
  </w:style>
  <w:style w:type="character" w:customStyle="1" w:styleId="IPPNormalstrikethrough">
    <w:name w:val="IPP Normal strikethrough"/>
    <w:rsid w:val="008566C5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8566C5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8566C5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8566C5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</w:rPr>
  </w:style>
  <w:style w:type="paragraph" w:customStyle="1" w:styleId="IPPAnnexHead">
    <w:name w:val="IPP AnnexHead"/>
    <w:basedOn w:val="IPPNormal"/>
    <w:next w:val="IPPNormal"/>
    <w:qFormat/>
    <w:rsid w:val="008566C5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8566C5"/>
    <w:pPr>
      <w:numPr>
        <w:numId w:val="3"/>
      </w:numPr>
    </w:pPr>
  </w:style>
  <w:style w:type="paragraph" w:customStyle="1" w:styleId="IPPNormalCloseSpace">
    <w:name w:val="IPP NormalCloseSpace"/>
    <w:basedOn w:val="Normal"/>
    <w:qFormat/>
    <w:rsid w:val="008566C5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8566C5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rsid w:val="008566C5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8566C5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8566C5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8566C5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8566C5"/>
    <w:pPr>
      <w:spacing w:after="120"/>
      <w:ind w:left="660"/>
    </w:pPr>
    <w:rPr>
      <w:rFonts w:eastAsia="Times"/>
    </w:rPr>
  </w:style>
  <w:style w:type="paragraph" w:styleId="TOC5">
    <w:name w:val="toc 5"/>
    <w:basedOn w:val="Normal"/>
    <w:next w:val="Normal"/>
    <w:autoRedefine/>
    <w:uiPriority w:val="39"/>
    <w:rsid w:val="008566C5"/>
    <w:pPr>
      <w:spacing w:after="120"/>
      <w:ind w:left="880"/>
    </w:pPr>
    <w:rPr>
      <w:rFonts w:eastAsia="Times"/>
    </w:rPr>
  </w:style>
  <w:style w:type="paragraph" w:styleId="TOC6">
    <w:name w:val="toc 6"/>
    <w:basedOn w:val="Normal"/>
    <w:next w:val="Normal"/>
    <w:autoRedefine/>
    <w:uiPriority w:val="39"/>
    <w:rsid w:val="008566C5"/>
    <w:pPr>
      <w:spacing w:after="120"/>
      <w:ind w:left="1100"/>
    </w:pPr>
    <w:rPr>
      <w:rFonts w:eastAsia="Times"/>
    </w:rPr>
  </w:style>
  <w:style w:type="paragraph" w:styleId="TOC7">
    <w:name w:val="toc 7"/>
    <w:basedOn w:val="Normal"/>
    <w:next w:val="Normal"/>
    <w:autoRedefine/>
    <w:uiPriority w:val="39"/>
    <w:rsid w:val="008566C5"/>
    <w:pPr>
      <w:spacing w:after="120"/>
      <w:ind w:left="1320"/>
    </w:pPr>
    <w:rPr>
      <w:rFonts w:eastAsia="Times"/>
    </w:rPr>
  </w:style>
  <w:style w:type="paragraph" w:styleId="TOC8">
    <w:name w:val="toc 8"/>
    <w:basedOn w:val="Normal"/>
    <w:next w:val="Normal"/>
    <w:autoRedefine/>
    <w:uiPriority w:val="39"/>
    <w:rsid w:val="008566C5"/>
    <w:pPr>
      <w:spacing w:after="120"/>
      <w:ind w:left="1540"/>
    </w:pPr>
    <w:rPr>
      <w:rFonts w:eastAsia="Times"/>
    </w:rPr>
  </w:style>
  <w:style w:type="paragraph" w:styleId="TOC9">
    <w:name w:val="toc 9"/>
    <w:basedOn w:val="Normal"/>
    <w:next w:val="Normal"/>
    <w:autoRedefine/>
    <w:uiPriority w:val="39"/>
    <w:rsid w:val="008566C5"/>
    <w:pPr>
      <w:spacing w:after="120"/>
      <w:ind w:left="1760"/>
    </w:pPr>
    <w:rPr>
      <w:rFonts w:eastAsia="Times"/>
    </w:rPr>
  </w:style>
  <w:style w:type="paragraph" w:customStyle="1" w:styleId="IPPReferences">
    <w:name w:val="IPP References"/>
    <w:basedOn w:val="IPPNormal"/>
    <w:qFormat/>
    <w:rsid w:val="008566C5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8566C5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8566C5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8566C5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styleId="PlainText">
    <w:name w:val="Plain Text"/>
    <w:basedOn w:val="Normal"/>
    <w:link w:val="PlainTextChar"/>
    <w:uiPriority w:val="99"/>
    <w:unhideWhenUsed/>
    <w:rsid w:val="008566C5"/>
    <w:pPr>
      <w:jc w:val="left"/>
    </w:pPr>
    <w:rPr>
      <w:rFonts w:ascii="Courier" w:eastAsia="Times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566C5"/>
    <w:rPr>
      <w:rFonts w:ascii="Courier" w:eastAsia="Times" w:hAnsi="Courier" w:cs="Times New Roman"/>
      <w:kern w:val="0"/>
      <w:sz w:val="21"/>
      <w:szCs w:val="21"/>
      <w:lang w:val="ru-RU"/>
      <w14:ligatures w14:val="none"/>
    </w:rPr>
  </w:style>
  <w:style w:type="paragraph" w:customStyle="1" w:styleId="IPPLetterList">
    <w:name w:val="IPP LetterList"/>
    <w:basedOn w:val="IPPBullet2"/>
    <w:qFormat/>
    <w:rsid w:val="008566C5"/>
    <w:pPr>
      <w:numPr>
        <w:numId w:val="1"/>
      </w:numPr>
      <w:jc w:val="left"/>
    </w:pPr>
  </w:style>
  <w:style w:type="paragraph" w:customStyle="1" w:styleId="IPPLetterListIndent">
    <w:name w:val="IPP LetterList Indent"/>
    <w:basedOn w:val="IPPLetterList"/>
    <w:qFormat/>
    <w:rsid w:val="008566C5"/>
    <w:pPr>
      <w:numPr>
        <w:numId w:val="2"/>
      </w:numPr>
    </w:pPr>
  </w:style>
  <w:style w:type="paragraph" w:customStyle="1" w:styleId="IPPFooterLandscape">
    <w:name w:val="IPP Footer Landscape"/>
    <w:basedOn w:val="IPPHeaderlandscape"/>
    <w:qFormat/>
    <w:rsid w:val="008566C5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8566C5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8566C5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8566C5"/>
    <w:pPr>
      <w:numPr>
        <w:numId w:val="6"/>
      </w:numPr>
    </w:pPr>
  </w:style>
  <w:style w:type="paragraph" w:customStyle="1" w:styleId="IPPHdg2Num">
    <w:name w:val="IPP Hdg2Num"/>
    <w:basedOn w:val="IPPHeading2"/>
    <w:next w:val="IPPNormal"/>
    <w:qFormat/>
    <w:rsid w:val="008566C5"/>
    <w:pPr>
      <w:numPr>
        <w:ilvl w:val="1"/>
        <w:numId w:val="7"/>
      </w:numPr>
    </w:pPr>
  </w:style>
  <w:style w:type="paragraph" w:customStyle="1" w:styleId="IPPNumberedList">
    <w:name w:val="IPP NumberedList"/>
    <w:basedOn w:val="IPPBullet1"/>
    <w:qFormat/>
    <w:rsid w:val="008566C5"/>
    <w:pPr>
      <w:numPr>
        <w:numId w:val="62"/>
      </w:numPr>
    </w:pPr>
  </w:style>
  <w:style w:type="paragraph" w:styleId="Header">
    <w:name w:val="header"/>
    <w:basedOn w:val="Normal"/>
    <w:link w:val="HeaderChar"/>
    <w:rsid w:val="008566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566C5"/>
    <w:rPr>
      <w:rFonts w:ascii="Times New Roman" w:eastAsia="MS Mincho" w:hAnsi="Times New Roman" w:cs="Times New Roman"/>
      <w:kern w:val="0"/>
      <w:szCs w:val="24"/>
      <w14:ligatures w14:val="none"/>
    </w:rPr>
  </w:style>
  <w:style w:type="character" w:styleId="Strong">
    <w:name w:val="Strong"/>
    <w:basedOn w:val="DefaultParagraphFont"/>
    <w:qFormat/>
    <w:rsid w:val="008566C5"/>
    <w:rPr>
      <w:b/>
      <w:bCs/>
    </w:rPr>
  </w:style>
  <w:style w:type="paragraph" w:styleId="ListParagraph">
    <w:name w:val="List Paragraph"/>
    <w:basedOn w:val="Normal"/>
    <w:uiPriority w:val="34"/>
    <w:qFormat/>
    <w:rsid w:val="008566C5"/>
    <w:pPr>
      <w:spacing w:line="240" w:lineRule="atLeast"/>
      <w:ind w:leftChars="400" w:left="800"/>
    </w:pPr>
    <w:rPr>
      <w:rFonts w:ascii="Verdana" w:eastAsia="Times New Roman" w:hAnsi="Verdana"/>
      <w:sz w:val="20"/>
      <w:lang w:eastAsia="nl-NL"/>
    </w:rPr>
  </w:style>
  <w:style w:type="paragraph" w:customStyle="1" w:styleId="IPPParagraphnumbering">
    <w:name w:val="IPP Paragraph numbering"/>
    <w:basedOn w:val="IPPNormal"/>
    <w:qFormat/>
    <w:rsid w:val="008566C5"/>
    <w:pPr>
      <w:numPr>
        <w:numId w:val="59"/>
      </w:numPr>
    </w:pPr>
  </w:style>
  <w:style w:type="paragraph" w:customStyle="1" w:styleId="IPPParagraphnumberingclose">
    <w:name w:val="IPP Paragraph numbering close"/>
    <w:basedOn w:val="IPPParagraphnumbering"/>
    <w:qFormat/>
    <w:rsid w:val="008566C5"/>
    <w:pPr>
      <w:keepNext/>
      <w:spacing w:after="60"/>
    </w:pPr>
  </w:style>
  <w:style w:type="paragraph" w:customStyle="1" w:styleId="IPPNumberedListLast">
    <w:name w:val="IPP NumberedListLast"/>
    <w:basedOn w:val="IPPNumberedList"/>
    <w:qFormat/>
    <w:rsid w:val="008566C5"/>
    <w:pPr>
      <w:spacing w:after="180"/>
    </w:pPr>
  </w:style>
  <w:style w:type="character" w:styleId="Hyperlink">
    <w:name w:val="Hyperlink"/>
    <w:basedOn w:val="DefaultParagraphFont"/>
    <w:unhideWhenUsed/>
    <w:rsid w:val="008566C5"/>
    <w:rPr>
      <w:color w:val="0000FF"/>
      <w:u w:val="none"/>
    </w:rPr>
  </w:style>
  <w:style w:type="character" w:styleId="FollowedHyperlink">
    <w:name w:val="FollowedHyperlink"/>
    <w:basedOn w:val="DefaultParagraphFont"/>
    <w:semiHidden/>
    <w:unhideWhenUsed/>
    <w:rsid w:val="008566C5"/>
    <w:rPr>
      <w:color w:val="954F72" w:themeColor="followedHyperlink"/>
      <w:u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152C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2C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2C13"/>
    <w:rPr>
      <w:rFonts w:ascii="Times New Roman" w:eastAsia="MS Mincho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C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C13"/>
    <w:rPr>
      <w:rFonts w:ascii="Times New Roman" w:eastAsia="MS Mincho" w:hAnsi="Times New Roman" w:cs="Times New Roman"/>
      <w:b/>
      <w:bCs/>
      <w:kern w:val="0"/>
      <w:sz w:val="20"/>
      <w:szCs w:val="20"/>
      <w14:ligatures w14:val="none"/>
    </w:rPr>
  </w:style>
  <w:style w:type="character" w:customStyle="1" w:styleId="fontstyle01">
    <w:name w:val="fontstyle01"/>
    <w:basedOn w:val="DefaultParagraphFont"/>
    <w:rsid w:val="006F38AF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6F38AF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  <w:style w:type="paragraph" w:styleId="Revision">
    <w:name w:val="Revision"/>
    <w:hidden/>
    <w:uiPriority w:val="99"/>
    <w:semiHidden/>
    <w:rsid w:val="003B6D82"/>
    <w:pPr>
      <w:spacing w:after="0" w:line="240" w:lineRule="auto"/>
    </w:pPr>
    <w:rPr>
      <w:rFonts w:ascii="Times New Roman" w:eastAsia="MS Mincho" w:hAnsi="Times New Roman" w:cs="Times New Roman"/>
      <w:kern w:val="0"/>
      <w:szCs w:val="24"/>
      <w14:ligatures w14:val="non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normaltextrun">
    <w:name w:val="normaltextrun"/>
    <w:basedOn w:val="DefaultParagraphFont"/>
    <w:rsid w:val="00D31814"/>
  </w:style>
  <w:style w:type="paragraph" w:styleId="NormalWeb">
    <w:name w:val="Normal (Web)"/>
    <w:basedOn w:val="Normal"/>
    <w:uiPriority w:val="99"/>
    <w:semiHidden/>
    <w:unhideWhenUsed/>
    <w:rsid w:val="00CA1494"/>
    <w:pPr>
      <w:spacing w:before="100" w:beforeAutospacing="1" w:after="100" w:afterAutospacing="1"/>
      <w:jc w:val="left"/>
    </w:pPr>
    <w:rPr>
      <w:rFonts w:eastAsia="Times New Roman"/>
      <w:sz w:val="24"/>
      <w:lang w:eastAsia="en-GB"/>
    </w:rPr>
  </w:style>
  <w:style w:type="paragraph" w:customStyle="1" w:styleId="xelementtoproof">
    <w:name w:val="x_elementtoproof"/>
    <w:basedOn w:val="Normal"/>
    <w:rsid w:val="00CA1494"/>
    <w:pPr>
      <w:spacing w:before="100" w:beforeAutospacing="1" w:after="100" w:afterAutospacing="1"/>
      <w:jc w:val="left"/>
    </w:pPr>
    <w:rPr>
      <w:rFonts w:eastAsia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7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n\OneDrive\Desktop\IPPC_2023-01-2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9519679B1A8B4091DBA33CE26F55F5" ma:contentTypeVersion="19" ma:contentTypeDescription="Create a new document." ma:contentTypeScope="" ma:versionID="1c12a54429c4b9f7fb3094c9887c84ad">
  <xsd:schema xmlns:xsd="http://www.w3.org/2001/XMLSchema" xmlns:xs="http://www.w3.org/2001/XMLSchema" xmlns:p="http://schemas.microsoft.com/office/2006/metadata/properties" xmlns:ns2="a05d7f75-f42e-4288-8809-604fd4d9691f" xmlns:ns3="ea6feb38-a85a-45e8-92e9-814486bbe375" targetNamespace="http://schemas.microsoft.com/office/2006/metadata/properties" ma:root="true" ma:fieldsID="5e54bd48ca98dfb5547f01d30199786f" ns2:_="" ns3:_="">
    <xsd:import namespace="a05d7f75-f42e-4288-8809-604fd4d9691f"/>
    <xsd:import namespace="ea6feb38-a85a-45e8-92e9-814486bbe3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d7f75-f42e-4288-8809-604fd4d969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40dbf57-1e7b-4a73-94c8-cbcaaea3fe5a}" ma:internalName="TaxCatchAll" ma:showField="CatchAllData" ma:web="a05d7f75-f42e-4288-8809-604fd4d969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feb38-a85a-45e8-92e9-814486bbe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40eee1e-ad38-437e-be40-fc9f033adc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5d7f75-f42e-4288-8809-604fd4d9691f" xsi:nil="true"/>
    <lcf76f155ced4ddcb4097134ff3c332f xmlns="ea6feb38-a85a-45e8-92e9-814486bbe375">
      <Terms xmlns="http://schemas.microsoft.com/office/infopath/2007/PartnerControls"/>
    </lcf76f155ced4ddcb4097134ff3c332f>
    <_Flow_SignoffStatus xmlns="ea6feb38-a85a-45e8-92e9-814486bbe375" xsi:nil="true"/>
    <SharedWithUsers xmlns="a05d7f75-f42e-4288-8809-604fd4d9691f">
      <UserInfo>
        <DisplayName>Cassin, Aoife (NSP)</DisplayName>
        <AccountId>14363</AccountId>
        <AccountType/>
      </UserInfo>
      <UserInfo>
        <DisplayName>Deng, Arop (NSPD)</DisplayName>
        <AccountId>14322</AccountId>
        <AccountType/>
      </UserInfo>
      <UserInfo>
        <DisplayName>Rouen, Karen (NSPD)</DisplayName>
        <AccountId>17944</AccountId>
        <AccountType/>
      </UserInfo>
      <UserInfo>
        <DisplayName>Benovic, Marko (NSPD)</DisplayName>
        <AccountId>14350</AccountId>
        <AccountType/>
      </UserInfo>
      <UserInfo>
        <DisplayName>Menon, Dominique (NSPD)</DisplayName>
        <AccountId>16056</AccountId>
        <AccountType/>
      </UserInfo>
      <UserInfo>
        <DisplayName>Nersisyan, Avetik (NSP)</DisplayName>
        <AccountId>14349</AccountId>
        <AccountType/>
      </UserInfo>
      <UserInfo>
        <DisplayName>Krah, Emmanuel (NSPD)</DisplayName>
        <AccountId>16346</AccountId>
        <AccountType/>
      </UserInfo>
      <UserInfo>
        <DisplayName>Shamilov, Artur (NSP)</DisplayName>
        <AccountId>14351</AccountId>
        <AccountType/>
      </UserInfo>
      <UserInfo>
        <DisplayName>Moreira, Adriana (NSP)</DisplayName>
        <AccountId>14323</AccountId>
        <AccountType/>
      </UserInfo>
      <UserInfo>
        <DisplayName>Frio, Mutya (NSPDD)</DisplayName>
        <AccountId>14366</AccountId>
        <AccountType/>
      </UserInfo>
      <UserInfo>
        <DisplayName>Madaminova, Rokhila (NSPD)</DisplayName>
        <AccountId>14562</AccountId>
        <AccountType/>
      </UserInfo>
      <UserInfo>
        <DisplayName>BeltranMontoya, Camilo (NSP)</DisplayName>
        <AccountId>14362</AccountId>
        <AccountType/>
      </UserInfo>
      <UserInfo>
        <DisplayName>Peterson, Barbara (NSP)</DisplayName>
        <AccountId>14375</AccountId>
        <AccountType/>
      </UserInfo>
      <UserInfo>
        <DisplayName>Koumba, Descartes (NSP)</DisplayName>
        <AccountId>14370</AccountId>
        <AccountType/>
      </UserInfo>
      <UserInfo>
        <DisplayName>Gilmore, John (NSPD)</DisplayName>
        <AccountId>14332</AccountId>
        <AccountType/>
      </UserInfo>
      <UserInfo>
        <DisplayName>Brunel, Sarah (NSP)</DisplayName>
        <AccountId>14352</AccountId>
        <AccountType/>
      </UserInfo>
      <UserInfo>
        <DisplayName>ElLissy, Osama (NSPD)</DisplayName>
        <AccountId>14878</AccountId>
        <AccountType/>
      </UserInfo>
      <UserInfo>
        <DisplayName>White, Fitzroy (NSPD)</DisplayName>
        <AccountId>14410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E8DEA-2E6E-4F76-B3C1-D5411F1BB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d7f75-f42e-4288-8809-604fd4d9691f"/>
    <ds:schemaRef ds:uri="ea6feb38-a85a-45e8-92e9-814486bbe3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C13263-1E41-4676-9E1A-EF5DB4FA53CF}">
  <ds:schemaRefs>
    <ds:schemaRef ds:uri="http://schemas.microsoft.com/office/2006/metadata/properties"/>
    <ds:schemaRef ds:uri="http://schemas.microsoft.com/office/infopath/2007/PartnerControls"/>
    <ds:schemaRef ds:uri="a05d7f75-f42e-4288-8809-604fd4d9691f"/>
    <ds:schemaRef ds:uri="ea6feb38-a85a-45e8-92e9-814486bbe375"/>
  </ds:schemaRefs>
</ds:datastoreItem>
</file>

<file path=customXml/itemProps3.xml><?xml version="1.0" encoding="utf-8"?>
<ds:datastoreItem xmlns:ds="http://schemas.openxmlformats.org/officeDocument/2006/customXml" ds:itemID="{169A303C-9351-465F-B724-881D9FF287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C52F14-6727-4F94-A922-4A759C546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IPPC_2023-01-28.dotx</Template>
  <TotalTime>12</TotalTime>
  <Pages>15</Pages>
  <Words>6272</Words>
  <Characters>35757</Characters>
  <Application>Microsoft Office Word</Application>
  <DocSecurity>0</DocSecurity>
  <Lines>297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Rouen</dc:creator>
  <cp:keywords/>
  <dc:description/>
  <cp:lastModifiedBy>Uvarova, Marina (CSGL)</cp:lastModifiedBy>
  <cp:revision>19</cp:revision>
  <dcterms:created xsi:type="dcterms:W3CDTF">2024-04-18T22:08:00Z</dcterms:created>
  <dcterms:modified xsi:type="dcterms:W3CDTF">2024-04-19T11:19:00Z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0x010100299519679B1A8B4091DBA33CE26F55F5</vt:lpwstr>
  </property>
  <property fmtid="{D5CDD505-2E9C-101B-9397-08002B2CF9AE}" pid="3" name="MediaServiceImageTags">
    <vt:lpwstr/>
  </property>
</Properties>
</file>