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5B" w:rsidRDefault="00966EBF" w:rsidP="000A17A5">
      <w:pPr>
        <w:pStyle w:val="IPPHeadSection"/>
        <w:ind w:left="0" w:firstLine="0"/>
      </w:pPr>
      <w:r>
        <w:t>N</w:t>
      </w:r>
      <w:r w:rsidR="0004005B">
        <w:t>ew translation process for ispms</w:t>
      </w:r>
      <w:r w:rsidR="00FA127B">
        <w:t xml:space="preserve">, including </w:t>
      </w:r>
      <w:r w:rsidR="00944794">
        <w:t>diagnostic protocols</w:t>
      </w:r>
    </w:p>
    <w:p w:rsidR="00B7238A" w:rsidRPr="001E4C53" w:rsidRDefault="00B7238A" w:rsidP="00B7238A">
      <w:pPr>
        <w:pStyle w:val="IPPNormal"/>
        <w:jc w:val="center"/>
        <w:rPr>
          <w:rStyle w:val="IPPnormalitalics"/>
        </w:rPr>
      </w:pPr>
      <w:r w:rsidRPr="001E4C53">
        <w:rPr>
          <w:rStyle w:val="IPPnormalitalics"/>
        </w:rPr>
        <w:t>(Prepared by the IPPC Secretariat)</w:t>
      </w:r>
    </w:p>
    <w:p w:rsidR="007E72BB" w:rsidRDefault="009F4D82">
      <w:pPr>
        <w:pStyle w:val="IPPHdg1Num"/>
        <w:numPr>
          <w:ilvl w:val="0"/>
          <w:numId w:val="0"/>
        </w:numPr>
      </w:pPr>
      <w:r w:rsidRPr="00BF27DA">
        <w:t>Background</w:t>
      </w:r>
    </w:p>
    <w:p w:rsidR="00175486" w:rsidRDefault="00632AE3" w:rsidP="0046419F">
      <w:pPr>
        <w:pStyle w:val="IPPPargraphnumbering"/>
      </w:pPr>
      <w:r>
        <w:t>At several previous meetings of the Commission on Phytosanitary Measures (CPM) t</w:t>
      </w:r>
      <w:r w:rsidR="00175486" w:rsidRPr="000B2A03">
        <w:t>he</w:t>
      </w:r>
      <w:r w:rsidR="00175486">
        <w:t xml:space="preserve"> IPPC</w:t>
      </w:r>
      <w:r w:rsidR="00175486" w:rsidRPr="000B2A03">
        <w:t xml:space="preserve"> Standards Officer informed </w:t>
      </w:r>
      <w:r w:rsidR="00C21AC8">
        <w:t xml:space="preserve">the CPM </w:t>
      </w:r>
      <w:r w:rsidR="00175486" w:rsidRPr="000B2A03">
        <w:t>that work on Diagnostic Protocols (DP</w:t>
      </w:r>
      <w:r w:rsidR="00175486">
        <w:t>s</w:t>
      </w:r>
      <w:r w:rsidR="00175486" w:rsidRPr="000B2A03">
        <w:t>) by the T</w:t>
      </w:r>
      <w:r w:rsidR="00175486">
        <w:t>echnical Panel on Diagnostic Protocols (T</w:t>
      </w:r>
      <w:r w:rsidR="00175486" w:rsidRPr="000B2A03">
        <w:t>PD</w:t>
      </w:r>
      <w:r w:rsidR="00175486">
        <w:t>P) was</w:t>
      </w:r>
      <w:r>
        <w:t xml:space="preserve"> advancing and extra resources would be needed to process the increasing number of DP coming through the system</w:t>
      </w:r>
      <w:r w:rsidR="00175486">
        <w:t>.</w:t>
      </w:r>
      <w:r>
        <w:t xml:space="preserve"> This issue was again raised at the June 2014 Bureau meeting</w:t>
      </w:r>
      <w:r w:rsidR="00C21AC8">
        <w:t>.</w:t>
      </w:r>
      <w:r w:rsidR="00175486">
        <w:t xml:space="preserve"> </w:t>
      </w:r>
      <w:r w:rsidR="002F6B77">
        <w:t>I</w:t>
      </w:r>
      <w:r w:rsidR="00175486">
        <w:t xml:space="preserve">t is </w:t>
      </w:r>
      <w:r>
        <w:t xml:space="preserve">now </w:t>
      </w:r>
      <w:r w:rsidR="00175486">
        <w:t xml:space="preserve">estimated that most of the </w:t>
      </w:r>
      <w:r w:rsidR="00175486" w:rsidRPr="000B2A03">
        <w:t xml:space="preserve">DPs on the </w:t>
      </w:r>
      <w:r w:rsidR="00175486" w:rsidRPr="00110265">
        <w:rPr>
          <w:i/>
        </w:rPr>
        <w:t>List of topics for IPPC standards</w:t>
      </w:r>
      <w:r w:rsidR="00175486">
        <w:rPr>
          <w:rStyle w:val="FootnoteReference"/>
          <w:i/>
        </w:rPr>
        <w:footnoteReference w:id="1"/>
      </w:r>
      <w:r w:rsidR="00175486" w:rsidRPr="000B2A03">
        <w:t xml:space="preserve"> </w:t>
      </w:r>
      <w:r w:rsidR="00175486">
        <w:t>will be</w:t>
      </w:r>
      <w:r w:rsidR="00175486" w:rsidRPr="000B2A03">
        <w:t xml:space="preserve"> adopted in the next four years (</w:t>
      </w:r>
      <w:r w:rsidR="00FB66AB">
        <w:t>3</w:t>
      </w:r>
      <w:r w:rsidR="00175486" w:rsidRPr="000B2A03">
        <w:t xml:space="preserve"> </w:t>
      </w:r>
      <w:r w:rsidR="00175486">
        <w:t xml:space="preserve">in 2014; 4 in 2015; 8 in 2016; 8 in 2017). </w:t>
      </w:r>
    </w:p>
    <w:p w:rsidR="00175486" w:rsidRDefault="005D341A" w:rsidP="0046419F">
      <w:pPr>
        <w:pStyle w:val="IPPPargraphnumbering"/>
      </w:pPr>
      <w:r w:rsidRPr="005D341A">
        <w:rPr>
          <w:szCs w:val="22"/>
        </w:rPr>
        <w:t>DPs are only translated after adoption, but contracting parties may request DPs in languages at earlier stages.</w:t>
      </w:r>
      <w:r w:rsidR="00791247" w:rsidRPr="00791247">
        <w:rPr>
          <w:szCs w:val="22"/>
        </w:rPr>
        <w:t xml:space="preserve"> It should be noted that experts selected by the IPPC Secretariat to </w:t>
      </w:r>
      <w:r w:rsidR="00C21AC8">
        <w:rPr>
          <w:szCs w:val="22"/>
        </w:rPr>
        <w:t>develop</w:t>
      </w:r>
      <w:r w:rsidR="00791247" w:rsidRPr="00791247">
        <w:rPr>
          <w:szCs w:val="22"/>
        </w:rPr>
        <w:t xml:space="preserve"> DPs all use the English versions</w:t>
      </w:r>
      <w:r w:rsidR="00C21AC8">
        <w:rPr>
          <w:szCs w:val="22"/>
        </w:rPr>
        <w:t>. T</w:t>
      </w:r>
      <w:r w:rsidR="00791247" w:rsidRPr="00791247">
        <w:rPr>
          <w:szCs w:val="22"/>
        </w:rPr>
        <w:t>o date</w:t>
      </w:r>
      <w:r w:rsidR="00C21AC8">
        <w:rPr>
          <w:szCs w:val="22"/>
        </w:rPr>
        <w:t>,</w:t>
      </w:r>
      <w:r w:rsidR="00791247" w:rsidRPr="00791247">
        <w:rPr>
          <w:szCs w:val="22"/>
        </w:rPr>
        <w:t xml:space="preserve"> the current mechanism to request translations of DPs in languages has not yet been </w:t>
      </w:r>
      <w:r w:rsidR="00C21AC8">
        <w:rPr>
          <w:szCs w:val="22"/>
        </w:rPr>
        <w:t>requested</w:t>
      </w:r>
      <w:r w:rsidR="00791247" w:rsidRPr="00791247">
        <w:rPr>
          <w:szCs w:val="22"/>
        </w:rPr>
        <w:t>.</w:t>
      </w:r>
      <w:r w:rsidR="00175486">
        <w:rPr>
          <w:rStyle w:val="FootnoteReference"/>
        </w:rPr>
        <w:footnoteReference w:id="2"/>
      </w:r>
      <w:r w:rsidR="00175486">
        <w:t xml:space="preserve"> With the planned amount of DPs to be adopted, t</w:t>
      </w:r>
      <w:r w:rsidR="00175486" w:rsidRPr="000B2A03">
        <w:t>he cost for translating DPs will increase exponentially over the next fou</w:t>
      </w:r>
      <w:r w:rsidR="00944794">
        <w:t>r years (</w:t>
      </w:r>
      <w:r w:rsidR="00C333DA">
        <w:t>from 0</w:t>
      </w:r>
      <w:r w:rsidR="00944794">
        <w:t xml:space="preserve"> </w:t>
      </w:r>
      <w:r w:rsidR="00C333DA">
        <w:t>in 2013</w:t>
      </w:r>
      <w:r w:rsidR="00175486" w:rsidRPr="000B2A03">
        <w:t xml:space="preserve"> to $</w:t>
      </w:r>
      <w:r w:rsidR="00C333DA">
        <w:t>184</w:t>
      </w:r>
      <w:r w:rsidR="00944794">
        <w:t>.000</w:t>
      </w:r>
      <w:r w:rsidR="00175486">
        <w:t xml:space="preserve"> </w:t>
      </w:r>
      <w:r w:rsidR="002B6252">
        <w:t>in 2016</w:t>
      </w:r>
      <w:r w:rsidR="00175486" w:rsidRPr="000B2A03">
        <w:t>)</w:t>
      </w:r>
      <w:r w:rsidR="00944794">
        <w:t xml:space="preserve">, resulting in </w:t>
      </w:r>
      <w:r w:rsidR="00175486" w:rsidRPr="000B2A03">
        <w:t>a huge impact on t</w:t>
      </w:r>
      <w:r w:rsidR="00175486">
        <w:t>he IPPC Secretariat resources</w:t>
      </w:r>
      <w:r w:rsidR="00AF5669">
        <w:t>, with additional staff time needed to process these DPs.</w:t>
      </w:r>
    </w:p>
    <w:p w:rsidR="00175486" w:rsidRDefault="00175486" w:rsidP="0046419F">
      <w:pPr>
        <w:pStyle w:val="IPPPargraphnumbering"/>
      </w:pPr>
      <w:r>
        <w:t xml:space="preserve">The </w:t>
      </w:r>
      <w:r w:rsidRPr="000B2A03">
        <w:t xml:space="preserve">CPM Bureau </w:t>
      </w:r>
      <w:r>
        <w:t>expressed concern over this and</w:t>
      </w:r>
      <w:r w:rsidRPr="000B2A03">
        <w:t xml:space="preserve"> requested the </w:t>
      </w:r>
      <w:r>
        <w:t xml:space="preserve">IPPC </w:t>
      </w:r>
      <w:r w:rsidRPr="000B2A03">
        <w:t xml:space="preserve">Secretariat to develop a paper outlining some possible options for the Bureau to consider at </w:t>
      </w:r>
      <w:r w:rsidR="000A17A5">
        <w:t>its</w:t>
      </w:r>
      <w:r w:rsidRPr="000B2A03">
        <w:t xml:space="preserve"> </w:t>
      </w:r>
      <w:r w:rsidR="00632AE3" w:rsidRPr="000B2A03">
        <w:t xml:space="preserve">October </w:t>
      </w:r>
      <w:r w:rsidRPr="000B2A03">
        <w:t>2014 meeting.</w:t>
      </w:r>
      <w:r>
        <w:rPr>
          <w:rStyle w:val="FootnoteReference"/>
        </w:rPr>
        <w:footnoteReference w:id="3"/>
      </w:r>
    </w:p>
    <w:p w:rsidR="00F93667" w:rsidRDefault="00F93667" w:rsidP="0046419F">
      <w:pPr>
        <w:pStyle w:val="IPPPargraphnumbering"/>
      </w:pPr>
      <w:r>
        <w:t>Additionally, contracting parties have expressed concern about the quality of the translations of standards and CPM papers and about the challenges of</w:t>
      </w:r>
      <w:r w:rsidR="009D7EA5">
        <w:t xml:space="preserve"> translations into additional languages</w:t>
      </w:r>
      <w:r>
        <w:t xml:space="preserve"> throughout the process. </w:t>
      </w:r>
    </w:p>
    <w:p w:rsidR="00F93667" w:rsidRPr="00F93667" w:rsidRDefault="00F93667" w:rsidP="0046419F">
      <w:pPr>
        <w:pStyle w:val="IPPPargraphnumbering"/>
      </w:pPr>
      <w:r w:rsidRPr="0074796A">
        <w:t xml:space="preserve">ISPMs </w:t>
      </w:r>
      <w:r>
        <w:t xml:space="preserve">(including DPs) </w:t>
      </w:r>
      <w:r w:rsidRPr="0074796A">
        <w:t>are currently translated by the FAO Meeting Progra</w:t>
      </w:r>
      <w:r>
        <w:t xml:space="preserve">mming and Documentation Service </w:t>
      </w:r>
      <w:r w:rsidRPr="0074796A">
        <w:t xml:space="preserve">(CPAM), which </w:t>
      </w:r>
      <w:proofErr w:type="gramStart"/>
      <w:r w:rsidRPr="0074796A">
        <w:t>has</w:t>
      </w:r>
      <w:proofErr w:type="gramEnd"/>
      <w:r w:rsidRPr="0074796A">
        <w:t xml:space="preserve"> the responsibility for translation</w:t>
      </w:r>
      <w:r>
        <w:t xml:space="preserve"> of official</w:t>
      </w:r>
      <w:r w:rsidR="00F00E35">
        <w:t xml:space="preserve"> FAO</w:t>
      </w:r>
      <w:r>
        <w:t xml:space="preserve"> documents</w:t>
      </w:r>
      <w:r w:rsidRPr="0074796A">
        <w:t xml:space="preserve"> into the official languages of the Organization (Arabic, Chinese, English</w:t>
      </w:r>
      <w:r>
        <w:t>, French, Russian and Spanish)</w:t>
      </w:r>
      <w:r w:rsidR="00C21AC8">
        <w:t>.</w:t>
      </w:r>
    </w:p>
    <w:p w:rsidR="006A2522" w:rsidRDefault="00F93667" w:rsidP="0046419F">
      <w:pPr>
        <w:pStyle w:val="IPPPargraphnumbering"/>
        <w:rPr>
          <w:szCs w:val="20"/>
        </w:rPr>
      </w:pPr>
      <w:r>
        <w:rPr>
          <w:szCs w:val="20"/>
        </w:rPr>
        <w:t xml:space="preserve">Deadlines to translate and revise ISPMs are strictly set by the standard setting </w:t>
      </w:r>
      <w:r w:rsidR="00C21AC8">
        <w:rPr>
          <w:szCs w:val="20"/>
        </w:rPr>
        <w:t>procedure adopted by CPM-7 (2012)</w:t>
      </w:r>
      <w:r>
        <w:rPr>
          <w:szCs w:val="20"/>
        </w:rPr>
        <w:t xml:space="preserve">. Nevertheless, several times CPAM has </w:t>
      </w:r>
      <w:r w:rsidR="00AF5669">
        <w:rPr>
          <w:szCs w:val="20"/>
        </w:rPr>
        <w:t xml:space="preserve">been unable to meet </w:t>
      </w:r>
      <w:r w:rsidR="00C21AC8">
        <w:rPr>
          <w:szCs w:val="20"/>
        </w:rPr>
        <w:t>agreed</w:t>
      </w:r>
      <w:r w:rsidR="00985ED6">
        <w:rPr>
          <w:szCs w:val="20"/>
        </w:rPr>
        <w:t xml:space="preserve"> deadlines</w:t>
      </w:r>
      <w:r w:rsidR="00C21AC8">
        <w:rPr>
          <w:szCs w:val="20"/>
        </w:rPr>
        <w:t>.</w:t>
      </w:r>
    </w:p>
    <w:p w:rsidR="00F93667" w:rsidRPr="0074796A" w:rsidRDefault="00F93667" w:rsidP="0046419F">
      <w:pPr>
        <w:pStyle w:val="IPPPargraphnumbering"/>
        <w:rPr>
          <w:szCs w:val="18"/>
        </w:rPr>
      </w:pPr>
      <w:r>
        <w:t xml:space="preserve">Consequently, the Secretariat has </w:t>
      </w:r>
      <w:r w:rsidR="00AF5669">
        <w:t>explored</w:t>
      </w:r>
      <w:r>
        <w:t xml:space="preserve"> new ways of dealing with the translation needs by </w:t>
      </w:r>
      <w:r w:rsidR="00AF5669">
        <w:t xml:space="preserve">considering </w:t>
      </w:r>
      <w:r>
        <w:t xml:space="preserve">different translations management options. </w:t>
      </w:r>
      <w:r>
        <w:rPr>
          <w:szCs w:val="20"/>
        </w:rPr>
        <w:t>This paper outlines factors to be considered with regard to ISPMs translation, highlighting the need for additional resources to comply with the current standard setting work programme and providing different options to modify the current translations workflow.</w:t>
      </w:r>
      <w:r w:rsidRPr="00F93667">
        <w:t xml:space="preserve"> </w:t>
      </w:r>
    </w:p>
    <w:p w:rsidR="00F36A33" w:rsidRPr="00BF27DA" w:rsidRDefault="00064DDA" w:rsidP="00297DDA">
      <w:pPr>
        <w:pStyle w:val="IPPHdg1Num"/>
        <w:ind w:hanging="720"/>
      </w:pPr>
      <w:r w:rsidRPr="00BF27DA">
        <w:t>Factors to consider</w:t>
      </w:r>
    </w:p>
    <w:p w:rsidR="00484105" w:rsidRDefault="00122D0E" w:rsidP="0046419F">
      <w:pPr>
        <w:pStyle w:val="IPPPargraphnumbering"/>
      </w:pPr>
      <w:r>
        <w:t>A</w:t>
      </w:r>
      <w:r w:rsidR="000A040F">
        <w:t xml:space="preserve"> number of factors, in some cases interrelated</w:t>
      </w:r>
      <w:r>
        <w:t xml:space="preserve">, should be taken into account when considering future options for </w:t>
      </w:r>
      <w:r w:rsidR="00F16F3B">
        <w:t>translating</w:t>
      </w:r>
      <w:r>
        <w:t xml:space="preserve"> ISPMs</w:t>
      </w:r>
      <w:r w:rsidR="00484105">
        <w:t>:</w:t>
      </w:r>
    </w:p>
    <w:p w:rsidR="00BF0B6F" w:rsidRDefault="00A7306C" w:rsidP="00BF0B6F">
      <w:pPr>
        <w:pStyle w:val="IPPNumberedList"/>
      </w:pPr>
      <w:r w:rsidRPr="00A7306C">
        <w:rPr>
          <w:u w:val="single"/>
          <w:lang w:val="en-GB"/>
        </w:rPr>
        <w:t>Increasing quantity of translations</w:t>
      </w:r>
      <w:r>
        <w:rPr>
          <w:lang w:val="en-GB"/>
        </w:rPr>
        <w:t xml:space="preserve">: </w:t>
      </w:r>
      <w:r w:rsidR="00BE2629">
        <w:rPr>
          <w:lang w:val="en-GB"/>
        </w:rPr>
        <w:t xml:space="preserve">as per the current work programme, </w:t>
      </w:r>
      <w:r>
        <w:t>a</w:t>
      </w:r>
      <w:r w:rsidR="00484105">
        <w:t xml:space="preserve"> large number of DPs </w:t>
      </w:r>
      <w:r w:rsidR="00B053D2">
        <w:t>will</w:t>
      </w:r>
      <w:r w:rsidR="00484105">
        <w:t xml:space="preserve"> be processed </w:t>
      </w:r>
      <w:r w:rsidR="00376A8D">
        <w:t>over</w:t>
      </w:r>
      <w:r w:rsidR="00484105">
        <w:t xml:space="preserve"> the next four years, </w:t>
      </w:r>
      <w:r>
        <w:t xml:space="preserve">resulting in </w:t>
      </w:r>
      <w:r w:rsidR="00484105">
        <w:t xml:space="preserve">an increasing amount of </w:t>
      </w:r>
      <w:r w:rsidR="000B49D7">
        <w:t>words to be translated</w:t>
      </w:r>
      <w:r>
        <w:t>, which will require extra efforts from CPAM and a higher budget for the IPPC Secretariat</w:t>
      </w:r>
      <w:r w:rsidR="00BF0B6F">
        <w:t>.</w:t>
      </w:r>
    </w:p>
    <w:p w:rsidR="00BF0B6F" w:rsidRDefault="00BF0B6F" w:rsidP="00BF0B6F">
      <w:pPr>
        <w:pStyle w:val="IPPNumberedList"/>
      </w:pPr>
      <w:r>
        <w:rPr>
          <w:u w:val="single"/>
        </w:rPr>
        <w:lastRenderedPageBreak/>
        <w:t>Increase of s</w:t>
      </w:r>
      <w:r w:rsidRPr="00A7306C">
        <w:rPr>
          <w:u w:val="single"/>
        </w:rPr>
        <w:t xml:space="preserve">tages </w:t>
      </w:r>
      <w:r>
        <w:rPr>
          <w:u w:val="single"/>
        </w:rPr>
        <w:t>of</w:t>
      </w:r>
      <w:r w:rsidRPr="00A7306C">
        <w:rPr>
          <w:u w:val="single"/>
        </w:rPr>
        <w:t xml:space="preserve"> translations</w:t>
      </w:r>
      <w:r>
        <w:rPr>
          <w:u w:val="single"/>
        </w:rPr>
        <w:t xml:space="preserve"> and revisions</w:t>
      </w:r>
      <w:r>
        <w:t xml:space="preserve">: </w:t>
      </w:r>
      <w:r w:rsidR="00376A8D">
        <w:t>c</w:t>
      </w:r>
      <w:r>
        <w:t xml:space="preserve">urrently, </w:t>
      </w:r>
      <w:r w:rsidR="00AF5669">
        <w:rPr>
          <w:lang w:eastAsia="en-GB"/>
        </w:rPr>
        <w:t>English S</w:t>
      </w:r>
      <w:r>
        <w:rPr>
          <w:lang w:eastAsia="en-GB"/>
        </w:rPr>
        <w:t>pecifications are translated into French and Spanish for member consultation; their translations into French and Spanish are revised when they are approved by the SC</w:t>
      </w:r>
      <w:r w:rsidR="00376A8D">
        <w:rPr>
          <w:lang w:eastAsia="en-GB"/>
        </w:rPr>
        <w:t>.</w:t>
      </w:r>
      <w:r>
        <w:rPr>
          <w:lang w:eastAsia="en-GB"/>
        </w:rPr>
        <w:t xml:space="preserve"> </w:t>
      </w:r>
      <w:r>
        <w:t xml:space="preserve">ISPMs and </w:t>
      </w:r>
      <w:r w:rsidR="00B115C7">
        <w:t>Phytosani</w:t>
      </w:r>
      <w:r w:rsidR="00F316DB">
        <w:t>t</w:t>
      </w:r>
      <w:r w:rsidR="00B115C7">
        <w:t>a</w:t>
      </w:r>
      <w:r w:rsidR="00F316DB">
        <w:t>r</w:t>
      </w:r>
      <w:r w:rsidR="00B115C7">
        <w:t>y Treatments (</w:t>
      </w:r>
      <w:r>
        <w:t>PTs</w:t>
      </w:r>
      <w:r w:rsidR="00B115C7">
        <w:t>)</w:t>
      </w:r>
      <w:r>
        <w:t xml:space="preserve"> going for member consultation are translated into French and Spanish, while </w:t>
      </w:r>
      <w:r w:rsidR="00B115C7">
        <w:t xml:space="preserve">when submitted </w:t>
      </w:r>
      <w:r w:rsidR="00AF5669">
        <w:t xml:space="preserve">to CPM </w:t>
      </w:r>
      <w:r w:rsidR="00B115C7">
        <w:t xml:space="preserve">for adoption, </w:t>
      </w:r>
      <w:r>
        <w:t xml:space="preserve">they are </w:t>
      </w:r>
      <w:r w:rsidR="00AF5669">
        <w:t xml:space="preserve">also </w:t>
      </w:r>
      <w:r>
        <w:t>translated into Arabic, Chinese and Russian</w:t>
      </w:r>
      <w:r w:rsidR="00376A8D">
        <w:t>, and their French and Spanish translations are revised</w:t>
      </w:r>
      <w:r>
        <w:t xml:space="preserve">. DPs are translated into </w:t>
      </w:r>
      <w:r w:rsidR="00227830">
        <w:t>five</w:t>
      </w:r>
      <w:r>
        <w:t xml:space="preserve"> languages after adoption, although IPPC members may request translating them also for member consultation. To increase the inclusiveness of all IPPC members throughout the standard setting process, translation into five languages could be done for member consultation and for the substantial concerns commenting period</w:t>
      </w:r>
      <w:r w:rsidR="00F316DB">
        <w:t xml:space="preserve"> (SCCP)</w:t>
      </w:r>
      <w:r>
        <w:t>.</w:t>
      </w:r>
    </w:p>
    <w:p w:rsidR="00AD3ACE" w:rsidRPr="00AD3ACE" w:rsidRDefault="00A7306C" w:rsidP="000B49D7">
      <w:pPr>
        <w:pStyle w:val="IPPNumberedList"/>
      </w:pPr>
      <w:r w:rsidRPr="00A7306C">
        <w:rPr>
          <w:u w:val="single"/>
        </w:rPr>
        <w:t>Concerns over</w:t>
      </w:r>
      <w:r>
        <w:rPr>
          <w:u w:val="single"/>
        </w:rPr>
        <w:t xml:space="preserve"> quality of</w:t>
      </w:r>
      <w:r w:rsidRPr="00A7306C">
        <w:rPr>
          <w:u w:val="single"/>
        </w:rPr>
        <w:t xml:space="preserve"> translations</w:t>
      </w:r>
      <w:r>
        <w:t>: c</w:t>
      </w:r>
      <w:r w:rsidR="00922A8D">
        <w:t>oncerns have been raised by IPPC contracting parties over the quality of translations</w:t>
      </w:r>
      <w:r w:rsidR="00922A8D">
        <w:rPr>
          <w:rStyle w:val="FootnoteReference"/>
          <w:szCs w:val="20"/>
        </w:rPr>
        <w:footnoteReference w:id="4"/>
      </w:r>
      <w:r w:rsidR="00985ED6">
        <w:t>. Currently, a l</w:t>
      </w:r>
      <w:r w:rsidR="004E26D9">
        <w:t>anguage review group process</w:t>
      </w:r>
      <w:r w:rsidR="00F316DB">
        <w:t xml:space="preserve"> </w:t>
      </w:r>
      <w:r w:rsidR="00AF5669">
        <w:t>allows</w:t>
      </w:r>
      <w:r w:rsidR="004E26D9">
        <w:t xml:space="preserve"> Contracting </w:t>
      </w:r>
      <w:r w:rsidR="005D341A">
        <w:t>parties to be able to make adjustments to translations of standards, but this is done only after adoption and the original standards are posted on the IPP in the meantime (the LRG process takes one year, so members are forced to use ISPMs with language they do not totally agree with).</w:t>
      </w:r>
    </w:p>
    <w:p w:rsidR="00ED7AA6" w:rsidRDefault="005D341A">
      <w:pPr>
        <w:pStyle w:val="IPPNumberedList"/>
      </w:pPr>
      <w:r>
        <w:rPr>
          <w:u w:val="single"/>
        </w:rPr>
        <w:t>Concerns over deadlines</w:t>
      </w:r>
      <w:r>
        <w:t xml:space="preserve">: </w:t>
      </w:r>
      <w:r w:rsidR="00C21AC8">
        <w:t xml:space="preserve">the </w:t>
      </w:r>
      <w:r>
        <w:t xml:space="preserve">deadlines for submitting the finalized translations to the IPPC Secretariat are negotiated between CPAM and the IPPC Secretariat, but these deadlines are also </w:t>
      </w:r>
      <w:r w:rsidR="00C21AC8">
        <w:t>managed</w:t>
      </w:r>
      <w:r>
        <w:t xml:space="preserve"> internally within CPAM</w:t>
      </w:r>
      <w:r w:rsidR="00C21AC8">
        <w:t>, resulting in different deadlines that the IPPC did not necessarily agreed to</w:t>
      </w:r>
      <w:r>
        <w:t>. The Secretariat spends inappropriately amounts of time in following up and soliciting the translations</w:t>
      </w:r>
      <w:r w:rsidR="00333FE8" w:rsidRPr="00333FE8">
        <w:t>, thus it</w:t>
      </w:r>
      <w:r>
        <w:t xml:space="preserve"> will normally request briefer deadlines than needed, although th</w:t>
      </w:r>
      <w:r w:rsidR="00333FE8" w:rsidRPr="00333FE8">
        <w:t>is increases costs</w:t>
      </w:r>
      <w:r>
        <w:t>. CPAM has conflicting deadlines and is not always able to give ISPMs priority.</w:t>
      </w:r>
    </w:p>
    <w:p w:rsidR="007E72BB" w:rsidRDefault="00A7306C">
      <w:pPr>
        <w:pStyle w:val="IPPNumberedList"/>
        <w:rPr>
          <w:rFonts w:ascii="Arial" w:hAnsi="Arial"/>
          <w:b/>
          <w:sz w:val="18"/>
          <w:lang w:eastAsia="en-GB"/>
        </w:rPr>
      </w:pPr>
      <w:r>
        <w:rPr>
          <w:u w:val="single"/>
        </w:rPr>
        <w:t>Budget issues</w:t>
      </w:r>
      <w:r>
        <w:t xml:space="preserve">: </w:t>
      </w:r>
      <w:r w:rsidR="000A040F">
        <w:t xml:space="preserve">the current budget allocation for translation of ISPMs may not suffice in view of the increasing quantity </w:t>
      </w:r>
      <w:r w:rsidR="004E57B1">
        <w:t xml:space="preserve">of DPs </w:t>
      </w:r>
      <w:r w:rsidR="000A040F">
        <w:t>foreseen</w:t>
      </w:r>
      <w:r w:rsidR="004E26D9">
        <w:t xml:space="preserve">, or in the case where ISPMs are translated </w:t>
      </w:r>
      <w:r w:rsidR="00C21AC8">
        <w:t xml:space="preserve">into more languages </w:t>
      </w:r>
      <w:r w:rsidR="004E26D9">
        <w:t>at more stages</w:t>
      </w:r>
      <w:r w:rsidR="000A040F">
        <w:t>.</w:t>
      </w:r>
      <w:r w:rsidR="004E57B1" w:rsidRPr="004E57B1">
        <w:t xml:space="preserve"> </w:t>
      </w:r>
      <w:r w:rsidR="004E57B1">
        <w:t xml:space="preserve">Additionally, </w:t>
      </w:r>
      <w:r w:rsidR="00765C81">
        <w:t xml:space="preserve">in 2014  </w:t>
      </w:r>
      <w:r w:rsidR="004E57B1">
        <w:t xml:space="preserve">CPAM has requested to charge the Language Review Groups process, which was </w:t>
      </w:r>
      <w:r w:rsidR="005B737D">
        <w:t>initially agreed to be done at no cost</w:t>
      </w:r>
      <w:r w:rsidR="004E57B1">
        <w:t>.</w:t>
      </w:r>
    </w:p>
    <w:p w:rsidR="005D0B05" w:rsidRDefault="00297DDA" w:rsidP="00297DDA">
      <w:pPr>
        <w:pStyle w:val="IPPHdg1Num"/>
        <w:ind w:hanging="720"/>
        <w:rPr>
          <w:lang w:val="en-US"/>
        </w:rPr>
      </w:pPr>
      <w:r>
        <w:rPr>
          <w:lang w:val="en-US"/>
        </w:rPr>
        <w:t xml:space="preserve">Options for stages </w:t>
      </w:r>
      <w:r w:rsidR="009C680A">
        <w:rPr>
          <w:lang w:val="en-US"/>
        </w:rPr>
        <w:t xml:space="preserve">and management </w:t>
      </w:r>
      <w:r>
        <w:rPr>
          <w:lang w:val="en-US"/>
        </w:rPr>
        <w:t>of</w:t>
      </w:r>
      <w:r w:rsidR="00BF27DA">
        <w:rPr>
          <w:lang w:val="en-US"/>
        </w:rPr>
        <w:t xml:space="preserve"> translations</w:t>
      </w:r>
    </w:p>
    <w:p w:rsidR="007E72BB" w:rsidRDefault="005D0B05" w:rsidP="0046419F">
      <w:pPr>
        <w:pStyle w:val="IPPPargraphnumbering"/>
      </w:pPr>
      <w:r>
        <w:t>Draft ISPMs (including PTs) under m</w:t>
      </w:r>
      <w:r w:rsidR="002C00FC">
        <w:t>ember consultation</w:t>
      </w:r>
      <w:r>
        <w:rPr>
          <w:rStyle w:val="FootnoteReference"/>
        </w:rPr>
        <w:footnoteReference w:id="5"/>
      </w:r>
      <w:r>
        <w:t xml:space="preserve"> are </w:t>
      </w:r>
      <w:r w:rsidR="00C21AC8">
        <w:t xml:space="preserve">processed </w:t>
      </w:r>
      <w:r>
        <w:t xml:space="preserve">in English, French and Spanish. </w:t>
      </w:r>
      <w:r w:rsidR="002C00FC">
        <w:t xml:space="preserve">In addition, </w:t>
      </w:r>
      <w:r w:rsidR="00CD3117">
        <w:t xml:space="preserve">during </w:t>
      </w:r>
      <w:r w:rsidR="002C00FC">
        <w:t xml:space="preserve">the </w:t>
      </w:r>
      <w:r w:rsidR="009D7EA5">
        <w:t>s</w:t>
      </w:r>
      <w:r w:rsidR="002C00FC">
        <w:t>ubstantial concerns co</w:t>
      </w:r>
      <w:r>
        <w:t>mmenting period (SCCP),</w:t>
      </w:r>
      <w:r w:rsidR="00CD3117">
        <w:t xml:space="preserve"> draft ISPMs are only presented in English, as they are SC documents.</w:t>
      </w:r>
      <w:r w:rsidR="00C21AC8">
        <w:t xml:space="preserve"> </w:t>
      </w:r>
      <w:r w:rsidR="00EA68CA">
        <w:t>ISPMs (including PTs) are only translated from English into the other five FAO languages when submitted to CPM for adoption</w:t>
      </w:r>
      <w:r w:rsidR="00EA68CA">
        <w:rPr>
          <w:rStyle w:val="FootnoteReference"/>
        </w:rPr>
        <w:footnoteReference w:id="6"/>
      </w:r>
      <w:r w:rsidR="00EA68CA">
        <w:t>, while DPs are translated into five languages after adoption.</w:t>
      </w:r>
      <w:r w:rsidR="004566BB">
        <w:t xml:space="preserve"> </w:t>
      </w:r>
      <w:r w:rsidR="00816D80">
        <w:t xml:space="preserve">Nevertheless, in view of a broader inclusiveness of the standard setting process, an effort may be done in increasing translation of </w:t>
      </w:r>
      <w:r w:rsidR="00B317E2">
        <w:t xml:space="preserve">ISPMs under </w:t>
      </w:r>
      <w:r w:rsidR="00816D80">
        <w:t>consultation</w:t>
      </w:r>
      <w:r w:rsidR="00B317E2">
        <w:t>s</w:t>
      </w:r>
      <w:r w:rsidR="00816D80">
        <w:t xml:space="preserve"> into languages.</w:t>
      </w:r>
    </w:p>
    <w:p w:rsidR="00FA6559" w:rsidRDefault="00FA6559" w:rsidP="0046419F">
      <w:pPr>
        <w:pStyle w:val="IPPPargraphnumbering"/>
      </w:pPr>
      <w:r>
        <w:t xml:space="preserve">In order to address the needs for a new workflow and the increasing volume of DPs, the IPPC Secretariat has engaged in a series of consultations with international organizations, RPPOs and communities of professional translators, and it has collected and scrutinized around 150 curricula. </w:t>
      </w:r>
    </w:p>
    <w:p w:rsidR="00FA6559" w:rsidRDefault="00FA6559" w:rsidP="00FA6559">
      <w:pPr>
        <w:pStyle w:val="IPPNormal"/>
      </w:pPr>
      <w:r>
        <w:lastRenderedPageBreak/>
        <w:t xml:space="preserve">Outsourcing entails additional Secretariat resources to manage the process, and a sustainable, long-term financial plan. </w:t>
      </w:r>
    </w:p>
    <w:p w:rsidR="00FA6559" w:rsidRPr="00E0029E" w:rsidRDefault="00FA6559" w:rsidP="00FA6559">
      <w:pPr>
        <w:pStyle w:val="IPPArialTable"/>
        <w:rPr>
          <w:b/>
        </w:rPr>
      </w:pPr>
      <w:r w:rsidRPr="00E0029E">
        <w:rPr>
          <w:b/>
        </w:rPr>
        <w:t>Tabl</w:t>
      </w:r>
      <w:r>
        <w:rPr>
          <w:b/>
        </w:rPr>
        <w:t>e 1</w:t>
      </w:r>
      <w:r w:rsidRPr="00E0029E">
        <w:rPr>
          <w:b/>
        </w:rPr>
        <w:t xml:space="preserve"> – Options for management of translations</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49"/>
        <w:gridCol w:w="3049"/>
      </w:tblGrid>
      <w:tr w:rsidR="00FA6559" w:rsidTr="00E128F2">
        <w:tc>
          <w:tcPr>
            <w:tcW w:w="3048" w:type="dxa"/>
          </w:tcPr>
          <w:p w:rsidR="00FA6559" w:rsidRPr="00A25C69" w:rsidRDefault="00FA6559" w:rsidP="00E128F2">
            <w:pPr>
              <w:pStyle w:val="IPPArialTable"/>
              <w:jc w:val="center"/>
              <w:rPr>
                <w:b/>
              </w:rPr>
            </w:pPr>
            <w:r w:rsidRPr="00A25C69">
              <w:rPr>
                <w:b/>
              </w:rPr>
              <w:t>Options</w:t>
            </w:r>
          </w:p>
        </w:tc>
        <w:tc>
          <w:tcPr>
            <w:tcW w:w="3049" w:type="dxa"/>
          </w:tcPr>
          <w:p w:rsidR="00FA6559" w:rsidRPr="00A25C69" w:rsidRDefault="00FA6559" w:rsidP="00E128F2">
            <w:pPr>
              <w:pStyle w:val="IPPArialTable"/>
              <w:jc w:val="center"/>
              <w:rPr>
                <w:b/>
              </w:rPr>
            </w:pPr>
            <w:r w:rsidRPr="00A25C69">
              <w:rPr>
                <w:b/>
              </w:rPr>
              <w:t>Pros</w:t>
            </w:r>
          </w:p>
        </w:tc>
        <w:tc>
          <w:tcPr>
            <w:tcW w:w="3049" w:type="dxa"/>
          </w:tcPr>
          <w:p w:rsidR="00FA6559" w:rsidRPr="00A25C69" w:rsidRDefault="00FA6559" w:rsidP="00E128F2">
            <w:pPr>
              <w:pStyle w:val="IPPArialTable"/>
              <w:jc w:val="center"/>
              <w:rPr>
                <w:b/>
              </w:rPr>
            </w:pPr>
            <w:r w:rsidRPr="00A25C69">
              <w:rPr>
                <w:b/>
              </w:rPr>
              <w:t>Cons</w:t>
            </w:r>
          </w:p>
        </w:tc>
      </w:tr>
      <w:tr w:rsidR="00FA6559" w:rsidTr="00E128F2">
        <w:tc>
          <w:tcPr>
            <w:tcW w:w="3048" w:type="dxa"/>
          </w:tcPr>
          <w:p w:rsidR="00FA6559" w:rsidRPr="00A25C69" w:rsidRDefault="00FA6559" w:rsidP="00E128F2">
            <w:pPr>
              <w:pStyle w:val="IPPArialTable"/>
              <w:rPr>
                <w:b/>
              </w:rPr>
            </w:pPr>
            <w:r w:rsidRPr="00A25C69">
              <w:rPr>
                <w:b/>
              </w:rPr>
              <w:t>1. Keeping the current translation system, within FAO</w:t>
            </w:r>
          </w:p>
        </w:tc>
        <w:tc>
          <w:tcPr>
            <w:tcW w:w="3049" w:type="dxa"/>
          </w:tcPr>
          <w:p w:rsidR="00FA6559" w:rsidRDefault="00FA6559" w:rsidP="00E128F2">
            <w:pPr>
              <w:pStyle w:val="IPPArialTable"/>
            </w:pPr>
            <w:r>
              <w:t xml:space="preserve">- Several translators available to ensure translations </w:t>
            </w:r>
            <w:proofErr w:type="gramStart"/>
            <w:r>
              <w:t>be</w:t>
            </w:r>
            <w:proofErr w:type="gramEnd"/>
            <w:r>
              <w:t xml:space="preserve"> done at all times of the year.</w:t>
            </w:r>
          </w:p>
          <w:p w:rsidR="00FA6559" w:rsidRDefault="00FA6559" w:rsidP="00E128F2">
            <w:pPr>
              <w:pStyle w:val="IPPArialTable"/>
            </w:pPr>
            <w:r>
              <w:t>- Senior reviser ensures quality of translations according to FAO standards.</w:t>
            </w:r>
          </w:p>
          <w:p w:rsidR="00FA6559" w:rsidRDefault="00FA6559" w:rsidP="00E128F2">
            <w:pPr>
              <w:pStyle w:val="IPPArialTable"/>
            </w:pPr>
            <w:r>
              <w:t>- Translators are trained by CPAM</w:t>
            </w:r>
          </w:p>
          <w:p w:rsidR="00FA6559" w:rsidRDefault="00FA6559" w:rsidP="00E128F2">
            <w:pPr>
              <w:pStyle w:val="IPPArialTable"/>
            </w:pPr>
            <w:r>
              <w:t>- CPAM has all the translation software they need.</w:t>
            </w:r>
          </w:p>
        </w:tc>
        <w:tc>
          <w:tcPr>
            <w:tcW w:w="3049" w:type="dxa"/>
          </w:tcPr>
          <w:p w:rsidR="00FA6559" w:rsidRDefault="00FA6559" w:rsidP="00E128F2">
            <w:pPr>
              <w:pStyle w:val="IPPArialTable"/>
            </w:pPr>
            <w:r>
              <w:t>- Issues of quality persist.</w:t>
            </w:r>
          </w:p>
          <w:p w:rsidR="00FA6559" w:rsidRDefault="00FA6559" w:rsidP="00E128F2">
            <w:pPr>
              <w:pStyle w:val="IPPArialTable"/>
            </w:pPr>
            <w:r>
              <w:t>- Issues with deadlines persist or increase with the growing amount of DPs.</w:t>
            </w:r>
          </w:p>
          <w:p w:rsidR="00FA6559" w:rsidRDefault="00FA6559" w:rsidP="00E128F2">
            <w:pPr>
              <w:pStyle w:val="IPPArialTable"/>
            </w:pPr>
            <w:r>
              <w:t>- Increasing costs.</w:t>
            </w:r>
          </w:p>
          <w:p w:rsidR="00FA6559" w:rsidRDefault="00FA6559" w:rsidP="00E128F2">
            <w:pPr>
              <w:pStyle w:val="IPPArialTable"/>
            </w:pPr>
            <w:r>
              <w:t>- Consultation among Head Translators, to ensure consistency across languages, in not ensured.</w:t>
            </w:r>
          </w:p>
        </w:tc>
      </w:tr>
      <w:tr w:rsidR="00FA6559" w:rsidTr="00E128F2">
        <w:tc>
          <w:tcPr>
            <w:tcW w:w="3048" w:type="dxa"/>
          </w:tcPr>
          <w:p w:rsidR="00FA6559" w:rsidRPr="00A25C69" w:rsidRDefault="00FA6559" w:rsidP="00E128F2">
            <w:pPr>
              <w:pStyle w:val="IPPArialTable"/>
              <w:rPr>
                <w:b/>
              </w:rPr>
            </w:pPr>
            <w:r w:rsidRPr="00A25C69">
              <w:rPr>
                <w:b/>
              </w:rPr>
              <w:t>2. Supporting FAO translations with IPPC-contracted language Reviewers</w:t>
            </w:r>
          </w:p>
        </w:tc>
        <w:tc>
          <w:tcPr>
            <w:tcW w:w="3049" w:type="dxa"/>
          </w:tcPr>
          <w:p w:rsidR="00FA6559" w:rsidRDefault="00FA6559" w:rsidP="00E128F2">
            <w:pPr>
              <w:pStyle w:val="IPPArialTable"/>
            </w:pPr>
            <w:r>
              <w:t>- Possible solution of issues related to deadlines and quality.</w:t>
            </w:r>
          </w:p>
          <w:p w:rsidR="00FA6559" w:rsidRDefault="00FA6559" w:rsidP="00E128F2">
            <w:pPr>
              <w:pStyle w:val="IPPArialTable"/>
            </w:pPr>
            <w:r>
              <w:t>- Minor HR processing and training for new translators (to work with CPAM).</w:t>
            </w:r>
          </w:p>
          <w:p w:rsidR="00FA6559" w:rsidRDefault="00FA6559" w:rsidP="00E128F2">
            <w:pPr>
              <w:pStyle w:val="IPPArialTable"/>
            </w:pPr>
            <w:r>
              <w:t>- No additional software license needed.</w:t>
            </w:r>
          </w:p>
        </w:tc>
        <w:tc>
          <w:tcPr>
            <w:tcW w:w="3049" w:type="dxa"/>
          </w:tcPr>
          <w:p w:rsidR="00FA6559" w:rsidRDefault="00FA6559" w:rsidP="00E128F2">
            <w:pPr>
              <w:pStyle w:val="IPPArialTable"/>
            </w:pPr>
            <w:r>
              <w:t>- Additional costs for CPAM, Reviewers and Secretariat resources.</w:t>
            </w:r>
          </w:p>
          <w:p w:rsidR="00FA6559" w:rsidRDefault="00FA6559" w:rsidP="00E128F2">
            <w:pPr>
              <w:pStyle w:val="IPPArialTable"/>
            </w:pPr>
            <w:r>
              <w:t>- CPAM will need to enter into dialogue with the reviewers and this may not be well received or feasible, considering there will be additional work for CPAM.</w:t>
            </w:r>
          </w:p>
        </w:tc>
      </w:tr>
      <w:tr w:rsidR="00FA6559" w:rsidTr="00E128F2">
        <w:tc>
          <w:tcPr>
            <w:tcW w:w="3048" w:type="dxa"/>
          </w:tcPr>
          <w:p w:rsidR="00FA6559" w:rsidRPr="00A25C69" w:rsidRDefault="00FA6559" w:rsidP="00E128F2">
            <w:pPr>
              <w:pStyle w:val="IPPArialTable"/>
              <w:rPr>
                <w:b/>
              </w:rPr>
            </w:pPr>
            <w:r w:rsidRPr="00A25C69">
              <w:rPr>
                <w:b/>
              </w:rPr>
              <w:t>3. Outsourcing all ISPM translations</w:t>
            </w:r>
            <w:r>
              <w:rPr>
                <w:b/>
              </w:rPr>
              <w:t xml:space="preserve"> (to contracting parties or other providers,</w:t>
            </w:r>
            <w:r w:rsidRPr="00A25C69">
              <w:rPr>
                <w:b/>
              </w:rPr>
              <w:t xml:space="preserve"> for languages where problems were identified or only for DPs)</w:t>
            </w:r>
          </w:p>
        </w:tc>
        <w:tc>
          <w:tcPr>
            <w:tcW w:w="3049" w:type="dxa"/>
          </w:tcPr>
          <w:p w:rsidR="00FA6559" w:rsidRDefault="00FA6559" w:rsidP="00E128F2">
            <w:pPr>
              <w:pStyle w:val="IPPArialTable"/>
            </w:pPr>
            <w:r>
              <w:t>- Possible solution of issues related to deadlines and quality.</w:t>
            </w:r>
          </w:p>
          <w:p w:rsidR="00FA6559" w:rsidRDefault="00FA6559" w:rsidP="00E128F2">
            <w:pPr>
              <w:pStyle w:val="IPPArialTable"/>
            </w:pPr>
            <w:r>
              <w:t>- Consultation among Head Translators would be done to ensure consistency across languages.</w:t>
            </w:r>
          </w:p>
        </w:tc>
        <w:tc>
          <w:tcPr>
            <w:tcW w:w="3049" w:type="dxa"/>
          </w:tcPr>
          <w:p w:rsidR="00FA6559" w:rsidRDefault="00FA6559" w:rsidP="00E128F2">
            <w:pPr>
              <w:pStyle w:val="IPPArialTable"/>
            </w:pPr>
            <w:r>
              <w:t>- Identifying the right translators will require time and resources</w:t>
            </w:r>
          </w:p>
          <w:p w:rsidR="00FA6559" w:rsidRDefault="00FA6559" w:rsidP="00E128F2">
            <w:pPr>
              <w:pStyle w:val="IPPArialTable"/>
            </w:pPr>
            <w:r>
              <w:t>- Having only one translator to depend on may create problems of unavailability.</w:t>
            </w:r>
          </w:p>
          <w:p w:rsidR="00FA6559" w:rsidRDefault="00FA6559" w:rsidP="00E128F2">
            <w:pPr>
              <w:pStyle w:val="IPPArialTable"/>
            </w:pPr>
            <w:r>
              <w:t>- Higher costs (lower for the individual translator but higher because the Secretariat would need additional man hours)</w:t>
            </w:r>
          </w:p>
          <w:p w:rsidR="00FA6559" w:rsidRDefault="00FA6559" w:rsidP="00E128F2">
            <w:pPr>
              <w:pStyle w:val="IPPArialTable"/>
            </w:pPr>
            <w:r>
              <w:t>- Learning process may be long and expensive.</w:t>
            </w:r>
          </w:p>
          <w:p w:rsidR="00FA6559" w:rsidRDefault="00FA6559" w:rsidP="00E128F2">
            <w:pPr>
              <w:pStyle w:val="IPPArialTable"/>
            </w:pPr>
            <w:r>
              <w:t>- Additional software license may be needed</w:t>
            </w:r>
          </w:p>
          <w:p w:rsidR="00FA6559" w:rsidRDefault="00FA6559" w:rsidP="00E128F2">
            <w:pPr>
              <w:pStyle w:val="IPPArialTable"/>
            </w:pPr>
            <w:r>
              <w:rPr>
                <w:lang w:eastAsia="en-GB"/>
              </w:rPr>
              <w:t>- Direct translations by countries may result in controversies over interpretation of terms and concepts.</w:t>
            </w:r>
          </w:p>
        </w:tc>
      </w:tr>
    </w:tbl>
    <w:p w:rsidR="007E72BB" w:rsidRDefault="007E72BB">
      <w:pPr>
        <w:pStyle w:val="IPPNormal"/>
      </w:pPr>
    </w:p>
    <w:p w:rsidR="004566BB" w:rsidRDefault="00986B04">
      <w:pPr>
        <w:pStyle w:val="IPPNormal"/>
      </w:pPr>
      <w:r>
        <w:t xml:space="preserve">Below are </w:t>
      </w:r>
      <w:r w:rsidR="00AE2953">
        <w:t>figures</w:t>
      </w:r>
      <w:r>
        <w:t xml:space="preserve"> summarizing</w:t>
      </w:r>
      <w:r w:rsidR="00D67ACE">
        <w:t xml:space="preserve"> costs</w:t>
      </w:r>
      <w:r w:rsidR="00AE2953">
        <w:t xml:space="preserve"> in USD</w:t>
      </w:r>
      <w:r w:rsidR="00D67ACE">
        <w:t xml:space="preserve"> with </w:t>
      </w:r>
      <w:r w:rsidR="00601B11">
        <w:t>the different workflow options</w:t>
      </w:r>
      <w:r w:rsidR="00D67ACE" w:rsidRPr="00D67ACE">
        <w:t xml:space="preserve"> </w:t>
      </w:r>
      <w:r w:rsidR="00D67ACE">
        <w:t>in an average year</w:t>
      </w:r>
      <w:r w:rsidR="001B5DD3">
        <w:t xml:space="preserve"> (within FAO</w:t>
      </w:r>
      <w:r>
        <w:t>, with additional hiring of reviewers – one per language, and in case of outsourcing</w:t>
      </w:r>
      <w:r w:rsidR="001B5DD3">
        <w:t>)</w:t>
      </w:r>
      <w:proofErr w:type="gramStart"/>
      <w:r w:rsidR="00D67ACE">
        <w:t>.</w:t>
      </w:r>
      <w:proofErr w:type="gramEnd"/>
      <w:r w:rsidR="00FD0EC2">
        <w:rPr>
          <w:rStyle w:val="FootnoteReference"/>
        </w:rPr>
        <w:footnoteReference w:id="7"/>
      </w:r>
    </w:p>
    <w:p w:rsidR="007E72BB" w:rsidRDefault="002461C7">
      <w:pPr>
        <w:pStyle w:val="IPPHeading1"/>
        <w:ind w:left="0" w:firstLine="0"/>
      </w:pPr>
      <w:r>
        <w:lastRenderedPageBreak/>
        <w:t>Figure</w:t>
      </w:r>
      <w:r w:rsidR="00333FE8" w:rsidRPr="00333FE8">
        <w:t xml:space="preserve"> 1 – Costs within FAO</w:t>
      </w:r>
      <w:r w:rsidR="00986B04">
        <w:t xml:space="preserve"> (average: 0.574 </w:t>
      </w:r>
      <w:r>
        <w:t xml:space="preserve">USD </w:t>
      </w:r>
      <w:r w:rsidR="00986B04">
        <w:t>per word rate)</w:t>
      </w:r>
      <w:r w:rsidR="00FD0EC2">
        <w:rPr>
          <w:rStyle w:val="FootnoteReference"/>
        </w:rPr>
        <w:footnoteReference w:id="8"/>
      </w:r>
    </w:p>
    <w:p w:rsidR="002461C7" w:rsidRDefault="00AE2953">
      <w:pPr>
        <w:pStyle w:val="IPPHeading1"/>
        <w:tabs>
          <w:tab w:val="clear" w:pos="567"/>
          <w:tab w:val="left" w:pos="0"/>
        </w:tabs>
        <w:ind w:left="0" w:firstLine="0"/>
        <w:rPr>
          <w:lang w:val="en-US"/>
        </w:rPr>
      </w:pPr>
      <w:r w:rsidRPr="00AE2953">
        <w:rPr>
          <w:noProof/>
          <w:lang w:eastAsia="ja-JP"/>
        </w:rPr>
        <w:drawing>
          <wp:inline distT="0" distB="0" distL="0" distR="0">
            <wp:extent cx="5243589" cy="3752850"/>
            <wp:effectExtent l="19050" t="0" r="0" b="0"/>
            <wp:docPr id="7" name="Picture 3" descr="I:\1StdSet\Publishing_ISPMs\Translation\Supersed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1StdSet\Publishing_ISPMs\Translation\Superseded\1.jpg"/>
                    <pic:cNvPicPr>
                      <a:picLocks noChangeAspect="1" noChangeArrowheads="1"/>
                    </pic:cNvPicPr>
                  </pic:nvPicPr>
                  <pic:blipFill>
                    <a:blip r:embed="rId9" cstate="print"/>
                    <a:srcRect/>
                    <a:stretch>
                      <a:fillRect/>
                    </a:stretch>
                  </pic:blipFill>
                  <pic:spPr bwMode="auto">
                    <a:xfrm>
                      <a:off x="0" y="0"/>
                      <a:ext cx="5241278" cy="3751196"/>
                    </a:xfrm>
                    <a:prstGeom prst="rect">
                      <a:avLst/>
                    </a:prstGeom>
                    <a:noFill/>
                    <a:ln w="9525">
                      <a:noFill/>
                      <a:miter lim="800000"/>
                      <a:headEnd/>
                      <a:tailEnd/>
                    </a:ln>
                  </pic:spPr>
                </pic:pic>
              </a:graphicData>
            </a:graphic>
          </wp:inline>
        </w:drawing>
      </w:r>
    </w:p>
    <w:p w:rsidR="007E72BB" w:rsidRDefault="002461C7">
      <w:pPr>
        <w:pStyle w:val="IPPHeading1"/>
        <w:tabs>
          <w:tab w:val="clear" w:pos="567"/>
          <w:tab w:val="left" w:pos="0"/>
        </w:tabs>
        <w:ind w:left="0" w:firstLine="0"/>
      </w:pPr>
      <w:r>
        <w:t>Figure</w:t>
      </w:r>
      <w:r w:rsidR="004566BB">
        <w:t xml:space="preserve"> 2</w:t>
      </w:r>
      <w:r w:rsidR="004566BB" w:rsidRPr="004566BB">
        <w:t xml:space="preserve"> – Costs </w:t>
      </w:r>
      <w:r w:rsidR="004566BB">
        <w:t>within</w:t>
      </w:r>
      <w:r w:rsidR="00986B04">
        <w:t xml:space="preserve"> FAO plus </w:t>
      </w:r>
      <w:r w:rsidR="004566BB">
        <w:t>Reviewers</w:t>
      </w:r>
      <w:r w:rsidR="00986B04">
        <w:t xml:space="preserve"> (average: 0.574 </w:t>
      </w:r>
      <w:r>
        <w:t xml:space="preserve">USD </w:t>
      </w:r>
      <w:r w:rsidR="00986B04">
        <w:t>per word rate)</w:t>
      </w:r>
    </w:p>
    <w:p w:rsidR="002461C7" w:rsidRDefault="00AE2953" w:rsidP="002461C7">
      <w:pPr>
        <w:pStyle w:val="IPPNormal"/>
      </w:pPr>
      <w:r w:rsidRPr="00AE2953">
        <w:rPr>
          <w:noProof/>
          <w:lang w:eastAsia="ja-JP"/>
        </w:rPr>
        <w:drawing>
          <wp:inline distT="0" distB="0" distL="0" distR="0">
            <wp:extent cx="5248275" cy="3553881"/>
            <wp:effectExtent l="19050" t="0" r="9525" b="0"/>
            <wp:docPr id="4" name="Picture 2" descr="I:\1StdSet\Publishing_ISPMs\Translation\Supersed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1StdSet\Publishing_ISPMs\Translation\Superseded\2.jpg"/>
                    <pic:cNvPicPr>
                      <a:picLocks noChangeAspect="1" noChangeArrowheads="1"/>
                    </pic:cNvPicPr>
                  </pic:nvPicPr>
                  <pic:blipFill>
                    <a:blip r:embed="rId10" cstate="print"/>
                    <a:srcRect/>
                    <a:stretch>
                      <a:fillRect/>
                    </a:stretch>
                  </pic:blipFill>
                  <pic:spPr bwMode="auto">
                    <a:xfrm>
                      <a:off x="0" y="0"/>
                      <a:ext cx="5253563" cy="3557462"/>
                    </a:xfrm>
                    <a:prstGeom prst="rect">
                      <a:avLst/>
                    </a:prstGeom>
                    <a:noFill/>
                    <a:ln w="9525">
                      <a:noFill/>
                      <a:miter lim="800000"/>
                      <a:headEnd/>
                      <a:tailEnd/>
                    </a:ln>
                  </pic:spPr>
                </pic:pic>
              </a:graphicData>
            </a:graphic>
          </wp:inline>
        </w:drawing>
      </w:r>
      <w:r w:rsidR="002461C7" w:rsidRPr="002461C7">
        <w:rPr>
          <w:b/>
        </w:rPr>
        <w:t xml:space="preserve"> </w:t>
      </w:r>
    </w:p>
    <w:p w:rsidR="004E7595" w:rsidRDefault="004E7595" w:rsidP="00B317E2">
      <w:pPr>
        <w:pStyle w:val="IPPNormal"/>
        <w:rPr>
          <w:b/>
        </w:rPr>
      </w:pPr>
    </w:p>
    <w:p w:rsidR="007E72BB" w:rsidRDefault="002461C7">
      <w:pPr>
        <w:pStyle w:val="IPPHeading1"/>
      </w:pPr>
      <w:r>
        <w:lastRenderedPageBreak/>
        <w:t>Figure</w:t>
      </w:r>
      <w:r w:rsidR="004566BB">
        <w:t xml:space="preserve"> 3</w:t>
      </w:r>
      <w:r w:rsidR="004566BB" w:rsidRPr="004566BB">
        <w:t xml:space="preserve"> – Costs </w:t>
      </w:r>
      <w:r w:rsidR="004566BB">
        <w:t>in case of outsourcing</w:t>
      </w:r>
      <w:r w:rsidR="00986B04">
        <w:t xml:space="preserve"> (average: 0.4 </w:t>
      </w:r>
      <w:r>
        <w:t xml:space="preserve">USD </w:t>
      </w:r>
      <w:r w:rsidR="00986B04">
        <w:t>per word rate)</w:t>
      </w:r>
    </w:p>
    <w:p w:rsidR="007E72BB" w:rsidRDefault="00AE2953">
      <w:pPr>
        <w:pStyle w:val="IPPNormal"/>
      </w:pPr>
      <w:r w:rsidRPr="00AE2953">
        <w:rPr>
          <w:noProof/>
          <w:lang w:eastAsia="ja-JP"/>
        </w:rPr>
        <w:drawing>
          <wp:inline distT="0" distB="0" distL="0" distR="0">
            <wp:extent cx="5248275" cy="3658152"/>
            <wp:effectExtent l="19050" t="0" r="9525" b="0"/>
            <wp:docPr id="2" name="Picture 1" descr="I:\1StdSet\Publishing_ISPMs\Translation\Supersed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1StdSet\Publishing_ISPMs\Translation\Superseded\3.jpg"/>
                    <pic:cNvPicPr>
                      <a:picLocks noChangeAspect="1" noChangeArrowheads="1"/>
                    </pic:cNvPicPr>
                  </pic:nvPicPr>
                  <pic:blipFill>
                    <a:blip r:embed="rId11" cstate="print"/>
                    <a:srcRect/>
                    <a:stretch>
                      <a:fillRect/>
                    </a:stretch>
                  </pic:blipFill>
                  <pic:spPr bwMode="auto">
                    <a:xfrm>
                      <a:off x="0" y="0"/>
                      <a:ext cx="5248275" cy="3658152"/>
                    </a:xfrm>
                    <a:prstGeom prst="rect">
                      <a:avLst/>
                    </a:prstGeom>
                    <a:noFill/>
                    <a:ln w="9525">
                      <a:noFill/>
                      <a:miter lim="800000"/>
                      <a:headEnd/>
                      <a:tailEnd/>
                    </a:ln>
                  </pic:spPr>
                </pic:pic>
              </a:graphicData>
            </a:graphic>
          </wp:inline>
        </w:drawing>
      </w:r>
    </w:p>
    <w:p w:rsidR="0079430C" w:rsidRDefault="0079430C" w:rsidP="00C83654">
      <w:pPr>
        <w:pStyle w:val="IPPNormalCloseSpace"/>
      </w:pPr>
    </w:p>
    <w:p w:rsidR="00C83654" w:rsidRDefault="00C83654" w:rsidP="0046419F">
      <w:pPr>
        <w:pStyle w:val="IPPPargraphnumbering"/>
      </w:pPr>
      <w:r>
        <w:t>The Bureau is invited to:</w:t>
      </w:r>
    </w:p>
    <w:p w:rsidR="00891CC3" w:rsidRPr="00891CC3" w:rsidRDefault="00C83654" w:rsidP="00DC3611">
      <w:pPr>
        <w:pStyle w:val="IPPBullet1"/>
        <w:numPr>
          <w:ilvl w:val="0"/>
          <w:numId w:val="24"/>
        </w:numPr>
        <w:ind w:left="567" w:hanging="567"/>
      </w:pPr>
      <w:r>
        <w:rPr>
          <w:i/>
        </w:rPr>
        <w:t>discuss</w:t>
      </w:r>
      <w:r>
        <w:t xml:space="preserve"> the </w:t>
      </w:r>
      <w:r w:rsidR="00DC02F1">
        <w:t>issues</w:t>
      </w:r>
      <w:r w:rsidR="00505753">
        <w:t xml:space="preserve"> raised in this document</w:t>
      </w:r>
      <w:r w:rsidR="00891CC3">
        <w:t>, with a focus on the options for translations stages and on the management of translations</w:t>
      </w:r>
      <w:r w:rsidR="00891CC3">
        <w:rPr>
          <w:iCs/>
        </w:rPr>
        <w:t>;</w:t>
      </w:r>
    </w:p>
    <w:p w:rsidR="00084317" w:rsidRPr="004E7595" w:rsidRDefault="00F16433" w:rsidP="00891CC3">
      <w:pPr>
        <w:pStyle w:val="IPPBullet1"/>
        <w:numPr>
          <w:ilvl w:val="0"/>
          <w:numId w:val="24"/>
        </w:numPr>
        <w:ind w:left="567" w:hanging="567"/>
      </w:pPr>
      <w:proofErr w:type="gramStart"/>
      <w:r>
        <w:rPr>
          <w:i/>
        </w:rPr>
        <w:t>endorse</w:t>
      </w:r>
      <w:proofErr w:type="gramEnd"/>
      <w:r w:rsidR="00891CC3">
        <w:rPr>
          <w:i/>
        </w:rPr>
        <w:t xml:space="preserve"> </w:t>
      </w:r>
      <w:r w:rsidR="00891CC3">
        <w:t xml:space="preserve">one of the options identified for the different issues </w:t>
      </w:r>
      <w:r>
        <w:t xml:space="preserve">for CPM-10 (2015) </w:t>
      </w:r>
      <w:r w:rsidR="00891CC3">
        <w:t xml:space="preserve">and </w:t>
      </w:r>
      <w:r w:rsidR="00891CC3">
        <w:rPr>
          <w:i/>
        </w:rPr>
        <w:t>consider</w:t>
      </w:r>
      <w:r w:rsidR="00891CC3">
        <w:rPr>
          <w:iCs/>
        </w:rPr>
        <w:t xml:space="preserve"> </w:t>
      </w:r>
      <w:r>
        <w:rPr>
          <w:iCs/>
        </w:rPr>
        <w:t>to identify</w:t>
      </w:r>
      <w:r w:rsidR="00891CC3">
        <w:rPr>
          <w:iCs/>
        </w:rPr>
        <w:t xml:space="preserve"> additional resources to support the decision in the long term. </w:t>
      </w:r>
    </w:p>
    <w:p w:rsidR="007E72BB" w:rsidRDefault="007E72BB">
      <w:pPr>
        <w:pStyle w:val="IPPBullet1"/>
        <w:numPr>
          <w:ilvl w:val="0"/>
          <w:numId w:val="0"/>
        </w:numPr>
        <w:ind w:left="567"/>
      </w:pPr>
    </w:p>
    <w:p w:rsidR="004E7595" w:rsidRDefault="004E7595">
      <w:pPr>
        <w:jc w:val="left"/>
        <w:rPr>
          <w:rFonts w:eastAsia="Times"/>
          <w:lang w:val="en-US"/>
        </w:rPr>
      </w:pPr>
      <w:r>
        <w:br w:type="page"/>
      </w:r>
    </w:p>
    <w:p w:rsidR="004E7595" w:rsidRDefault="004E7595" w:rsidP="00F84614">
      <w:pPr>
        <w:pStyle w:val="IPPAnnexHead"/>
        <w:rPr>
          <w:b w:val="0"/>
          <w:lang w:eastAsia="en-GB"/>
        </w:rPr>
      </w:pPr>
      <w:r>
        <w:lastRenderedPageBreak/>
        <w:t>Annex 1 –</w:t>
      </w:r>
      <w:r w:rsidR="00F84614">
        <w:t xml:space="preserve"> </w:t>
      </w:r>
      <w:r>
        <w:rPr>
          <w:lang w:eastAsia="en-GB"/>
        </w:rPr>
        <w:t>Average t</w:t>
      </w:r>
      <w:r w:rsidRPr="00AF3B40">
        <w:rPr>
          <w:lang w:eastAsia="en-GB"/>
        </w:rPr>
        <w:t xml:space="preserve">ranslation costs </w:t>
      </w:r>
      <w:r>
        <w:rPr>
          <w:lang w:eastAsia="en-GB"/>
        </w:rPr>
        <w:t xml:space="preserve">(USD) per standard setting document </w:t>
      </w:r>
      <w:r w:rsidRPr="00AF3B40">
        <w:rPr>
          <w:lang w:eastAsia="en-GB"/>
        </w:rPr>
        <w:t>with</w:t>
      </w:r>
      <w:r>
        <w:rPr>
          <w:lang w:eastAsia="en-GB"/>
        </w:rPr>
        <w:t xml:space="preserve"> FAO and </w:t>
      </w:r>
      <w:r w:rsidRPr="00AF3B40">
        <w:rPr>
          <w:lang w:eastAsia="en-GB"/>
        </w:rPr>
        <w:t>current workflow</w:t>
      </w:r>
      <w:r>
        <w:rPr>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9"/>
        <w:gridCol w:w="1552"/>
        <w:gridCol w:w="1708"/>
        <w:gridCol w:w="1417"/>
        <w:gridCol w:w="1701"/>
      </w:tblGrid>
      <w:tr w:rsidR="004E7595" w:rsidTr="004E7595">
        <w:tc>
          <w:tcPr>
            <w:tcW w:w="1483" w:type="dxa"/>
            <w:vAlign w:val="center"/>
          </w:tcPr>
          <w:p w:rsidR="004E7595" w:rsidRPr="00E209E4" w:rsidRDefault="004E7595" w:rsidP="004E7595">
            <w:pPr>
              <w:pStyle w:val="IPPArialTable"/>
              <w:jc w:val="center"/>
              <w:rPr>
                <w:rFonts w:cs="Arial"/>
                <w:b/>
                <w:lang w:eastAsia="en-GB"/>
              </w:rPr>
            </w:pPr>
            <w:r w:rsidRPr="00E209E4">
              <w:rPr>
                <w:rFonts w:cs="Arial"/>
                <w:b/>
                <w:lang w:eastAsia="en-GB"/>
              </w:rPr>
              <w:t>Item</w:t>
            </w:r>
          </w:p>
        </w:tc>
        <w:tc>
          <w:tcPr>
            <w:tcW w:w="1319" w:type="dxa"/>
            <w:vAlign w:val="center"/>
          </w:tcPr>
          <w:p w:rsidR="004E7595" w:rsidRPr="00E209E4" w:rsidRDefault="004E7595" w:rsidP="004E7595">
            <w:pPr>
              <w:pStyle w:val="IPPArialTable"/>
              <w:jc w:val="center"/>
              <w:rPr>
                <w:rFonts w:cs="Arial"/>
                <w:b/>
                <w:lang w:eastAsia="en-GB"/>
              </w:rPr>
            </w:pPr>
            <w:r w:rsidRPr="00E209E4">
              <w:rPr>
                <w:rFonts w:cs="Arial"/>
                <w:b/>
                <w:lang w:eastAsia="en-GB"/>
              </w:rPr>
              <w:t>Stage</w:t>
            </w:r>
          </w:p>
        </w:tc>
        <w:tc>
          <w:tcPr>
            <w:tcW w:w="1552" w:type="dxa"/>
            <w:vAlign w:val="center"/>
          </w:tcPr>
          <w:p w:rsidR="004E7595" w:rsidRPr="00E209E4" w:rsidRDefault="004E7595" w:rsidP="004E7595">
            <w:pPr>
              <w:pStyle w:val="IPPArialTable"/>
              <w:jc w:val="center"/>
              <w:rPr>
                <w:rFonts w:cs="Arial"/>
                <w:b/>
                <w:lang w:eastAsia="en-GB"/>
              </w:rPr>
            </w:pPr>
            <w:r w:rsidRPr="00E209E4">
              <w:rPr>
                <w:rFonts w:cs="Arial"/>
                <w:b/>
                <w:lang w:eastAsia="en-GB"/>
              </w:rPr>
              <w:t>Languages</w:t>
            </w:r>
          </w:p>
        </w:tc>
        <w:tc>
          <w:tcPr>
            <w:tcW w:w="1708" w:type="dxa"/>
            <w:vAlign w:val="center"/>
          </w:tcPr>
          <w:p w:rsidR="004E7595" w:rsidRDefault="004E7595" w:rsidP="004E7595">
            <w:pPr>
              <w:pStyle w:val="IPPArialTable"/>
              <w:jc w:val="center"/>
              <w:rPr>
                <w:rFonts w:cs="Arial"/>
                <w:b/>
                <w:lang w:eastAsia="en-GB"/>
              </w:rPr>
            </w:pPr>
            <w:r w:rsidRPr="00E209E4">
              <w:rPr>
                <w:rFonts w:cs="Arial"/>
                <w:b/>
                <w:lang w:eastAsia="en-GB"/>
              </w:rPr>
              <w:t>Word rate</w:t>
            </w:r>
          </w:p>
          <w:p w:rsidR="004E7595" w:rsidRPr="00E209E4" w:rsidRDefault="004E7595" w:rsidP="004E7595">
            <w:pPr>
              <w:pStyle w:val="IPPArialTable"/>
              <w:jc w:val="center"/>
              <w:rPr>
                <w:rFonts w:cs="Arial"/>
                <w:b/>
                <w:lang w:eastAsia="en-GB"/>
              </w:rPr>
            </w:pPr>
            <w:r>
              <w:rPr>
                <w:rFonts w:cs="Arial"/>
                <w:b/>
                <w:lang w:eastAsia="en-GB"/>
              </w:rPr>
              <w:t>(USD)</w:t>
            </w:r>
          </w:p>
        </w:tc>
        <w:tc>
          <w:tcPr>
            <w:tcW w:w="1417" w:type="dxa"/>
            <w:vAlign w:val="center"/>
          </w:tcPr>
          <w:p w:rsidR="004E7595" w:rsidRPr="00E209E4" w:rsidRDefault="004E7595" w:rsidP="004E7595">
            <w:pPr>
              <w:pStyle w:val="IPPArialTable"/>
              <w:jc w:val="center"/>
              <w:rPr>
                <w:rFonts w:cs="Arial"/>
                <w:b/>
                <w:lang w:eastAsia="en-GB"/>
              </w:rPr>
            </w:pPr>
            <w:r w:rsidRPr="00E209E4">
              <w:rPr>
                <w:rFonts w:cs="Arial"/>
                <w:b/>
                <w:lang w:eastAsia="en-GB"/>
              </w:rPr>
              <w:t># of words</w:t>
            </w:r>
          </w:p>
        </w:tc>
        <w:tc>
          <w:tcPr>
            <w:tcW w:w="1701" w:type="dxa"/>
            <w:vAlign w:val="center"/>
          </w:tcPr>
          <w:p w:rsidR="004E7595" w:rsidRDefault="004E7595" w:rsidP="004E7595">
            <w:pPr>
              <w:pStyle w:val="IPPArialTable"/>
              <w:jc w:val="center"/>
              <w:rPr>
                <w:rFonts w:cs="Arial"/>
                <w:b/>
                <w:lang w:eastAsia="en-GB"/>
              </w:rPr>
            </w:pPr>
            <w:r>
              <w:rPr>
                <w:rFonts w:cs="Arial"/>
                <w:b/>
                <w:lang w:eastAsia="en-GB"/>
              </w:rPr>
              <w:t xml:space="preserve">~ </w:t>
            </w:r>
            <w:r w:rsidRPr="00E209E4">
              <w:rPr>
                <w:rFonts w:cs="Arial"/>
                <w:b/>
                <w:lang w:eastAsia="en-GB"/>
              </w:rPr>
              <w:t>Cost</w:t>
            </w:r>
          </w:p>
          <w:p w:rsidR="004E7595" w:rsidRPr="00E209E4" w:rsidRDefault="004E7595" w:rsidP="004E7595">
            <w:pPr>
              <w:pStyle w:val="IPPArialTable"/>
              <w:jc w:val="center"/>
              <w:rPr>
                <w:rFonts w:cs="Arial"/>
                <w:b/>
                <w:lang w:eastAsia="en-GB"/>
              </w:rPr>
            </w:pPr>
            <w:r>
              <w:rPr>
                <w:rFonts w:cs="Arial"/>
                <w:b/>
                <w:lang w:eastAsia="en-GB"/>
              </w:rPr>
              <w:t>(USD)</w:t>
            </w:r>
            <w:r w:rsidRPr="00E209E4">
              <w:rPr>
                <w:rFonts w:cs="Arial"/>
                <w:b/>
                <w:lang w:eastAsia="en-GB"/>
              </w:rPr>
              <w:t xml:space="preserve"> </w:t>
            </w:r>
          </w:p>
        </w:tc>
      </w:tr>
      <w:tr w:rsidR="004E7595" w:rsidTr="004E7595">
        <w:tc>
          <w:tcPr>
            <w:tcW w:w="1483" w:type="dxa"/>
            <w:shd w:val="clear" w:color="auto" w:fill="DDD9C3" w:themeFill="background2" w:themeFillShade="E6"/>
            <w:vAlign w:val="center"/>
          </w:tcPr>
          <w:p w:rsidR="004E7595" w:rsidRPr="00E209E4" w:rsidRDefault="004E7595" w:rsidP="004E7595">
            <w:pPr>
              <w:pStyle w:val="IPPArialTable"/>
              <w:rPr>
                <w:rFonts w:cs="Arial"/>
                <w:b/>
                <w:lang w:eastAsia="en-GB"/>
              </w:rPr>
            </w:pPr>
            <w:r w:rsidRPr="00E209E4">
              <w:rPr>
                <w:rFonts w:cs="Arial"/>
                <w:lang w:eastAsia="en-GB"/>
              </w:rPr>
              <w:t>1 spec translation</w:t>
            </w:r>
          </w:p>
        </w:tc>
        <w:tc>
          <w:tcPr>
            <w:tcW w:w="1319"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Pr>
                <w:rFonts w:cs="Arial"/>
                <w:lang w:eastAsia="en-GB"/>
              </w:rPr>
              <w:t xml:space="preserve">To </w:t>
            </w:r>
            <w:r w:rsidRPr="00E209E4">
              <w:rPr>
                <w:rFonts w:cs="Arial"/>
                <w:lang w:eastAsia="en-GB"/>
              </w:rPr>
              <w:t>MC</w:t>
            </w:r>
          </w:p>
        </w:tc>
        <w:tc>
          <w:tcPr>
            <w:tcW w:w="1552"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sidRPr="00E209E4">
              <w:rPr>
                <w:rFonts w:cs="Arial"/>
                <w:lang w:eastAsia="en-GB"/>
              </w:rPr>
              <w:t>2 (Es, Fr)</w:t>
            </w:r>
          </w:p>
        </w:tc>
        <w:tc>
          <w:tcPr>
            <w:tcW w:w="1708"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sidRPr="00E209E4">
              <w:rPr>
                <w:rFonts w:cs="Arial"/>
                <w:lang w:eastAsia="en-GB"/>
              </w:rPr>
              <w:t>0.574</w:t>
            </w:r>
          </w:p>
        </w:tc>
        <w:tc>
          <w:tcPr>
            <w:tcW w:w="1417"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Pr>
                <w:rFonts w:cs="Arial"/>
                <w:lang w:eastAsia="en-GB"/>
              </w:rPr>
              <w:t xml:space="preserve">$ 1 </w:t>
            </w:r>
            <w:r w:rsidRPr="00E209E4">
              <w:rPr>
                <w:rFonts w:cs="Arial"/>
                <w:lang w:eastAsia="en-GB"/>
              </w:rPr>
              <w:t>000</w:t>
            </w:r>
          </w:p>
        </w:tc>
        <w:tc>
          <w:tcPr>
            <w:tcW w:w="1701" w:type="dxa"/>
            <w:shd w:val="clear" w:color="auto" w:fill="DDD9C3" w:themeFill="background2" w:themeFillShade="E6"/>
            <w:vAlign w:val="center"/>
          </w:tcPr>
          <w:p w:rsidR="004E7595" w:rsidRDefault="004E7595" w:rsidP="004E7595">
            <w:pPr>
              <w:pStyle w:val="IPPArialTable"/>
              <w:jc w:val="center"/>
              <w:rPr>
                <w:rFonts w:cs="Arial"/>
                <w:b/>
                <w:lang w:eastAsia="en-GB"/>
              </w:rPr>
            </w:pPr>
            <w:r>
              <w:rPr>
                <w:rFonts w:cs="Arial"/>
                <w:lang w:eastAsia="en-GB"/>
              </w:rPr>
              <w:t xml:space="preserve">$ 1 </w:t>
            </w:r>
            <w:r w:rsidRPr="00E209E4">
              <w:rPr>
                <w:rFonts w:cs="Arial"/>
                <w:lang w:eastAsia="en-GB"/>
              </w:rPr>
              <w:t>150</w:t>
            </w:r>
          </w:p>
        </w:tc>
      </w:tr>
      <w:tr w:rsidR="004E7595" w:rsidTr="004E7595">
        <w:tc>
          <w:tcPr>
            <w:tcW w:w="1483" w:type="dxa"/>
            <w:shd w:val="clear" w:color="auto" w:fill="DDD9C3" w:themeFill="background2" w:themeFillShade="E6"/>
            <w:vAlign w:val="center"/>
          </w:tcPr>
          <w:p w:rsidR="004E7595" w:rsidRPr="00E209E4" w:rsidRDefault="004E7595" w:rsidP="004E7595">
            <w:pPr>
              <w:pStyle w:val="IPPArialTable"/>
              <w:rPr>
                <w:rFonts w:cs="Arial"/>
                <w:b/>
                <w:lang w:eastAsia="en-GB"/>
              </w:rPr>
            </w:pPr>
            <w:r w:rsidRPr="00E209E4">
              <w:rPr>
                <w:rFonts w:cs="Arial"/>
                <w:lang w:eastAsia="en-GB"/>
              </w:rPr>
              <w:t>1 spec revision</w:t>
            </w:r>
          </w:p>
        </w:tc>
        <w:tc>
          <w:tcPr>
            <w:tcW w:w="1319"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Pr>
                <w:rFonts w:cs="Arial"/>
                <w:lang w:eastAsia="en-GB"/>
              </w:rPr>
              <w:t>For a</w:t>
            </w:r>
            <w:r w:rsidRPr="00E209E4">
              <w:rPr>
                <w:rFonts w:cs="Arial"/>
                <w:lang w:eastAsia="en-GB"/>
              </w:rPr>
              <w:t>pproval</w:t>
            </w:r>
          </w:p>
        </w:tc>
        <w:tc>
          <w:tcPr>
            <w:tcW w:w="1552"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sidRPr="00E209E4">
              <w:rPr>
                <w:rFonts w:cs="Arial"/>
                <w:lang w:eastAsia="en-GB"/>
              </w:rPr>
              <w:t>2 (Es, Fr)</w:t>
            </w:r>
          </w:p>
        </w:tc>
        <w:tc>
          <w:tcPr>
            <w:tcW w:w="1708"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sidRPr="00E209E4">
              <w:rPr>
                <w:rFonts w:cs="Arial"/>
                <w:lang w:eastAsia="en-GB"/>
              </w:rPr>
              <w:t>0.278</w:t>
            </w:r>
          </w:p>
        </w:tc>
        <w:tc>
          <w:tcPr>
            <w:tcW w:w="1417" w:type="dxa"/>
            <w:shd w:val="clear" w:color="auto" w:fill="DDD9C3" w:themeFill="background2" w:themeFillShade="E6"/>
            <w:vAlign w:val="center"/>
          </w:tcPr>
          <w:p w:rsidR="004E7595" w:rsidRPr="00E209E4" w:rsidRDefault="004E7595" w:rsidP="004E7595">
            <w:pPr>
              <w:pStyle w:val="IPPArialTable"/>
              <w:jc w:val="center"/>
              <w:rPr>
                <w:rFonts w:cs="Arial"/>
                <w:b/>
                <w:lang w:eastAsia="en-GB"/>
              </w:rPr>
            </w:pPr>
            <w:r>
              <w:rPr>
                <w:rFonts w:cs="Arial"/>
                <w:lang w:eastAsia="en-GB"/>
              </w:rPr>
              <w:t xml:space="preserve">$ 1 </w:t>
            </w:r>
            <w:r w:rsidRPr="00E209E4">
              <w:rPr>
                <w:rFonts w:cs="Arial"/>
                <w:lang w:eastAsia="en-GB"/>
              </w:rPr>
              <w:t>000</w:t>
            </w:r>
          </w:p>
        </w:tc>
        <w:tc>
          <w:tcPr>
            <w:tcW w:w="1701" w:type="dxa"/>
            <w:shd w:val="clear" w:color="auto" w:fill="DDD9C3" w:themeFill="background2" w:themeFillShade="E6"/>
            <w:vAlign w:val="center"/>
          </w:tcPr>
          <w:p w:rsidR="004E7595" w:rsidRDefault="004E7595" w:rsidP="004E7595">
            <w:pPr>
              <w:pStyle w:val="IPPArialTable"/>
              <w:jc w:val="center"/>
              <w:rPr>
                <w:rFonts w:cs="Arial"/>
                <w:b/>
                <w:lang w:eastAsia="en-GB"/>
              </w:rPr>
            </w:pPr>
            <w:r>
              <w:rPr>
                <w:rFonts w:cs="Arial"/>
                <w:lang w:eastAsia="en-GB"/>
              </w:rPr>
              <w:t xml:space="preserve">$ </w:t>
            </w:r>
            <w:r w:rsidRPr="00E209E4">
              <w:rPr>
                <w:rFonts w:cs="Arial"/>
                <w:lang w:eastAsia="en-GB"/>
              </w:rPr>
              <w:t>550</w:t>
            </w:r>
          </w:p>
        </w:tc>
      </w:tr>
      <w:tr w:rsidR="004E7595" w:rsidTr="004E7595">
        <w:tc>
          <w:tcPr>
            <w:tcW w:w="7479" w:type="dxa"/>
            <w:gridSpan w:val="5"/>
            <w:shd w:val="clear" w:color="auto" w:fill="DDD9C3" w:themeFill="background2" w:themeFillShade="E6"/>
            <w:vAlign w:val="center"/>
          </w:tcPr>
          <w:p w:rsidR="004E7595" w:rsidRPr="00E209E4" w:rsidRDefault="004E7595" w:rsidP="004E7595">
            <w:pPr>
              <w:pStyle w:val="IPPArialTable"/>
              <w:jc w:val="right"/>
              <w:rPr>
                <w:rFonts w:cs="Arial"/>
                <w:lang w:eastAsia="en-GB"/>
              </w:rPr>
            </w:pPr>
            <w:r>
              <w:rPr>
                <w:rFonts w:cs="Arial"/>
                <w:b/>
                <w:lang w:eastAsia="en-GB"/>
              </w:rPr>
              <w:t>Cost to translate 1</w:t>
            </w:r>
            <w:r w:rsidRPr="00E209E4">
              <w:rPr>
                <w:rFonts w:cs="Arial"/>
                <w:b/>
                <w:lang w:eastAsia="en-GB"/>
              </w:rPr>
              <w:t xml:space="preserve"> spec</w:t>
            </w:r>
            <w:r>
              <w:rPr>
                <w:rFonts w:cs="Arial"/>
                <w:b/>
                <w:lang w:eastAsia="en-GB"/>
              </w:rPr>
              <w:t>ification</w:t>
            </w:r>
          </w:p>
        </w:tc>
        <w:tc>
          <w:tcPr>
            <w:tcW w:w="1701" w:type="dxa"/>
            <w:shd w:val="clear" w:color="auto" w:fill="DDD9C3" w:themeFill="background2" w:themeFillShade="E6"/>
            <w:vAlign w:val="center"/>
          </w:tcPr>
          <w:p w:rsidR="004E7595" w:rsidRPr="00E209E4" w:rsidRDefault="004E7595" w:rsidP="004E7595">
            <w:pPr>
              <w:pStyle w:val="IPPArialTable"/>
              <w:jc w:val="center"/>
              <w:rPr>
                <w:rFonts w:cs="Arial"/>
                <w:lang w:eastAsia="en-GB"/>
              </w:rPr>
            </w:pPr>
            <w:r>
              <w:rPr>
                <w:rFonts w:cs="Arial"/>
                <w:lang w:eastAsia="en-GB"/>
              </w:rPr>
              <w:t xml:space="preserve">$ </w:t>
            </w:r>
            <w:r>
              <w:rPr>
                <w:rFonts w:cs="Arial"/>
                <w:b/>
                <w:lang w:eastAsia="en-GB"/>
              </w:rPr>
              <w:t xml:space="preserve">1 </w:t>
            </w:r>
            <w:r w:rsidRPr="00E209E4">
              <w:rPr>
                <w:rFonts w:cs="Arial"/>
                <w:b/>
                <w:lang w:eastAsia="en-GB"/>
              </w:rPr>
              <w:t>700</w:t>
            </w:r>
          </w:p>
        </w:tc>
      </w:tr>
      <w:tr w:rsidR="004E7595" w:rsidTr="004E7595">
        <w:tc>
          <w:tcPr>
            <w:tcW w:w="1483" w:type="dxa"/>
            <w:shd w:val="clear" w:color="auto" w:fill="DBE5F1"/>
            <w:vAlign w:val="center"/>
          </w:tcPr>
          <w:p w:rsidR="004E7595" w:rsidRPr="00E209E4" w:rsidRDefault="004E7595" w:rsidP="004E7595">
            <w:pPr>
              <w:pStyle w:val="IPPArialTable"/>
              <w:rPr>
                <w:rFonts w:cs="Arial"/>
                <w:lang w:eastAsia="en-GB"/>
              </w:rPr>
            </w:pPr>
            <w:r w:rsidRPr="00E209E4">
              <w:rPr>
                <w:rFonts w:cs="Arial"/>
                <w:lang w:eastAsia="en-GB"/>
              </w:rPr>
              <w:t>1 ISPM translation</w:t>
            </w:r>
          </w:p>
        </w:tc>
        <w:tc>
          <w:tcPr>
            <w:tcW w:w="1319"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To </w:t>
            </w:r>
            <w:r w:rsidRPr="00E209E4">
              <w:rPr>
                <w:rFonts w:cs="Arial"/>
                <w:lang w:eastAsia="en-GB"/>
              </w:rPr>
              <w:t>MC</w:t>
            </w:r>
          </w:p>
        </w:tc>
        <w:tc>
          <w:tcPr>
            <w:tcW w:w="1552" w:type="dxa"/>
            <w:shd w:val="clear" w:color="auto" w:fill="DBE5F1"/>
            <w:vAlign w:val="center"/>
          </w:tcPr>
          <w:p w:rsidR="004E7595" w:rsidRPr="00E209E4" w:rsidRDefault="004E7595" w:rsidP="004E7595">
            <w:pPr>
              <w:pStyle w:val="IPPArialTable"/>
              <w:jc w:val="center"/>
              <w:rPr>
                <w:rFonts w:cs="Arial"/>
                <w:lang w:eastAsia="en-GB"/>
              </w:rPr>
            </w:pPr>
            <w:r w:rsidRPr="00E209E4">
              <w:rPr>
                <w:rFonts w:cs="Arial"/>
                <w:lang w:eastAsia="en-GB"/>
              </w:rPr>
              <w:t>2 (Es, Fr)</w:t>
            </w:r>
          </w:p>
        </w:tc>
        <w:tc>
          <w:tcPr>
            <w:tcW w:w="1708" w:type="dxa"/>
            <w:shd w:val="clear" w:color="auto" w:fill="DBE5F1"/>
            <w:vAlign w:val="center"/>
          </w:tcPr>
          <w:p w:rsidR="004E7595" w:rsidRPr="00E209E4" w:rsidRDefault="004E7595" w:rsidP="004E7595">
            <w:pPr>
              <w:pStyle w:val="IPPArialTable"/>
              <w:jc w:val="center"/>
              <w:rPr>
                <w:rFonts w:cs="Arial"/>
                <w:lang w:eastAsia="en-GB"/>
              </w:rPr>
            </w:pPr>
            <w:r w:rsidRPr="00E209E4">
              <w:rPr>
                <w:rFonts w:cs="Arial"/>
                <w:lang w:eastAsia="en-GB"/>
              </w:rPr>
              <w:t>0.574</w:t>
            </w:r>
          </w:p>
        </w:tc>
        <w:tc>
          <w:tcPr>
            <w:tcW w:w="1417"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4</w:t>
            </w:r>
            <w:r>
              <w:rPr>
                <w:rFonts w:cs="Arial"/>
                <w:lang w:eastAsia="en-GB"/>
              </w:rPr>
              <w:t xml:space="preserve"> </w:t>
            </w:r>
            <w:r w:rsidRPr="00E209E4">
              <w:rPr>
                <w:rFonts w:cs="Arial"/>
                <w:lang w:eastAsia="en-GB"/>
              </w:rPr>
              <w:t>000</w:t>
            </w:r>
          </w:p>
        </w:tc>
        <w:tc>
          <w:tcPr>
            <w:tcW w:w="1701"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8</w:t>
            </w:r>
            <w:r>
              <w:rPr>
                <w:rFonts w:cs="Arial"/>
                <w:lang w:eastAsia="en-GB"/>
              </w:rPr>
              <w:t xml:space="preserve"> </w:t>
            </w:r>
            <w:r w:rsidRPr="00E209E4">
              <w:rPr>
                <w:rFonts w:cs="Arial"/>
                <w:lang w:eastAsia="en-GB"/>
              </w:rPr>
              <w:t>230</w:t>
            </w:r>
          </w:p>
        </w:tc>
      </w:tr>
      <w:tr w:rsidR="004E7595" w:rsidTr="004E7595">
        <w:tc>
          <w:tcPr>
            <w:tcW w:w="1483" w:type="dxa"/>
            <w:shd w:val="clear" w:color="auto" w:fill="DBE5F1"/>
            <w:vAlign w:val="center"/>
          </w:tcPr>
          <w:p w:rsidR="004E7595" w:rsidRPr="00E209E4" w:rsidRDefault="004E7595" w:rsidP="004E7595">
            <w:pPr>
              <w:pStyle w:val="IPPArialTable"/>
              <w:rPr>
                <w:rFonts w:cs="Arial"/>
                <w:lang w:eastAsia="en-GB"/>
              </w:rPr>
            </w:pPr>
            <w:r w:rsidRPr="00E209E4">
              <w:rPr>
                <w:rFonts w:cs="Arial"/>
                <w:lang w:eastAsia="en-GB"/>
              </w:rPr>
              <w:t>1 ISPM translation</w:t>
            </w:r>
          </w:p>
        </w:tc>
        <w:tc>
          <w:tcPr>
            <w:tcW w:w="1319" w:type="dxa"/>
            <w:vMerge w:val="restart"/>
            <w:shd w:val="clear" w:color="auto" w:fill="DBE5F1"/>
            <w:vAlign w:val="center"/>
          </w:tcPr>
          <w:p w:rsidR="004E7595" w:rsidRDefault="004E7595" w:rsidP="004E7595">
            <w:pPr>
              <w:pStyle w:val="IPPArialTable"/>
              <w:jc w:val="center"/>
              <w:rPr>
                <w:rFonts w:cs="Arial"/>
                <w:lang w:eastAsia="en-GB"/>
              </w:rPr>
            </w:pPr>
            <w:r>
              <w:rPr>
                <w:rFonts w:cs="Arial"/>
                <w:lang w:eastAsia="en-GB"/>
              </w:rPr>
              <w:t xml:space="preserve">To CPM </w:t>
            </w:r>
          </w:p>
          <w:p w:rsidR="004E7595" w:rsidRPr="00E209E4" w:rsidRDefault="004E7595" w:rsidP="004E7595">
            <w:pPr>
              <w:pStyle w:val="IPPArialTable"/>
              <w:jc w:val="center"/>
              <w:rPr>
                <w:rFonts w:cs="Arial"/>
                <w:lang w:eastAsia="en-GB"/>
              </w:rPr>
            </w:pPr>
            <w:r>
              <w:rPr>
                <w:rFonts w:cs="Arial"/>
                <w:lang w:eastAsia="en-GB"/>
              </w:rPr>
              <w:t>for adoption</w:t>
            </w:r>
          </w:p>
        </w:tc>
        <w:tc>
          <w:tcPr>
            <w:tcW w:w="1552" w:type="dxa"/>
            <w:shd w:val="clear" w:color="auto" w:fill="DBE5F1"/>
            <w:vAlign w:val="center"/>
          </w:tcPr>
          <w:p w:rsidR="004E7595" w:rsidRPr="00E209E4" w:rsidRDefault="004E7595" w:rsidP="004E7595">
            <w:pPr>
              <w:pStyle w:val="IPPArialTable"/>
              <w:jc w:val="center"/>
              <w:rPr>
                <w:rFonts w:cs="Arial"/>
                <w:lang w:eastAsia="en-GB"/>
              </w:rPr>
            </w:pPr>
            <w:r w:rsidRPr="00E209E4">
              <w:rPr>
                <w:rFonts w:cs="Arial"/>
                <w:lang w:eastAsia="en-GB"/>
              </w:rPr>
              <w:t>3 (Ar, Ru, Zh)</w:t>
            </w:r>
          </w:p>
        </w:tc>
        <w:tc>
          <w:tcPr>
            <w:tcW w:w="1708" w:type="dxa"/>
            <w:shd w:val="clear" w:color="auto" w:fill="DBE5F1"/>
            <w:vAlign w:val="center"/>
          </w:tcPr>
          <w:p w:rsidR="004E7595" w:rsidRPr="00E209E4" w:rsidRDefault="004E7595" w:rsidP="004E7595">
            <w:pPr>
              <w:pStyle w:val="IPPArialTable"/>
              <w:jc w:val="center"/>
              <w:rPr>
                <w:rFonts w:cs="Arial"/>
                <w:lang w:eastAsia="en-GB"/>
              </w:rPr>
            </w:pPr>
            <w:r w:rsidRPr="00E209E4">
              <w:rPr>
                <w:rFonts w:cs="Arial"/>
                <w:lang w:eastAsia="en-GB"/>
              </w:rPr>
              <w:t>0.574</w:t>
            </w:r>
          </w:p>
        </w:tc>
        <w:tc>
          <w:tcPr>
            <w:tcW w:w="1417"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4</w:t>
            </w:r>
            <w:r>
              <w:rPr>
                <w:rFonts w:cs="Arial"/>
                <w:lang w:eastAsia="en-GB"/>
              </w:rPr>
              <w:t xml:space="preserve"> </w:t>
            </w:r>
            <w:r w:rsidRPr="00E209E4">
              <w:rPr>
                <w:rFonts w:cs="Arial"/>
                <w:lang w:eastAsia="en-GB"/>
              </w:rPr>
              <w:t>000</w:t>
            </w:r>
          </w:p>
        </w:tc>
        <w:tc>
          <w:tcPr>
            <w:tcW w:w="1701"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6</w:t>
            </w:r>
            <w:r>
              <w:rPr>
                <w:rFonts w:cs="Arial"/>
                <w:lang w:eastAsia="en-GB"/>
              </w:rPr>
              <w:t xml:space="preserve"> </w:t>
            </w:r>
            <w:r w:rsidRPr="00E209E4">
              <w:rPr>
                <w:rFonts w:cs="Arial"/>
                <w:lang w:eastAsia="en-GB"/>
              </w:rPr>
              <w:t>900</w:t>
            </w:r>
          </w:p>
        </w:tc>
      </w:tr>
      <w:tr w:rsidR="004E7595" w:rsidTr="004E7595">
        <w:tc>
          <w:tcPr>
            <w:tcW w:w="1483" w:type="dxa"/>
            <w:shd w:val="clear" w:color="auto" w:fill="DBE5F1"/>
            <w:vAlign w:val="center"/>
          </w:tcPr>
          <w:p w:rsidR="004E7595" w:rsidRPr="00E209E4" w:rsidRDefault="004E7595" w:rsidP="004E7595">
            <w:pPr>
              <w:pStyle w:val="IPPArialTable"/>
              <w:rPr>
                <w:rFonts w:cs="Arial"/>
                <w:lang w:eastAsia="en-GB"/>
              </w:rPr>
            </w:pPr>
            <w:r w:rsidRPr="00E209E4">
              <w:rPr>
                <w:rFonts w:cs="Arial"/>
                <w:lang w:eastAsia="en-GB"/>
              </w:rPr>
              <w:t>1 ISPM revision</w:t>
            </w:r>
          </w:p>
        </w:tc>
        <w:tc>
          <w:tcPr>
            <w:tcW w:w="1319" w:type="dxa"/>
            <w:vMerge/>
            <w:shd w:val="clear" w:color="auto" w:fill="DBE5F1"/>
            <w:vAlign w:val="center"/>
          </w:tcPr>
          <w:p w:rsidR="004E7595" w:rsidRPr="00E209E4" w:rsidRDefault="004E7595" w:rsidP="004E7595">
            <w:pPr>
              <w:pStyle w:val="IPPArialTable"/>
              <w:jc w:val="center"/>
              <w:rPr>
                <w:rFonts w:cs="Arial"/>
                <w:lang w:eastAsia="en-GB"/>
              </w:rPr>
            </w:pPr>
          </w:p>
        </w:tc>
        <w:tc>
          <w:tcPr>
            <w:tcW w:w="1552" w:type="dxa"/>
            <w:shd w:val="clear" w:color="auto" w:fill="DBE5F1"/>
            <w:vAlign w:val="center"/>
          </w:tcPr>
          <w:p w:rsidR="004E7595" w:rsidRPr="00E209E4" w:rsidRDefault="004E7595" w:rsidP="004E7595">
            <w:pPr>
              <w:pStyle w:val="IPPArialTable"/>
              <w:jc w:val="center"/>
              <w:rPr>
                <w:rFonts w:cs="Arial"/>
                <w:lang w:eastAsia="en-GB"/>
              </w:rPr>
            </w:pPr>
            <w:r w:rsidRPr="00E209E4">
              <w:rPr>
                <w:rFonts w:cs="Arial"/>
                <w:lang w:eastAsia="en-GB"/>
              </w:rPr>
              <w:t>2 (Es, Fr)</w:t>
            </w:r>
          </w:p>
        </w:tc>
        <w:tc>
          <w:tcPr>
            <w:tcW w:w="1708" w:type="dxa"/>
            <w:shd w:val="clear" w:color="auto" w:fill="DBE5F1"/>
            <w:vAlign w:val="center"/>
          </w:tcPr>
          <w:p w:rsidR="004E7595" w:rsidRPr="00E209E4" w:rsidRDefault="004E7595" w:rsidP="004E7595">
            <w:pPr>
              <w:pStyle w:val="IPPArialTable"/>
              <w:jc w:val="center"/>
              <w:rPr>
                <w:rFonts w:cs="Arial"/>
                <w:lang w:eastAsia="en-GB"/>
              </w:rPr>
            </w:pPr>
            <w:r w:rsidRPr="00E209E4">
              <w:rPr>
                <w:rFonts w:cs="Arial"/>
                <w:lang w:eastAsia="en-GB"/>
              </w:rPr>
              <w:t>0.278</w:t>
            </w:r>
          </w:p>
        </w:tc>
        <w:tc>
          <w:tcPr>
            <w:tcW w:w="1417"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4</w:t>
            </w:r>
            <w:r>
              <w:rPr>
                <w:rFonts w:cs="Arial"/>
                <w:lang w:eastAsia="en-GB"/>
              </w:rPr>
              <w:t xml:space="preserve"> </w:t>
            </w:r>
            <w:r w:rsidRPr="00E209E4">
              <w:rPr>
                <w:rFonts w:cs="Arial"/>
                <w:lang w:eastAsia="en-GB"/>
              </w:rPr>
              <w:t>000</w:t>
            </w:r>
          </w:p>
        </w:tc>
        <w:tc>
          <w:tcPr>
            <w:tcW w:w="1701" w:type="dxa"/>
            <w:shd w:val="clear" w:color="auto" w:fill="DBE5F1"/>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2</w:t>
            </w:r>
            <w:r>
              <w:rPr>
                <w:rFonts w:cs="Arial"/>
                <w:lang w:eastAsia="en-GB"/>
              </w:rPr>
              <w:t xml:space="preserve"> </w:t>
            </w:r>
            <w:r w:rsidRPr="00E209E4">
              <w:rPr>
                <w:rFonts w:cs="Arial"/>
                <w:lang w:eastAsia="en-GB"/>
              </w:rPr>
              <w:t>220</w:t>
            </w:r>
          </w:p>
        </w:tc>
      </w:tr>
      <w:tr w:rsidR="004E7595" w:rsidTr="004E7595">
        <w:tc>
          <w:tcPr>
            <w:tcW w:w="7479" w:type="dxa"/>
            <w:gridSpan w:val="5"/>
            <w:shd w:val="clear" w:color="auto" w:fill="DBE5F1"/>
            <w:vAlign w:val="center"/>
          </w:tcPr>
          <w:p w:rsidR="004E7595" w:rsidRDefault="004E7595" w:rsidP="004E7595">
            <w:pPr>
              <w:pStyle w:val="IPPArialTable"/>
              <w:jc w:val="right"/>
              <w:rPr>
                <w:rFonts w:cs="Arial"/>
                <w:b/>
                <w:lang w:eastAsia="en-GB"/>
              </w:rPr>
            </w:pPr>
            <w:r>
              <w:rPr>
                <w:rFonts w:cs="Arial"/>
                <w:b/>
                <w:lang w:eastAsia="en-GB"/>
              </w:rPr>
              <w:t>Cost to translate 1 ISPM</w:t>
            </w:r>
          </w:p>
        </w:tc>
        <w:tc>
          <w:tcPr>
            <w:tcW w:w="1701" w:type="dxa"/>
            <w:shd w:val="clear" w:color="auto" w:fill="DBE5F1"/>
            <w:vAlign w:val="center"/>
          </w:tcPr>
          <w:p w:rsidR="004E7595" w:rsidRPr="00E209E4" w:rsidRDefault="004E7595" w:rsidP="004E7595">
            <w:pPr>
              <w:pStyle w:val="IPPArialTable"/>
              <w:jc w:val="center"/>
              <w:rPr>
                <w:rFonts w:cs="Arial"/>
                <w:b/>
                <w:lang w:eastAsia="en-GB"/>
              </w:rPr>
            </w:pPr>
            <w:r>
              <w:rPr>
                <w:rFonts w:cs="Arial"/>
                <w:lang w:eastAsia="en-GB"/>
              </w:rPr>
              <w:t xml:space="preserve">$ </w:t>
            </w:r>
            <w:r w:rsidRPr="00E209E4">
              <w:rPr>
                <w:rFonts w:cs="Arial"/>
                <w:b/>
                <w:lang w:eastAsia="en-GB"/>
              </w:rPr>
              <w:t>17</w:t>
            </w:r>
            <w:r>
              <w:rPr>
                <w:rFonts w:cs="Arial"/>
                <w:b/>
                <w:lang w:eastAsia="en-GB"/>
              </w:rPr>
              <w:t xml:space="preserve"> </w:t>
            </w:r>
            <w:r w:rsidRPr="00E209E4">
              <w:rPr>
                <w:rFonts w:cs="Arial"/>
                <w:b/>
                <w:lang w:eastAsia="en-GB"/>
              </w:rPr>
              <w:t>350</w:t>
            </w:r>
          </w:p>
        </w:tc>
      </w:tr>
      <w:tr w:rsidR="004E7595" w:rsidTr="004E7595">
        <w:tc>
          <w:tcPr>
            <w:tcW w:w="1483" w:type="dxa"/>
            <w:shd w:val="clear" w:color="auto" w:fill="EAF1DD"/>
            <w:vAlign w:val="center"/>
          </w:tcPr>
          <w:p w:rsidR="004E7595" w:rsidRPr="00E209E4" w:rsidRDefault="004E7595" w:rsidP="004E7595">
            <w:pPr>
              <w:pStyle w:val="IPPArialTable"/>
              <w:rPr>
                <w:rFonts w:cs="Arial"/>
                <w:lang w:eastAsia="en-GB"/>
              </w:rPr>
            </w:pPr>
            <w:r w:rsidRPr="00E209E4">
              <w:rPr>
                <w:rFonts w:cs="Arial"/>
                <w:lang w:eastAsia="en-GB"/>
              </w:rPr>
              <w:t>1 PT translation</w:t>
            </w:r>
          </w:p>
        </w:tc>
        <w:tc>
          <w:tcPr>
            <w:tcW w:w="1319"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To </w:t>
            </w:r>
            <w:r w:rsidRPr="00E209E4">
              <w:rPr>
                <w:rFonts w:cs="Arial"/>
                <w:lang w:eastAsia="en-GB"/>
              </w:rPr>
              <w:t>MC</w:t>
            </w:r>
          </w:p>
        </w:tc>
        <w:tc>
          <w:tcPr>
            <w:tcW w:w="1552" w:type="dxa"/>
            <w:shd w:val="clear" w:color="auto" w:fill="EAF1DD"/>
            <w:vAlign w:val="center"/>
          </w:tcPr>
          <w:p w:rsidR="004E7595" w:rsidRPr="00E209E4" w:rsidRDefault="004E7595" w:rsidP="004E7595">
            <w:pPr>
              <w:pStyle w:val="IPPArialTable"/>
              <w:jc w:val="center"/>
              <w:rPr>
                <w:rFonts w:cs="Arial"/>
                <w:lang w:eastAsia="en-GB"/>
              </w:rPr>
            </w:pPr>
            <w:r w:rsidRPr="00E209E4">
              <w:rPr>
                <w:rFonts w:cs="Arial"/>
                <w:lang w:eastAsia="en-GB"/>
              </w:rPr>
              <w:t>2 (Es, Fr)</w:t>
            </w:r>
          </w:p>
        </w:tc>
        <w:tc>
          <w:tcPr>
            <w:tcW w:w="1708" w:type="dxa"/>
            <w:shd w:val="clear" w:color="auto" w:fill="EAF1DD"/>
            <w:vAlign w:val="center"/>
          </w:tcPr>
          <w:p w:rsidR="004E7595" w:rsidRPr="00E209E4" w:rsidRDefault="004E7595" w:rsidP="004E7595">
            <w:pPr>
              <w:pStyle w:val="IPPArialTable"/>
              <w:jc w:val="center"/>
              <w:rPr>
                <w:rFonts w:cs="Arial"/>
                <w:lang w:eastAsia="en-GB"/>
              </w:rPr>
            </w:pPr>
            <w:r w:rsidRPr="00E209E4">
              <w:rPr>
                <w:rFonts w:cs="Arial"/>
                <w:lang w:eastAsia="en-GB"/>
              </w:rPr>
              <w:t>0.574</w:t>
            </w:r>
          </w:p>
        </w:tc>
        <w:tc>
          <w:tcPr>
            <w:tcW w:w="1417"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500</w:t>
            </w:r>
          </w:p>
        </w:tc>
        <w:tc>
          <w:tcPr>
            <w:tcW w:w="1701"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575</w:t>
            </w:r>
          </w:p>
        </w:tc>
      </w:tr>
      <w:tr w:rsidR="004E7595" w:rsidTr="004E7595">
        <w:tc>
          <w:tcPr>
            <w:tcW w:w="1483" w:type="dxa"/>
            <w:shd w:val="clear" w:color="auto" w:fill="EAF1DD"/>
            <w:vAlign w:val="center"/>
          </w:tcPr>
          <w:p w:rsidR="004E7595" w:rsidRPr="00E209E4" w:rsidRDefault="004E7595" w:rsidP="004E7595">
            <w:pPr>
              <w:pStyle w:val="IPPArialTable"/>
              <w:rPr>
                <w:rFonts w:cs="Arial"/>
                <w:lang w:eastAsia="en-GB"/>
              </w:rPr>
            </w:pPr>
            <w:r w:rsidRPr="00E209E4">
              <w:rPr>
                <w:rFonts w:cs="Arial"/>
                <w:lang w:eastAsia="en-GB"/>
              </w:rPr>
              <w:t>1 PT translation</w:t>
            </w:r>
          </w:p>
        </w:tc>
        <w:tc>
          <w:tcPr>
            <w:tcW w:w="1319" w:type="dxa"/>
            <w:vMerge w:val="restart"/>
            <w:shd w:val="clear" w:color="auto" w:fill="EAF1DD"/>
            <w:vAlign w:val="center"/>
          </w:tcPr>
          <w:p w:rsidR="004E7595" w:rsidRDefault="004E7595" w:rsidP="004E7595">
            <w:pPr>
              <w:pStyle w:val="IPPArialTable"/>
              <w:jc w:val="center"/>
              <w:rPr>
                <w:rFonts w:cs="Arial"/>
                <w:lang w:eastAsia="en-GB"/>
              </w:rPr>
            </w:pPr>
            <w:r>
              <w:rPr>
                <w:rFonts w:cs="Arial"/>
                <w:lang w:eastAsia="en-GB"/>
              </w:rPr>
              <w:t xml:space="preserve">To CPM </w:t>
            </w:r>
          </w:p>
          <w:p w:rsidR="004E7595" w:rsidRPr="00E209E4" w:rsidRDefault="004E7595" w:rsidP="004E7595">
            <w:pPr>
              <w:pStyle w:val="IPPArialTable"/>
              <w:jc w:val="center"/>
              <w:rPr>
                <w:rFonts w:cs="Arial"/>
                <w:lang w:eastAsia="en-GB"/>
              </w:rPr>
            </w:pPr>
            <w:r>
              <w:rPr>
                <w:rFonts w:cs="Arial"/>
                <w:lang w:eastAsia="en-GB"/>
              </w:rPr>
              <w:t>for adoption</w:t>
            </w:r>
          </w:p>
        </w:tc>
        <w:tc>
          <w:tcPr>
            <w:tcW w:w="1552" w:type="dxa"/>
            <w:shd w:val="clear" w:color="auto" w:fill="EAF1DD"/>
            <w:vAlign w:val="center"/>
          </w:tcPr>
          <w:p w:rsidR="004E7595" w:rsidRPr="00E209E4" w:rsidRDefault="004E7595" w:rsidP="004E7595">
            <w:pPr>
              <w:pStyle w:val="IPPArialTable"/>
              <w:jc w:val="center"/>
              <w:rPr>
                <w:rFonts w:cs="Arial"/>
                <w:lang w:eastAsia="en-GB"/>
              </w:rPr>
            </w:pPr>
            <w:r w:rsidRPr="00E209E4">
              <w:rPr>
                <w:rFonts w:cs="Arial"/>
                <w:lang w:eastAsia="en-GB"/>
              </w:rPr>
              <w:t>3 (Ar, Ru, Zh)</w:t>
            </w:r>
          </w:p>
        </w:tc>
        <w:tc>
          <w:tcPr>
            <w:tcW w:w="1708" w:type="dxa"/>
            <w:shd w:val="clear" w:color="auto" w:fill="EAF1DD"/>
            <w:vAlign w:val="center"/>
          </w:tcPr>
          <w:p w:rsidR="004E7595" w:rsidRPr="00E209E4" w:rsidRDefault="004E7595" w:rsidP="004E7595">
            <w:pPr>
              <w:pStyle w:val="IPPArialTable"/>
              <w:jc w:val="center"/>
              <w:rPr>
                <w:rFonts w:cs="Arial"/>
                <w:lang w:eastAsia="en-GB"/>
              </w:rPr>
            </w:pPr>
            <w:r w:rsidRPr="00E209E4">
              <w:rPr>
                <w:rFonts w:cs="Arial"/>
                <w:lang w:eastAsia="en-GB"/>
              </w:rPr>
              <w:t>0.574</w:t>
            </w:r>
          </w:p>
        </w:tc>
        <w:tc>
          <w:tcPr>
            <w:tcW w:w="1417"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500</w:t>
            </w:r>
          </w:p>
        </w:tc>
        <w:tc>
          <w:tcPr>
            <w:tcW w:w="1701"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860</w:t>
            </w:r>
          </w:p>
        </w:tc>
      </w:tr>
      <w:tr w:rsidR="004E7595" w:rsidTr="004E7595">
        <w:tc>
          <w:tcPr>
            <w:tcW w:w="1483" w:type="dxa"/>
            <w:shd w:val="clear" w:color="auto" w:fill="EAF1DD"/>
            <w:vAlign w:val="center"/>
          </w:tcPr>
          <w:p w:rsidR="004E7595" w:rsidRPr="00E209E4" w:rsidRDefault="004E7595" w:rsidP="004E7595">
            <w:pPr>
              <w:pStyle w:val="IPPArialTable"/>
              <w:rPr>
                <w:rFonts w:cs="Arial"/>
                <w:lang w:eastAsia="en-GB"/>
              </w:rPr>
            </w:pPr>
            <w:r w:rsidRPr="00E209E4">
              <w:rPr>
                <w:rFonts w:cs="Arial"/>
                <w:lang w:eastAsia="en-GB"/>
              </w:rPr>
              <w:t>1 PT revision</w:t>
            </w:r>
          </w:p>
        </w:tc>
        <w:tc>
          <w:tcPr>
            <w:tcW w:w="1319" w:type="dxa"/>
            <w:vMerge/>
            <w:shd w:val="clear" w:color="auto" w:fill="EAF1DD"/>
            <w:vAlign w:val="center"/>
          </w:tcPr>
          <w:p w:rsidR="004E7595" w:rsidRPr="00E209E4" w:rsidRDefault="004E7595" w:rsidP="004E7595">
            <w:pPr>
              <w:pStyle w:val="IPPArialTable"/>
              <w:jc w:val="center"/>
              <w:rPr>
                <w:rFonts w:cs="Arial"/>
                <w:lang w:eastAsia="en-GB"/>
              </w:rPr>
            </w:pPr>
          </w:p>
        </w:tc>
        <w:tc>
          <w:tcPr>
            <w:tcW w:w="1552" w:type="dxa"/>
            <w:shd w:val="clear" w:color="auto" w:fill="EAF1DD"/>
            <w:vAlign w:val="center"/>
          </w:tcPr>
          <w:p w:rsidR="004E7595" w:rsidRPr="00E209E4" w:rsidRDefault="004E7595" w:rsidP="004E7595">
            <w:pPr>
              <w:pStyle w:val="IPPArialTable"/>
              <w:jc w:val="center"/>
              <w:rPr>
                <w:rFonts w:cs="Arial"/>
                <w:lang w:eastAsia="en-GB"/>
              </w:rPr>
            </w:pPr>
            <w:r w:rsidRPr="00E209E4">
              <w:rPr>
                <w:rFonts w:cs="Arial"/>
                <w:lang w:eastAsia="en-GB"/>
              </w:rPr>
              <w:t>2 (Es, Fr)</w:t>
            </w:r>
          </w:p>
        </w:tc>
        <w:tc>
          <w:tcPr>
            <w:tcW w:w="1708" w:type="dxa"/>
            <w:shd w:val="clear" w:color="auto" w:fill="EAF1DD"/>
            <w:vAlign w:val="center"/>
          </w:tcPr>
          <w:p w:rsidR="004E7595" w:rsidRPr="00E209E4" w:rsidRDefault="004E7595" w:rsidP="004E7595">
            <w:pPr>
              <w:pStyle w:val="IPPArialTable"/>
              <w:jc w:val="center"/>
              <w:rPr>
                <w:rFonts w:cs="Arial"/>
                <w:lang w:eastAsia="en-GB"/>
              </w:rPr>
            </w:pPr>
            <w:r w:rsidRPr="00E209E4">
              <w:rPr>
                <w:rFonts w:cs="Arial"/>
                <w:lang w:eastAsia="en-GB"/>
              </w:rPr>
              <w:t>0.278</w:t>
            </w:r>
          </w:p>
        </w:tc>
        <w:tc>
          <w:tcPr>
            <w:tcW w:w="1417"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500</w:t>
            </w:r>
          </w:p>
        </w:tc>
        <w:tc>
          <w:tcPr>
            <w:tcW w:w="1701" w:type="dxa"/>
            <w:shd w:val="clear" w:color="auto" w:fill="EAF1DD"/>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280</w:t>
            </w:r>
          </w:p>
        </w:tc>
      </w:tr>
      <w:tr w:rsidR="004E7595" w:rsidTr="004E7595">
        <w:tc>
          <w:tcPr>
            <w:tcW w:w="7479" w:type="dxa"/>
            <w:gridSpan w:val="5"/>
            <w:tcBorders>
              <w:bottom w:val="single" w:sz="4" w:space="0" w:color="auto"/>
            </w:tcBorders>
            <w:shd w:val="clear" w:color="auto" w:fill="EAF1DD"/>
            <w:vAlign w:val="center"/>
          </w:tcPr>
          <w:p w:rsidR="004E7595" w:rsidRDefault="004E7595" w:rsidP="004E7595">
            <w:pPr>
              <w:pStyle w:val="IPPArialTable"/>
              <w:jc w:val="right"/>
              <w:rPr>
                <w:rFonts w:cs="Arial"/>
                <w:b/>
                <w:lang w:eastAsia="en-GB"/>
              </w:rPr>
            </w:pPr>
            <w:r>
              <w:rPr>
                <w:rFonts w:cs="Arial"/>
                <w:b/>
                <w:lang w:eastAsia="en-GB"/>
              </w:rPr>
              <w:t xml:space="preserve">Cost to translate 1 </w:t>
            </w:r>
            <w:r w:rsidRPr="00E209E4">
              <w:rPr>
                <w:rFonts w:cs="Arial"/>
                <w:b/>
                <w:lang w:eastAsia="en-GB"/>
              </w:rPr>
              <w:t>PT</w:t>
            </w:r>
          </w:p>
        </w:tc>
        <w:tc>
          <w:tcPr>
            <w:tcW w:w="1701" w:type="dxa"/>
            <w:tcBorders>
              <w:bottom w:val="single" w:sz="4" w:space="0" w:color="auto"/>
            </w:tcBorders>
            <w:shd w:val="clear" w:color="auto" w:fill="EAF1DD"/>
            <w:vAlign w:val="center"/>
          </w:tcPr>
          <w:p w:rsidR="004E7595" w:rsidRPr="00E209E4" w:rsidRDefault="004E7595" w:rsidP="004E7595">
            <w:pPr>
              <w:pStyle w:val="IPPArialTable"/>
              <w:jc w:val="center"/>
              <w:rPr>
                <w:rFonts w:cs="Arial"/>
                <w:b/>
                <w:lang w:eastAsia="en-GB"/>
              </w:rPr>
            </w:pPr>
            <w:r>
              <w:rPr>
                <w:rFonts w:cs="Arial"/>
                <w:lang w:eastAsia="en-GB"/>
              </w:rPr>
              <w:t xml:space="preserve">$ </w:t>
            </w:r>
            <w:r w:rsidRPr="00E209E4">
              <w:rPr>
                <w:rFonts w:cs="Arial"/>
                <w:b/>
                <w:lang w:eastAsia="en-GB"/>
              </w:rPr>
              <w:t>1</w:t>
            </w:r>
            <w:r>
              <w:rPr>
                <w:rFonts w:cs="Arial"/>
                <w:b/>
                <w:lang w:eastAsia="en-GB"/>
              </w:rPr>
              <w:t xml:space="preserve"> </w:t>
            </w:r>
            <w:r w:rsidRPr="00E209E4">
              <w:rPr>
                <w:rFonts w:cs="Arial"/>
                <w:b/>
                <w:lang w:eastAsia="en-GB"/>
              </w:rPr>
              <w:t>715</w:t>
            </w:r>
          </w:p>
        </w:tc>
      </w:tr>
      <w:tr w:rsidR="004E7595" w:rsidTr="004E7595">
        <w:tc>
          <w:tcPr>
            <w:tcW w:w="1483" w:type="dxa"/>
            <w:tcBorders>
              <w:bottom w:val="single" w:sz="4" w:space="0" w:color="auto"/>
            </w:tcBorders>
            <w:shd w:val="clear" w:color="auto" w:fill="FDE9D9"/>
            <w:vAlign w:val="center"/>
          </w:tcPr>
          <w:p w:rsidR="004E7595" w:rsidRPr="00E209E4" w:rsidRDefault="004E7595" w:rsidP="004E7595">
            <w:pPr>
              <w:pStyle w:val="IPPArialTable"/>
              <w:rPr>
                <w:rFonts w:cs="Arial"/>
                <w:lang w:eastAsia="en-GB"/>
              </w:rPr>
            </w:pPr>
            <w:r w:rsidRPr="00E209E4">
              <w:rPr>
                <w:rFonts w:cs="Arial"/>
                <w:lang w:eastAsia="en-GB"/>
              </w:rPr>
              <w:t>1 DP translation</w:t>
            </w:r>
          </w:p>
        </w:tc>
        <w:tc>
          <w:tcPr>
            <w:tcW w:w="1319" w:type="dxa"/>
            <w:tcBorders>
              <w:bottom w:val="single" w:sz="4" w:space="0" w:color="auto"/>
            </w:tcBorders>
            <w:shd w:val="clear" w:color="auto" w:fill="FDE9D9"/>
            <w:vAlign w:val="center"/>
          </w:tcPr>
          <w:p w:rsidR="004E7595" w:rsidRPr="00E209E4" w:rsidRDefault="004E7595" w:rsidP="004E7595">
            <w:pPr>
              <w:pStyle w:val="IPPArialTable"/>
              <w:jc w:val="center"/>
              <w:rPr>
                <w:rFonts w:cs="Arial"/>
                <w:lang w:eastAsia="en-GB"/>
              </w:rPr>
            </w:pPr>
            <w:r>
              <w:rPr>
                <w:rFonts w:cs="Arial"/>
                <w:lang w:eastAsia="en-GB"/>
              </w:rPr>
              <w:t>To CPM / adoption</w:t>
            </w:r>
          </w:p>
        </w:tc>
        <w:tc>
          <w:tcPr>
            <w:tcW w:w="1552" w:type="dxa"/>
            <w:tcBorders>
              <w:bottom w:val="single" w:sz="4" w:space="0" w:color="auto"/>
            </w:tcBorders>
            <w:shd w:val="clear" w:color="auto" w:fill="FDE9D9"/>
            <w:vAlign w:val="center"/>
          </w:tcPr>
          <w:p w:rsidR="004E7595" w:rsidRPr="00E209E4" w:rsidRDefault="004E7595" w:rsidP="004E7595">
            <w:pPr>
              <w:pStyle w:val="IPPArialTable"/>
              <w:jc w:val="center"/>
              <w:rPr>
                <w:rFonts w:cs="Arial"/>
                <w:lang w:eastAsia="en-GB"/>
              </w:rPr>
            </w:pPr>
            <w:r w:rsidRPr="00E209E4">
              <w:rPr>
                <w:rFonts w:cs="Arial"/>
                <w:lang w:eastAsia="en-GB"/>
              </w:rPr>
              <w:t>5 (Ar, Es, Fr, Ru, Zh)</w:t>
            </w:r>
          </w:p>
        </w:tc>
        <w:tc>
          <w:tcPr>
            <w:tcW w:w="1708" w:type="dxa"/>
            <w:tcBorders>
              <w:bottom w:val="single" w:sz="4" w:space="0" w:color="auto"/>
            </w:tcBorders>
            <w:shd w:val="clear" w:color="auto" w:fill="FDE9D9"/>
            <w:vAlign w:val="center"/>
          </w:tcPr>
          <w:p w:rsidR="004E7595" w:rsidRPr="00E209E4" w:rsidRDefault="004E7595" w:rsidP="004E7595">
            <w:pPr>
              <w:pStyle w:val="IPPArialTable"/>
              <w:jc w:val="center"/>
              <w:rPr>
                <w:rFonts w:cs="Arial"/>
                <w:lang w:eastAsia="en-GB"/>
              </w:rPr>
            </w:pPr>
            <w:r w:rsidRPr="00E209E4">
              <w:rPr>
                <w:rFonts w:cs="Arial"/>
                <w:lang w:eastAsia="en-GB"/>
              </w:rPr>
              <w:t>0.574</w:t>
            </w:r>
          </w:p>
        </w:tc>
        <w:tc>
          <w:tcPr>
            <w:tcW w:w="1417" w:type="dxa"/>
            <w:tcBorders>
              <w:bottom w:val="single" w:sz="4" w:space="0" w:color="auto"/>
            </w:tcBorders>
            <w:shd w:val="clear" w:color="auto" w:fill="FDE9D9"/>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8</w:t>
            </w:r>
            <w:r>
              <w:rPr>
                <w:rFonts w:cs="Arial"/>
                <w:lang w:eastAsia="en-GB"/>
              </w:rPr>
              <w:t xml:space="preserve"> </w:t>
            </w:r>
            <w:r w:rsidRPr="00E209E4">
              <w:rPr>
                <w:rFonts w:cs="Arial"/>
                <w:lang w:eastAsia="en-GB"/>
              </w:rPr>
              <w:t>000</w:t>
            </w:r>
          </w:p>
        </w:tc>
        <w:tc>
          <w:tcPr>
            <w:tcW w:w="1701" w:type="dxa"/>
            <w:tcBorders>
              <w:bottom w:val="single" w:sz="4" w:space="0" w:color="auto"/>
            </w:tcBorders>
            <w:shd w:val="clear" w:color="auto" w:fill="FDE9D9"/>
            <w:vAlign w:val="center"/>
          </w:tcPr>
          <w:p w:rsidR="004E7595" w:rsidRPr="00E209E4" w:rsidRDefault="004E7595" w:rsidP="004E7595">
            <w:pPr>
              <w:pStyle w:val="IPPArialTable"/>
              <w:jc w:val="center"/>
              <w:rPr>
                <w:rFonts w:cs="Arial"/>
                <w:lang w:eastAsia="en-GB"/>
              </w:rPr>
            </w:pPr>
            <w:r>
              <w:rPr>
                <w:rFonts w:cs="Arial"/>
                <w:lang w:eastAsia="en-GB"/>
              </w:rPr>
              <w:t xml:space="preserve">$ </w:t>
            </w:r>
            <w:r w:rsidRPr="00E209E4">
              <w:rPr>
                <w:rFonts w:cs="Arial"/>
                <w:lang w:eastAsia="en-GB"/>
              </w:rPr>
              <w:t>23</w:t>
            </w:r>
            <w:r>
              <w:rPr>
                <w:rFonts w:cs="Arial"/>
                <w:lang w:eastAsia="en-GB"/>
              </w:rPr>
              <w:t xml:space="preserve"> </w:t>
            </w:r>
            <w:r w:rsidRPr="00E209E4">
              <w:rPr>
                <w:rFonts w:cs="Arial"/>
                <w:lang w:eastAsia="en-GB"/>
              </w:rPr>
              <w:t>000</w:t>
            </w:r>
          </w:p>
        </w:tc>
      </w:tr>
      <w:tr w:rsidR="004E7595" w:rsidTr="004E7595">
        <w:tc>
          <w:tcPr>
            <w:tcW w:w="7479" w:type="dxa"/>
            <w:gridSpan w:val="5"/>
            <w:tcBorders>
              <w:bottom w:val="single" w:sz="4" w:space="0" w:color="auto"/>
            </w:tcBorders>
            <w:shd w:val="clear" w:color="auto" w:fill="FDE9D9"/>
            <w:vAlign w:val="center"/>
          </w:tcPr>
          <w:p w:rsidR="004E7595" w:rsidRDefault="004E7595" w:rsidP="004E7595">
            <w:pPr>
              <w:pStyle w:val="IPPArialTable"/>
              <w:jc w:val="right"/>
              <w:rPr>
                <w:rFonts w:cs="Arial"/>
                <w:b/>
                <w:lang w:eastAsia="en-GB"/>
              </w:rPr>
            </w:pPr>
            <w:r>
              <w:rPr>
                <w:rFonts w:cs="Arial"/>
                <w:b/>
                <w:lang w:eastAsia="en-GB"/>
              </w:rPr>
              <w:t>Cost to translate 1</w:t>
            </w:r>
            <w:r w:rsidRPr="00E209E4">
              <w:rPr>
                <w:rFonts w:cs="Arial"/>
                <w:b/>
                <w:lang w:eastAsia="en-GB"/>
              </w:rPr>
              <w:t xml:space="preserve"> DP</w:t>
            </w:r>
          </w:p>
        </w:tc>
        <w:tc>
          <w:tcPr>
            <w:tcW w:w="1701" w:type="dxa"/>
            <w:tcBorders>
              <w:bottom w:val="single" w:sz="4" w:space="0" w:color="auto"/>
            </w:tcBorders>
            <w:shd w:val="clear" w:color="auto" w:fill="FDE9D9"/>
            <w:vAlign w:val="center"/>
          </w:tcPr>
          <w:p w:rsidR="004E7595" w:rsidRPr="00E209E4" w:rsidRDefault="004E7595" w:rsidP="004E7595">
            <w:pPr>
              <w:pStyle w:val="IPPArialTable"/>
              <w:jc w:val="center"/>
              <w:rPr>
                <w:rFonts w:cs="Arial"/>
                <w:b/>
                <w:lang w:eastAsia="en-GB"/>
              </w:rPr>
            </w:pPr>
            <w:r>
              <w:rPr>
                <w:rFonts w:cs="Arial"/>
                <w:lang w:eastAsia="en-GB"/>
              </w:rPr>
              <w:t xml:space="preserve">$ </w:t>
            </w:r>
            <w:r w:rsidRPr="00E209E4">
              <w:rPr>
                <w:rFonts w:cs="Arial"/>
                <w:b/>
                <w:lang w:eastAsia="en-GB"/>
              </w:rPr>
              <w:t>23</w:t>
            </w:r>
            <w:r>
              <w:rPr>
                <w:rFonts w:cs="Arial"/>
                <w:b/>
                <w:lang w:eastAsia="en-GB"/>
              </w:rPr>
              <w:t xml:space="preserve"> </w:t>
            </w:r>
            <w:r w:rsidRPr="00E209E4">
              <w:rPr>
                <w:rFonts w:cs="Arial"/>
                <w:b/>
                <w:lang w:eastAsia="en-GB"/>
              </w:rPr>
              <w:t>000</w:t>
            </w:r>
          </w:p>
        </w:tc>
      </w:tr>
    </w:tbl>
    <w:p w:rsidR="007E72BB" w:rsidRDefault="004E7595">
      <w:pPr>
        <w:pStyle w:val="IPPArialTable"/>
      </w:pPr>
      <w:proofErr w:type="gramStart"/>
      <w:r>
        <w:rPr>
          <w:lang w:eastAsia="en-GB"/>
        </w:rPr>
        <w:t xml:space="preserve">* </w:t>
      </w:r>
      <w:r w:rsidRPr="00791247">
        <w:t>0.574 USD per word rate for translations,</w:t>
      </w:r>
      <w:r>
        <w:t xml:space="preserve"> and</w:t>
      </w:r>
      <w:r w:rsidRPr="00791247">
        <w:t xml:space="preserve"> 0.278 USD per word rate for revisions</w:t>
      </w:r>
      <w:r>
        <w:t>.</w:t>
      </w:r>
      <w:proofErr w:type="gramEnd"/>
    </w:p>
    <w:p w:rsidR="007E72BB" w:rsidRDefault="007E72BB">
      <w:pPr>
        <w:pStyle w:val="IPPArialTable"/>
        <w:rPr>
          <w:lang w:eastAsia="en-GB"/>
        </w:rPr>
      </w:pPr>
    </w:p>
    <w:p w:rsidR="00F84614" w:rsidRDefault="00F84614">
      <w:pPr>
        <w:jc w:val="left"/>
        <w:rPr>
          <w:rFonts w:ascii="Arial" w:eastAsia="Times" w:hAnsi="Arial"/>
          <w:b/>
          <w:sz w:val="18"/>
          <w:lang w:eastAsia="en-GB"/>
        </w:rPr>
      </w:pPr>
      <w:r>
        <w:rPr>
          <w:b/>
          <w:lang w:eastAsia="en-GB"/>
        </w:rPr>
        <w:br w:type="page"/>
      </w:r>
    </w:p>
    <w:p w:rsidR="004E7595" w:rsidRDefault="00F84614" w:rsidP="00F84614">
      <w:pPr>
        <w:pStyle w:val="IPPAnnexHead"/>
        <w:rPr>
          <w:lang w:eastAsia="en-GB"/>
        </w:rPr>
      </w:pPr>
      <w:r>
        <w:lastRenderedPageBreak/>
        <w:t>Annex 2 –</w:t>
      </w:r>
      <w:r>
        <w:rPr>
          <w:lang w:eastAsia="en-GB"/>
        </w:rPr>
        <w:t xml:space="preserve"> </w:t>
      </w:r>
      <w:r w:rsidR="004E7595">
        <w:rPr>
          <w:lang w:eastAsia="en-GB"/>
        </w:rPr>
        <w:t xml:space="preserve">Average </w:t>
      </w:r>
      <w:r w:rsidR="004E7595" w:rsidRPr="000931C1">
        <w:rPr>
          <w:lang w:eastAsia="en-GB"/>
        </w:rPr>
        <w:t xml:space="preserve">translations </w:t>
      </w:r>
      <w:r w:rsidR="004E7595">
        <w:rPr>
          <w:lang w:eastAsia="en-GB"/>
        </w:rPr>
        <w:t xml:space="preserve">costs </w:t>
      </w:r>
      <w:r w:rsidR="004E7595" w:rsidRPr="000931C1">
        <w:rPr>
          <w:lang w:eastAsia="en-GB"/>
        </w:rPr>
        <w:t>(</w:t>
      </w:r>
      <w:r w:rsidR="004E7595">
        <w:rPr>
          <w:lang w:eastAsia="en-GB"/>
        </w:rPr>
        <w:t xml:space="preserve">USD, </w:t>
      </w:r>
      <w:r w:rsidR="004E7595" w:rsidRPr="000931C1">
        <w:rPr>
          <w:lang w:eastAsia="en-GB"/>
        </w:rPr>
        <w:t>average year)</w:t>
      </w:r>
      <w:r w:rsidR="004E7595">
        <w:rPr>
          <w:lang w:eastAsia="en-GB"/>
        </w:rPr>
        <w:t xml:space="preserve"> within FAO, by document and with new costs**</w:t>
      </w:r>
    </w:p>
    <w:p w:rsidR="00F84614" w:rsidRPr="000931C1" w:rsidRDefault="00F84614" w:rsidP="004E7595">
      <w:pPr>
        <w:pStyle w:val="IPPArialTable"/>
        <w:rPr>
          <w:b/>
          <w:lang w:eastAsia="en-GB"/>
        </w:rPr>
      </w:pPr>
    </w:p>
    <w:tbl>
      <w:tblPr>
        <w:tblW w:w="9498" w:type="dxa"/>
        <w:tblInd w:w="-34" w:type="dxa"/>
        <w:tblLook w:val="04A0" w:firstRow="1" w:lastRow="0" w:firstColumn="1" w:lastColumn="0" w:noHBand="0" w:noVBand="1"/>
      </w:tblPr>
      <w:tblGrid>
        <w:gridCol w:w="654"/>
        <w:gridCol w:w="1444"/>
        <w:gridCol w:w="2369"/>
        <w:gridCol w:w="920"/>
        <w:gridCol w:w="1134"/>
        <w:gridCol w:w="1134"/>
        <w:gridCol w:w="1843"/>
      </w:tblGrid>
      <w:tr w:rsidR="004E7595" w:rsidRPr="00A95C0F" w:rsidTr="004E7595">
        <w:trPr>
          <w:trHeight w:val="315"/>
        </w:trPr>
        <w:tc>
          <w:tcPr>
            <w:tcW w:w="654" w:type="dxa"/>
            <w:vMerge w:val="restart"/>
            <w:tcBorders>
              <w:top w:val="single" w:sz="8" w:space="0" w:color="auto"/>
              <w:left w:val="single" w:sz="8" w:space="0" w:color="auto"/>
              <w:right w:val="single" w:sz="4" w:space="0" w:color="auto"/>
            </w:tcBorders>
            <w:shd w:val="clear" w:color="auto" w:fill="auto"/>
            <w:noWrap/>
            <w:vAlign w:val="center"/>
            <w:hideMark/>
          </w:tcPr>
          <w:p w:rsidR="004E7595" w:rsidRDefault="004E7595" w:rsidP="004E7595">
            <w:pPr>
              <w:pStyle w:val="IPPArialTable"/>
              <w:jc w:val="center"/>
              <w:rPr>
                <w:b/>
                <w:lang w:val="en-US"/>
              </w:rPr>
            </w:pPr>
            <w:r w:rsidRPr="00791247">
              <w:rPr>
                <w:b/>
                <w:lang w:val="en-US"/>
              </w:rPr>
              <w:t>#</w:t>
            </w:r>
          </w:p>
        </w:tc>
        <w:tc>
          <w:tcPr>
            <w:tcW w:w="1444" w:type="dxa"/>
            <w:vMerge w:val="restart"/>
            <w:tcBorders>
              <w:top w:val="single" w:sz="4" w:space="0" w:color="auto"/>
              <w:left w:val="single" w:sz="4" w:space="0" w:color="auto"/>
              <w:right w:val="single" w:sz="4" w:space="0" w:color="auto"/>
            </w:tcBorders>
            <w:shd w:val="clear" w:color="auto" w:fill="auto"/>
            <w:noWrap/>
            <w:vAlign w:val="center"/>
            <w:hideMark/>
          </w:tcPr>
          <w:p w:rsidR="004E7595" w:rsidRDefault="004E7595" w:rsidP="004E7595">
            <w:pPr>
              <w:pStyle w:val="IPPArialTable"/>
              <w:jc w:val="center"/>
              <w:rPr>
                <w:b/>
                <w:lang w:val="en-US"/>
              </w:rPr>
            </w:pPr>
            <w:r w:rsidRPr="00791247">
              <w:rPr>
                <w:b/>
                <w:lang w:val="en-US"/>
              </w:rPr>
              <w:t>Average cost</w:t>
            </w:r>
          </w:p>
        </w:tc>
        <w:tc>
          <w:tcPr>
            <w:tcW w:w="2369" w:type="dxa"/>
            <w:vMerge w:val="restart"/>
            <w:tcBorders>
              <w:top w:val="single" w:sz="4" w:space="0" w:color="auto"/>
              <w:left w:val="single" w:sz="4" w:space="0" w:color="auto"/>
              <w:right w:val="single" w:sz="4" w:space="0" w:color="auto"/>
            </w:tcBorders>
            <w:shd w:val="clear" w:color="auto" w:fill="auto"/>
            <w:noWrap/>
            <w:vAlign w:val="center"/>
            <w:hideMark/>
          </w:tcPr>
          <w:p w:rsidR="004E7595" w:rsidRDefault="004E7595" w:rsidP="004E7595">
            <w:pPr>
              <w:pStyle w:val="IPPArialTable"/>
              <w:jc w:val="center"/>
              <w:rPr>
                <w:b/>
                <w:lang w:val="en-US"/>
              </w:rPr>
            </w:pPr>
            <w:r w:rsidRPr="00791247">
              <w:rPr>
                <w:b/>
                <w:lang w:val="en-US"/>
              </w:rPr>
              <w:t>Document type / stage</w:t>
            </w: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95" w:rsidRDefault="004E7595" w:rsidP="004E7595">
            <w:pPr>
              <w:pStyle w:val="IPPArialTable"/>
              <w:jc w:val="center"/>
              <w:rPr>
                <w:b/>
                <w:lang w:val="en-US"/>
              </w:rPr>
            </w:pPr>
            <w:r>
              <w:rPr>
                <w:b/>
                <w:lang w:val="en-US"/>
              </w:rPr>
              <w:t>Current process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95" w:rsidRDefault="004E7595" w:rsidP="004E7595">
            <w:pPr>
              <w:pStyle w:val="IPPArialTable"/>
              <w:jc w:val="center"/>
              <w:rPr>
                <w:b/>
                <w:lang w:val="en-US"/>
              </w:rPr>
            </w:pPr>
            <w:r>
              <w:rPr>
                <w:b/>
                <w:lang w:val="en-US"/>
              </w:rPr>
              <w:t>New options</w:t>
            </w:r>
          </w:p>
        </w:tc>
      </w:tr>
      <w:tr w:rsidR="004E7595" w:rsidRPr="00A95C0F" w:rsidTr="004E7595">
        <w:trPr>
          <w:trHeight w:val="315"/>
        </w:trPr>
        <w:tc>
          <w:tcPr>
            <w:tcW w:w="654" w:type="dxa"/>
            <w:vMerge/>
            <w:tcBorders>
              <w:left w:val="single" w:sz="8"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p>
        </w:tc>
        <w:tc>
          <w:tcPr>
            <w:tcW w:w="1444" w:type="dxa"/>
            <w:vMerge/>
            <w:tcBorders>
              <w:left w:val="single" w:sz="4"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p>
        </w:tc>
        <w:tc>
          <w:tcPr>
            <w:tcW w:w="2369" w:type="dxa"/>
            <w:vMerge/>
            <w:tcBorders>
              <w:left w:val="single" w:sz="4"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r w:rsidRPr="00791247">
              <w:rPr>
                <w:b/>
                <w:lang w:val="en-US"/>
              </w:rPr>
              <w:t>Es, Fr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r w:rsidRPr="00791247">
              <w:rPr>
                <w:b/>
                <w:lang w:val="en-US"/>
              </w:rPr>
              <w:t>Ar, Ru, Zh</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r w:rsidRPr="00791247">
              <w:rPr>
                <w:b/>
                <w:lang w:val="en-US"/>
              </w:rPr>
              <w:t>Es, Fr, Zh</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95" w:rsidRPr="00791247" w:rsidRDefault="004E7595" w:rsidP="004E7595">
            <w:pPr>
              <w:pStyle w:val="IPPArialTable"/>
              <w:jc w:val="center"/>
              <w:rPr>
                <w:b/>
                <w:lang w:val="en-US"/>
              </w:rPr>
            </w:pPr>
            <w:r w:rsidRPr="00791247">
              <w:rPr>
                <w:b/>
                <w:lang w:val="en-US"/>
              </w:rPr>
              <w:t>Es, Fr, Ar, Ru, Zh</w:t>
            </w:r>
          </w:p>
        </w:tc>
      </w:tr>
      <w:tr w:rsidR="004E7595" w:rsidRPr="00A95C0F" w:rsidTr="004E7595">
        <w:trPr>
          <w:trHeight w:val="300"/>
        </w:trPr>
        <w:tc>
          <w:tcPr>
            <w:tcW w:w="654" w:type="dxa"/>
            <w:tcBorders>
              <w:top w:val="single" w:sz="4" w:space="0" w:color="auto"/>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5</w:t>
            </w:r>
          </w:p>
        </w:tc>
        <w:tc>
          <w:tcPr>
            <w:tcW w:w="1444" w:type="dxa"/>
            <w:tcBorders>
              <w:top w:val="single" w:sz="4" w:space="0" w:color="auto"/>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2300</w:t>
            </w:r>
          </w:p>
        </w:tc>
        <w:tc>
          <w:tcPr>
            <w:tcW w:w="2369" w:type="dxa"/>
            <w:tcBorders>
              <w:top w:val="single" w:sz="4" w:space="0" w:color="auto"/>
              <w:left w:val="single" w:sz="4" w:space="0" w:color="auto"/>
              <w:bottom w:val="nil"/>
              <w:right w:val="single" w:sz="8"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ISPMs for MC</w:t>
            </w:r>
          </w:p>
        </w:tc>
        <w:tc>
          <w:tcPr>
            <w:tcW w:w="920" w:type="dxa"/>
            <w:tcBorders>
              <w:top w:val="single" w:sz="4" w:space="0" w:color="auto"/>
              <w:left w:val="nil"/>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9A2A58">
              <w:rPr>
                <w:lang w:val="en-US"/>
              </w:rPr>
              <w:t>23</w:t>
            </w:r>
            <w:r>
              <w:rPr>
                <w:lang w:val="en-US"/>
              </w:rPr>
              <w:t xml:space="preserve"> </w:t>
            </w:r>
            <w:r w:rsidRPr="009A2A58">
              <w:rPr>
                <w:lang w:val="en-US"/>
              </w:rPr>
              <w:t>000</w:t>
            </w:r>
          </w:p>
        </w:tc>
        <w:tc>
          <w:tcPr>
            <w:tcW w:w="1134" w:type="dxa"/>
            <w:tcBorders>
              <w:top w:val="single" w:sz="4" w:space="0" w:color="auto"/>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single" w:sz="4" w:space="0" w:color="auto"/>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single" w:sz="4" w:space="0" w:color="auto"/>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57</w:t>
            </w:r>
            <w:r>
              <w:rPr>
                <w:color w:val="FF0000"/>
                <w:lang w:val="en-US"/>
              </w:rPr>
              <w:t xml:space="preserve"> </w:t>
            </w:r>
            <w:r w:rsidRPr="009A2A58">
              <w:rPr>
                <w:color w:val="FF0000"/>
                <w:lang w:val="en-US"/>
              </w:rPr>
              <w:t>500</w:t>
            </w:r>
          </w:p>
        </w:tc>
      </w:tr>
      <w:tr w:rsidR="004E7595" w:rsidRPr="00A95C0F" w:rsidTr="004E7595">
        <w:trPr>
          <w:trHeight w:val="300"/>
        </w:trPr>
        <w:tc>
          <w:tcPr>
            <w:tcW w:w="654"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5</w:t>
            </w:r>
          </w:p>
        </w:tc>
        <w:tc>
          <w:tcPr>
            <w:tcW w:w="1444"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1150/2300</w:t>
            </w:r>
          </w:p>
        </w:tc>
        <w:tc>
          <w:tcPr>
            <w:tcW w:w="2369" w:type="dxa"/>
            <w:tcBorders>
              <w:top w:val="nil"/>
              <w:left w:val="single" w:sz="4" w:space="0" w:color="auto"/>
              <w:bottom w:val="nil"/>
              <w:right w:val="single" w:sz="8"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ISPMs for SCCP</w:t>
            </w:r>
          </w:p>
        </w:tc>
        <w:tc>
          <w:tcPr>
            <w:tcW w:w="920" w:type="dxa"/>
            <w:tcBorders>
              <w:top w:val="nil"/>
              <w:left w:val="nil"/>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9A2A58">
              <w:rPr>
                <w:lang w:val="en-US"/>
              </w:rPr>
              <w:t>11</w:t>
            </w:r>
            <w:r>
              <w:rPr>
                <w:lang w:val="en-US"/>
              </w:rPr>
              <w:t xml:space="preserve"> </w:t>
            </w:r>
            <w:r w:rsidRPr="009A2A58">
              <w:rPr>
                <w:lang w:val="en-US"/>
              </w:rPr>
              <w:t>500</w:t>
            </w:r>
          </w:p>
        </w:tc>
        <w:tc>
          <w:tcPr>
            <w:tcW w:w="113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28</w:t>
            </w:r>
            <w:r>
              <w:rPr>
                <w:color w:val="FF0000"/>
                <w:lang w:val="en-US"/>
              </w:rPr>
              <w:t xml:space="preserve"> </w:t>
            </w:r>
            <w:r w:rsidRPr="009A2A58">
              <w:rPr>
                <w:color w:val="FF0000"/>
                <w:lang w:val="en-US"/>
              </w:rPr>
              <w:t>750</w:t>
            </w:r>
          </w:p>
        </w:tc>
      </w:tr>
      <w:tr w:rsidR="004E7595" w:rsidRPr="00A95C0F" w:rsidTr="004E7595">
        <w:trPr>
          <w:trHeight w:val="300"/>
        </w:trPr>
        <w:tc>
          <w:tcPr>
            <w:tcW w:w="654"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5</w:t>
            </w:r>
          </w:p>
        </w:tc>
        <w:tc>
          <w:tcPr>
            <w:tcW w:w="1444"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1150/2300</w:t>
            </w:r>
          </w:p>
        </w:tc>
        <w:tc>
          <w:tcPr>
            <w:tcW w:w="2369"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ISPMS for adoption</w:t>
            </w:r>
          </w:p>
        </w:tc>
        <w:tc>
          <w:tcPr>
            <w:tcW w:w="20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9A2A58">
              <w:rPr>
                <w:lang w:val="en-US"/>
              </w:rPr>
              <w:t>46</w:t>
            </w:r>
            <w:r>
              <w:rPr>
                <w:lang w:val="en-US"/>
              </w:rPr>
              <w:t xml:space="preserve"> </w:t>
            </w:r>
            <w:r w:rsidRPr="009A2A58">
              <w:rPr>
                <w:lang w:val="en-US"/>
              </w:rPr>
              <w:t>000</w:t>
            </w:r>
          </w:p>
        </w:tc>
        <w:tc>
          <w:tcPr>
            <w:tcW w:w="1134"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nil"/>
              <w:left w:val="single" w:sz="4" w:space="0" w:color="auto"/>
              <w:bottom w:val="nil"/>
              <w:right w:val="single" w:sz="4" w:space="0" w:color="auto"/>
            </w:tcBorders>
            <w:shd w:val="clear" w:color="auto" w:fill="DBE5F1" w:themeFill="accent1"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28</w:t>
            </w:r>
            <w:r>
              <w:rPr>
                <w:color w:val="FF0000"/>
                <w:lang w:val="en-US"/>
              </w:rPr>
              <w:t xml:space="preserve"> </w:t>
            </w:r>
            <w:r w:rsidRPr="009A2A58">
              <w:rPr>
                <w:color w:val="FF0000"/>
                <w:lang w:val="en-US"/>
              </w:rPr>
              <w:t>750</w:t>
            </w:r>
          </w:p>
        </w:tc>
      </w:tr>
      <w:tr w:rsidR="004E7595" w:rsidRPr="00A95C0F" w:rsidTr="004E7595">
        <w:trPr>
          <w:trHeight w:val="315"/>
        </w:trPr>
        <w:tc>
          <w:tcPr>
            <w:tcW w:w="65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5</w:t>
            </w:r>
          </w:p>
        </w:tc>
        <w:tc>
          <w:tcPr>
            <w:tcW w:w="144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color w:val="FF0000"/>
                <w:lang w:val="en-US"/>
              </w:rPr>
            </w:pPr>
            <w:r w:rsidRPr="00A95C0F">
              <w:rPr>
                <w:color w:val="FF0000"/>
                <w:lang w:val="en-US"/>
              </w:rPr>
              <w:t>370</w:t>
            </w:r>
          </w:p>
        </w:tc>
        <w:tc>
          <w:tcPr>
            <w:tcW w:w="2369"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color w:val="FF0000"/>
                <w:lang w:val="en-US"/>
              </w:rPr>
            </w:pPr>
            <w:r w:rsidRPr="00A95C0F">
              <w:rPr>
                <w:color w:val="FF0000"/>
                <w:lang w:val="en-US"/>
              </w:rPr>
              <w:t>ISPMs for LRG</w:t>
            </w:r>
          </w:p>
        </w:tc>
        <w:tc>
          <w:tcPr>
            <w:tcW w:w="92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A95C0F">
              <w:rPr>
                <w:lang w:val="en-US"/>
              </w:rPr>
              <w:t>1</w:t>
            </w:r>
            <w:r>
              <w:rPr>
                <w:lang w:val="en-US"/>
              </w:rPr>
              <w:t xml:space="preserve"> </w:t>
            </w:r>
            <w:r w:rsidRPr="00A95C0F">
              <w:rPr>
                <w:lang w:val="en-US"/>
              </w:rPr>
              <w:t>850</w:t>
            </w:r>
          </w:p>
        </w:tc>
        <w:tc>
          <w:tcPr>
            <w:tcW w:w="1843"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4E7595" w:rsidRDefault="004E7595" w:rsidP="004E7595">
            <w:pPr>
              <w:pStyle w:val="IPPArialTable"/>
              <w:jc w:val="center"/>
              <w:rPr>
                <w:lang w:val="en-US"/>
              </w:rPr>
            </w:pPr>
            <w:r w:rsidRPr="00A95C0F">
              <w:rPr>
                <w:lang w:val="en-US"/>
              </w:rPr>
              <w:t>/</w:t>
            </w:r>
          </w:p>
        </w:tc>
      </w:tr>
      <w:tr w:rsidR="004E7595" w:rsidRPr="00A95C0F" w:rsidTr="004E7595">
        <w:trPr>
          <w:trHeight w:val="315"/>
        </w:trPr>
        <w:tc>
          <w:tcPr>
            <w:tcW w:w="4467" w:type="dxa"/>
            <w:gridSpan w:val="3"/>
            <w:tcBorders>
              <w:top w:val="single" w:sz="4" w:space="0" w:color="auto"/>
              <w:left w:val="single" w:sz="8" w:space="0" w:color="auto"/>
              <w:bottom w:val="single" w:sz="4" w:space="0" w:color="auto"/>
              <w:right w:val="single" w:sz="8" w:space="0" w:color="000000"/>
            </w:tcBorders>
            <w:shd w:val="clear" w:color="auto" w:fill="DBE5F1" w:themeFill="accent1" w:themeFillTint="33"/>
            <w:noWrap/>
            <w:vAlign w:val="bottom"/>
            <w:hideMark/>
          </w:tcPr>
          <w:p w:rsidR="004E7595" w:rsidRDefault="004E7595" w:rsidP="004E7595">
            <w:pPr>
              <w:pStyle w:val="IPPArialTable"/>
              <w:jc w:val="right"/>
              <w:rPr>
                <w:b/>
                <w:lang w:val="en-US"/>
              </w:rPr>
            </w:pPr>
            <w:r w:rsidRPr="00791247">
              <w:rPr>
                <w:b/>
                <w:lang w:val="en-US"/>
              </w:rPr>
              <w:t>SUBTOTAL (ISPMs, Year X)</w:t>
            </w:r>
          </w:p>
        </w:tc>
        <w:tc>
          <w:tcPr>
            <w:tcW w:w="2054" w:type="dxa"/>
            <w:gridSpan w:val="2"/>
            <w:tcBorders>
              <w:top w:val="single" w:sz="4" w:space="0" w:color="auto"/>
              <w:left w:val="nil"/>
              <w:bottom w:val="single" w:sz="4" w:space="0" w:color="auto"/>
              <w:right w:val="single" w:sz="8" w:space="0" w:color="000000"/>
            </w:tcBorders>
            <w:shd w:val="clear" w:color="auto" w:fill="DBE5F1" w:themeFill="accent1" w:themeFillTint="33"/>
            <w:noWrap/>
            <w:vAlign w:val="bottom"/>
            <w:hideMark/>
          </w:tcPr>
          <w:p w:rsidR="004E7595" w:rsidRPr="00344E74" w:rsidRDefault="004E7595" w:rsidP="004E7595">
            <w:pPr>
              <w:pStyle w:val="IPPArialTable"/>
              <w:jc w:val="center"/>
              <w:rPr>
                <w:b/>
                <w:lang w:val="en-US"/>
              </w:rPr>
            </w:pPr>
            <w:r w:rsidRPr="00344E74">
              <w:rPr>
                <w:rFonts w:cs="Arial"/>
                <w:b/>
                <w:lang w:eastAsia="en-GB"/>
              </w:rPr>
              <w:t xml:space="preserve">$ </w:t>
            </w:r>
            <w:r w:rsidRPr="00344E74">
              <w:rPr>
                <w:b/>
                <w:lang w:val="en-US"/>
              </w:rPr>
              <w:t>80 500</w:t>
            </w:r>
          </w:p>
        </w:tc>
        <w:tc>
          <w:tcPr>
            <w:tcW w:w="2977" w:type="dxa"/>
            <w:gridSpan w:val="2"/>
            <w:tcBorders>
              <w:top w:val="single" w:sz="4" w:space="0" w:color="auto"/>
              <w:left w:val="nil"/>
              <w:bottom w:val="single" w:sz="4" w:space="0" w:color="auto"/>
              <w:right w:val="single" w:sz="8" w:space="0" w:color="000000"/>
            </w:tcBorders>
            <w:shd w:val="clear" w:color="auto" w:fill="DBE5F1" w:themeFill="accent1" w:themeFillTint="33"/>
            <w:noWrap/>
            <w:vAlign w:val="bottom"/>
            <w:hideMark/>
          </w:tcPr>
          <w:p w:rsidR="004E7595" w:rsidRPr="00344E74" w:rsidRDefault="004E7595" w:rsidP="004E7595">
            <w:pPr>
              <w:pStyle w:val="IPPArialTable"/>
              <w:jc w:val="center"/>
              <w:rPr>
                <w:b/>
                <w:lang w:val="en-US"/>
              </w:rPr>
            </w:pPr>
            <w:r w:rsidRPr="00344E74">
              <w:rPr>
                <w:rFonts w:cs="Arial"/>
                <w:b/>
                <w:lang w:eastAsia="en-GB"/>
              </w:rPr>
              <w:t xml:space="preserve">$ </w:t>
            </w:r>
            <w:r w:rsidRPr="00344E74">
              <w:rPr>
                <w:b/>
                <w:lang w:val="en-US"/>
              </w:rPr>
              <w:t>116 850</w:t>
            </w:r>
          </w:p>
        </w:tc>
      </w:tr>
      <w:tr w:rsidR="004E7595" w:rsidRPr="00A95C0F" w:rsidTr="004E7595">
        <w:trPr>
          <w:trHeight w:val="300"/>
        </w:trPr>
        <w:tc>
          <w:tcPr>
            <w:tcW w:w="654" w:type="dxa"/>
            <w:tcBorders>
              <w:top w:val="single" w:sz="4" w:space="0" w:color="auto"/>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6</w:t>
            </w:r>
          </w:p>
        </w:tc>
        <w:tc>
          <w:tcPr>
            <w:tcW w:w="1444" w:type="dxa"/>
            <w:tcBorders>
              <w:top w:val="single" w:sz="4" w:space="0" w:color="auto"/>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1150</w:t>
            </w:r>
          </w:p>
        </w:tc>
        <w:tc>
          <w:tcPr>
            <w:tcW w:w="2369" w:type="dxa"/>
            <w:tcBorders>
              <w:top w:val="single" w:sz="4" w:space="0" w:color="auto"/>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PTs for MC</w:t>
            </w:r>
          </w:p>
        </w:tc>
        <w:tc>
          <w:tcPr>
            <w:tcW w:w="92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9A2A58">
              <w:rPr>
                <w:lang w:val="en-US"/>
              </w:rPr>
              <w:t>3</w:t>
            </w:r>
            <w:r>
              <w:rPr>
                <w:lang w:val="en-US"/>
              </w:rPr>
              <w:t xml:space="preserve"> </w:t>
            </w:r>
            <w:r w:rsidRPr="009A2A58">
              <w:rPr>
                <w:lang w:val="en-US"/>
              </w:rPr>
              <w:t>600</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9A2A58">
              <w:rPr>
                <w:lang w:val="en-US"/>
              </w:rPr>
              <w:t>/</w:t>
            </w:r>
          </w:p>
        </w:tc>
        <w:tc>
          <w:tcPr>
            <w:tcW w:w="1134" w:type="dxa"/>
            <w:tcBorders>
              <w:top w:val="single" w:sz="4" w:space="0" w:color="auto"/>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single" w:sz="4" w:space="0" w:color="auto"/>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9</w:t>
            </w:r>
            <w:r>
              <w:rPr>
                <w:color w:val="FF0000"/>
                <w:lang w:val="en-US"/>
              </w:rPr>
              <w:t xml:space="preserve"> </w:t>
            </w:r>
            <w:r w:rsidRPr="009A2A58">
              <w:rPr>
                <w:color w:val="FF0000"/>
                <w:lang w:val="en-US"/>
              </w:rPr>
              <w:t>000</w:t>
            </w:r>
          </w:p>
        </w:tc>
      </w:tr>
      <w:tr w:rsidR="004E7595" w:rsidRPr="00A95C0F" w:rsidTr="004E7595">
        <w:trPr>
          <w:trHeight w:val="300"/>
        </w:trPr>
        <w:tc>
          <w:tcPr>
            <w:tcW w:w="654" w:type="dxa"/>
            <w:tcBorders>
              <w:top w:val="nil"/>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6</w:t>
            </w:r>
          </w:p>
        </w:tc>
        <w:tc>
          <w:tcPr>
            <w:tcW w:w="1444" w:type="dxa"/>
            <w:tcBorders>
              <w:top w:val="nil"/>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150</w:t>
            </w:r>
          </w:p>
        </w:tc>
        <w:tc>
          <w:tcPr>
            <w:tcW w:w="2369" w:type="dxa"/>
            <w:tcBorders>
              <w:top w:val="nil"/>
              <w:left w:val="single" w:sz="4" w:space="0" w:color="auto"/>
              <w:bottom w:val="nil"/>
              <w:right w:val="single" w:sz="8"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PTs for adoption</w:t>
            </w:r>
          </w:p>
        </w:tc>
        <w:tc>
          <w:tcPr>
            <w:tcW w:w="2054" w:type="dxa"/>
            <w:gridSpan w:val="2"/>
            <w:tcBorders>
              <w:top w:val="nil"/>
              <w:left w:val="nil"/>
              <w:bottom w:val="nil"/>
              <w:right w:val="nil"/>
            </w:tcBorders>
            <w:shd w:val="clear" w:color="auto" w:fill="EAF1DD" w:themeFill="accent3"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9A2A58">
              <w:rPr>
                <w:lang w:val="en-US"/>
              </w:rPr>
              <w:t>7</w:t>
            </w:r>
            <w:r>
              <w:rPr>
                <w:lang w:val="en-US"/>
              </w:rPr>
              <w:t xml:space="preserve"> </w:t>
            </w:r>
            <w:r w:rsidRPr="009A2A58">
              <w:rPr>
                <w:lang w:val="en-US"/>
              </w:rPr>
              <w:t>200</w:t>
            </w:r>
          </w:p>
        </w:tc>
        <w:tc>
          <w:tcPr>
            <w:tcW w:w="1134" w:type="dxa"/>
            <w:tcBorders>
              <w:top w:val="nil"/>
              <w:left w:val="single" w:sz="8"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nil"/>
              <w:left w:val="single" w:sz="4" w:space="0" w:color="auto"/>
              <w:bottom w:val="nil"/>
              <w:right w:val="single" w:sz="4" w:space="0" w:color="auto"/>
            </w:tcBorders>
            <w:shd w:val="clear" w:color="auto" w:fill="EAF1DD" w:themeFill="accent3"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4</w:t>
            </w:r>
            <w:r>
              <w:rPr>
                <w:color w:val="FF0000"/>
                <w:lang w:val="en-US"/>
              </w:rPr>
              <w:t xml:space="preserve"> </w:t>
            </w:r>
            <w:r w:rsidRPr="009A2A58">
              <w:rPr>
                <w:color w:val="FF0000"/>
                <w:lang w:val="en-US"/>
              </w:rPr>
              <w:t>500</w:t>
            </w:r>
          </w:p>
        </w:tc>
      </w:tr>
      <w:tr w:rsidR="004E7595" w:rsidRPr="00A95C0F" w:rsidTr="004E7595">
        <w:trPr>
          <w:trHeight w:val="315"/>
        </w:trPr>
        <w:tc>
          <w:tcPr>
            <w:tcW w:w="654"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5</w:t>
            </w:r>
          </w:p>
        </w:tc>
        <w:tc>
          <w:tcPr>
            <w:tcW w:w="1444"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color w:val="FF0000"/>
                <w:lang w:val="en-US"/>
              </w:rPr>
            </w:pPr>
            <w:r w:rsidRPr="00A95C0F">
              <w:rPr>
                <w:color w:val="FF0000"/>
                <w:lang w:val="en-US"/>
              </w:rPr>
              <w:t>50</w:t>
            </w:r>
          </w:p>
        </w:tc>
        <w:tc>
          <w:tcPr>
            <w:tcW w:w="2369"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color w:val="FF0000"/>
                <w:lang w:val="en-US"/>
              </w:rPr>
            </w:pPr>
            <w:r w:rsidRPr="00A95C0F">
              <w:rPr>
                <w:color w:val="FF0000"/>
                <w:lang w:val="en-US"/>
              </w:rPr>
              <w:t>PTs for LRG</w:t>
            </w:r>
          </w:p>
        </w:tc>
        <w:tc>
          <w:tcPr>
            <w:tcW w:w="92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A95C0F">
              <w:rPr>
                <w:lang w:val="en-US"/>
              </w:rPr>
              <w:t>250</w:t>
            </w:r>
          </w:p>
        </w:tc>
        <w:tc>
          <w:tcPr>
            <w:tcW w:w="1843"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rsidR="004E7595" w:rsidRDefault="004E7595" w:rsidP="004E7595">
            <w:pPr>
              <w:pStyle w:val="IPPArialTable"/>
              <w:jc w:val="center"/>
              <w:rPr>
                <w:lang w:val="en-US"/>
              </w:rPr>
            </w:pPr>
            <w:r w:rsidRPr="00A95C0F">
              <w:rPr>
                <w:lang w:val="en-US"/>
              </w:rPr>
              <w:t>/</w:t>
            </w:r>
          </w:p>
        </w:tc>
      </w:tr>
      <w:tr w:rsidR="004E7595" w:rsidRPr="00A95C0F" w:rsidTr="004E7595">
        <w:trPr>
          <w:trHeight w:val="315"/>
        </w:trPr>
        <w:tc>
          <w:tcPr>
            <w:tcW w:w="4467" w:type="dxa"/>
            <w:gridSpan w:val="3"/>
            <w:tcBorders>
              <w:top w:val="single" w:sz="4" w:space="0" w:color="auto"/>
              <w:left w:val="single" w:sz="8" w:space="0" w:color="auto"/>
              <w:bottom w:val="single" w:sz="8" w:space="0" w:color="auto"/>
              <w:right w:val="single" w:sz="8" w:space="0" w:color="000000"/>
            </w:tcBorders>
            <w:shd w:val="clear" w:color="auto" w:fill="EAF1DD" w:themeFill="accent3" w:themeFillTint="33"/>
            <w:noWrap/>
            <w:vAlign w:val="bottom"/>
            <w:hideMark/>
          </w:tcPr>
          <w:p w:rsidR="004E7595" w:rsidRDefault="004E7595" w:rsidP="004E7595">
            <w:pPr>
              <w:pStyle w:val="IPPArialTable"/>
              <w:jc w:val="right"/>
              <w:rPr>
                <w:b/>
                <w:lang w:val="en-US"/>
              </w:rPr>
            </w:pPr>
            <w:r w:rsidRPr="00791247">
              <w:rPr>
                <w:b/>
                <w:lang w:val="en-US"/>
              </w:rPr>
              <w:t>SUBTOTAL (PTs, Year X)</w:t>
            </w:r>
          </w:p>
        </w:tc>
        <w:tc>
          <w:tcPr>
            <w:tcW w:w="2054" w:type="dxa"/>
            <w:gridSpan w:val="2"/>
            <w:tcBorders>
              <w:top w:val="single" w:sz="4" w:space="0" w:color="auto"/>
              <w:left w:val="nil"/>
              <w:bottom w:val="single" w:sz="8" w:space="0" w:color="auto"/>
              <w:right w:val="single" w:sz="8" w:space="0" w:color="000000"/>
            </w:tcBorders>
            <w:shd w:val="clear" w:color="auto" w:fill="EAF1DD" w:themeFill="accent3" w:themeFillTint="33"/>
            <w:noWrap/>
            <w:vAlign w:val="bottom"/>
            <w:hideMark/>
          </w:tcPr>
          <w:p w:rsidR="004E7595" w:rsidRDefault="004E7595" w:rsidP="004E7595">
            <w:pPr>
              <w:pStyle w:val="IPPArialTable"/>
              <w:jc w:val="center"/>
              <w:rPr>
                <w:b/>
                <w:lang w:val="en-US"/>
              </w:rPr>
            </w:pPr>
            <w:r w:rsidRPr="00344E74">
              <w:rPr>
                <w:rFonts w:cs="Arial"/>
                <w:b/>
                <w:lang w:eastAsia="en-GB"/>
              </w:rPr>
              <w:t xml:space="preserve">$ </w:t>
            </w:r>
            <w:r w:rsidRPr="00791247">
              <w:rPr>
                <w:b/>
                <w:lang w:val="en-US"/>
              </w:rPr>
              <w:t>10</w:t>
            </w:r>
            <w:r>
              <w:rPr>
                <w:b/>
                <w:lang w:val="en-US"/>
              </w:rPr>
              <w:t xml:space="preserve"> </w:t>
            </w:r>
            <w:r w:rsidRPr="00791247">
              <w:rPr>
                <w:b/>
                <w:lang w:val="en-US"/>
              </w:rPr>
              <w:t>800</w:t>
            </w:r>
          </w:p>
        </w:tc>
        <w:tc>
          <w:tcPr>
            <w:tcW w:w="2977" w:type="dxa"/>
            <w:gridSpan w:val="2"/>
            <w:tcBorders>
              <w:top w:val="single" w:sz="4" w:space="0" w:color="auto"/>
              <w:left w:val="nil"/>
              <w:bottom w:val="single" w:sz="8" w:space="0" w:color="auto"/>
              <w:right w:val="single" w:sz="8" w:space="0" w:color="000000"/>
            </w:tcBorders>
            <w:shd w:val="clear" w:color="auto" w:fill="EAF1DD" w:themeFill="accent3" w:themeFillTint="33"/>
            <w:noWrap/>
            <w:vAlign w:val="bottom"/>
            <w:hideMark/>
          </w:tcPr>
          <w:p w:rsidR="004E7595" w:rsidRDefault="004E7595" w:rsidP="004E7595">
            <w:pPr>
              <w:pStyle w:val="IPPArialTable"/>
              <w:jc w:val="center"/>
              <w:rPr>
                <w:b/>
                <w:lang w:val="en-US"/>
              </w:rPr>
            </w:pPr>
            <w:r w:rsidRPr="00344E74">
              <w:rPr>
                <w:rFonts w:cs="Arial"/>
                <w:b/>
                <w:lang w:eastAsia="en-GB"/>
              </w:rPr>
              <w:t>$</w:t>
            </w:r>
            <w:r>
              <w:rPr>
                <w:rFonts w:cs="Arial"/>
                <w:lang w:eastAsia="en-GB"/>
              </w:rPr>
              <w:t xml:space="preserve"> </w:t>
            </w:r>
            <w:r w:rsidRPr="00791247">
              <w:rPr>
                <w:b/>
                <w:lang w:val="en-US"/>
              </w:rPr>
              <w:t>13</w:t>
            </w:r>
            <w:r>
              <w:rPr>
                <w:b/>
                <w:lang w:val="en-US"/>
              </w:rPr>
              <w:t xml:space="preserve"> </w:t>
            </w:r>
            <w:r w:rsidRPr="00791247">
              <w:rPr>
                <w:b/>
                <w:lang w:val="en-US"/>
              </w:rPr>
              <w:t>750</w:t>
            </w:r>
          </w:p>
        </w:tc>
      </w:tr>
      <w:tr w:rsidR="004E7595" w:rsidRPr="00A95C0F" w:rsidTr="004E7595">
        <w:trPr>
          <w:trHeight w:val="300"/>
        </w:trPr>
        <w:tc>
          <w:tcPr>
            <w:tcW w:w="654" w:type="dxa"/>
            <w:tcBorders>
              <w:top w:val="nil"/>
              <w:left w:val="single" w:sz="8"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4</w:t>
            </w:r>
          </w:p>
        </w:tc>
        <w:tc>
          <w:tcPr>
            <w:tcW w:w="1444" w:type="dxa"/>
            <w:tcBorders>
              <w:top w:val="single" w:sz="4" w:space="0" w:color="auto"/>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sidRPr="00A95C0F">
              <w:rPr>
                <w:color w:val="FF0000"/>
                <w:lang w:val="en-US"/>
              </w:rPr>
              <w:t>4600</w:t>
            </w:r>
          </w:p>
        </w:tc>
        <w:tc>
          <w:tcPr>
            <w:tcW w:w="2369" w:type="dxa"/>
            <w:tcBorders>
              <w:top w:val="nil"/>
              <w:left w:val="single" w:sz="4" w:space="0" w:color="auto"/>
              <w:bottom w:val="nil"/>
              <w:right w:val="single" w:sz="8"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sidRPr="00A95C0F">
              <w:rPr>
                <w:color w:val="FF0000"/>
                <w:lang w:val="en-US"/>
              </w:rPr>
              <w:t>DPs for MC</w:t>
            </w:r>
          </w:p>
        </w:tc>
        <w:tc>
          <w:tcPr>
            <w:tcW w:w="920" w:type="dxa"/>
            <w:tcBorders>
              <w:top w:val="nil"/>
              <w:left w:val="nil"/>
              <w:bottom w:val="single" w:sz="4" w:space="0" w:color="auto"/>
              <w:right w:val="single" w:sz="4"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36</w:t>
            </w:r>
            <w:r>
              <w:rPr>
                <w:color w:val="FF0000"/>
                <w:lang w:val="en-US"/>
              </w:rPr>
              <w:t xml:space="preserve"> </w:t>
            </w:r>
            <w:r w:rsidRPr="009A2A58">
              <w:rPr>
                <w:color w:val="FF0000"/>
                <w:lang w:val="en-US"/>
              </w:rPr>
              <w:t>800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single" w:sz="4" w:space="0" w:color="auto"/>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92</w:t>
            </w:r>
            <w:r>
              <w:rPr>
                <w:color w:val="FF0000"/>
                <w:lang w:val="en-US"/>
              </w:rPr>
              <w:t xml:space="preserve"> </w:t>
            </w:r>
            <w:r w:rsidRPr="009A2A58">
              <w:rPr>
                <w:color w:val="FF0000"/>
                <w:lang w:val="en-US"/>
              </w:rPr>
              <w:t>000</w:t>
            </w:r>
          </w:p>
        </w:tc>
      </w:tr>
      <w:tr w:rsidR="004E7595" w:rsidRPr="00A95C0F" w:rsidTr="004E7595">
        <w:trPr>
          <w:trHeight w:val="300"/>
        </w:trPr>
        <w:tc>
          <w:tcPr>
            <w:tcW w:w="654" w:type="dxa"/>
            <w:tcBorders>
              <w:top w:val="nil"/>
              <w:left w:val="single" w:sz="8"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4</w:t>
            </w:r>
          </w:p>
        </w:tc>
        <w:tc>
          <w:tcPr>
            <w:tcW w:w="1444" w:type="dxa"/>
            <w:tcBorders>
              <w:top w:val="nil"/>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2300/4600</w:t>
            </w:r>
          </w:p>
        </w:tc>
        <w:tc>
          <w:tcPr>
            <w:tcW w:w="2369" w:type="dxa"/>
            <w:tcBorders>
              <w:top w:val="nil"/>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DPs for adoption</w:t>
            </w:r>
          </w:p>
        </w:tc>
        <w:tc>
          <w:tcPr>
            <w:tcW w:w="2054"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9A2A58">
              <w:rPr>
                <w:lang w:val="en-US"/>
              </w:rPr>
              <w:t>92</w:t>
            </w:r>
            <w:r>
              <w:rPr>
                <w:lang w:val="en-US"/>
              </w:rPr>
              <w:t xml:space="preserve"> </w:t>
            </w:r>
            <w:r w:rsidRPr="009A2A58">
              <w:rPr>
                <w:lang w:val="en-US"/>
              </w:rPr>
              <w:t>000</w:t>
            </w:r>
          </w:p>
        </w:tc>
        <w:tc>
          <w:tcPr>
            <w:tcW w:w="1134" w:type="dxa"/>
            <w:tcBorders>
              <w:top w:val="nil"/>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nil"/>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Pr>
                <w:rFonts w:cs="Arial"/>
                <w:color w:val="FF0000"/>
                <w:lang w:val="en-US"/>
              </w:rPr>
              <w:t>$</w:t>
            </w:r>
            <w:r>
              <w:rPr>
                <w:color w:val="FF0000"/>
                <w:lang w:val="en-US"/>
              </w:rPr>
              <w:t xml:space="preserve"> </w:t>
            </w:r>
            <w:r w:rsidRPr="009A2A58">
              <w:rPr>
                <w:color w:val="FF0000"/>
                <w:lang w:val="en-US"/>
              </w:rPr>
              <w:t>46</w:t>
            </w:r>
            <w:r>
              <w:rPr>
                <w:color w:val="FF0000"/>
                <w:lang w:val="en-US"/>
              </w:rPr>
              <w:t xml:space="preserve"> </w:t>
            </w:r>
            <w:r w:rsidRPr="009A2A58">
              <w:rPr>
                <w:color w:val="FF0000"/>
                <w:lang w:val="en-US"/>
              </w:rPr>
              <w:t>000</w:t>
            </w:r>
          </w:p>
        </w:tc>
      </w:tr>
      <w:tr w:rsidR="004E7595" w:rsidRPr="00A95C0F" w:rsidTr="004E7595">
        <w:trPr>
          <w:trHeight w:val="315"/>
        </w:trPr>
        <w:tc>
          <w:tcPr>
            <w:tcW w:w="654" w:type="dxa"/>
            <w:tcBorders>
              <w:top w:val="nil"/>
              <w:left w:val="single" w:sz="8"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3</w:t>
            </w:r>
          </w:p>
        </w:tc>
        <w:tc>
          <w:tcPr>
            <w:tcW w:w="1444"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sidRPr="00A95C0F">
              <w:rPr>
                <w:color w:val="FF0000"/>
                <w:lang w:val="en-US"/>
              </w:rPr>
              <w:t>750</w:t>
            </w:r>
          </w:p>
        </w:tc>
        <w:tc>
          <w:tcPr>
            <w:tcW w:w="2369" w:type="dxa"/>
            <w:tcBorders>
              <w:top w:val="nil"/>
              <w:left w:val="single" w:sz="4" w:space="0" w:color="auto"/>
              <w:bottom w:val="nil"/>
              <w:right w:val="single" w:sz="8" w:space="0" w:color="auto"/>
            </w:tcBorders>
            <w:shd w:val="clear" w:color="auto" w:fill="FDE9D9" w:themeFill="accent6" w:themeFillTint="33"/>
            <w:noWrap/>
            <w:vAlign w:val="bottom"/>
            <w:hideMark/>
          </w:tcPr>
          <w:p w:rsidR="004E7595" w:rsidRDefault="004E7595" w:rsidP="004E7595">
            <w:pPr>
              <w:pStyle w:val="IPPArialTable"/>
              <w:jc w:val="center"/>
              <w:rPr>
                <w:color w:val="FF0000"/>
                <w:lang w:val="en-US"/>
              </w:rPr>
            </w:pPr>
            <w:r w:rsidRPr="00A95C0F">
              <w:rPr>
                <w:color w:val="FF0000"/>
                <w:lang w:val="en-US"/>
              </w:rPr>
              <w:t>DPs for LRG</w:t>
            </w:r>
          </w:p>
        </w:tc>
        <w:tc>
          <w:tcPr>
            <w:tcW w:w="920" w:type="dxa"/>
            <w:tcBorders>
              <w:top w:val="single" w:sz="4" w:space="0" w:color="auto"/>
              <w:left w:val="nil"/>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nil"/>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Pr>
                <w:rFonts w:cs="Arial"/>
                <w:lang w:eastAsia="en-GB"/>
              </w:rPr>
              <w:t xml:space="preserve">$ </w:t>
            </w:r>
            <w:r w:rsidRPr="00A95C0F">
              <w:rPr>
                <w:lang w:val="en-US"/>
              </w:rPr>
              <w:t>2</w:t>
            </w:r>
            <w:r>
              <w:rPr>
                <w:lang w:val="en-US"/>
              </w:rPr>
              <w:t xml:space="preserve"> </w:t>
            </w:r>
            <w:r w:rsidRPr="00A95C0F">
              <w:rPr>
                <w:lang w:val="en-US"/>
              </w:rPr>
              <w:t>250</w:t>
            </w:r>
          </w:p>
        </w:tc>
        <w:tc>
          <w:tcPr>
            <w:tcW w:w="1843"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rsidR="004E7595" w:rsidRDefault="004E7595" w:rsidP="004E7595">
            <w:pPr>
              <w:pStyle w:val="IPPArialTable"/>
              <w:jc w:val="center"/>
              <w:rPr>
                <w:lang w:val="en-US"/>
              </w:rPr>
            </w:pPr>
            <w:r w:rsidRPr="00A95C0F">
              <w:rPr>
                <w:lang w:val="en-US"/>
              </w:rPr>
              <w:t>/</w:t>
            </w:r>
          </w:p>
        </w:tc>
      </w:tr>
      <w:tr w:rsidR="004E7595" w:rsidRPr="00A95C0F" w:rsidTr="004E7595">
        <w:trPr>
          <w:trHeight w:val="315"/>
        </w:trPr>
        <w:tc>
          <w:tcPr>
            <w:tcW w:w="4467" w:type="dxa"/>
            <w:gridSpan w:val="3"/>
            <w:tcBorders>
              <w:top w:val="single" w:sz="8" w:space="0" w:color="auto"/>
              <w:left w:val="single" w:sz="8" w:space="0" w:color="auto"/>
              <w:bottom w:val="single" w:sz="8" w:space="0" w:color="auto"/>
              <w:right w:val="single" w:sz="8" w:space="0" w:color="000000"/>
            </w:tcBorders>
            <w:shd w:val="clear" w:color="auto" w:fill="FDE9D9" w:themeFill="accent6" w:themeFillTint="33"/>
            <w:noWrap/>
            <w:vAlign w:val="bottom"/>
            <w:hideMark/>
          </w:tcPr>
          <w:p w:rsidR="004E7595" w:rsidRDefault="004E7595" w:rsidP="004E7595">
            <w:pPr>
              <w:pStyle w:val="IPPArialTable"/>
              <w:jc w:val="right"/>
              <w:rPr>
                <w:b/>
                <w:lang w:val="en-US"/>
              </w:rPr>
            </w:pPr>
            <w:r w:rsidRPr="00791247">
              <w:rPr>
                <w:b/>
                <w:lang w:val="en-US"/>
              </w:rPr>
              <w:t>SUBTOTAL (DPs, Year X)</w:t>
            </w:r>
          </w:p>
        </w:tc>
        <w:tc>
          <w:tcPr>
            <w:tcW w:w="2054" w:type="dxa"/>
            <w:gridSpan w:val="2"/>
            <w:tcBorders>
              <w:top w:val="single" w:sz="8" w:space="0" w:color="auto"/>
              <w:left w:val="nil"/>
              <w:bottom w:val="single" w:sz="8" w:space="0" w:color="auto"/>
              <w:right w:val="single" w:sz="8" w:space="0" w:color="000000"/>
            </w:tcBorders>
            <w:shd w:val="clear" w:color="auto" w:fill="FDE9D9" w:themeFill="accent6" w:themeFillTint="33"/>
            <w:noWrap/>
            <w:vAlign w:val="bottom"/>
            <w:hideMark/>
          </w:tcPr>
          <w:p w:rsidR="004E7595" w:rsidRDefault="004E7595" w:rsidP="004E7595">
            <w:pPr>
              <w:pStyle w:val="IPPArialTable"/>
              <w:jc w:val="center"/>
              <w:rPr>
                <w:b/>
                <w:lang w:val="en-US"/>
              </w:rPr>
            </w:pPr>
            <w:r w:rsidRPr="00344E74">
              <w:rPr>
                <w:rFonts w:cs="Arial"/>
                <w:b/>
                <w:lang w:eastAsia="en-GB"/>
              </w:rPr>
              <w:t>$</w:t>
            </w:r>
            <w:r>
              <w:rPr>
                <w:rFonts w:cs="Arial"/>
                <w:lang w:eastAsia="en-GB"/>
              </w:rPr>
              <w:t xml:space="preserve"> </w:t>
            </w:r>
            <w:r w:rsidRPr="00791247">
              <w:rPr>
                <w:b/>
                <w:lang w:val="en-US"/>
              </w:rPr>
              <w:t>92</w:t>
            </w:r>
            <w:r>
              <w:rPr>
                <w:b/>
                <w:lang w:val="en-US"/>
              </w:rPr>
              <w:t xml:space="preserve"> </w:t>
            </w:r>
            <w:r w:rsidRPr="00791247">
              <w:rPr>
                <w:b/>
                <w:lang w:val="en-US"/>
              </w:rPr>
              <w:t>000</w:t>
            </w:r>
          </w:p>
        </w:tc>
        <w:tc>
          <w:tcPr>
            <w:tcW w:w="2977" w:type="dxa"/>
            <w:gridSpan w:val="2"/>
            <w:tcBorders>
              <w:top w:val="single" w:sz="8" w:space="0" w:color="auto"/>
              <w:left w:val="nil"/>
              <w:bottom w:val="single" w:sz="8" w:space="0" w:color="auto"/>
              <w:right w:val="single" w:sz="8" w:space="0" w:color="000000"/>
            </w:tcBorders>
            <w:shd w:val="clear" w:color="auto" w:fill="FDE9D9" w:themeFill="accent6" w:themeFillTint="33"/>
            <w:noWrap/>
            <w:vAlign w:val="bottom"/>
            <w:hideMark/>
          </w:tcPr>
          <w:p w:rsidR="004E7595" w:rsidRDefault="004E7595" w:rsidP="004E7595">
            <w:pPr>
              <w:pStyle w:val="IPPArialTable"/>
              <w:jc w:val="center"/>
              <w:rPr>
                <w:b/>
                <w:lang w:val="en-US"/>
              </w:rPr>
            </w:pPr>
            <w:r w:rsidRPr="00344E74">
              <w:rPr>
                <w:rFonts w:cs="Arial"/>
                <w:b/>
                <w:lang w:eastAsia="en-GB"/>
              </w:rPr>
              <w:t xml:space="preserve">$ </w:t>
            </w:r>
            <w:r w:rsidRPr="00791247">
              <w:rPr>
                <w:b/>
                <w:lang w:val="en-US"/>
              </w:rPr>
              <w:t>140</w:t>
            </w:r>
            <w:r>
              <w:rPr>
                <w:b/>
                <w:lang w:val="en-US"/>
              </w:rPr>
              <w:t xml:space="preserve"> </w:t>
            </w:r>
            <w:r w:rsidRPr="00791247">
              <w:rPr>
                <w:b/>
                <w:lang w:val="en-US"/>
              </w:rPr>
              <w:t>250</w:t>
            </w:r>
          </w:p>
        </w:tc>
      </w:tr>
      <w:tr w:rsidR="004E7595" w:rsidRPr="00A95C0F" w:rsidTr="004E7595">
        <w:trPr>
          <w:trHeight w:val="300"/>
        </w:trPr>
        <w:tc>
          <w:tcPr>
            <w:tcW w:w="654" w:type="dxa"/>
            <w:tcBorders>
              <w:top w:val="nil"/>
              <w:left w:val="single" w:sz="8" w:space="0" w:color="auto"/>
              <w:bottom w:val="nil"/>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4</w:t>
            </w:r>
          </w:p>
        </w:tc>
        <w:tc>
          <w:tcPr>
            <w:tcW w:w="1444"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1150</w:t>
            </w:r>
          </w:p>
        </w:tc>
        <w:tc>
          <w:tcPr>
            <w:tcW w:w="2369" w:type="dxa"/>
            <w:tcBorders>
              <w:top w:val="nil"/>
              <w:left w:val="single" w:sz="4" w:space="0" w:color="auto"/>
              <w:bottom w:val="nil"/>
              <w:right w:val="single" w:sz="8"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Specs for MC</w:t>
            </w:r>
          </w:p>
        </w:tc>
        <w:tc>
          <w:tcPr>
            <w:tcW w:w="920" w:type="dxa"/>
            <w:tcBorders>
              <w:top w:val="nil"/>
              <w:left w:val="nil"/>
              <w:bottom w:val="nil"/>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Pr>
                <w:rFonts w:cs="Arial"/>
                <w:lang w:eastAsia="en-GB"/>
              </w:rPr>
              <w:t xml:space="preserve">$ </w:t>
            </w:r>
            <w:r w:rsidRPr="00A95C0F">
              <w:rPr>
                <w:lang w:val="en-US"/>
              </w:rPr>
              <w:t>4</w:t>
            </w:r>
            <w:r>
              <w:rPr>
                <w:lang w:val="en-US"/>
              </w:rPr>
              <w:t xml:space="preserve"> </w:t>
            </w:r>
            <w:r w:rsidRPr="00A95C0F">
              <w:rPr>
                <w:lang w:val="en-US"/>
              </w:rPr>
              <w:t>600</w:t>
            </w:r>
          </w:p>
        </w:tc>
        <w:tc>
          <w:tcPr>
            <w:tcW w:w="1134"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nil"/>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w:t>
            </w:r>
          </w:p>
        </w:tc>
      </w:tr>
      <w:tr w:rsidR="004E7595" w:rsidRPr="00A95C0F" w:rsidTr="004E7595">
        <w:trPr>
          <w:trHeight w:val="315"/>
        </w:trPr>
        <w:tc>
          <w:tcPr>
            <w:tcW w:w="654"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4</w:t>
            </w:r>
          </w:p>
        </w:tc>
        <w:tc>
          <w:tcPr>
            <w:tcW w:w="144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550</w:t>
            </w:r>
          </w:p>
        </w:tc>
        <w:tc>
          <w:tcPr>
            <w:tcW w:w="2369" w:type="dxa"/>
            <w:tcBorders>
              <w:top w:val="nil"/>
              <w:left w:val="single" w:sz="4" w:space="0" w:color="auto"/>
              <w:bottom w:val="single" w:sz="8" w:space="0" w:color="auto"/>
              <w:right w:val="single" w:sz="8"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Specs approved</w:t>
            </w:r>
          </w:p>
        </w:tc>
        <w:tc>
          <w:tcPr>
            <w:tcW w:w="920" w:type="dxa"/>
            <w:tcBorders>
              <w:top w:val="nil"/>
              <w:left w:val="nil"/>
              <w:bottom w:val="single" w:sz="8" w:space="0" w:color="auto"/>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Pr>
                <w:rFonts w:cs="Arial"/>
                <w:lang w:eastAsia="en-GB"/>
              </w:rPr>
              <w:t xml:space="preserve">$ </w:t>
            </w:r>
            <w:r w:rsidRPr="00A95C0F">
              <w:rPr>
                <w:lang w:val="en-US"/>
              </w:rPr>
              <w:t>2</w:t>
            </w:r>
            <w:r>
              <w:rPr>
                <w:lang w:val="en-US"/>
              </w:rPr>
              <w:t xml:space="preserve"> </w:t>
            </w:r>
            <w:r w:rsidRPr="00A95C0F">
              <w:rPr>
                <w:lang w:val="en-US"/>
              </w:rPr>
              <w:t>200</w:t>
            </w: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w:t>
            </w:r>
          </w:p>
        </w:tc>
        <w:tc>
          <w:tcPr>
            <w:tcW w:w="1134"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w:t>
            </w:r>
          </w:p>
        </w:tc>
        <w:tc>
          <w:tcPr>
            <w:tcW w:w="184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E7595" w:rsidRDefault="004E7595" w:rsidP="004E7595">
            <w:pPr>
              <w:pStyle w:val="IPPArialTable"/>
              <w:jc w:val="center"/>
              <w:rPr>
                <w:lang w:val="en-US"/>
              </w:rPr>
            </w:pPr>
            <w:r w:rsidRPr="00A95C0F">
              <w:rPr>
                <w:lang w:val="en-US"/>
              </w:rPr>
              <w:t>/</w:t>
            </w:r>
          </w:p>
        </w:tc>
      </w:tr>
      <w:tr w:rsidR="004E7595" w:rsidRPr="00A95C0F" w:rsidTr="004E7595">
        <w:trPr>
          <w:trHeight w:val="257"/>
        </w:trPr>
        <w:tc>
          <w:tcPr>
            <w:tcW w:w="4467" w:type="dxa"/>
            <w:gridSpan w:val="3"/>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rsidR="004E7595" w:rsidRDefault="004E7595" w:rsidP="004E7595">
            <w:pPr>
              <w:pStyle w:val="IPPArialTable"/>
              <w:jc w:val="right"/>
              <w:rPr>
                <w:b/>
                <w:lang w:val="en-US"/>
              </w:rPr>
            </w:pPr>
            <w:r w:rsidRPr="00791247">
              <w:rPr>
                <w:b/>
                <w:lang w:val="en-US"/>
              </w:rPr>
              <w:t>SUBTOTAL (Specs, Year X)</w:t>
            </w:r>
          </w:p>
        </w:tc>
        <w:tc>
          <w:tcPr>
            <w:tcW w:w="2054" w:type="dxa"/>
            <w:gridSpan w:val="2"/>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rsidR="004E7595" w:rsidRDefault="004E7595" w:rsidP="004E7595">
            <w:pPr>
              <w:pStyle w:val="IPPArialTable"/>
              <w:jc w:val="center"/>
              <w:rPr>
                <w:b/>
                <w:lang w:val="en-US"/>
              </w:rPr>
            </w:pPr>
            <w:r w:rsidRPr="00344E74">
              <w:rPr>
                <w:rFonts w:cs="Arial"/>
                <w:b/>
                <w:lang w:eastAsia="en-GB"/>
              </w:rPr>
              <w:t xml:space="preserve">$ </w:t>
            </w:r>
            <w:r w:rsidRPr="00791247">
              <w:rPr>
                <w:b/>
                <w:lang w:val="en-US"/>
              </w:rPr>
              <w:t>6</w:t>
            </w:r>
            <w:r>
              <w:rPr>
                <w:b/>
                <w:lang w:val="en-US"/>
              </w:rPr>
              <w:t xml:space="preserve"> </w:t>
            </w:r>
            <w:r w:rsidRPr="00791247">
              <w:rPr>
                <w:b/>
                <w:lang w:val="en-US"/>
              </w:rPr>
              <w:t>800</w:t>
            </w:r>
          </w:p>
        </w:tc>
        <w:tc>
          <w:tcPr>
            <w:tcW w:w="2977" w:type="dxa"/>
            <w:gridSpan w:val="2"/>
            <w:tcBorders>
              <w:top w:val="nil"/>
              <w:left w:val="nil"/>
              <w:bottom w:val="single" w:sz="4" w:space="0" w:color="auto"/>
              <w:right w:val="single" w:sz="8" w:space="0" w:color="auto"/>
            </w:tcBorders>
            <w:shd w:val="clear" w:color="auto" w:fill="D9D9D9" w:themeFill="background1" w:themeFillShade="D9"/>
            <w:noWrap/>
            <w:vAlign w:val="bottom"/>
            <w:hideMark/>
          </w:tcPr>
          <w:p w:rsidR="004E7595" w:rsidRDefault="004E7595" w:rsidP="004E7595">
            <w:pPr>
              <w:pStyle w:val="IPPArialTable"/>
              <w:jc w:val="center"/>
              <w:rPr>
                <w:b/>
                <w:lang w:val="en-US"/>
              </w:rPr>
            </w:pPr>
            <w:r w:rsidRPr="00791247">
              <w:rPr>
                <w:b/>
                <w:lang w:val="en-US"/>
              </w:rPr>
              <w:t>0</w:t>
            </w:r>
          </w:p>
        </w:tc>
      </w:tr>
      <w:tr w:rsidR="004E7595" w:rsidRPr="00A95C0F" w:rsidTr="004E7595">
        <w:trPr>
          <w:trHeight w:val="315"/>
        </w:trPr>
        <w:tc>
          <w:tcPr>
            <w:tcW w:w="4467" w:type="dxa"/>
            <w:gridSpan w:val="3"/>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rsidR="004E7595" w:rsidRDefault="004E7595" w:rsidP="004E7595">
            <w:pPr>
              <w:pStyle w:val="IPPArialTable"/>
              <w:rPr>
                <w:b/>
                <w:lang w:val="en-US"/>
              </w:rPr>
            </w:pPr>
            <w:r w:rsidRPr="00791247">
              <w:rPr>
                <w:b/>
                <w:lang w:val="en-US"/>
              </w:rPr>
              <w:t>Secretariat costs (processing translations)</w:t>
            </w:r>
          </w:p>
        </w:tc>
        <w:tc>
          <w:tcPr>
            <w:tcW w:w="2054" w:type="dxa"/>
            <w:gridSpan w:val="2"/>
            <w:tcBorders>
              <w:top w:val="single" w:sz="8" w:space="0" w:color="auto"/>
              <w:left w:val="nil"/>
              <w:bottom w:val="single" w:sz="4" w:space="0" w:color="auto"/>
              <w:right w:val="single" w:sz="8" w:space="0" w:color="000000"/>
            </w:tcBorders>
            <w:shd w:val="clear" w:color="auto" w:fill="D9D9D9" w:themeFill="background1" w:themeFillShade="D9"/>
            <w:noWrap/>
            <w:vAlign w:val="bottom"/>
            <w:hideMark/>
          </w:tcPr>
          <w:p w:rsidR="004E7595" w:rsidRDefault="004E7595" w:rsidP="004E7595">
            <w:pPr>
              <w:pStyle w:val="IPPArialTable"/>
              <w:jc w:val="center"/>
              <w:rPr>
                <w:b/>
                <w:lang w:val="en-US"/>
              </w:rPr>
            </w:pPr>
            <w:r w:rsidRPr="00344E74">
              <w:rPr>
                <w:rFonts w:cs="Arial"/>
                <w:b/>
                <w:lang w:eastAsia="en-GB"/>
              </w:rPr>
              <w:t>$</w:t>
            </w:r>
            <w:r>
              <w:rPr>
                <w:rFonts w:cs="Arial"/>
                <w:lang w:eastAsia="en-GB"/>
              </w:rPr>
              <w:t xml:space="preserve"> </w:t>
            </w:r>
            <w:r w:rsidRPr="00791247">
              <w:rPr>
                <w:b/>
                <w:lang w:val="en-US"/>
              </w:rPr>
              <w:t>25</w:t>
            </w:r>
            <w:r>
              <w:rPr>
                <w:b/>
                <w:lang w:val="en-US"/>
              </w:rPr>
              <w:t xml:space="preserve"> </w:t>
            </w:r>
            <w:r w:rsidRPr="00791247">
              <w:rPr>
                <w:b/>
                <w:lang w:val="en-US"/>
              </w:rPr>
              <w:t>000</w:t>
            </w:r>
          </w:p>
        </w:tc>
        <w:tc>
          <w:tcPr>
            <w:tcW w:w="2977" w:type="dxa"/>
            <w:gridSpan w:val="2"/>
            <w:tcBorders>
              <w:top w:val="nil"/>
              <w:left w:val="nil"/>
              <w:bottom w:val="single" w:sz="4" w:space="0" w:color="auto"/>
              <w:right w:val="single" w:sz="8" w:space="0" w:color="auto"/>
            </w:tcBorders>
            <w:shd w:val="clear" w:color="auto" w:fill="D9D9D9" w:themeFill="background1" w:themeFillShade="D9"/>
            <w:noWrap/>
            <w:vAlign w:val="bottom"/>
            <w:hideMark/>
          </w:tcPr>
          <w:p w:rsidR="004E7595" w:rsidRPr="00344E74" w:rsidRDefault="004E7595" w:rsidP="004E7595">
            <w:pPr>
              <w:pStyle w:val="IPPArialTable"/>
              <w:jc w:val="center"/>
              <w:rPr>
                <w:b/>
                <w:lang w:val="en-US"/>
              </w:rPr>
            </w:pPr>
            <w:r w:rsidRPr="00344E74">
              <w:rPr>
                <w:rFonts w:cs="Arial"/>
                <w:b/>
                <w:lang w:eastAsia="en-GB"/>
              </w:rPr>
              <w:t xml:space="preserve">$ </w:t>
            </w:r>
            <w:r w:rsidRPr="00344E74">
              <w:rPr>
                <w:b/>
                <w:lang w:val="en-US"/>
              </w:rPr>
              <w:t xml:space="preserve">26 000 to </w:t>
            </w:r>
            <w:r w:rsidRPr="00344E74">
              <w:rPr>
                <w:rFonts w:cs="Arial"/>
                <w:b/>
                <w:lang w:eastAsia="en-GB"/>
              </w:rPr>
              <w:t>$</w:t>
            </w:r>
            <w:r w:rsidRPr="00344E74">
              <w:rPr>
                <w:b/>
                <w:lang w:val="en-US"/>
              </w:rPr>
              <w:t xml:space="preserve"> 55 000</w:t>
            </w:r>
          </w:p>
        </w:tc>
      </w:tr>
      <w:tr w:rsidR="004E7595" w:rsidRPr="00A95C0F" w:rsidTr="004E7595">
        <w:trPr>
          <w:trHeight w:val="315"/>
        </w:trPr>
        <w:tc>
          <w:tcPr>
            <w:tcW w:w="4467" w:type="dxa"/>
            <w:gridSpan w:val="3"/>
            <w:tcBorders>
              <w:top w:val="single" w:sz="4" w:space="0" w:color="auto"/>
              <w:left w:val="single" w:sz="4" w:space="0" w:color="auto"/>
              <w:bottom w:val="single" w:sz="4" w:space="0" w:color="auto"/>
              <w:right w:val="single" w:sz="8" w:space="0" w:color="000000"/>
            </w:tcBorders>
            <w:shd w:val="clear" w:color="auto" w:fill="92D050"/>
            <w:noWrap/>
            <w:vAlign w:val="bottom"/>
            <w:hideMark/>
          </w:tcPr>
          <w:p w:rsidR="004E7595" w:rsidRDefault="004E7595" w:rsidP="004E7595">
            <w:pPr>
              <w:pStyle w:val="IPPArialTable"/>
              <w:jc w:val="right"/>
              <w:rPr>
                <w:b/>
                <w:lang w:val="en-US"/>
              </w:rPr>
            </w:pPr>
            <w:r w:rsidRPr="00791247">
              <w:rPr>
                <w:b/>
                <w:lang w:val="en-US"/>
              </w:rPr>
              <w:t>TOTAL (</w:t>
            </w:r>
            <w:r>
              <w:rPr>
                <w:b/>
                <w:lang w:val="en-US"/>
              </w:rPr>
              <w:t>Current process</w:t>
            </w:r>
            <w:r w:rsidRPr="00791247">
              <w:rPr>
                <w:b/>
                <w:lang w:val="en-US"/>
              </w:rPr>
              <w:t>)</w:t>
            </w:r>
          </w:p>
        </w:tc>
        <w:tc>
          <w:tcPr>
            <w:tcW w:w="2054" w:type="dxa"/>
            <w:gridSpan w:val="2"/>
            <w:tcBorders>
              <w:top w:val="single" w:sz="4" w:space="0" w:color="auto"/>
              <w:left w:val="nil"/>
              <w:bottom w:val="single" w:sz="4" w:space="0" w:color="auto"/>
              <w:right w:val="single" w:sz="8" w:space="0" w:color="000000"/>
            </w:tcBorders>
            <w:shd w:val="clear" w:color="auto" w:fill="92D050"/>
            <w:noWrap/>
            <w:vAlign w:val="bottom"/>
            <w:hideMark/>
          </w:tcPr>
          <w:p w:rsidR="004E7595" w:rsidRDefault="004E7595" w:rsidP="004E7595">
            <w:pPr>
              <w:pStyle w:val="IPPArialTable"/>
              <w:jc w:val="center"/>
              <w:rPr>
                <w:b/>
                <w:lang w:val="en-US"/>
              </w:rPr>
            </w:pPr>
            <w:r w:rsidRPr="00344E74">
              <w:rPr>
                <w:rFonts w:cs="Arial"/>
                <w:b/>
                <w:lang w:eastAsia="en-GB"/>
              </w:rPr>
              <w:t>$</w:t>
            </w:r>
            <w:r>
              <w:rPr>
                <w:rFonts w:cs="Arial"/>
                <w:b/>
                <w:lang w:eastAsia="en-GB"/>
              </w:rPr>
              <w:t xml:space="preserve"> </w:t>
            </w:r>
            <w:r w:rsidRPr="00791247">
              <w:rPr>
                <w:b/>
                <w:lang w:val="en-US"/>
              </w:rPr>
              <w:t>215</w:t>
            </w:r>
            <w:r>
              <w:rPr>
                <w:b/>
                <w:lang w:val="en-US"/>
              </w:rPr>
              <w:t xml:space="preserve"> </w:t>
            </w:r>
            <w:r w:rsidRPr="00791247">
              <w:rPr>
                <w:b/>
                <w:lang w:val="en-US"/>
              </w:rPr>
              <w:t>100</w:t>
            </w:r>
          </w:p>
        </w:tc>
        <w:tc>
          <w:tcPr>
            <w:tcW w:w="2977" w:type="dxa"/>
            <w:gridSpan w:val="2"/>
            <w:tcBorders>
              <w:top w:val="single" w:sz="4" w:space="0" w:color="auto"/>
              <w:left w:val="nil"/>
              <w:bottom w:val="single" w:sz="4" w:space="0" w:color="auto"/>
              <w:right w:val="single" w:sz="4" w:space="0" w:color="auto"/>
            </w:tcBorders>
            <w:shd w:val="clear" w:color="auto" w:fill="92D050"/>
            <w:noWrap/>
            <w:vAlign w:val="bottom"/>
            <w:hideMark/>
          </w:tcPr>
          <w:p w:rsidR="004E7595" w:rsidRDefault="004E7595" w:rsidP="004E7595">
            <w:pPr>
              <w:pStyle w:val="IPPArialTable"/>
              <w:jc w:val="center"/>
              <w:rPr>
                <w:b/>
                <w:lang w:val="en-US"/>
              </w:rPr>
            </w:pPr>
            <w:r w:rsidRPr="00791247">
              <w:rPr>
                <w:b/>
                <w:lang w:val="en-US"/>
              </w:rPr>
              <w:t>/</w:t>
            </w:r>
          </w:p>
        </w:tc>
      </w:tr>
      <w:tr w:rsidR="004E7595" w:rsidRPr="00A95C0F" w:rsidTr="004E7595">
        <w:trPr>
          <w:trHeight w:val="315"/>
        </w:trPr>
        <w:tc>
          <w:tcPr>
            <w:tcW w:w="4467" w:type="dxa"/>
            <w:gridSpan w:val="3"/>
            <w:tcBorders>
              <w:top w:val="single" w:sz="4" w:space="0" w:color="auto"/>
              <w:left w:val="single" w:sz="4" w:space="0" w:color="auto"/>
              <w:bottom w:val="single" w:sz="4" w:space="0" w:color="auto"/>
              <w:right w:val="single" w:sz="8" w:space="0" w:color="000000"/>
            </w:tcBorders>
            <w:shd w:val="clear" w:color="auto" w:fill="92D050"/>
            <w:noWrap/>
            <w:vAlign w:val="bottom"/>
            <w:hideMark/>
          </w:tcPr>
          <w:p w:rsidR="004E7595" w:rsidRDefault="004E7595" w:rsidP="004E7595">
            <w:pPr>
              <w:pStyle w:val="IPPArialTable"/>
              <w:jc w:val="right"/>
              <w:rPr>
                <w:b/>
                <w:lang w:val="en-US"/>
              </w:rPr>
            </w:pPr>
            <w:r w:rsidRPr="00791247">
              <w:rPr>
                <w:b/>
                <w:lang w:val="en-US"/>
              </w:rPr>
              <w:t>TOTAL (</w:t>
            </w:r>
            <w:r>
              <w:rPr>
                <w:b/>
                <w:lang w:val="en-US"/>
              </w:rPr>
              <w:t>New options</w:t>
            </w:r>
            <w:r w:rsidRPr="00791247">
              <w:rPr>
                <w:b/>
                <w:lang w:val="en-US"/>
              </w:rPr>
              <w:t>)</w:t>
            </w:r>
          </w:p>
        </w:tc>
        <w:tc>
          <w:tcPr>
            <w:tcW w:w="2054" w:type="dxa"/>
            <w:gridSpan w:val="2"/>
            <w:tcBorders>
              <w:top w:val="single" w:sz="4" w:space="0" w:color="auto"/>
              <w:left w:val="nil"/>
              <w:bottom w:val="single" w:sz="4" w:space="0" w:color="auto"/>
              <w:right w:val="single" w:sz="8" w:space="0" w:color="000000"/>
            </w:tcBorders>
            <w:shd w:val="clear" w:color="auto" w:fill="92D050"/>
            <w:noWrap/>
            <w:vAlign w:val="bottom"/>
            <w:hideMark/>
          </w:tcPr>
          <w:p w:rsidR="004E7595" w:rsidRDefault="004E7595" w:rsidP="004E7595">
            <w:pPr>
              <w:pStyle w:val="IPPArialTable"/>
              <w:jc w:val="center"/>
              <w:rPr>
                <w:b/>
                <w:lang w:val="en-US"/>
              </w:rPr>
            </w:pPr>
            <w:r w:rsidRPr="00791247">
              <w:rPr>
                <w:b/>
                <w:lang w:val="en-US"/>
              </w:rPr>
              <w:t>/</w:t>
            </w:r>
          </w:p>
        </w:tc>
        <w:tc>
          <w:tcPr>
            <w:tcW w:w="2977" w:type="dxa"/>
            <w:gridSpan w:val="2"/>
            <w:tcBorders>
              <w:top w:val="single" w:sz="4" w:space="0" w:color="auto"/>
              <w:left w:val="nil"/>
              <w:bottom w:val="single" w:sz="4" w:space="0" w:color="auto"/>
              <w:right w:val="single" w:sz="4" w:space="0" w:color="auto"/>
            </w:tcBorders>
            <w:shd w:val="clear" w:color="auto" w:fill="92D050"/>
            <w:noWrap/>
            <w:vAlign w:val="bottom"/>
            <w:hideMark/>
          </w:tcPr>
          <w:p w:rsidR="004E7595" w:rsidRDefault="004E7595" w:rsidP="004E7595">
            <w:pPr>
              <w:pStyle w:val="IPPArialTable"/>
              <w:jc w:val="center"/>
              <w:rPr>
                <w:b/>
                <w:lang w:val="en-US"/>
              </w:rPr>
            </w:pPr>
            <w:r w:rsidRPr="00344E74">
              <w:rPr>
                <w:rFonts w:cs="Arial"/>
                <w:b/>
                <w:lang w:eastAsia="en-GB"/>
              </w:rPr>
              <w:t>$</w:t>
            </w:r>
            <w:r>
              <w:rPr>
                <w:rFonts w:cs="Arial"/>
                <w:b/>
                <w:lang w:eastAsia="en-GB"/>
              </w:rPr>
              <w:t xml:space="preserve"> </w:t>
            </w:r>
            <w:r w:rsidRPr="00791247">
              <w:rPr>
                <w:b/>
                <w:lang w:val="en-US"/>
              </w:rPr>
              <w:t>244</w:t>
            </w:r>
            <w:r>
              <w:rPr>
                <w:b/>
                <w:lang w:val="en-US"/>
              </w:rPr>
              <w:t xml:space="preserve"> </w:t>
            </w:r>
            <w:r w:rsidRPr="00791247">
              <w:rPr>
                <w:b/>
                <w:lang w:val="en-US"/>
              </w:rPr>
              <w:t xml:space="preserve">450 to </w:t>
            </w:r>
            <w:r w:rsidRPr="00344E74">
              <w:rPr>
                <w:rFonts w:cs="Arial"/>
                <w:b/>
                <w:lang w:eastAsia="en-GB"/>
              </w:rPr>
              <w:t>$</w:t>
            </w:r>
            <w:r>
              <w:rPr>
                <w:rFonts w:cs="Arial"/>
                <w:b/>
                <w:lang w:eastAsia="en-GB"/>
              </w:rPr>
              <w:t xml:space="preserve"> </w:t>
            </w:r>
            <w:r w:rsidRPr="00791247">
              <w:rPr>
                <w:b/>
                <w:lang w:val="en-US"/>
              </w:rPr>
              <w:t>477</w:t>
            </w:r>
            <w:r>
              <w:rPr>
                <w:b/>
                <w:lang w:val="en-US"/>
              </w:rPr>
              <w:t xml:space="preserve"> </w:t>
            </w:r>
            <w:r w:rsidRPr="00791247">
              <w:rPr>
                <w:b/>
                <w:lang w:val="en-US"/>
              </w:rPr>
              <w:t>800</w:t>
            </w:r>
          </w:p>
        </w:tc>
      </w:tr>
    </w:tbl>
    <w:p w:rsidR="004E7595" w:rsidRDefault="004E7595" w:rsidP="004E7595">
      <w:pPr>
        <w:pStyle w:val="IPPArialTable"/>
        <w:rPr>
          <w:lang w:eastAsia="en-GB"/>
        </w:rPr>
      </w:pPr>
      <w:r>
        <w:rPr>
          <w:lang w:eastAsia="en-GB"/>
        </w:rPr>
        <w:t xml:space="preserve">** Entries in black are fixed costs as per current process; red entries are new costs. For MC, SCCP and adoption: costs are alternative (either in 3 or in 6 languages). </w:t>
      </w:r>
    </w:p>
    <w:p w:rsidR="007E72BB" w:rsidRDefault="007E72BB">
      <w:pPr>
        <w:pStyle w:val="IPPBullet1"/>
        <w:numPr>
          <w:ilvl w:val="0"/>
          <w:numId w:val="0"/>
        </w:numPr>
        <w:ind w:left="567" w:hanging="567"/>
        <w:rPr>
          <w:lang w:val="en-GB"/>
        </w:rPr>
      </w:pPr>
    </w:p>
    <w:sectPr w:rsidR="007E72BB" w:rsidSect="008603E5">
      <w:headerReference w:type="even" r:id="rId12"/>
      <w:headerReference w:type="default" r:id="rId13"/>
      <w:footerReference w:type="even" r:id="rId14"/>
      <w:footerReference w:type="default" r:id="rId15"/>
      <w:headerReference w:type="first" r:id="rId16"/>
      <w:footerReference w:type="first" r:id="rId17"/>
      <w:pgSz w:w="11907" w:h="16840" w:code="9"/>
      <w:pgMar w:top="1559"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DF" w:rsidRDefault="008017DF" w:rsidP="0074796A">
      <w:r>
        <w:separator/>
      </w:r>
    </w:p>
  </w:endnote>
  <w:endnote w:type="continuationSeparator" w:id="0">
    <w:p w:rsidR="008017DF" w:rsidRDefault="008017DF" w:rsidP="0074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5D" w:rsidRPr="00AC3D5D" w:rsidRDefault="00AC3D5D" w:rsidP="00AC3D5D">
    <w:pPr>
      <w:pStyle w:val="IPPFooter"/>
    </w:pPr>
    <w:r w:rsidRPr="00AC3D5D">
      <w:rPr>
        <w:rStyle w:val="PageNumber"/>
        <w:b/>
      </w:rPr>
      <w:t xml:space="preserve">Page </w:t>
    </w:r>
    <w:r w:rsidRPr="00AC3D5D">
      <w:rPr>
        <w:rStyle w:val="PageNumber"/>
        <w:b/>
      </w:rPr>
      <w:fldChar w:fldCharType="begin"/>
    </w:r>
    <w:r w:rsidRPr="00AC3D5D">
      <w:rPr>
        <w:rStyle w:val="PageNumber"/>
        <w:b/>
      </w:rPr>
      <w:instrText xml:space="preserve"> PAGE </w:instrText>
    </w:r>
    <w:r w:rsidRPr="00AC3D5D">
      <w:rPr>
        <w:rStyle w:val="PageNumber"/>
        <w:b/>
      </w:rPr>
      <w:fldChar w:fldCharType="separate"/>
    </w:r>
    <w:r w:rsidR="000E6996">
      <w:rPr>
        <w:rStyle w:val="PageNumber"/>
        <w:b/>
        <w:noProof/>
      </w:rPr>
      <w:t>2</w:t>
    </w:r>
    <w:r w:rsidRPr="00AC3D5D">
      <w:rPr>
        <w:rStyle w:val="PageNumber"/>
        <w:b/>
      </w:rPr>
      <w:fldChar w:fldCharType="end"/>
    </w:r>
    <w:r w:rsidRPr="00AC3D5D">
      <w:rPr>
        <w:rStyle w:val="PageNumber"/>
        <w:b/>
      </w:rPr>
      <w:t xml:space="preserve"> of </w:t>
    </w:r>
    <w:r w:rsidRPr="00AC3D5D">
      <w:rPr>
        <w:rStyle w:val="PageNumber"/>
        <w:b/>
      </w:rPr>
      <w:fldChar w:fldCharType="begin"/>
    </w:r>
    <w:r w:rsidRPr="00AC3D5D">
      <w:rPr>
        <w:rStyle w:val="PageNumber"/>
        <w:b/>
      </w:rPr>
      <w:instrText xml:space="preserve"> NUMPAGES </w:instrText>
    </w:r>
    <w:r w:rsidRPr="00AC3D5D">
      <w:rPr>
        <w:rStyle w:val="PageNumber"/>
        <w:b/>
      </w:rPr>
      <w:fldChar w:fldCharType="separate"/>
    </w:r>
    <w:r w:rsidR="000E6996">
      <w:rPr>
        <w:rStyle w:val="PageNumber"/>
        <w:b/>
        <w:noProof/>
      </w:rPr>
      <w:t>7</w:t>
    </w:r>
    <w:r w:rsidRPr="00AC3D5D">
      <w:rPr>
        <w:rStyle w:val="PageNumber"/>
        <w:b/>
      </w:rPr>
      <w:fldChar w:fldCharType="end"/>
    </w:r>
    <w:r>
      <w:rPr>
        <w:rStyle w:val="PageNumber"/>
        <w:b/>
      </w:rPr>
      <w:tab/>
    </w:r>
    <w:r w:rsidRPr="00AC3D5D">
      <w:t>International Plant Protection Convention</w:t>
    </w:r>
    <w:r w:rsidRPr="00AC3D5D">
      <w:tab/>
    </w:r>
  </w:p>
  <w:p w:rsidR="00AC3D5D" w:rsidRPr="00AC3D5D" w:rsidRDefault="00AC3D5D">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5D" w:rsidRDefault="00AC3D5D" w:rsidP="00AC3D5D">
    <w:pPr>
      <w:pStyle w:val="IPPFooter"/>
    </w:pPr>
    <w:r w:rsidRPr="00AC3D5D">
      <w:t>International Plant Protection Convention</w:t>
    </w:r>
    <w:r w:rsidRPr="00AC3D5D">
      <w:rPr>
        <w:rStyle w:val="PageNumber"/>
        <w:b/>
      </w:rPr>
      <w:t xml:space="preserve"> </w:t>
    </w:r>
    <w:r>
      <w:rPr>
        <w:rStyle w:val="PageNumber"/>
        <w:b/>
      </w:rPr>
      <w:tab/>
    </w:r>
    <w:r w:rsidRPr="00AC3D5D">
      <w:rPr>
        <w:rStyle w:val="PageNumber"/>
        <w:b/>
      </w:rPr>
      <w:t xml:space="preserve">Page </w:t>
    </w:r>
    <w:r w:rsidRPr="00AC3D5D">
      <w:rPr>
        <w:rStyle w:val="PageNumber"/>
        <w:b/>
      </w:rPr>
      <w:fldChar w:fldCharType="begin"/>
    </w:r>
    <w:r w:rsidRPr="00AC3D5D">
      <w:rPr>
        <w:rStyle w:val="PageNumber"/>
        <w:b/>
      </w:rPr>
      <w:instrText xml:space="preserve"> PAGE </w:instrText>
    </w:r>
    <w:r w:rsidRPr="00AC3D5D">
      <w:rPr>
        <w:rStyle w:val="PageNumber"/>
        <w:b/>
      </w:rPr>
      <w:fldChar w:fldCharType="separate"/>
    </w:r>
    <w:r w:rsidR="000E6996">
      <w:rPr>
        <w:rStyle w:val="PageNumber"/>
        <w:b/>
        <w:noProof/>
      </w:rPr>
      <w:t>3</w:t>
    </w:r>
    <w:r w:rsidRPr="00AC3D5D">
      <w:rPr>
        <w:rStyle w:val="PageNumber"/>
        <w:b/>
      </w:rPr>
      <w:fldChar w:fldCharType="end"/>
    </w:r>
    <w:r w:rsidRPr="00AC3D5D">
      <w:rPr>
        <w:rStyle w:val="PageNumber"/>
        <w:b/>
      </w:rPr>
      <w:t xml:space="preserve"> of </w:t>
    </w:r>
    <w:r w:rsidRPr="00AC3D5D">
      <w:rPr>
        <w:rStyle w:val="PageNumber"/>
        <w:b/>
      </w:rPr>
      <w:fldChar w:fldCharType="begin"/>
    </w:r>
    <w:r w:rsidRPr="00AC3D5D">
      <w:rPr>
        <w:rStyle w:val="PageNumber"/>
        <w:b/>
      </w:rPr>
      <w:instrText xml:space="preserve"> NUMPAGES </w:instrText>
    </w:r>
    <w:r w:rsidRPr="00AC3D5D">
      <w:rPr>
        <w:rStyle w:val="PageNumber"/>
        <w:b/>
      </w:rPr>
      <w:fldChar w:fldCharType="separate"/>
    </w:r>
    <w:r w:rsidR="000E6996">
      <w:rPr>
        <w:rStyle w:val="PageNumber"/>
        <w:b/>
        <w:noProof/>
      </w:rPr>
      <w:t>7</w:t>
    </w:r>
    <w:r w:rsidRPr="00AC3D5D">
      <w:rPr>
        <w:rStyle w:val="PageNumber"/>
        <w:b/>
      </w:rPr>
      <w:fldChar w:fldCharType="end"/>
    </w:r>
    <w:r>
      <w:rPr>
        <w:rStyle w:val="PageNumber"/>
        <w:b/>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D5D" w:rsidRPr="00AC3D5D" w:rsidRDefault="00AC3D5D" w:rsidP="00AC3D5D">
    <w:pPr>
      <w:pStyle w:val="IPPFooter"/>
    </w:pPr>
    <w:r w:rsidRPr="00AC3D5D">
      <w:t>International Plant Protection Convention</w:t>
    </w:r>
    <w:r w:rsidRPr="00AC3D5D">
      <w:tab/>
    </w:r>
    <w:r w:rsidRPr="00AC3D5D">
      <w:rPr>
        <w:rStyle w:val="PageNumber"/>
        <w:b/>
      </w:rPr>
      <w:t xml:space="preserve">Page </w:t>
    </w:r>
    <w:r w:rsidRPr="00AC3D5D">
      <w:rPr>
        <w:rStyle w:val="PageNumber"/>
        <w:b/>
      </w:rPr>
      <w:fldChar w:fldCharType="begin"/>
    </w:r>
    <w:r w:rsidRPr="00AC3D5D">
      <w:rPr>
        <w:rStyle w:val="PageNumber"/>
        <w:b/>
      </w:rPr>
      <w:instrText xml:space="preserve"> PAGE </w:instrText>
    </w:r>
    <w:r w:rsidRPr="00AC3D5D">
      <w:rPr>
        <w:rStyle w:val="PageNumber"/>
        <w:b/>
      </w:rPr>
      <w:fldChar w:fldCharType="separate"/>
    </w:r>
    <w:r w:rsidR="000E6996">
      <w:rPr>
        <w:rStyle w:val="PageNumber"/>
        <w:b/>
        <w:noProof/>
      </w:rPr>
      <w:t>1</w:t>
    </w:r>
    <w:r w:rsidRPr="00AC3D5D">
      <w:rPr>
        <w:rStyle w:val="PageNumber"/>
        <w:b/>
      </w:rPr>
      <w:fldChar w:fldCharType="end"/>
    </w:r>
    <w:r w:rsidRPr="00AC3D5D">
      <w:rPr>
        <w:rStyle w:val="PageNumber"/>
        <w:b/>
      </w:rPr>
      <w:t xml:space="preserve"> of </w:t>
    </w:r>
    <w:r w:rsidRPr="00AC3D5D">
      <w:rPr>
        <w:rStyle w:val="PageNumber"/>
        <w:b/>
      </w:rPr>
      <w:fldChar w:fldCharType="begin"/>
    </w:r>
    <w:r w:rsidRPr="00AC3D5D">
      <w:rPr>
        <w:rStyle w:val="PageNumber"/>
        <w:b/>
      </w:rPr>
      <w:instrText xml:space="preserve"> NUMPAGES </w:instrText>
    </w:r>
    <w:r w:rsidRPr="00AC3D5D">
      <w:rPr>
        <w:rStyle w:val="PageNumber"/>
        <w:b/>
      </w:rPr>
      <w:fldChar w:fldCharType="separate"/>
    </w:r>
    <w:r w:rsidR="000E6996">
      <w:rPr>
        <w:rStyle w:val="PageNumber"/>
        <w:b/>
        <w:noProof/>
      </w:rPr>
      <w:t>7</w:t>
    </w:r>
    <w:r w:rsidRPr="00AC3D5D">
      <w:rPr>
        <w:rStyle w:val="PageNumber"/>
        <w:b/>
      </w:rPr>
      <w:fldChar w:fldCharType="end"/>
    </w:r>
  </w:p>
  <w:p w:rsidR="00AC3D5D" w:rsidRPr="00AC3D5D" w:rsidRDefault="00AC3D5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DF" w:rsidRDefault="008017DF" w:rsidP="0074796A">
      <w:r>
        <w:separator/>
      </w:r>
    </w:p>
  </w:footnote>
  <w:footnote w:type="continuationSeparator" w:id="0">
    <w:p w:rsidR="008017DF" w:rsidRDefault="008017DF" w:rsidP="0074796A">
      <w:r>
        <w:continuationSeparator/>
      </w:r>
    </w:p>
  </w:footnote>
  <w:footnote w:id="1">
    <w:p w:rsidR="007E72BB" w:rsidRDefault="008017DF">
      <w:pPr>
        <w:pStyle w:val="FootnoteText"/>
        <w:spacing w:before="0"/>
        <w:rPr>
          <w:szCs w:val="20"/>
          <w:lang w:val="en-US"/>
        </w:rPr>
      </w:pPr>
      <w:r>
        <w:rPr>
          <w:rStyle w:val="FootnoteReference"/>
        </w:rPr>
        <w:footnoteRef/>
      </w:r>
      <w:r>
        <w:t xml:space="preserve"> </w:t>
      </w:r>
      <w:r w:rsidRPr="004E57B1">
        <w:rPr>
          <w:i/>
        </w:rPr>
        <w:t>List of topics for IPPC standards</w:t>
      </w:r>
      <w:r>
        <w:t xml:space="preserve"> available at </w:t>
      </w:r>
      <w:hyperlink r:id="rId1" w:history="1">
        <w:r w:rsidRPr="0093214A">
          <w:rPr>
            <w:rStyle w:val="Hyperlink"/>
          </w:rPr>
          <w:t>https://www.ippc.int/core-activities/standards-setting/list-topics-ippc-standards</w:t>
        </w:r>
      </w:hyperlink>
      <w:r>
        <w:t xml:space="preserve"> </w:t>
      </w:r>
    </w:p>
  </w:footnote>
  <w:footnote w:id="2">
    <w:p w:rsidR="007E72BB" w:rsidRDefault="00333FE8">
      <w:pPr>
        <w:pStyle w:val="IPPNormal"/>
        <w:spacing w:after="0"/>
        <w:rPr>
          <w:sz w:val="20"/>
          <w:szCs w:val="20"/>
        </w:rPr>
      </w:pPr>
      <w:r w:rsidRPr="00333FE8">
        <w:rPr>
          <w:rStyle w:val="FootnoteReference"/>
          <w:sz w:val="20"/>
          <w:szCs w:val="20"/>
        </w:rPr>
        <w:footnoteRef/>
      </w:r>
      <w:r w:rsidRPr="00333FE8">
        <w:rPr>
          <w:sz w:val="20"/>
          <w:szCs w:val="20"/>
        </w:rPr>
        <w:t xml:space="preserve"> The current mechanism to translate DPs can be found at </w:t>
      </w:r>
      <w:hyperlink r:id="rId2" w:history="1">
        <w:r w:rsidR="008017DF">
          <w:rPr>
            <w:rStyle w:val="Hyperlink"/>
            <w:sz w:val="20"/>
            <w:szCs w:val="20"/>
          </w:rPr>
          <w:t>https://www.ippc.int/core-activities/standards-setting/member-consultation-draft-ispms/mechanism-translate-diagnostic-protocols-languages</w:t>
        </w:r>
      </w:hyperlink>
      <w:r w:rsidRPr="00333FE8">
        <w:rPr>
          <w:sz w:val="20"/>
          <w:szCs w:val="20"/>
        </w:rPr>
        <w:t xml:space="preserve"> </w:t>
      </w:r>
    </w:p>
  </w:footnote>
  <w:footnote w:id="3">
    <w:p w:rsidR="007E72BB" w:rsidRDefault="008017DF">
      <w:pPr>
        <w:pStyle w:val="FootnoteText"/>
        <w:spacing w:before="0"/>
        <w:rPr>
          <w:szCs w:val="20"/>
          <w:lang w:val="en-US"/>
        </w:rPr>
      </w:pPr>
      <w:r w:rsidRPr="005D341A">
        <w:rPr>
          <w:rStyle w:val="FootnoteReference"/>
          <w:szCs w:val="20"/>
        </w:rPr>
        <w:footnoteRef/>
      </w:r>
      <w:r w:rsidR="00333FE8" w:rsidRPr="00333FE8">
        <w:rPr>
          <w:szCs w:val="20"/>
        </w:rPr>
        <w:t xml:space="preserve"> See 2014 June </w:t>
      </w:r>
      <w:r w:rsidR="00333FE8" w:rsidRPr="00333FE8">
        <w:rPr>
          <w:szCs w:val="20"/>
          <w:lang w:val="en-US"/>
        </w:rPr>
        <w:t xml:space="preserve">CPM Bureau Report: </w:t>
      </w:r>
      <w:hyperlink r:id="rId3" w:history="1">
        <w:r w:rsidR="00333FE8" w:rsidRPr="00333FE8">
          <w:rPr>
            <w:rStyle w:val="Hyperlink"/>
            <w:szCs w:val="20"/>
            <w:lang w:val="en-US"/>
          </w:rPr>
          <w:t>https://www.ippc.int/core-activities/governance/bureau</w:t>
        </w:r>
      </w:hyperlink>
      <w:r w:rsidR="00333FE8" w:rsidRPr="00333FE8">
        <w:rPr>
          <w:szCs w:val="20"/>
          <w:lang w:val="en-US"/>
        </w:rPr>
        <w:t xml:space="preserve"> </w:t>
      </w:r>
    </w:p>
  </w:footnote>
  <w:footnote w:id="4">
    <w:p w:rsidR="008017DF" w:rsidRPr="00593399" w:rsidRDefault="008017DF" w:rsidP="000B49D7">
      <w:pPr>
        <w:pStyle w:val="Default"/>
        <w:jc w:val="both"/>
        <w:rPr>
          <w:sz w:val="20"/>
          <w:szCs w:val="20"/>
        </w:rPr>
      </w:pPr>
      <w:r w:rsidRPr="00922A8D">
        <w:rPr>
          <w:rStyle w:val="FootnoteReference"/>
          <w:sz w:val="20"/>
          <w:szCs w:val="20"/>
        </w:rPr>
        <w:footnoteRef/>
      </w:r>
      <w:r w:rsidRPr="00922A8D">
        <w:rPr>
          <w:sz w:val="20"/>
          <w:szCs w:val="20"/>
        </w:rPr>
        <w:t xml:space="preserve"> </w:t>
      </w:r>
      <w:r>
        <w:rPr>
          <w:sz w:val="20"/>
          <w:szCs w:val="20"/>
        </w:rPr>
        <w:t xml:space="preserve">Concerns about the quality of the translations into Russian have been voiced a number of times in meetings between the Language review groups and FAO and in TPG meetings. Also, at </w:t>
      </w:r>
      <w:r w:rsidRPr="00922A8D">
        <w:rPr>
          <w:sz w:val="20"/>
          <w:szCs w:val="20"/>
        </w:rPr>
        <w:t xml:space="preserve">CPM-9 (2014) </w:t>
      </w:r>
      <w:r>
        <w:rPr>
          <w:sz w:val="20"/>
          <w:szCs w:val="20"/>
        </w:rPr>
        <w:t>“a</w:t>
      </w:r>
      <w:r w:rsidRPr="00922A8D">
        <w:rPr>
          <w:sz w:val="20"/>
          <w:szCs w:val="20"/>
        </w:rPr>
        <w:t xml:space="preserve"> representative of GRULAC made a statement on behalf of GRULAC raising concerns over the quality of the Spanish translation of CPM and CPM-related documents. The representative of the Near East region shared the same concerns about translation into Arabic. The delegate from China also raised concerns about the Chines</w:t>
      </w:r>
      <w:r>
        <w:rPr>
          <w:sz w:val="20"/>
          <w:szCs w:val="20"/>
        </w:rPr>
        <w:t xml:space="preserve">e translations.” </w:t>
      </w:r>
    </w:p>
  </w:footnote>
  <w:footnote w:id="5">
    <w:p w:rsidR="008017DF" w:rsidRPr="00FC5E2B" w:rsidRDefault="008017DF" w:rsidP="005D0B05">
      <w:pPr>
        <w:pStyle w:val="IPPFootnote"/>
        <w:rPr>
          <w:szCs w:val="20"/>
        </w:rPr>
      </w:pPr>
      <w:r w:rsidRPr="00FC5E2B">
        <w:rPr>
          <w:rStyle w:val="FootnoteReference"/>
          <w:szCs w:val="20"/>
        </w:rPr>
        <w:footnoteRef/>
      </w:r>
      <w:r w:rsidRPr="00FC5E2B">
        <w:rPr>
          <w:szCs w:val="20"/>
        </w:rPr>
        <w:t xml:space="preserve"> CPM-5 (2010) (Paragraph 85 of the Report) noted that the member consultation period for draft ISPMs is the key comment period.</w:t>
      </w:r>
    </w:p>
  </w:footnote>
  <w:footnote w:id="6">
    <w:p w:rsidR="008017DF" w:rsidRPr="00816D80" w:rsidRDefault="008017DF" w:rsidP="00EA68CA">
      <w:pPr>
        <w:pStyle w:val="IPPNormalCloseSpace"/>
        <w:rPr>
          <w:sz w:val="20"/>
          <w:szCs w:val="20"/>
        </w:rPr>
      </w:pPr>
      <w:r>
        <w:rPr>
          <w:rStyle w:val="FootnoteReference"/>
        </w:rPr>
        <w:footnoteRef/>
      </w:r>
      <w:r>
        <w:t xml:space="preserve"> </w:t>
      </w:r>
      <w:r w:rsidRPr="00816D80">
        <w:rPr>
          <w:sz w:val="20"/>
          <w:szCs w:val="20"/>
        </w:rPr>
        <w:t>Note CPM and SC rules on languages:</w:t>
      </w:r>
    </w:p>
    <w:p w:rsidR="008017DF" w:rsidRPr="00FC5E2B" w:rsidRDefault="008017DF" w:rsidP="00EA68CA">
      <w:pPr>
        <w:pStyle w:val="IPPNormalCloseSpace"/>
        <w:rPr>
          <w:sz w:val="20"/>
          <w:szCs w:val="20"/>
        </w:rPr>
      </w:pPr>
      <w:r w:rsidRPr="00816D80">
        <w:rPr>
          <w:sz w:val="20"/>
          <w:szCs w:val="20"/>
        </w:rPr>
        <w:t xml:space="preserve">-CPM-8 (2013) (Rule XII of the Rules of Procedure): Pursuant to Rule XLVII of the General Rules of the Organization, the languages </w:t>
      </w:r>
      <w:r w:rsidRPr="00FC5E2B">
        <w:rPr>
          <w:sz w:val="20"/>
          <w:szCs w:val="20"/>
        </w:rPr>
        <w:t xml:space="preserve">of the Commission and its subsidiary bodies shall be the languages of the Organization. </w:t>
      </w:r>
    </w:p>
    <w:p w:rsidR="008017DF" w:rsidRPr="00816D80" w:rsidRDefault="008017DF" w:rsidP="00EA68CA">
      <w:pPr>
        <w:pStyle w:val="FootnoteText"/>
      </w:pPr>
      <w:r>
        <w:rPr>
          <w:szCs w:val="20"/>
        </w:rPr>
        <w:t>-</w:t>
      </w:r>
      <w:r w:rsidRPr="00FC5E2B">
        <w:rPr>
          <w:szCs w:val="20"/>
        </w:rPr>
        <w:t>SC Rules of Procedure,</w:t>
      </w:r>
      <w:r w:rsidRPr="00FC5E2B">
        <w:rPr>
          <w:rStyle w:val="Bold"/>
          <w:b w:val="0"/>
          <w:szCs w:val="20"/>
        </w:rPr>
        <w:t xml:space="preserve"> Rule 9: </w:t>
      </w:r>
      <w:r w:rsidRPr="00FC5E2B">
        <w:rPr>
          <w:rFonts w:eastAsia="Times"/>
          <w:szCs w:val="20"/>
        </w:rPr>
        <w:t>The business of the SC shall be conducted in the languages of the organization.</w:t>
      </w:r>
    </w:p>
  </w:footnote>
  <w:footnote w:id="7">
    <w:p w:rsidR="008017DF" w:rsidRPr="00FD0EC2" w:rsidRDefault="008017DF">
      <w:pPr>
        <w:pStyle w:val="FootnoteText"/>
      </w:pPr>
      <w:r>
        <w:rPr>
          <w:rStyle w:val="FootnoteReference"/>
        </w:rPr>
        <w:footnoteRef/>
      </w:r>
      <w:r>
        <w:t xml:space="preserve"> Starting from 2014, CPAM will start charging the IPPC Secretariat for revisions under the LRG process. The chart includes additional costs to hold member consultations in 6 languages (including or excluding DPs), and to hold the substantial concerns commenting period in 6 languages. Translating for MC and SCCP into 5 languages will also lead to additional costs for translating comments into languages.</w:t>
      </w:r>
    </w:p>
  </w:footnote>
  <w:footnote w:id="8">
    <w:p w:rsidR="008017DF" w:rsidRPr="004566BB" w:rsidRDefault="008017DF" w:rsidP="00FD0EC2">
      <w:pPr>
        <w:pStyle w:val="FootnoteText"/>
        <w:rPr>
          <w:lang w:val="en-US"/>
        </w:rPr>
      </w:pPr>
      <w:r>
        <w:rPr>
          <w:rStyle w:val="FootnoteReference"/>
        </w:rPr>
        <w:footnoteRef/>
      </w:r>
      <w:r>
        <w:t xml:space="preserve"> </w:t>
      </w:r>
      <w:r>
        <w:rPr>
          <w:lang w:val="en-US"/>
        </w:rPr>
        <w:t>Refer to Annex 1</w:t>
      </w:r>
      <w:r w:rsidR="008C30DF">
        <w:rPr>
          <w:lang w:val="en-US"/>
        </w:rPr>
        <w:t xml:space="preserve"> and 2</w:t>
      </w:r>
      <w:r>
        <w:rPr>
          <w:lang w:val="en-US"/>
        </w:rPr>
        <w:t xml:space="preserve"> for further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E5" w:rsidRDefault="008603E5" w:rsidP="008603E5">
    <w:pPr>
      <w:pStyle w:val="IPPHeader"/>
    </w:pPr>
    <w:r>
      <w:t>07_Bureau</w:t>
    </w:r>
    <w:r w:rsidRPr="00606019">
      <w:t>_201</w:t>
    </w:r>
    <w:r>
      <w:t>4</w:t>
    </w:r>
    <w:r>
      <w:rPr>
        <w:rFonts w:hint="eastAsia"/>
        <w:lang w:eastAsia="ja-JP"/>
      </w:rPr>
      <w:t xml:space="preserve">_Oct </w:t>
    </w:r>
    <w:r>
      <w:rPr>
        <w:lang w:eastAsia="ja-JP"/>
      </w:rPr>
      <w:tab/>
    </w:r>
    <w:r>
      <w:t>New translation process for ISPMs and DPs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19F" w:rsidRPr="00AE5902" w:rsidRDefault="00AE5902" w:rsidP="00AE5902">
    <w:pPr>
      <w:pStyle w:val="IPPHeader"/>
    </w:pPr>
    <w:r>
      <w:t xml:space="preserve">New translation process for ISPMs and </w:t>
    </w:r>
    <w:r w:rsidR="000E6996">
      <w:t>DPs</w:t>
    </w:r>
    <w:bookmarkStart w:id="0" w:name="_GoBack"/>
    <w:bookmarkEnd w:id="0"/>
    <w:r>
      <w:tab/>
      <w:t>07_Bureau</w:t>
    </w:r>
    <w:r w:rsidRPr="00606019">
      <w:t>_201</w:t>
    </w:r>
    <w:r>
      <w:t>4</w:t>
    </w:r>
    <w:r>
      <w:rPr>
        <w:rFonts w:hint="eastAsia"/>
        <w:lang w:eastAsia="ja-JP"/>
      </w:rPr>
      <w:t xml:space="preserve">_Oct </w:t>
    </w:r>
    <w:r>
      <w:rPr>
        <w:lang w:eastAsia="ja-JP"/>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3E5" w:rsidRPr="007E205D" w:rsidRDefault="008603E5" w:rsidP="008603E5">
    <w:pPr>
      <w:pStyle w:val="IPPHeader"/>
      <w:spacing w:after="0"/>
    </w:pPr>
    <w:r>
      <w:rPr>
        <w:noProof/>
        <w:lang w:val="en-GB" w:eastAsia="ja-JP"/>
      </w:rPr>
      <w:drawing>
        <wp:anchor distT="0" distB="0" distL="114300" distR="114300" simplePos="0" relativeHeight="251660288" behindDoc="0" locked="0" layoutInCell="1" allowOverlap="1" wp14:anchorId="27422AF8" wp14:editId="307737D9">
          <wp:simplePos x="0" y="0"/>
          <wp:positionH relativeFrom="column">
            <wp:posOffset>-932235</wp:posOffset>
          </wp:positionH>
          <wp:positionV relativeFrom="paragraph">
            <wp:posOffset>-544996</wp:posOffset>
          </wp:positionV>
          <wp:extent cx="7911548" cy="41905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12393" cy="419100"/>
                  </a:xfrm>
                  <a:prstGeom prst="rect">
                    <a:avLst/>
                  </a:prstGeom>
                  <a:noFill/>
                  <a:ln w="9525">
                    <a:noFill/>
                    <a:miter lim="800000"/>
                    <a:headEnd/>
                    <a:tailEnd/>
                  </a:ln>
                </pic:spPr>
              </pic:pic>
            </a:graphicData>
          </a:graphic>
          <wp14:sizeRelH relativeFrom="margin">
            <wp14:pctWidth>0</wp14:pctWidth>
          </wp14:sizeRelH>
        </wp:anchor>
      </w:drawing>
    </w:r>
    <w:r>
      <w:rPr>
        <w:noProof/>
        <w:lang w:val="en-GB" w:eastAsia="ja-JP"/>
      </w:rPr>
      <w:drawing>
        <wp:anchor distT="0" distB="0" distL="114300" distR="114300" simplePos="0" relativeHeight="251659264" behindDoc="0" locked="0" layoutInCell="1" allowOverlap="1" wp14:anchorId="68A64BCF" wp14:editId="4EB72515">
          <wp:simplePos x="0" y="0"/>
          <wp:positionH relativeFrom="margin">
            <wp:posOffset>-38735</wp:posOffset>
          </wp:positionH>
          <wp:positionV relativeFrom="margin">
            <wp:posOffset>-634365</wp:posOffset>
          </wp:positionV>
          <wp:extent cx="647065" cy="333375"/>
          <wp:effectExtent l="0" t="0" r="635" b="9525"/>
          <wp:wrapSquare wrapText="bothSides"/>
          <wp:docPr id="3" name="Picture 1" descr="IP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CLogo"/>
                  <pic:cNvPicPr>
                    <a:picLocks noChangeAspect="1" noChangeArrowheads="1"/>
                  </pic:cNvPicPr>
                </pic:nvPicPr>
                <pic:blipFill>
                  <a:blip r:embed="rId2"/>
                  <a:srcRect/>
                  <a:stretch>
                    <a:fillRect/>
                  </a:stretch>
                </pic:blipFill>
                <pic:spPr bwMode="auto">
                  <a:xfrm>
                    <a:off x="0" y="0"/>
                    <a:ext cx="647065" cy="333375"/>
                  </a:xfrm>
                  <a:prstGeom prst="rect">
                    <a:avLst/>
                  </a:prstGeom>
                  <a:noFill/>
                  <a:ln w="9525">
                    <a:noFill/>
                    <a:miter lim="800000"/>
                    <a:headEnd/>
                    <a:tailEnd/>
                  </a:ln>
                </pic:spPr>
              </pic:pic>
            </a:graphicData>
          </a:graphic>
        </wp:anchor>
      </w:drawing>
    </w:r>
    <w:r w:rsidRPr="00FE6905">
      <w:tab/>
      <w:t xml:space="preserve">International </w:t>
    </w:r>
    <w:r>
      <w:t>P</w:t>
    </w:r>
    <w:r w:rsidRPr="00FE6905">
      <w:t xml:space="preserve">lant </w:t>
    </w:r>
    <w:r>
      <w:t>P</w:t>
    </w:r>
    <w:r w:rsidRPr="00FE6905">
      <w:t xml:space="preserve">rotection </w:t>
    </w:r>
    <w:r>
      <w:t>C</w:t>
    </w:r>
    <w:r w:rsidRPr="00FE6905">
      <w:t xml:space="preserve">onvention </w:t>
    </w:r>
    <w:r>
      <w:tab/>
      <w:t>07_Bureau</w:t>
    </w:r>
    <w:r w:rsidRPr="00606019">
      <w:t>_201</w:t>
    </w:r>
    <w:r>
      <w:t>4</w:t>
    </w:r>
    <w:r>
      <w:rPr>
        <w:rFonts w:hint="eastAsia"/>
        <w:lang w:eastAsia="ja-JP"/>
      </w:rPr>
      <w:t xml:space="preserve">_Oct </w:t>
    </w:r>
  </w:p>
  <w:p w:rsidR="008603E5" w:rsidRPr="00606019" w:rsidRDefault="008603E5" w:rsidP="008603E5">
    <w:pPr>
      <w:pStyle w:val="IPPHeader"/>
      <w:rPr>
        <w:i/>
      </w:rPr>
    </w:pPr>
    <w:r w:rsidRPr="007E205D">
      <w:tab/>
    </w:r>
    <w:r>
      <w:rPr>
        <w:i/>
      </w:rPr>
      <w:t>New translation process for ISPMs and DPs</w:t>
    </w:r>
    <w:r w:rsidRPr="007E205D">
      <w:rPr>
        <w:i/>
      </w:rPr>
      <w:tab/>
      <w:t xml:space="preserve">Agenda item: </w:t>
    </w:r>
    <w:r>
      <w:rPr>
        <w:i/>
      </w:rPr>
      <w:t>6.5</w:t>
    </w:r>
  </w:p>
  <w:p w:rsidR="008603E5" w:rsidRPr="008603E5" w:rsidRDefault="008603E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C0A6C"/>
    <w:multiLevelType w:val="multilevel"/>
    <w:tmpl w:val="06E871E4"/>
    <w:numStyleLink w:val="IPPParagraphnumberedlist"/>
  </w:abstractNum>
  <w:abstractNum w:abstractNumId="2">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FDF0699"/>
    <w:multiLevelType w:val="hybridMultilevel"/>
    <w:tmpl w:val="816A2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31FE0F8F"/>
    <w:multiLevelType w:val="multilevel"/>
    <w:tmpl w:val="06E871E4"/>
    <w:styleLink w:val="IPPParagraphnumberedlist"/>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nsid w:val="36FC2AC4"/>
    <w:multiLevelType w:val="hybridMultilevel"/>
    <w:tmpl w:val="BCE2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472C"/>
    <w:multiLevelType w:val="hybridMultilevel"/>
    <w:tmpl w:val="80560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027D4"/>
    <w:multiLevelType w:val="hybridMultilevel"/>
    <w:tmpl w:val="E44E1A0A"/>
    <w:lvl w:ilvl="0" w:tplc="881E6E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54700D60"/>
    <w:multiLevelType w:val="hybridMultilevel"/>
    <w:tmpl w:val="79D8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4B0865"/>
    <w:multiLevelType w:val="hybridMultilevel"/>
    <w:tmpl w:val="6822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F57713"/>
    <w:multiLevelType w:val="hybridMultilevel"/>
    <w:tmpl w:val="35BA8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D21C0"/>
    <w:multiLevelType w:val="hybridMultilevel"/>
    <w:tmpl w:val="04BC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6A030B"/>
    <w:multiLevelType w:val="hybridMultilevel"/>
    <w:tmpl w:val="06761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1"/>
  </w:num>
  <w:num w:numId="3">
    <w:abstractNumId w:val="11"/>
  </w:num>
  <w:num w:numId="4">
    <w:abstractNumId w:val="15"/>
  </w:num>
  <w:num w:numId="5">
    <w:abstractNumId w:val="2"/>
  </w:num>
  <w:num w:numId="6">
    <w:abstractNumId w:val="9"/>
  </w:num>
  <w:num w:numId="7">
    <w:abstractNumId w:val="20"/>
  </w:num>
  <w:num w:numId="8">
    <w:abstractNumId w:val="0"/>
  </w:num>
  <w:num w:numId="9">
    <w:abstractNumId w:val="8"/>
  </w:num>
  <w:num w:numId="10">
    <w:abstractNumId w:val="1"/>
  </w:num>
  <w:num w:numId="11">
    <w:abstractNumId w:val="5"/>
  </w:num>
  <w:num w:numId="12">
    <w:abstractNumId w:val="4"/>
  </w:num>
  <w:num w:numId="13">
    <w:abstractNumId w:val="1"/>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abstractNumId w:val="1"/>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abstractNumId w:val="1"/>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abstractNumId w:val="1"/>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abstractNumId w:val="1"/>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abstractNumId w:val="1"/>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abstractNumId w:val="10"/>
  </w:num>
  <w:num w:numId="20">
    <w:abstractNumId w:val="16"/>
  </w:num>
  <w:num w:numId="21">
    <w:abstractNumId w:val="3"/>
  </w:num>
  <w:num w:numId="22">
    <w:abstractNumId w:val="14"/>
  </w:num>
  <w:num w:numId="23">
    <w:abstractNumId w:val="17"/>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3"/>
  </w:num>
  <w:num w:numId="27">
    <w:abstractNumId w:val="6"/>
  </w:num>
  <w:num w:numId="28">
    <w:abstractNumId w:val="19"/>
  </w:num>
  <w:num w:numId="29">
    <w:abstractNumId w:val="7"/>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linkStyles/>
  <w:defaultTabStop w:val="720"/>
  <w:evenAndOddHeaders/>
  <w:drawingGridHorizontalSpacing w:val="11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084317"/>
    <w:rsid w:val="00002D9A"/>
    <w:rsid w:val="00006508"/>
    <w:rsid w:val="00006A1D"/>
    <w:rsid w:val="00014B3B"/>
    <w:rsid w:val="00020123"/>
    <w:rsid w:val="000259A7"/>
    <w:rsid w:val="000268DB"/>
    <w:rsid w:val="0004005B"/>
    <w:rsid w:val="00051EBC"/>
    <w:rsid w:val="00056864"/>
    <w:rsid w:val="00063B1C"/>
    <w:rsid w:val="00064DDA"/>
    <w:rsid w:val="00071DBD"/>
    <w:rsid w:val="00076608"/>
    <w:rsid w:val="00081984"/>
    <w:rsid w:val="000824A8"/>
    <w:rsid w:val="00084317"/>
    <w:rsid w:val="0008621A"/>
    <w:rsid w:val="00086845"/>
    <w:rsid w:val="00086FF1"/>
    <w:rsid w:val="0008754C"/>
    <w:rsid w:val="000931C1"/>
    <w:rsid w:val="000A040F"/>
    <w:rsid w:val="000A17A5"/>
    <w:rsid w:val="000A2570"/>
    <w:rsid w:val="000A3E26"/>
    <w:rsid w:val="000A49D7"/>
    <w:rsid w:val="000A57D5"/>
    <w:rsid w:val="000A63DE"/>
    <w:rsid w:val="000B2DBC"/>
    <w:rsid w:val="000B49D7"/>
    <w:rsid w:val="000B6EB3"/>
    <w:rsid w:val="000B7D15"/>
    <w:rsid w:val="000C4515"/>
    <w:rsid w:val="000D61E0"/>
    <w:rsid w:val="000D68EA"/>
    <w:rsid w:val="000D75AA"/>
    <w:rsid w:val="000E1687"/>
    <w:rsid w:val="000E2880"/>
    <w:rsid w:val="000E6996"/>
    <w:rsid w:val="000E76A9"/>
    <w:rsid w:val="000F145C"/>
    <w:rsid w:val="001039CC"/>
    <w:rsid w:val="0011725A"/>
    <w:rsid w:val="001210BD"/>
    <w:rsid w:val="00122D0E"/>
    <w:rsid w:val="00123864"/>
    <w:rsid w:val="00123992"/>
    <w:rsid w:val="00125701"/>
    <w:rsid w:val="00126DBC"/>
    <w:rsid w:val="00136D94"/>
    <w:rsid w:val="00136E96"/>
    <w:rsid w:val="00144BED"/>
    <w:rsid w:val="00145855"/>
    <w:rsid w:val="0014616B"/>
    <w:rsid w:val="0014646C"/>
    <w:rsid w:val="00146921"/>
    <w:rsid w:val="00173284"/>
    <w:rsid w:val="00175486"/>
    <w:rsid w:val="00181EBC"/>
    <w:rsid w:val="0019595B"/>
    <w:rsid w:val="00197757"/>
    <w:rsid w:val="001A2745"/>
    <w:rsid w:val="001A5487"/>
    <w:rsid w:val="001B4F05"/>
    <w:rsid w:val="001B5DD3"/>
    <w:rsid w:val="001B785F"/>
    <w:rsid w:val="001C79FB"/>
    <w:rsid w:val="001D5D85"/>
    <w:rsid w:val="001D7715"/>
    <w:rsid w:val="001E4551"/>
    <w:rsid w:val="00213F98"/>
    <w:rsid w:val="00225280"/>
    <w:rsid w:val="00227830"/>
    <w:rsid w:val="00227D39"/>
    <w:rsid w:val="00233859"/>
    <w:rsid w:val="00235BAE"/>
    <w:rsid w:val="00237B3A"/>
    <w:rsid w:val="002458D3"/>
    <w:rsid w:val="002461C7"/>
    <w:rsid w:val="00260A76"/>
    <w:rsid w:val="002628AB"/>
    <w:rsid w:val="00264D62"/>
    <w:rsid w:val="00265FFA"/>
    <w:rsid w:val="0026757B"/>
    <w:rsid w:val="00282713"/>
    <w:rsid w:val="00286901"/>
    <w:rsid w:val="00287496"/>
    <w:rsid w:val="002936FA"/>
    <w:rsid w:val="002959C5"/>
    <w:rsid w:val="00297156"/>
    <w:rsid w:val="00297DDA"/>
    <w:rsid w:val="002A3B1C"/>
    <w:rsid w:val="002B4656"/>
    <w:rsid w:val="002B6252"/>
    <w:rsid w:val="002C00FC"/>
    <w:rsid w:val="002C4323"/>
    <w:rsid w:val="002C436F"/>
    <w:rsid w:val="002C7035"/>
    <w:rsid w:val="002E235C"/>
    <w:rsid w:val="002F6B77"/>
    <w:rsid w:val="00302D8D"/>
    <w:rsid w:val="00305D0F"/>
    <w:rsid w:val="0031006E"/>
    <w:rsid w:val="00310EAB"/>
    <w:rsid w:val="00313CE6"/>
    <w:rsid w:val="00322105"/>
    <w:rsid w:val="00325817"/>
    <w:rsid w:val="00333E1B"/>
    <w:rsid w:val="00333FE8"/>
    <w:rsid w:val="00344E74"/>
    <w:rsid w:val="00344FA0"/>
    <w:rsid w:val="0035260D"/>
    <w:rsid w:val="00364E2D"/>
    <w:rsid w:val="00367B10"/>
    <w:rsid w:val="00375AE6"/>
    <w:rsid w:val="00376A8D"/>
    <w:rsid w:val="00380059"/>
    <w:rsid w:val="00381060"/>
    <w:rsid w:val="00392273"/>
    <w:rsid w:val="00393F82"/>
    <w:rsid w:val="00393FD6"/>
    <w:rsid w:val="0039498C"/>
    <w:rsid w:val="003A4B02"/>
    <w:rsid w:val="003A6FB4"/>
    <w:rsid w:val="003A7B62"/>
    <w:rsid w:val="003B6DF9"/>
    <w:rsid w:val="003C1EE1"/>
    <w:rsid w:val="003C48F7"/>
    <w:rsid w:val="003D1CBD"/>
    <w:rsid w:val="003D4887"/>
    <w:rsid w:val="003E0EF6"/>
    <w:rsid w:val="003E1C11"/>
    <w:rsid w:val="003E277D"/>
    <w:rsid w:val="003E46E0"/>
    <w:rsid w:val="003F56B9"/>
    <w:rsid w:val="003F690C"/>
    <w:rsid w:val="003F7B8A"/>
    <w:rsid w:val="00402AF2"/>
    <w:rsid w:val="00407A8B"/>
    <w:rsid w:val="00416446"/>
    <w:rsid w:val="0042595C"/>
    <w:rsid w:val="00425D2D"/>
    <w:rsid w:val="004312B5"/>
    <w:rsid w:val="00436C08"/>
    <w:rsid w:val="00436EE9"/>
    <w:rsid w:val="004423D5"/>
    <w:rsid w:val="0044342E"/>
    <w:rsid w:val="004566BB"/>
    <w:rsid w:val="00460205"/>
    <w:rsid w:val="00460451"/>
    <w:rsid w:val="0046419F"/>
    <w:rsid w:val="00464917"/>
    <w:rsid w:val="0047220A"/>
    <w:rsid w:val="00473E88"/>
    <w:rsid w:val="00475F20"/>
    <w:rsid w:val="00476541"/>
    <w:rsid w:val="00476BA7"/>
    <w:rsid w:val="00484105"/>
    <w:rsid w:val="0049206D"/>
    <w:rsid w:val="0049319E"/>
    <w:rsid w:val="004963BA"/>
    <w:rsid w:val="004A1E13"/>
    <w:rsid w:val="004B32D2"/>
    <w:rsid w:val="004B3744"/>
    <w:rsid w:val="004C2292"/>
    <w:rsid w:val="004C3841"/>
    <w:rsid w:val="004C38C4"/>
    <w:rsid w:val="004C4D0E"/>
    <w:rsid w:val="004C6381"/>
    <w:rsid w:val="004C63C9"/>
    <w:rsid w:val="004D092D"/>
    <w:rsid w:val="004D0BD1"/>
    <w:rsid w:val="004D3976"/>
    <w:rsid w:val="004D57E1"/>
    <w:rsid w:val="004D795A"/>
    <w:rsid w:val="004E26D9"/>
    <w:rsid w:val="004E2B3A"/>
    <w:rsid w:val="004E5299"/>
    <w:rsid w:val="004E57B1"/>
    <w:rsid w:val="004E7595"/>
    <w:rsid w:val="0050028B"/>
    <w:rsid w:val="00505753"/>
    <w:rsid w:val="0051057B"/>
    <w:rsid w:val="005171F6"/>
    <w:rsid w:val="00521435"/>
    <w:rsid w:val="00523A8E"/>
    <w:rsid w:val="00525739"/>
    <w:rsid w:val="005358CB"/>
    <w:rsid w:val="00537C2B"/>
    <w:rsid w:val="00542F2A"/>
    <w:rsid w:val="00554694"/>
    <w:rsid w:val="0055747C"/>
    <w:rsid w:val="00560FE8"/>
    <w:rsid w:val="0056735C"/>
    <w:rsid w:val="00572E0E"/>
    <w:rsid w:val="0058513B"/>
    <w:rsid w:val="00593399"/>
    <w:rsid w:val="005953D1"/>
    <w:rsid w:val="005A02B3"/>
    <w:rsid w:val="005A416C"/>
    <w:rsid w:val="005A5B40"/>
    <w:rsid w:val="005A7C36"/>
    <w:rsid w:val="005B6054"/>
    <w:rsid w:val="005B737D"/>
    <w:rsid w:val="005B7526"/>
    <w:rsid w:val="005C24F0"/>
    <w:rsid w:val="005C2995"/>
    <w:rsid w:val="005C564C"/>
    <w:rsid w:val="005C693B"/>
    <w:rsid w:val="005D0368"/>
    <w:rsid w:val="005D0B05"/>
    <w:rsid w:val="005D341A"/>
    <w:rsid w:val="005D77A5"/>
    <w:rsid w:val="005E0242"/>
    <w:rsid w:val="005E3142"/>
    <w:rsid w:val="005F530C"/>
    <w:rsid w:val="005F5A8C"/>
    <w:rsid w:val="005F77E0"/>
    <w:rsid w:val="00601B11"/>
    <w:rsid w:val="0060469C"/>
    <w:rsid w:val="0061089E"/>
    <w:rsid w:val="006147E6"/>
    <w:rsid w:val="00616013"/>
    <w:rsid w:val="006212B2"/>
    <w:rsid w:val="0062265A"/>
    <w:rsid w:val="00630268"/>
    <w:rsid w:val="00632AE3"/>
    <w:rsid w:val="00633D7B"/>
    <w:rsid w:val="00640AED"/>
    <w:rsid w:val="0064217B"/>
    <w:rsid w:val="00653143"/>
    <w:rsid w:val="00654FF5"/>
    <w:rsid w:val="00656AB4"/>
    <w:rsid w:val="006643CE"/>
    <w:rsid w:val="0066500B"/>
    <w:rsid w:val="00666CB5"/>
    <w:rsid w:val="00667C53"/>
    <w:rsid w:val="006709B2"/>
    <w:rsid w:val="006731E2"/>
    <w:rsid w:val="00677601"/>
    <w:rsid w:val="006827E2"/>
    <w:rsid w:val="00685122"/>
    <w:rsid w:val="00686976"/>
    <w:rsid w:val="0069359E"/>
    <w:rsid w:val="006A15A6"/>
    <w:rsid w:val="006A2522"/>
    <w:rsid w:val="006A5EB4"/>
    <w:rsid w:val="006B3188"/>
    <w:rsid w:val="006C313F"/>
    <w:rsid w:val="006D171B"/>
    <w:rsid w:val="006D50C9"/>
    <w:rsid w:val="006D729C"/>
    <w:rsid w:val="006E30D8"/>
    <w:rsid w:val="006E4367"/>
    <w:rsid w:val="006F18B1"/>
    <w:rsid w:val="006F1B38"/>
    <w:rsid w:val="006F6871"/>
    <w:rsid w:val="0070096C"/>
    <w:rsid w:val="0070320E"/>
    <w:rsid w:val="00711134"/>
    <w:rsid w:val="00720EB8"/>
    <w:rsid w:val="0072223E"/>
    <w:rsid w:val="007245BF"/>
    <w:rsid w:val="00725108"/>
    <w:rsid w:val="0074303E"/>
    <w:rsid w:val="0074386F"/>
    <w:rsid w:val="0074796A"/>
    <w:rsid w:val="00751759"/>
    <w:rsid w:val="00754359"/>
    <w:rsid w:val="0075770E"/>
    <w:rsid w:val="00765C81"/>
    <w:rsid w:val="00767C16"/>
    <w:rsid w:val="00780DED"/>
    <w:rsid w:val="00781B6F"/>
    <w:rsid w:val="00786EA1"/>
    <w:rsid w:val="00791247"/>
    <w:rsid w:val="0079430C"/>
    <w:rsid w:val="00795D1B"/>
    <w:rsid w:val="007A26B3"/>
    <w:rsid w:val="007A54A6"/>
    <w:rsid w:val="007C12F5"/>
    <w:rsid w:val="007C13E1"/>
    <w:rsid w:val="007C72EC"/>
    <w:rsid w:val="007D2F1B"/>
    <w:rsid w:val="007D3653"/>
    <w:rsid w:val="007E4FEA"/>
    <w:rsid w:val="007E72BB"/>
    <w:rsid w:val="008017DF"/>
    <w:rsid w:val="00812EE1"/>
    <w:rsid w:val="00816D80"/>
    <w:rsid w:val="008172DB"/>
    <w:rsid w:val="0082513A"/>
    <w:rsid w:val="00826455"/>
    <w:rsid w:val="008359E2"/>
    <w:rsid w:val="00840D1F"/>
    <w:rsid w:val="00844334"/>
    <w:rsid w:val="00846D26"/>
    <w:rsid w:val="00851624"/>
    <w:rsid w:val="008603E5"/>
    <w:rsid w:val="008608EB"/>
    <w:rsid w:val="00874744"/>
    <w:rsid w:val="00874800"/>
    <w:rsid w:val="00876687"/>
    <w:rsid w:val="008767DE"/>
    <w:rsid w:val="008846E6"/>
    <w:rsid w:val="00891CC3"/>
    <w:rsid w:val="0089780F"/>
    <w:rsid w:val="008A3660"/>
    <w:rsid w:val="008A783B"/>
    <w:rsid w:val="008A7ABF"/>
    <w:rsid w:val="008B3A4E"/>
    <w:rsid w:val="008B7D51"/>
    <w:rsid w:val="008C30DF"/>
    <w:rsid w:val="008D19B7"/>
    <w:rsid w:val="008D1CA3"/>
    <w:rsid w:val="008D263F"/>
    <w:rsid w:val="008F1F82"/>
    <w:rsid w:val="008F608C"/>
    <w:rsid w:val="008F62CD"/>
    <w:rsid w:val="008F7323"/>
    <w:rsid w:val="00903764"/>
    <w:rsid w:val="00906F8A"/>
    <w:rsid w:val="00916CB1"/>
    <w:rsid w:val="00916EB9"/>
    <w:rsid w:val="00921FA9"/>
    <w:rsid w:val="00922A8D"/>
    <w:rsid w:val="0094260E"/>
    <w:rsid w:val="00944794"/>
    <w:rsid w:val="009466C0"/>
    <w:rsid w:val="00947F72"/>
    <w:rsid w:val="0095624B"/>
    <w:rsid w:val="00962F56"/>
    <w:rsid w:val="00966EBF"/>
    <w:rsid w:val="009738C6"/>
    <w:rsid w:val="009739E4"/>
    <w:rsid w:val="00977048"/>
    <w:rsid w:val="00985D32"/>
    <w:rsid w:val="00985ED6"/>
    <w:rsid w:val="00986B04"/>
    <w:rsid w:val="00990EB9"/>
    <w:rsid w:val="009933B5"/>
    <w:rsid w:val="009953A2"/>
    <w:rsid w:val="00995AB7"/>
    <w:rsid w:val="009A2A58"/>
    <w:rsid w:val="009A7053"/>
    <w:rsid w:val="009B030A"/>
    <w:rsid w:val="009B7101"/>
    <w:rsid w:val="009C2586"/>
    <w:rsid w:val="009C3520"/>
    <w:rsid w:val="009C5FCE"/>
    <w:rsid w:val="009C680A"/>
    <w:rsid w:val="009D0B6A"/>
    <w:rsid w:val="009D113C"/>
    <w:rsid w:val="009D1C90"/>
    <w:rsid w:val="009D7EA5"/>
    <w:rsid w:val="009E00AD"/>
    <w:rsid w:val="009E54A0"/>
    <w:rsid w:val="009F2927"/>
    <w:rsid w:val="009F3943"/>
    <w:rsid w:val="009F4D82"/>
    <w:rsid w:val="009F74E2"/>
    <w:rsid w:val="00A01D68"/>
    <w:rsid w:val="00A04D2A"/>
    <w:rsid w:val="00A148D1"/>
    <w:rsid w:val="00A25C69"/>
    <w:rsid w:val="00A267C6"/>
    <w:rsid w:val="00A2712A"/>
    <w:rsid w:val="00A4260E"/>
    <w:rsid w:val="00A43950"/>
    <w:rsid w:val="00A43F40"/>
    <w:rsid w:val="00A46C9B"/>
    <w:rsid w:val="00A71A22"/>
    <w:rsid w:val="00A7306C"/>
    <w:rsid w:val="00A7518E"/>
    <w:rsid w:val="00A81305"/>
    <w:rsid w:val="00A824A0"/>
    <w:rsid w:val="00A86BD2"/>
    <w:rsid w:val="00A91C9C"/>
    <w:rsid w:val="00A95C0F"/>
    <w:rsid w:val="00A965CD"/>
    <w:rsid w:val="00AA5A99"/>
    <w:rsid w:val="00AB03C1"/>
    <w:rsid w:val="00AB720A"/>
    <w:rsid w:val="00AC13A4"/>
    <w:rsid w:val="00AC3D5D"/>
    <w:rsid w:val="00AC6307"/>
    <w:rsid w:val="00AD3ACE"/>
    <w:rsid w:val="00AD626B"/>
    <w:rsid w:val="00AD6FAC"/>
    <w:rsid w:val="00AE2953"/>
    <w:rsid w:val="00AE4821"/>
    <w:rsid w:val="00AE51E2"/>
    <w:rsid w:val="00AE5902"/>
    <w:rsid w:val="00AE6005"/>
    <w:rsid w:val="00AF1250"/>
    <w:rsid w:val="00AF3B40"/>
    <w:rsid w:val="00AF5669"/>
    <w:rsid w:val="00B02A3C"/>
    <w:rsid w:val="00B04551"/>
    <w:rsid w:val="00B053D2"/>
    <w:rsid w:val="00B07279"/>
    <w:rsid w:val="00B115C7"/>
    <w:rsid w:val="00B229A9"/>
    <w:rsid w:val="00B24B18"/>
    <w:rsid w:val="00B317E2"/>
    <w:rsid w:val="00B35F71"/>
    <w:rsid w:val="00B418A8"/>
    <w:rsid w:val="00B52817"/>
    <w:rsid w:val="00B626EA"/>
    <w:rsid w:val="00B6555D"/>
    <w:rsid w:val="00B7232D"/>
    <w:rsid w:val="00B7238A"/>
    <w:rsid w:val="00B73C6E"/>
    <w:rsid w:val="00B75DFC"/>
    <w:rsid w:val="00B76070"/>
    <w:rsid w:val="00B82A0D"/>
    <w:rsid w:val="00BA12BD"/>
    <w:rsid w:val="00BA1CC6"/>
    <w:rsid w:val="00BA5210"/>
    <w:rsid w:val="00BB2518"/>
    <w:rsid w:val="00BB7817"/>
    <w:rsid w:val="00BC2D5F"/>
    <w:rsid w:val="00BD7DF7"/>
    <w:rsid w:val="00BE1453"/>
    <w:rsid w:val="00BE2629"/>
    <w:rsid w:val="00BF0B6F"/>
    <w:rsid w:val="00BF27DA"/>
    <w:rsid w:val="00BF36D4"/>
    <w:rsid w:val="00BF4E67"/>
    <w:rsid w:val="00BF75F1"/>
    <w:rsid w:val="00C0307C"/>
    <w:rsid w:val="00C03CED"/>
    <w:rsid w:val="00C04E55"/>
    <w:rsid w:val="00C118D5"/>
    <w:rsid w:val="00C1430D"/>
    <w:rsid w:val="00C21AC8"/>
    <w:rsid w:val="00C23154"/>
    <w:rsid w:val="00C30AA5"/>
    <w:rsid w:val="00C32119"/>
    <w:rsid w:val="00C333DA"/>
    <w:rsid w:val="00C34452"/>
    <w:rsid w:val="00C46048"/>
    <w:rsid w:val="00C52867"/>
    <w:rsid w:val="00C531FD"/>
    <w:rsid w:val="00C56FA4"/>
    <w:rsid w:val="00C66D44"/>
    <w:rsid w:val="00C709D9"/>
    <w:rsid w:val="00C740E8"/>
    <w:rsid w:val="00C7634E"/>
    <w:rsid w:val="00C776BA"/>
    <w:rsid w:val="00C80198"/>
    <w:rsid w:val="00C82725"/>
    <w:rsid w:val="00C8295C"/>
    <w:rsid w:val="00C83654"/>
    <w:rsid w:val="00C86BE5"/>
    <w:rsid w:val="00C94136"/>
    <w:rsid w:val="00CA1248"/>
    <w:rsid w:val="00CB7B6E"/>
    <w:rsid w:val="00CC149B"/>
    <w:rsid w:val="00CC5F41"/>
    <w:rsid w:val="00CC6D8F"/>
    <w:rsid w:val="00CC7CB9"/>
    <w:rsid w:val="00CD3117"/>
    <w:rsid w:val="00CE4D4F"/>
    <w:rsid w:val="00CE7863"/>
    <w:rsid w:val="00CF7500"/>
    <w:rsid w:val="00D02879"/>
    <w:rsid w:val="00D05D5B"/>
    <w:rsid w:val="00D10472"/>
    <w:rsid w:val="00D13674"/>
    <w:rsid w:val="00D22BAF"/>
    <w:rsid w:val="00D27F91"/>
    <w:rsid w:val="00D450E6"/>
    <w:rsid w:val="00D468C2"/>
    <w:rsid w:val="00D506FB"/>
    <w:rsid w:val="00D50C2D"/>
    <w:rsid w:val="00D50E14"/>
    <w:rsid w:val="00D56C61"/>
    <w:rsid w:val="00D60463"/>
    <w:rsid w:val="00D62BEE"/>
    <w:rsid w:val="00D67ACE"/>
    <w:rsid w:val="00D77000"/>
    <w:rsid w:val="00D93486"/>
    <w:rsid w:val="00DA28EE"/>
    <w:rsid w:val="00DA6269"/>
    <w:rsid w:val="00DB1640"/>
    <w:rsid w:val="00DB4656"/>
    <w:rsid w:val="00DB66BC"/>
    <w:rsid w:val="00DC02F1"/>
    <w:rsid w:val="00DC3611"/>
    <w:rsid w:val="00DC5457"/>
    <w:rsid w:val="00DC589C"/>
    <w:rsid w:val="00DD284F"/>
    <w:rsid w:val="00DD3FD8"/>
    <w:rsid w:val="00DD4A5B"/>
    <w:rsid w:val="00DE26E9"/>
    <w:rsid w:val="00DF33DA"/>
    <w:rsid w:val="00E0029E"/>
    <w:rsid w:val="00E02823"/>
    <w:rsid w:val="00E05777"/>
    <w:rsid w:val="00E144B8"/>
    <w:rsid w:val="00E17B16"/>
    <w:rsid w:val="00E20738"/>
    <w:rsid w:val="00E209E4"/>
    <w:rsid w:val="00E246E1"/>
    <w:rsid w:val="00E25A53"/>
    <w:rsid w:val="00E3726A"/>
    <w:rsid w:val="00E447E6"/>
    <w:rsid w:val="00E55409"/>
    <w:rsid w:val="00E611F6"/>
    <w:rsid w:val="00E667ED"/>
    <w:rsid w:val="00E83B07"/>
    <w:rsid w:val="00E84D28"/>
    <w:rsid w:val="00E91F26"/>
    <w:rsid w:val="00E97840"/>
    <w:rsid w:val="00EA2609"/>
    <w:rsid w:val="00EA5100"/>
    <w:rsid w:val="00EA68CA"/>
    <w:rsid w:val="00EB002A"/>
    <w:rsid w:val="00EB1145"/>
    <w:rsid w:val="00EB46F4"/>
    <w:rsid w:val="00EB58D0"/>
    <w:rsid w:val="00EB5F3F"/>
    <w:rsid w:val="00EC742E"/>
    <w:rsid w:val="00ED4765"/>
    <w:rsid w:val="00ED7AA6"/>
    <w:rsid w:val="00EE1A66"/>
    <w:rsid w:val="00EE1D1A"/>
    <w:rsid w:val="00EE1FCC"/>
    <w:rsid w:val="00EE4D7B"/>
    <w:rsid w:val="00EF4AFA"/>
    <w:rsid w:val="00F00E35"/>
    <w:rsid w:val="00F03762"/>
    <w:rsid w:val="00F05F95"/>
    <w:rsid w:val="00F07A14"/>
    <w:rsid w:val="00F124AD"/>
    <w:rsid w:val="00F14EB9"/>
    <w:rsid w:val="00F16433"/>
    <w:rsid w:val="00F166A4"/>
    <w:rsid w:val="00F16F3B"/>
    <w:rsid w:val="00F1771A"/>
    <w:rsid w:val="00F20565"/>
    <w:rsid w:val="00F25D1F"/>
    <w:rsid w:val="00F278A2"/>
    <w:rsid w:val="00F316DB"/>
    <w:rsid w:val="00F35759"/>
    <w:rsid w:val="00F36A33"/>
    <w:rsid w:val="00F36E5C"/>
    <w:rsid w:val="00F36FB7"/>
    <w:rsid w:val="00F455F5"/>
    <w:rsid w:val="00F45A07"/>
    <w:rsid w:val="00F5100A"/>
    <w:rsid w:val="00F67C4A"/>
    <w:rsid w:val="00F73DC7"/>
    <w:rsid w:val="00F77467"/>
    <w:rsid w:val="00F826EF"/>
    <w:rsid w:val="00F82DCC"/>
    <w:rsid w:val="00F84614"/>
    <w:rsid w:val="00F93667"/>
    <w:rsid w:val="00F95279"/>
    <w:rsid w:val="00F969E5"/>
    <w:rsid w:val="00F9793F"/>
    <w:rsid w:val="00FA127B"/>
    <w:rsid w:val="00FA15EC"/>
    <w:rsid w:val="00FA32BE"/>
    <w:rsid w:val="00FA6559"/>
    <w:rsid w:val="00FB66AB"/>
    <w:rsid w:val="00FC1518"/>
    <w:rsid w:val="00FC1642"/>
    <w:rsid w:val="00FC5E2B"/>
    <w:rsid w:val="00FC6626"/>
    <w:rsid w:val="00FC70FF"/>
    <w:rsid w:val="00FD0EC2"/>
    <w:rsid w:val="00FD6213"/>
    <w:rsid w:val="00FE0853"/>
    <w:rsid w:val="00FE6BD6"/>
    <w:rsid w:val="00FF3CD0"/>
    <w:rsid w:val="00FF7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996"/>
    <w:pPr>
      <w:jc w:val="both"/>
    </w:pPr>
    <w:rPr>
      <w:rFonts w:eastAsia="MS Mincho"/>
      <w:sz w:val="22"/>
      <w:szCs w:val="24"/>
      <w:lang w:val="en-GB"/>
    </w:rPr>
  </w:style>
  <w:style w:type="paragraph" w:styleId="Heading1">
    <w:name w:val="heading 1"/>
    <w:basedOn w:val="Normal"/>
    <w:next w:val="Normal"/>
    <w:link w:val="Heading1Char"/>
    <w:qFormat/>
    <w:rsid w:val="000E699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0E699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0E6996"/>
    <w:pPr>
      <w:keepNext/>
      <w:spacing w:before="240" w:after="60"/>
      <w:outlineLvl w:val="2"/>
    </w:pPr>
    <w:rPr>
      <w:rFonts w:ascii="Calibri" w:hAnsi="Calibri"/>
      <w:b/>
      <w:bCs/>
      <w:sz w:val="26"/>
      <w:szCs w:val="26"/>
    </w:rPr>
  </w:style>
  <w:style w:type="character" w:default="1" w:styleId="DefaultParagraphFont">
    <w:name w:val="Default Paragraph Font"/>
    <w:semiHidden/>
    <w:unhideWhenUsed/>
    <w:rsid w:val="000E69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0E6996"/>
  </w:style>
  <w:style w:type="paragraph" w:styleId="Header">
    <w:name w:val="header"/>
    <w:basedOn w:val="Normal"/>
    <w:link w:val="HeaderChar"/>
    <w:rsid w:val="000E6996"/>
    <w:pPr>
      <w:tabs>
        <w:tab w:val="center" w:pos="4680"/>
        <w:tab w:val="right" w:pos="9360"/>
      </w:tabs>
    </w:pPr>
  </w:style>
  <w:style w:type="character" w:customStyle="1" w:styleId="HeaderChar">
    <w:name w:val="Header Char"/>
    <w:basedOn w:val="DefaultParagraphFont"/>
    <w:link w:val="Header"/>
    <w:rsid w:val="000E6996"/>
    <w:rPr>
      <w:rFonts w:eastAsia="MS Mincho"/>
      <w:sz w:val="22"/>
      <w:szCs w:val="24"/>
      <w:lang w:val="en-GB"/>
    </w:rPr>
  </w:style>
  <w:style w:type="paragraph" w:styleId="Footer">
    <w:name w:val="footer"/>
    <w:basedOn w:val="Normal"/>
    <w:link w:val="FooterChar"/>
    <w:rsid w:val="000E6996"/>
    <w:pPr>
      <w:tabs>
        <w:tab w:val="center" w:pos="4680"/>
        <w:tab w:val="right" w:pos="9360"/>
      </w:tabs>
    </w:pPr>
  </w:style>
  <w:style w:type="character" w:customStyle="1" w:styleId="FooterChar">
    <w:name w:val="Footer Char"/>
    <w:basedOn w:val="DefaultParagraphFont"/>
    <w:link w:val="Footer"/>
    <w:rsid w:val="000E6996"/>
    <w:rPr>
      <w:rFonts w:eastAsia="MS Mincho"/>
      <w:sz w:val="22"/>
      <w:szCs w:val="24"/>
      <w:lang w:val="en-GB"/>
    </w:rPr>
  </w:style>
  <w:style w:type="character" w:customStyle="1" w:styleId="Heading1Char">
    <w:name w:val="Heading 1 Char"/>
    <w:basedOn w:val="DefaultParagraphFont"/>
    <w:link w:val="Heading1"/>
    <w:rsid w:val="000E6996"/>
    <w:rPr>
      <w:rFonts w:eastAsia="MS Mincho"/>
      <w:b/>
      <w:bCs/>
      <w:sz w:val="22"/>
      <w:szCs w:val="24"/>
      <w:lang w:val="en-GB"/>
    </w:rPr>
  </w:style>
  <w:style w:type="character" w:customStyle="1" w:styleId="Heading2Char">
    <w:name w:val="Heading 2 Char"/>
    <w:basedOn w:val="DefaultParagraphFont"/>
    <w:link w:val="Heading2"/>
    <w:rsid w:val="000E6996"/>
    <w:rPr>
      <w:rFonts w:ascii="Calibri" w:eastAsia="MS Mincho" w:hAnsi="Calibri"/>
      <w:b/>
      <w:bCs/>
      <w:i/>
      <w:iCs/>
      <w:sz w:val="28"/>
      <w:szCs w:val="28"/>
      <w:lang w:val="en-GB"/>
    </w:rPr>
  </w:style>
  <w:style w:type="character" w:customStyle="1" w:styleId="Heading3Char">
    <w:name w:val="Heading 3 Char"/>
    <w:basedOn w:val="DefaultParagraphFont"/>
    <w:link w:val="Heading3"/>
    <w:rsid w:val="000E6996"/>
    <w:rPr>
      <w:rFonts w:ascii="Calibri" w:eastAsia="MS Mincho" w:hAnsi="Calibri"/>
      <w:b/>
      <w:bCs/>
      <w:sz w:val="26"/>
      <w:szCs w:val="26"/>
      <w:lang w:val="en-GB"/>
    </w:rPr>
  </w:style>
  <w:style w:type="paragraph" w:customStyle="1" w:styleId="Style">
    <w:name w:val="Style"/>
    <w:basedOn w:val="Footer"/>
    <w:autoRedefine/>
    <w:qFormat/>
    <w:rsid w:val="000E699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0E6996"/>
    <w:pPr>
      <w:tabs>
        <w:tab w:val="left" w:pos="28"/>
      </w:tabs>
      <w:ind w:left="284" w:hanging="284"/>
    </w:pPr>
    <w:rPr>
      <w:sz w:val="16"/>
    </w:rPr>
  </w:style>
  <w:style w:type="paragraph" w:customStyle="1" w:styleId="IPPContentsHead">
    <w:name w:val="IPP ContentsHead"/>
    <w:basedOn w:val="IPPSubhead"/>
    <w:next w:val="IPPNormal"/>
    <w:qFormat/>
    <w:rsid w:val="000E6996"/>
    <w:pPr>
      <w:spacing w:after="240"/>
    </w:pPr>
    <w:rPr>
      <w:sz w:val="24"/>
    </w:rPr>
  </w:style>
  <w:style w:type="paragraph" w:customStyle="1" w:styleId="IPPBullet2">
    <w:name w:val="IPP Bullet2"/>
    <w:basedOn w:val="IPPNormal"/>
    <w:next w:val="IPPBullet1"/>
    <w:qFormat/>
    <w:rsid w:val="000E6996"/>
    <w:pPr>
      <w:numPr>
        <w:numId w:val="1"/>
      </w:numPr>
      <w:tabs>
        <w:tab w:val="left" w:pos="1134"/>
      </w:tabs>
      <w:spacing w:after="60"/>
      <w:ind w:left="1134" w:hanging="567"/>
    </w:pPr>
  </w:style>
  <w:style w:type="paragraph" w:customStyle="1" w:styleId="IPPQuote">
    <w:name w:val="IPP Quote"/>
    <w:basedOn w:val="IPPNormal"/>
    <w:qFormat/>
    <w:rsid w:val="000E6996"/>
    <w:pPr>
      <w:ind w:left="851" w:right="851"/>
    </w:pPr>
    <w:rPr>
      <w:sz w:val="18"/>
    </w:rPr>
  </w:style>
  <w:style w:type="paragraph" w:customStyle="1" w:styleId="IPPNormal">
    <w:name w:val="IPP Normal"/>
    <w:basedOn w:val="Normal"/>
    <w:link w:val="IPPNormalChar"/>
    <w:qFormat/>
    <w:rsid w:val="000E6996"/>
    <w:pPr>
      <w:spacing w:after="180"/>
    </w:pPr>
    <w:rPr>
      <w:rFonts w:eastAsia="Times"/>
    </w:rPr>
  </w:style>
  <w:style w:type="paragraph" w:customStyle="1" w:styleId="IPPIndentClose">
    <w:name w:val="IPP Indent Close"/>
    <w:basedOn w:val="IPPNormal"/>
    <w:qFormat/>
    <w:rsid w:val="000E6996"/>
    <w:pPr>
      <w:tabs>
        <w:tab w:val="left" w:pos="2835"/>
      </w:tabs>
      <w:spacing w:after="60"/>
      <w:ind w:left="567"/>
    </w:pPr>
  </w:style>
  <w:style w:type="paragraph" w:customStyle="1" w:styleId="IPPIndent">
    <w:name w:val="IPP Indent"/>
    <w:basedOn w:val="IPPIndentClose"/>
    <w:qFormat/>
    <w:rsid w:val="000E6996"/>
    <w:pPr>
      <w:spacing w:after="180"/>
    </w:pPr>
  </w:style>
  <w:style w:type="paragraph" w:customStyle="1" w:styleId="IPPFootnote">
    <w:name w:val="IPP Footnote"/>
    <w:basedOn w:val="IPPArialFootnote"/>
    <w:qFormat/>
    <w:rsid w:val="000E6996"/>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 3"/>
    <w:basedOn w:val="IPPNormal"/>
    <w:qFormat/>
    <w:rsid w:val="004D092D"/>
    <w:pPr>
      <w:keepNext/>
      <w:tabs>
        <w:tab w:val="left" w:pos="567"/>
      </w:tabs>
      <w:spacing w:before="120" w:after="120"/>
      <w:ind w:left="567" w:hanging="567"/>
    </w:pPr>
    <w:rPr>
      <w:b/>
      <w:i/>
    </w:rPr>
  </w:style>
  <w:style w:type="paragraph" w:customStyle="1" w:styleId="IPPHeadSection">
    <w:name w:val="IPP HeadSection"/>
    <w:basedOn w:val="Normal"/>
    <w:next w:val="Normal"/>
    <w:qFormat/>
    <w:rsid w:val="000E699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0E699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0E6996"/>
    <w:pPr>
      <w:keepNext/>
      <w:ind w:left="567" w:hanging="567"/>
      <w:jc w:val="left"/>
    </w:pPr>
    <w:rPr>
      <w:b/>
      <w:bCs/>
      <w:iCs/>
      <w:szCs w:val="22"/>
    </w:rPr>
  </w:style>
  <w:style w:type="paragraph" w:customStyle="1" w:styleId="IPPBullet1">
    <w:name w:val="IPP Bullet1"/>
    <w:basedOn w:val="IPPBullet1Last"/>
    <w:qFormat/>
    <w:rsid w:val="000E6996"/>
    <w:pPr>
      <w:numPr>
        <w:numId w:val="20"/>
      </w:numPr>
      <w:spacing w:after="60"/>
      <w:ind w:left="567" w:hanging="567"/>
    </w:pPr>
    <w:rPr>
      <w:lang w:val="en-US"/>
    </w:rPr>
  </w:style>
  <w:style w:type="paragraph" w:customStyle="1" w:styleId="IPPBullet1Last">
    <w:name w:val="IPP Bullet1Last"/>
    <w:basedOn w:val="IPPNormal"/>
    <w:next w:val="IPPNormal"/>
    <w:autoRedefine/>
    <w:qFormat/>
    <w:rsid w:val="000E6996"/>
    <w:pPr>
      <w:numPr>
        <w:numId w:val="2"/>
      </w:numPr>
    </w:pPr>
  </w:style>
  <w:style w:type="paragraph" w:customStyle="1" w:styleId="IPPTitle16pt">
    <w:name w:val="IPP Title16pt"/>
    <w:basedOn w:val="Normal"/>
    <w:qFormat/>
    <w:rsid w:val="000E699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0E6996"/>
    <w:pPr>
      <w:spacing w:after="360"/>
      <w:jc w:val="center"/>
    </w:pPr>
    <w:rPr>
      <w:rFonts w:ascii="Arial" w:hAnsi="Arial" w:cs="Arial"/>
      <w:b/>
      <w:bCs/>
      <w:sz w:val="36"/>
      <w:szCs w:val="36"/>
    </w:rPr>
  </w:style>
  <w:style w:type="paragraph" w:customStyle="1" w:styleId="IPPHeader">
    <w:name w:val="IPP Header"/>
    <w:basedOn w:val="Normal"/>
    <w:qFormat/>
    <w:rsid w:val="000E699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0E6996"/>
    <w:pPr>
      <w:keepNext/>
      <w:tabs>
        <w:tab w:val="left" w:pos="567"/>
      </w:tabs>
      <w:spacing w:before="120"/>
      <w:jc w:val="left"/>
      <w:outlineLvl w:val="1"/>
    </w:pPr>
    <w:rPr>
      <w:b/>
      <w:sz w:val="24"/>
    </w:rPr>
  </w:style>
  <w:style w:type="paragraph" w:customStyle="1" w:styleId="IPPNormalCloseSpace">
    <w:name w:val="IPP NormalCloseSpace"/>
    <w:basedOn w:val="Normal"/>
    <w:qFormat/>
    <w:rsid w:val="000E6996"/>
    <w:pPr>
      <w:keepNext/>
      <w:spacing w:after="60"/>
    </w:pPr>
  </w:style>
  <w:style w:type="paragraph" w:customStyle="1" w:styleId="IPPHeading2">
    <w:name w:val="IPP Heading2"/>
    <w:basedOn w:val="IPPNormal"/>
    <w:next w:val="IPPNormal"/>
    <w:qFormat/>
    <w:rsid w:val="000E6996"/>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0E6996"/>
    <w:pPr>
      <w:pBdr>
        <w:top w:val="single" w:sz="4" w:space="4" w:color="auto"/>
        <w:bottom w:val="none" w:sz="0" w:space="0" w:color="auto"/>
      </w:pBdr>
      <w:tabs>
        <w:tab w:val="clear" w:pos="1134"/>
      </w:tabs>
      <w:jc w:val="right"/>
    </w:pPr>
    <w:rPr>
      <w:b/>
    </w:rPr>
  </w:style>
  <w:style w:type="paragraph" w:styleId="PlainText">
    <w:name w:val="Plain Text"/>
    <w:basedOn w:val="Normal"/>
    <w:link w:val="PlainTextChar"/>
    <w:uiPriority w:val="99"/>
    <w:unhideWhenUsed/>
    <w:rsid w:val="000E699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0E6996"/>
    <w:rPr>
      <w:rFonts w:ascii="Courier" w:eastAsia="Times" w:hAnsi="Courier"/>
      <w:sz w:val="21"/>
      <w:szCs w:val="21"/>
      <w:lang w:val="en-AU"/>
    </w:rPr>
  </w:style>
  <w:style w:type="paragraph" w:customStyle="1" w:styleId="IPPReferences">
    <w:name w:val="IPP References"/>
    <w:basedOn w:val="IPPNormal"/>
    <w:qFormat/>
    <w:rsid w:val="000E6996"/>
    <w:pPr>
      <w:spacing w:after="60"/>
      <w:ind w:left="567" w:hanging="567"/>
    </w:pPr>
  </w:style>
  <w:style w:type="paragraph" w:customStyle="1" w:styleId="IPPArial">
    <w:name w:val="IPP Arial"/>
    <w:basedOn w:val="IPPNormal"/>
    <w:qFormat/>
    <w:rsid w:val="000E6996"/>
    <w:pPr>
      <w:spacing w:after="0"/>
    </w:pPr>
    <w:rPr>
      <w:rFonts w:ascii="Arial" w:hAnsi="Arial"/>
      <w:sz w:val="18"/>
    </w:rPr>
  </w:style>
  <w:style w:type="paragraph" w:customStyle="1" w:styleId="IPPArialTable">
    <w:name w:val="IPP Arial Table"/>
    <w:basedOn w:val="IPPArial"/>
    <w:qFormat/>
    <w:rsid w:val="000E6996"/>
    <w:pPr>
      <w:spacing w:before="60" w:after="60"/>
      <w:jc w:val="left"/>
    </w:pPr>
  </w:style>
  <w:style w:type="paragraph" w:customStyle="1" w:styleId="IPPHeaderlandscape">
    <w:name w:val="IPP Header landscape"/>
    <w:basedOn w:val="IPPHeader"/>
    <w:qFormat/>
    <w:rsid w:val="000E6996"/>
    <w:pPr>
      <w:pBdr>
        <w:bottom w:val="single" w:sz="4" w:space="1" w:color="auto"/>
      </w:pBdr>
      <w:tabs>
        <w:tab w:val="clear" w:pos="9072"/>
        <w:tab w:val="right" w:pos="14034"/>
      </w:tabs>
      <w:spacing w:after="0"/>
      <w:ind w:right="-32"/>
    </w:pPr>
    <w:rPr>
      <w:noProof/>
    </w:rPr>
  </w:style>
  <w:style w:type="paragraph" w:customStyle="1" w:styleId="IPPLetterList">
    <w:name w:val="IPP LetterList"/>
    <w:basedOn w:val="IPPBullet2"/>
    <w:qFormat/>
    <w:rsid w:val="000E6996"/>
    <w:pPr>
      <w:numPr>
        <w:numId w:val="4"/>
      </w:numPr>
      <w:jc w:val="left"/>
    </w:pPr>
  </w:style>
  <w:style w:type="paragraph" w:customStyle="1" w:styleId="IPPLetterListIndent">
    <w:name w:val="IPP LetterList Indent"/>
    <w:basedOn w:val="IPPLetterList"/>
    <w:qFormat/>
    <w:rsid w:val="000E6996"/>
    <w:pPr>
      <w:numPr>
        <w:numId w:val="5"/>
      </w:numPr>
    </w:pPr>
  </w:style>
  <w:style w:type="paragraph" w:customStyle="1" w:styleId="IPPFooterLandscape">
    <w:name w:val="IPP Footer Landscape"/>
    <w:basedOn w:val="IPPHeaderlandscape"/>
    <w:qFormat/>
    <w:rsid w:val="000E6996"/>
    <w:pPr>
      <w:pBdr>
        <w:top w:val="single" w:sz="4" w:space="1" w:color="auto"/>
        <w:bottom w:val="none" w:sz="0" w:space="0" w:color="auto"/>
      </w:pBdr>
      <w:jc w:val="right"/>
    </w:pPr>
    <w:rPr>
      <w:b/>
    </w:rPr>
  </w:style>
  <w:style w:type="paragraph" w:customStyle="1" w:styleId="IPPSubheadSpace">
    <w:name w:val="IPP Subhead Space"/>
    <w:basedOn w:val="IPPSubhead"/>
    <w:qFormat/>
    <w:rsid w:val="000E6996"/>
    <w:pPr>
      <w:tabs>
        <w:tab w:val="left" w:pos="567"/>
      </w:tabs>
      <w:spacing w:before="60" w:after="60"/>
    </w:pPr>
  </w:style>
  <w:style w:type="paragraph" w:customStyle="1" w:styleId="IPPSubheadSpaceAfter">
    <w:name w:val="IPP Subhead SpaceAfter"/>
    <w:basedOn w:val="IPPSubhead"/>
    <w:qFormat/>
    <w:rsid w:val="000E6996"/>
    <w:pPr>
      <w:spacing w:after="60"/>
    </w:pPr>
  </w:style>
  <w:style w:type="paragraph" w:customStyle="1" w:styleId="IPPHdg1Num">
    <w:name w:val="IPP Hdg1Num"/>
    <w:basedOn w:val="IPPHeading1"/>
    <w:next w:val="IPPNormal"/>
    <w:qFormat/>
    <w:rsid w:val="000E6996"/>
    <w:pPr>
      <w:numPr>
        <w:numId w:val="6"/>
      </w:numPr>
    </w:pPr>
  </w:style>
  <w:style w:type="paragraph" w:customStyle="1" w:styleId="IPPHdg2Num">
    <w:name w:val="IPP Hdg2Num"/>
    <w:basedOn w:val="IPPHeading2"/>
    <w:next w:val="IPPNormal"/>
    <w:qFormat/>
    <w:rsid w:val="000E6996"/>
    <w:pPr>
      <w:numPr>
        <w:ilvl w:val="1"/>
        <w:numId w:val="7"/>
      </w:numPr>
    </w:pPr>
  </w:style>
  <w:style w:type="paragraph" w:customStyle="1" w:styleId="IPPNumberedList">
    <w:name w:val="IPP NumberedList"/>
    <w:basedOn w:val="IPPBullet1"/>
    <w:qFormat/>
    <w:rsid w:val="000E6996"/>
    <w:pPr>
      <w:numPr>
        <w:numId w:val="8"/>
      </w:numPr>
    </w:pPr>
  </w:style>
  <w:style w:type="paragraph" w:styleId="ListParagraph">
    <w:name w:val="List Paragraph"/>
    <w:basedOn w:val="Normal"/>
    <w:uiPriority w:val="34"/>
    <w:qFormat/>
    <w:rsid w:val="000E6996"/>
    <w:pPr>
      <w:spacing w:line="240" w:lineRule="atLeast"/>
      <w:ind w:leftChars="400" w:left="800"/>
    </w:pPr>
    <w:rPr>
      <w:rFonts w:ascii="Verdana" w:eastAsia="Times New Roman" w:hAnsi="Verdana"/>
      <w:sz w:val="20"/>
      <w:lang w:val="nl-NL" w:eastAsia="nl-NL"/>
    </w:rPr>
  </w:style>
  <w:style w:type="paragraph" w:styleId="FootnoteText">
    <w:name w:val="footnote text"/>
    <w:basedOn w:val="Normal"/>
    <w:link w:val="FootnoteTextChar"/>
    <w:semiHidden/>
    <w:rsid w:val="000E6996"/>
    <w:pPr>
      <w:spacing w:before="60"/>
    </w:pPr>
    <w:rPr>
      <w:sz w:val="20"/>
    </w:rPr>
  </w:style>
  <w:style w:type="character" w:customStyle="1" w:styleId="FootnoteTextChar">
    <w:name w:val="Footnote Text Char"/>
    <w:basedOn w:val="DefaultParagraphFont"/>
    <w:link w:val="FootnoteText"/>
    <w:semiHidden/>
    <w:rsid w:val="000E6996"/>
    <w:rPr>
      <w:rFonts w:eastAsia="MS Mincho"/>
      <w:szCs w:val="24"/>
      <w:lang w:val="en-GB"/>
    </w:rPr>
  </w:style>
  <w:style w:type="character" w:styleId="FootnoteReference">
    <w:name w:val="footnote reference"/>
    <w:basedOn w:val="DefaultParagraphFont"/>
    <w:semiHidden/>
    <w:rsid w:val="000E6996"/>
    <w:rPr>
      <w:vertAlign w:val="superscript"/>
    </w:rPr>
  </w:style>
  <w:style w:type="character" w:styleId="PageNumber">
    <w:name w:val="page number"/>
    <w:rsid w:val="000E6996"/>
    <w:rPr>
      <w:rFonts w:ascii="Arial" w:hAnsi="Arial"/>
      <w:b/>
      <w:sz w:val="18"/>
    </w:rPr>
  </w:style>
  <w:style w:type="table" w:styleId="TableGrid">
    <w:name w:val="Table Grid"/>
    <w:basedOn w:val="TableNormal"/>
    <w:rsid w:val="000E6996"/>
    <w:rPr>
      <w:rFonts w:ascii="Cambria" w:eastAsia="MS Mincho" w:hAnsi="Cambr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6996"/>
    <w:rPr>
      <w:rFonts w:ascii="Tahoma" w:hAnsi="Tahoma" w:cs="Tahoma"/>
      <w:sz w:val="16"/>
      <w:szCs w:val="16"/>
    </w:rPr>
  </w:style>
  <w:style w:type="character" w:customStyle="1" w:styleId="BalloonTextChar">
    <w:name w:val="Balloon Text Char"/>
    <w:basedOn w:val="DefaultParagraphFont"/>
    <w:link w:val="BalloonText"/>
    <w:rsid w:val="000E6996"/>
    <w:rPr>
      <w:rFonts w:ascii="Tahoma" w:eastAsia="MS Mincho" w:hAnsi="Tahoma" w:cs="Tahoma"/>
      <w:sz w:val="16"/>
      <w:szCs w:val="16"/>
      <w:lang w:val="en-GB"/>
    </w:rPr>
  </w:style>
  <w:style w:type="paragraph" w:customStyle="1" w:styleId="IPPHeading30">
    <w:name w:val="IPP Heading3"/>
    <w:basedOn w:val="IPPNormal"/>
    <w:qFormat/>
    <w:rsid w:val="000E6996"/>
    <w:pPr>
      <w:keepNext/>
      <w:tabs>
        <w:tab w:val="left" w:pos="567"/>
      </w:tabs>
      <w:spacing w:before="120" w:after="120"/>
      <w:ind w:left="567" w:hanging="567"/>
    </w:pPr>
    <w:rPr>
      <w:b/>
      <w:i/>
    </w:rPr>
  </w:style>
  <w:style w:type="character" w:customStyle="1" w:styleId="IPPnormalitalics">
    <w:name w:val="IPP normal italics"/>
    <w:basedOn w:val="DefaultParagraphFont"/>
    <w:rsid w:val="000E6996"/>
    <w:rPr>
      <w:rFonts w:ascii="Times New Roman" w:hAnsi="Times New Roman"/>
      <w:i/>
      <w:sz w:val="22"/>
      <w:lang w:val="en-US"/>
    </w:rPr>
  </w:style>
  <w:style w:type="character" w:customStyle="1" w:styleId="IPPNormalbold">
    <w:name w:val="IPP Normal bold"/>
    <w:basedOn w:val="PlainTextChar"/>
    <w:rsid w:val="000E6996"/>
    <w:rPr>
      <w:rFonts w:ascii="Times New Roman" w:eastAsia="Times" w:hAnsi="Times New Roman"/>
      <w:b/>
      <w:sz w:val="22"/>
      <w:szCs w:val="21"/>
      <w:lang w:val="en-AU"/>
    </w:rPr>
  </w:style>
  <w:style w:type="character" w:customStyle="1" w:styleId="IPPNormalunderlined">
    <w:name w:val="IPP Normal underlined"/>
    <w:basedOn w:val="DefaultParagraphFont"/>
    <w:rsid w:val="000E6996"/>
    <w:rPr>
      <w:rFonts w:ascii="Times New Roman" w:hAnsi="Times New Roman"/>
      <w:sz w:val="22"/>
      <w:u w:val="single"/>
      <w:lang w:val="en-US"/>
    </w:rPr>
  </w:style>
  <w:style w:type="character" w:customStyle="1" w:styleId="IPPNormalstrikethrough">
    <w:name w:val="IPP Normal strikethrough"/>
    <w:rsid w:val="000E6996"/>
    <w:rPr>
      <w:rFonts w:ascii="Times New Roman" w:hAnsi="Times New Roman"/>
      <w:strike/>
      <w:dstrike w:val="0"/>
      <w:sz w:val="22"/>
    </w:rPr>
  </w:style>
  <w:style w:type="numbering" w:customStyle="1" w:styleId="IPPParagraphnumberedlist">
    <w:name w:val="IPP Paragraph numbered list"/>
    <w:rsid w:val="000E6996"/>
    <w:pPr>
      <w:numPr>
        <w:numId w:val="11"/>
      </w:numPr>
    </w:pPr>
  </w:style>
  <w:style w:type="paragraph" w:styleId="TOC1">
    <w:name w:val="toc 1"/>
    <w:basedOn w:val="IPPNormalCloseSpace"/>
    <w:next w:val="Normal"/>
    <w:autoRedefine/>
    <w:uiPriority w:val="39"/>
    <w:rsid w:val="000E6996"/>
    <w:pPr>
      <w:tabs>
        <w:tab w:val="right" w:leader="dot" w:pos="9072"/>
      </w:tabs>
      <w:spacing w:before="240"/>
      <w:ind w:left="567" w:hanging="567"/>
    </w:pPr>
  </w:style>
  <w:style w:type="paragraph" w:styleId="TOC2">
    <w:name w:val="toc 2"/>
    <w:basedOn w:val="TOC1"/>
    <w:next w:val="Normal"/>
    <w:autoRedefine/>
    <w:uiPriority w:val="39"/>
    <w:rsid w:val="000E6996"/>
    <w:pPr>
      <w:keepNext w:val="0"/>
      <w:tabs>
        <w:tab w:val="left" w:pos="425"/>
      </w:tabs>
      <w:spacing w:before="120" w:after="0"/>
      <w:ind w:left="425" w:right="284" w:hanging="425"/>
    </w:pPr>
  </w:style>
  <w:style w:type="paragraph" w:styleId="TOC3">
    <w:name w:val="toc 3"/>
    <w:basedOn w:val="TOC2"/>
    <w:next w:val="Normal"/>
    <w:autoRedefine/>
    <w:uiPriority w:val="39"/>
    <w:rsid w:val="000E6996"/>
    <w:pPr>
      <w:tabs>
        <w:tab w:val="left" w:pos="1276"/>
      </w:tabs>
      <w:spacing w:before="60"/>
      <w:ind w:left="1276" w:hanging="851"/>
    </w:pPr>
    <w:rPr>
      <w:rFonts w:eastAsia="Times"/>
    </w:rPr>
  </w:style>
  <w:style w:type="paragraph" w:styleId="TOC4">
    <w:name w:val="toc 4"/>
    <w:basedOn w:val="Normal"/>
    <w:next w:val="Normal"/>
    <w:autoRedefine/>
    <w:uiPriority w:val="39"/>
    <w:rsid w:val="000E6996"/>
    <w:pPr>
      <w:spacing w:after="120"/>
      <w:ind w:left="660"/>
    </w:pPr>
    <w:rPr>
      <w:rFonts w:eastAsia="Times"/>
      <w:lang w:val="en-AU"/>
    </w:rPr>
  </w:style>
  <w:style w:type="paragraph" w:styleId="TOC5">
    <w:name w:val="toc 5"/>
    <w:basedOn w:val="Normal"/>
    <w:next w:val="Normal"/>
    <w:autoRedefine/>
    <w:uiPriority w:val="39"/>
    <w:rsid w:val="000E6996"/>
    <w:pPr>
      <w:spacing w:after="120"/>
      <w:ind w:left="880"/>
    </w:pPr>
    <w:rPr>
      <w:rFonts w:eastAsia="Times"/>
      <w:lang w:val="en-AU"/>
    </w:rPr>
  </w:style>
  <w:style w:type="paragraph" w:styleId="TOC6">
    <w:name w:val="toc 6"/>
    <w:basedOn w:val="Normal"/>
    <w:next w:val="Normal"/>
    <w:autoRedefine/>
    <w:uiPriority w:val="39"/>
    <w:rsid w:val="000E6996"/>
    <w:pPr>
      <w:spacing w:after="120"/>
      <w:ind w:left="1100"/>
    </w:pPr>
    <w:rPr>
      <w:rFonts w:eastAsia="Times"/>
      <w:lang w:val="en-AU"/>
    </w:rPr>
  </w:style>
  <w:style w:type="paragraph" w:styleId="TOC7">
    <w:name w:val="toc 7"/>
    <w:basedOn w:val="Normal"/>
    <w:next w:val="Normal"/>
    <w:autoRedefine/>
    <w:uiPriority w:val="39"/>
    <w:rsid w:val="000E6996"/>
    <w:pPr>
      <w:spacing w:after="120"/>
      <w:ind w:left="1320"/>
    </w:pPr>
    <w:rPr>
      <w:rFonts w:eastAsia="Times"/>
      <w:lang w:val="en-AU"/>
    </w:rPr>
  </w:style>
  <w:style w:type="paragraph" w:styleId="TOC8">
    <w:name w:val="toc 8"/>
    <w:basedOn w:val="Normal"/>
    <w:next w:val="Normal"/>
    <w:autoRedefine/>
    <w:uiPriority w:val="39"/>
    <w:rsid w:val="000E6996"/>
    <w:pPr>
      <w:spacing w:after="120"/>
      <w:ind w:left="1540"/>
    </w:pPr>
    <w:rPr>
      <w:rFonts w:eastAsia="Times"/>
      <w:lang w:val="en-AU"/>
    </w:rPr>
  </w:style>
  <w:style w:type="paragraph" w:styleId="TOC9">
    <w:name w:val="toc 9"/>
    <w:basedOn w:val="Normal"/>
    <w:next w:val="Normal"/>
    <w:autoRedefine/>
    <w:uiPriority w:val="39"/>
    <w:rsid w:val="000E6996"/>
    <w:pPr>
      <w:spacing w:after="120"/>
      <w:ind w:left="1760"/>
    </w:pPr>
    <w:rPr>
      <w:rFonts w:eastAsia="Times"/>
      <w:lang w:val="en-AU"/>
    </w:rPr>
  </w:style>
  <w:style w:type="character" w:styleId="Strong">
    <w:name w:val="Strong"/>
    <w:basedOn w:val="DefaultParagraphFont"/>
    <w:qFormat/>
    <w:rsid w:val="000E6996"/>
    <w:rPr>
      <w:b/>
      <w:bCs/>
    </w:rPr>
  </w:style>
  <w:style w:type="paragraph" w:customStyle="1" w:styleId="IPPPargraphnumbering">
    <w:name w:val="IPP Pargraph numbering"/>
    <w:basedOn w:val="IPPNormal"/>
    <w:qFormat/>
    <w:rsid w:val="000E6996"/>
    <w:pPr>
      <w:numPr>
        <w:numId w:val="13"/>
      </w:numPr>
    </w:pPr>
    <w:rPr>
      <w:lang w:val="en-US"/>
    </w:rPr>
  </w:style>
  <w:style w:type="character" w:styleId="CommentReference">
    <w:name w:val="annotation reference"/>
    <w:basedOn w:val="DefaultParagraphFont"/>
    <w:uiPriority w:val="99"/>
    <w:semiHidden/>
    <w:unhideWhenUsed/>
    <w:rsid w:val="0074796A"/>
    <w:rPr>
      <w:sz w:val="16"/>
      <w:szCs w:val="16"/>
    </w:rPr>
  </w:style>
  <w:style w:type="paragraph" w:styleId="CommentText">
    <w:name w:val="annotation text"/>
    <w:basedOn w:val="Normal"/>
    <w:link w:val="CommentTextChar"/>
    <w:uiPriority w:val="99"/>
    <w:semiHidden/>
    <w:unhideWhenUsed/>
    <w:rsid w:val="0074796A"/>
    <w:rPr>
      <w:sz w:val="20"/>
      <w:szCs w:val="20"/>
    </w:rPr>
  </w:style>
  <w:style w:type="character" w:customStyle="1" w:styleId="CommentTextChar">
    <w:name w:val="Comment Text Char"/>
    <w:basedOn w:val="DefaultParagraphFont"/>
    <w:link w:val="CommentText"/>
    <w:uiPriority w:val="99"/>
    <w:semiHidden/>
    <w:rsid w:val="0074796A"/>
    <w:rPr>
      <w:rFonts w:eastAsia="MS Mincho"/>
      <w:lang w:val="en-GB"/>
    </w:rPr>
  </w:style>
  <w:style w:type="paragraph" w:styleId="CommentSubject">
    <w:name w:val="annotation subject"/>
    <w:basedOn w:val="CommentText"/>
    <w:next w:val="CommentText"/>
    <w:link w:val="CommentSubjectChar"/>
    <w:uiPriority w:val="99"/>
    <w:semiHidden/>
    <w:unhideWhenUsed/>
    <w:rsid w:val="0074796A"/>
    <w:rPr>
      <w:b/>
      <w:bCs/>
    </w:rPr>
  </w:style>
  <w:style w:type="character" w:customStyle="1" w:styleId="CommentSubjectChar">
    <w:name w:val="Comment Subject Char"/>
    <w:basedOn w:val="CommentTextChar"/>
    <w:link w:val="CommentSubject"/>
    <w:uiPriority w:val="99"/>
    <w:semiHidden/>
    <w:rsid w:val="0074796A"/>
    <w:rPr>
      <w:rFonts w:eastAsia="MS Mincho"/>
      <w:b/>
      <w:bCs/>
      <w:lang w:val="en-GB"/>
    </w:rPr>
  </w:style>
  <w:style w:type="character" w:styleId="Hyperlink">
    <w:name w:val="Hyperlink"/>
    <w:basedOn w:val="DefaultParagraphFont"/>
    <w:uiPriority w:val="99"/>
    <w:unhideWhenUsed/>
    <w:rsid w:val="0074796A"/>
    <w:rPr>
      <w:color w:val="0000FF"/>
      <w:u w:val="single"/>
    </w:rPr>
  </w:style>
  <w:style w:type="paragraph" w:customStyle="1" w:styleId="Default">
    <w:name w:val="Default"/>
    <w:rsid w:val="00922A8D"/>
    <w:pPr>
      <w:autoSpaceDE w:val="0"/>
      <w:autoSpaceDN w:val="0"/>
      <w:adjustRightInd w:val="0"/>
    </w:pPr>
    <w:rPr>
      <w:color w:val="000000"/>
      <w:sz w:val="24"/>
      <w:szCs w:val="24"/>
    </w:rPr>
  </w:style>
  <w:style w:type="character" w:customStyle="1" w:styleId="IPPNormalChar">
    <w:name w:val="IPP Normal Char"/>
    <w:basedOn w:val="DefaultParagraphFont"/>
    <w:link w:val="IPPNormal"/>
    <w:locked/>
    <w:rsid w:val="004C63C9"/>
    <w:rPr>
      <w:rFonts w:eastAsia="Times"/>
      <w:sz w:val="22"/>
      <w:szCs w:val="24"/>
      <w:lang w:val="en-GB"/>
    </w:rPr>
  </w:style>
  <w:style w:type="paragraph" w:customStyle="1" w:styleId="Footnote">
    <w:name w:val="Footnote"/>
    <w:basedOn w:val="BodyText"/>
    <w:link w:val="FootnoteChar"/>
    <w:uiPriority w:val="99"/>
    <w:qFormat/>
    <w:rsid w:val="002C00FC"/>
    <w:pPr>
      <w:ind w:left="1134" w:right="1275"/>
    </w:pPr>
    <w:rPr>
      <w:b/>
      <w:color w:val="0066FF"/>
      <w:szCs w:val="20"/>
      <w:vertAlign w:val="superscript"/>
    </w:rPr>
  </w:style>
  <w:style w:type="character" w:customStyle="1" w:styleId="FootnoteChar">
    <w:name w:val="Footnote Char"/>
    <w:link w:val="Footnote"/>
    <w:uiPriority w:val="99"/>
    <w:rsid w:val="002C00FC"/>
    <w:rPr>
      <w:rFonts w:eastAsia="MS Mincho"/>
      <w:b/>
      <w:color w:val="0066FF"/>
      <w:sz w:val="22"/>
      <w:vertAlign w:val="superscript"/>
      <w:lang w:val="en-GB"/>
    </w:rPr>
  </w:style>
  <w:style w:type="paragraph" w:styleId="BodyText">
    <w:name w:val="Body Text"/>
    <w:basedOn w:val="Normal"/>
    <w:link w:val="BodyTextChar"/>
    <w:uiPriority w:val="99"/>
    <w:semiHidden/>
    <w:unhideWhenUsed/>
    <w:rsid w:val="002C00FC"/>
    <w:pPr>
      <w:spacing w:after="120"/>
    </w:pPr>
  </w:style>
  <w:style w:type="character" w:customStyle="1" w:styleId="BodyTextChar">
    <w:name w:val="Body Text Char"/>
    <w:basedOn w:val="DefaultParagraphFont"/>
    <w:link w:val="BodyText"/>
    <w:uiPriority w:val="99"/>
    <w:semiHidden/>
    <w:rsid w:val="002C00FC"/>
    <w:rPr>
      <w:rFonts w:eastAsia="MS Mincho"/>
      <w:sz w:val="22"/>
      <w:szCs w:val="24"/>
      <w:lang w:val="en-GB"/>
    </w:rPr>
  </w:style>
  <w:style w:type="character" w:customStyle="1" w:styleId="Bold">
    <w:name w:val="Bold"/>
    <w:rsid w:val="002C00FC"/>
    <w:rPr>
      <w:b/>
    </w:rPr>
  </w:style>
  <w:style w:type="paragraph" w:styleId="Revision">
    <w:name w:val="Revision"/>
    <w:hidden/>
    <w:uiPriority w:val="99"/>
    <w:semiHidden/>
    <w:rsid w:val="004C2292"/>
    <w:rPr>
      <w:rFonts w:eastAsia="MS Mincho"/>
      <w:sz w:val="22"/>
      <w:szCs w:val="24"/>
      <w:lang w:val="en-GB"/>
    </w:rPr>
  </w:style>
  <w:style w:type="paragraph" w:customStyle="1" w:styleId="IPPParagraphnumbering">
    <w:name w:val="IPP Paragraph numbering"/>
    <w:basedOn w:val="IPPNormal"/>
    <w:qFormat/>
    <w:rsid w:val="000E6996"/>
    <w:pPr>
      <w:numPr>
        <w:numId w:val="3"/>
      </w:numPr>
    </w:pPr>
    <w:rPr>
      <w:lang w:val="en-US"/>
    </w:rPr>
  </w:style>
  <w:style w:type="paragraph" w:customStyle="1" w:styleId="IPPParagraphnumberingclose">
    <w:name w:val="IPP Paragraph numbering close"/>
    <w:basedOn w:val="IPPParagraphnumbering"/>
    <w:qFormat/>
    <w:rsid w:val="000E6996"/>
    <w:pPr>
      <w:keepNext/>
      <w:spacing w:after="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IPPParagraphnumbered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5358">
      <w:bodyDiv w:val="1"/>
      <w:marLeft w:val="0"/>
      <w:marRight w:val="0"/>
      <w:marTop w:val="0"/>
      <w:marBottom w:val="0"/>
      <w:divBdr>
        <w:top w:val="none" w:sz="0" w:space="0" w:color="auto"/>
        <w:left w:val="none" w:sz="0" w:space="0" w:color="auto"/>
        <w:bottom w:val="none" w:sz="0" w:space="0" w:color="auto"/>
        <w:right w:val="none" w:sz="0" w:space="0" w:color="auto"/>
      </w:divBdr>
    </w:div>
    <w:div w:id="743257714">
      <w:bodyDiv w:val="1"/>
      <w:marLeft w:val="0"/>
      <w:marRight w:val="0"/>
      <w:marTop w:val="0"/>
      <w:marBottom w:val="0"/>
      <w:divBdr>
        <w:top w:val="none" w:sz="0" w:space="0" w:color="auto"/>
        <w:left w:val="none" w:sz="0" w:space="0" w:color="auto"/>
        <w:bottom w:val="none" w:sz="0" w:space="0" w:color="auto"/>
        <w:right w:val="none" w:sz="0" w:space="0" w:color="auto"/>
      </w:divBdr>
    </w:div>
    <w:div w:id="1187595778">
      <w:bodyDiv w:val="1"/>
      <w:marLeft w:val="0"/>
      <w:marRight w:val="0"/>
      <w:marTop w:val="0"/>
      <w:marBottom w:val="0"/>
      <w:divBdr>
        <w:top w:val="none" w:sz="0" w:space="0" w:color="auto"/>
        <w:left w:val="none" w:sz="0" w:space="0" w:color="auto"/>
        <w:bottom w:val="none" w:sz="0" w:space="0" w:color="auto"/>
        <w:right w:val="none" w:sz="0" w:space="0" w:color="auto"/>
      </w:divBdr>
    </w:div>
    <w:div w:id="1366103749">
      <w:bodyDiv w:val="1"/>
      <w:marLeft w:val="0"/>
      <w:marRight w:val="0"/>
      <w:marTop w:val="0"/>
      <w:marBottom w:val="0"/>
      <w:divBdr>
        <w:top w:val="none" w:sz="0" w:space="0" w:color="auto"/>
        <w:left w:val="none" w:sz="0" w:space="0" w:color="auto"/>
        <w:bottom w:val="none" w:sz="0" w:space="0" w:color="auto"/>
        <w:right w:val="none" w:sz="0" w:space="0" w:color="auto"/>
      </w:divBdr>
    </w:div>
    <w:div w:id="1477063308">
      <w:bodyDiv w:val="1"/>
      <w:marLeft w:val="0"/>
      <w:marRight w:val="0"/>
      <w:marTop w:val="0"/>
      <w:marBottom w:val="0"/>
      <w:divBdr>
        <w:top w:val="none" w:sz="0" w:space="0" w:color="auto"/>
        <w:left w:val="none" w:sz="0" w:space="0" w:color="auto"/>
        <w:bottom w:val="none" w:sz="0" w:space="0" w:color="auto"/>
        <w:right w:val="none" w:sz="0" w:space="0" w:color="auto"/>
      </w:divBdr>
      <w:divsChild>
        <w:div w:id="457646999">
          <w:marLeft w:val="0"/>
          <w:marRight w:val="0"/>
          <w:marTop w:val="0"/>
          <w:marBottom w:val="0"/>
          <w:divBdr>
            <w:top w:val="none" w:sz="0" w:space="0" w:color="auto"/>
            <w:left w:val="none" w:sz="0" w:space="0" w:color="auto"/>
            <w:bottom w:val="none" w:sz="0" w:space="0" w:color="auto"/>
            <w:right w:val="none" w:sz="0" w:space="0" w:color="auto"/>
          </w:divBdr>
          <w:divsChild>
            <w:div w:id="129325099">
              <w:marLeft w:val="0"/>
              <w:marRight w:val="0"/>
              <w:marTop w:val="0"/>
              <w:marBottom w:val="0"/>
              <w:divBdr>
                <w:top w:val="none" w:sz="0" w:space="0" w:color="auto"/>
                <w:left w:val="none" w:sz="0" w:space="0" w:color="auto"/>
                <w:bottom w:val="none" w:sz="0" w:space="0" w:color="auto"/>
                <w:right w:val="none" w:sz="0" w:space="0" w:color="auto"/>
              </w:divBdr>
              <w:divsChild>
                <w:div w:id="676271953">
                  <w:marLeft w:val="0"/>
                  <w:marRight w:val="0"/>
                  <w:marTop w:val="0"/>
                  <w:marBottom w:val="0"/>
                  <w:divBdr>
                    <w:top w:val="none" w:sz="0" w:space="0" w:color="auto"/>
                    <w:left w:val="none" w:sz="0" w:space="0" w:color="auto"/>
                    <w:bottom w:val="none" w:sz="0" w:space="0" w:color="auto"/>
                    <w:right w:val="none" w:sz="0" w:space="0" w:color="auto"/>
                  </w:divBdr>
                  <w:divsChild>
                    <w:div w:id="12304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2913">
      <w:bodyDiv w:val="1"/>
      <w:marLeft w:val="0"/>
      <w:marRight w:val="0"/>
      <w:marTop w:val="0"/>
      <w:marBottom w:val="0"/>
      <w:divBdr>
        <w:top w:val="none" w:sz="0" w:space="0" w:color="auto"/>
        <w:left w:val="none" w:sz="0" w:space="0" w:color="auto"/>
        <w:bottom w:val="none" w:sz="0" w:space="0" w:color="auto"/>
        <w:right w:val="none" w:sz="0" w:space="0" w:color="auto"/>
      </w:divBdr>
    </w:div>
    <w:div w:id="187068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ppc.int/core-activities/governance/bureau" TargetMode="External"/><Relationship Id="rId2" Type="http://schemas.openxmlformats.org/officeDocument/2006/relationships/hyperlink" Target="https://www.ippc.int/core-activities/standards-setting/member-consultation-draft-ispms/mechanism-translate-diagnostic-protocols-languages" TargetMode="External"/><Relationship Id="rId1" Type="http://schemas.openxmlformats.org/officeDocument/2006/relationships/hyperlink" Target="https://www.ippc.int/core-activities/standards-setting/list-topics-ippc-standar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ti\AppData\Roaming\Microsoft\Templates\IPPC_2014-07-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A3860-8F4A-4D69-8EA5-84F4D4FC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IPPC_2014-07-03.dot</Template>
  <TotalTime>129</TotalTime>
  <Pages>7</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11076</CharactersWithSpaces>
  <SharedDoc>false</SharedDoc>
  <HLinks>
    <vt:vector size="18" baseType="variant">
      <vt:variant>
        <vt:i4>2621567</vt:i4>
      </vt:variant>
      <vt:variant>
        <vt:i4>6</vt:i4>
      </vt:variant>
      <vt:variant>
        <vt:i4>0</vt:i4>
      </vt:variant>
      <vt:variant>
        <vt:i4>5</vt:i4>
      </vt:variant>
      <vt:variant>
        <vt:lpwstr>https://www.ippc.int/core-activities/governance/bureau</vt:lpwstr>
      </vt:variant>
      <vt:variant>
        <vt:lpwstr/>
      </vt:variant>
      <vt:variant>
        <vt:i4>4915290</vt:i4>
      </vt:variant>
      <vt:variant>
        <vt:i4>3</vt:i4>
      </vt:variant>
      <vt:variant>
        <vt:i4>0</vt:i4>
      </vt:variant>
      <vt:variant>
        <vt:i4>5</vt:i4>
      </vt:variant>
      <vt:variant>
        <vt:lpwstr>https://www.ippc.int/core-activities/standards-setting/member-consultation-draft-ispms/mechanism-translate-diagnostic-protocols-languages</vt:lpwstr>
      </vt:variant>
      <vt:variant>
        <vt:lpwstr/>
      </vt:variant>
      <vt:variant>
        <vt:i4>1114179</vt:i4>
      </vt:variant>
      <vt:variant>
        <vt:i4>0</vt:i4>
      </vt:variant>
      <vt:variant>
        <vt:i4>0</vt:i4>
      </vt:variant>
      <vt:variant>
        <vt:i4>5</vt:i4>
      </vt:variant>
      <vt:variant>
        <vt:lpwstr>https://www.ippc.int/core-activities/standards-setting/list-topics-ippc-standards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Montuori (AGDI)</dc:creator>
  <cp:lastModifiedBy>Tanja Lahti (AGDI)</cp:lastModifiedBy>
  <cp:revision>12</cp:revision>
  <cp:lastPrinted>2014-09-23T09:57:00Z</cp:lastPrinted>
  <dcterms:created xsi:type="dcterms:W3CDTF">2014-09-24T07:19:00Z</dcterms:created>
  <dcterms:modified xsi:type="dcterms:W3CDTF">2014-09-30T08:21:00Z</dcterms:modified>
</cp:coreProperties>
</file>