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20/02/relationships/classificationlabels" Target="docMetadata/LabelInfo.xml" Id="rId5"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Consultation-2018-001- Draft annex to ISPM 28: Irradiation treatment for Liriomyza huidobrensis, Liriomyza sativae and Liri. Document title: 2018-001_DraftPT_Ir_LiriomyzaSpp_eng.docx]</w:t>
      </w:r>
    </w:p>
    <w:p w14:paraId="790BDA79" w14:textId="5841FAF4">
      <w:pPr>
        <w:pStyle w:val="IPPHeadSection"/>
        <w:tabs>
          <w:tab w:val="clear" w:pos="851"/>
          <w:tab w:val="left" w:pos="0"/>
        </w:tabs>
        <w:ind w:left="0" w:firstLine="0"/>
        <w:jc w:val="left"/>
        <w:rPr>
          <w:rFonts w:cstheme="minorBidi"/>
          <w:caps w:val="0"/>
          <w:lang w:eastAsia="zh-CN"/>
        </w:rPr>
      </w:pPr>
      <w:r>
        <w:rPr>
          <w:rStyle w:val="PleaseReviewParagraphId"/>
          <w:b w:val="off"/>
          <w:i w:val="off"/>
        </w:rPr>
        <w:t>[1]</w:t>
      </w:r>
      <w:bookmarkStart w:name="_Toc121913536" w:id="0"/>
      <w:r>
        <w:t xml:space="preserve">Draft ANNEX to ISPM 28: </w:t>
      </w:r>
      <w:r>
        <w:rPr>
          <w:rFonts w:cstheme="minorBidi"/>
          <w:caps w:val="0"/>
          <w:lang w:eastAsia="zh-CN"/>
        </w:rPr>
        <w:t xml:space="preserve">Irradiation treatment for </w:t>
      </w:r>
      <w:r>
        <w:rPr>
          <w:rFonts w:cstheme="minorBidi"/>
          <w:i/>
          <w:iCs/>
          <w:caps w:val="0"/>
          <w:lang w:eastAsia="zh-CN"/>
        </w:rPr>
        <w:t>Liriomyza huidobrensis</w:t>
      </w:r>
      <w:r>
        <w:rPr>
          <w:rFonts w:cstheme="minorBidi"/>
          <w:caps w:val="0"/>
          <w:lang w:eastAsia="zh-CN"/>
        </w:rPr>
        <w:t>,</w:t>
      </w:r>
      <w:r>
        <w:rPr>
          <w:rFonts w:cstheme="minorBidi"/>
          <w:i/>
          <w:iCs/>
          <w:caps w:val="0"/>
          <w:lang w:eastAsia="zh-CN"/>
        </w:rPr>
        <w:t xml:space="preserve"> Liriomyza sativae</w:t>
      </w:r>
      <w:r>
        <w:rPr>
          <w:rFonts w:cstheme="minorBidi"/>
          <w:caps w:val="0"/>
          <w:lang w:eastAsia="zh-CN"/>
        </w:rPr>
        <w:t xml:space="preserve"> and</w:t>
      </w:r>
      <w:r>
        <w:rPr>
          <w:rFonts w:cstheme="minorBidi"/>
          <w:i/>
          <w:iCs/>
          <w:caps w:val="0"/>
          <w:lang w:eastAsia="zh-CN"/>
        </w:rPr>
        <w:t xml:space="preserve"> Liriomyza trifolii </w:t>
      </w:r>
    </w:p>
    <w:tbl>
      <w:tblPr>
        <w:tblW w:w="8475" w:type="dxa"/>
        <w:tblCellSpacing w:w="0" w:type="dxa"/>
        <w:tblBorders>
          <w:top w:val="outset" w:color="auto" w:sz="6" w:space="0"/>
          <w:left w:val="outset" w:color="auto" w:sz="6" w:space="0"/>
          <w:bottom w:val="outset" w:color="auto" w:sz="6" w:space="0"/>
          <w:right w:val="outset" w:color="auto" w:sz="6" w:space="0"/>
        </w:tblBorders>
        <w:tblCellMar>
          <w:top w:w="105" w:type="dxa"/>
          <w:left w:w="105" w:type="dxa"/>
          <w:bottom w:w="105" w:type="dxa"/>
          <w:right w:w="105" w:type="dxa"/>
        </w:tblCellMar>
        <w:tblLook w:val="00A0" w:firstRow="1" w:lastRow="0" w:firstColumn="1" w:lastColumn="0" w:noHBand="0" w:noVBand="0"/>
      </w:tblPr>
      <w:tblGrid>
        <w:gridCol w:w="2424"/>
        <w:gridCol w:w="6051"/>
      </w:tblGrid>
      <w:tr w14:paraId="7433415D" w14:textId="77777777">
        <w:trPr>
          <w:tblCellSpacing w:w="0" w:type="dxa"/>
        </w:trPr>
        <w:tc xmlns:tara="kcentrix:tara" tara:rowspan="1" tara:colspan="2">
          <w:tcPr>
            <w:tcW w:w="8475" w:type="dxa"/>
            <w:gridSpan w:val="2"/>
            <w:tcBorders>
              <w:top w:val="single" w:color="CCCCCC" w:sz="4" w:space="0"/>
              <w:left w:val="single" w:color="CCCCCC" w:sz="4" w:space="0"/>
              <w:bottom w:val="outset" w:color="auto" w:sz="6" w:space="0"/>
            </w:tcBorders>
            <w:tcMar>
              <w:top w:w="50" w:type="dxa"/>
              <w:left w:w="50" w:type="dxa"/>
              <w:bottom w:w="50" w:type="dxa"/>
              <w:right w:w="50" w:type="dxa"/>
            </w:tcMar>
          </w:tcPr>
          <w:p w14:paraId="12EB9EAE" w14:textId="77777777">
            <w:pPr>
              <w:pStyle w:val="IPPArialTable"/>
              <w:rPr>
                <w:b/>
              </w:rPr>
            </w:pPr>
            <w:r>
              <w:rPr>
                <w:rStyle w:val="PleaseReviewParagraphId"/>
                <w:b w:val="off"/>
                <w:i w:val="off"/>
              </w:rPr>
              <w:t>[2]</w:t>
            </w:r>
            <w:r>
              <w:rPr>
                <w:b/>
              </w:rPr>
              <w:t>Status box</w:t>
            </w:r>
          </w:p>
        </w:tc>
      </w:tr>
      <w:tr w14:paraId="053ABD0A" w14:textId="77777777">
        <w:trPr>
          <w:tblCellSpacing w:w="0" w:type="dxa"/>
        </w:trPr>
        <w:tc xmlns:tara="kcentrix:tara" tara:rowspan="1" tara:colspan="2">
          <w:tcPr>
            <w:tcW w:w="8475" w:type="dxa"/>
            <w:gridSpan w:val="2"/>
            <w:tcBorders>
              <w:top w:val="single" w:color="CCCCCC" w:sz="4" w:space="0"/>
              <w:left w:val="single" w:color="CCCCCC" w:sz="4" w:space="0"/>
              <w:bottom w:val="outset" w:color="auto" w:sz="6" w:space="0"/>
            </w:tcBorders>
            <w:tcMar>
              <w:top w:w="50" w:type="dxa"/>
              <w:left w:w="50" w:type="dxa"/>
              <w:bottom w:w="50" w:type="dxa"/>
              <w:right w:w="50" w:type="dxa"/>
            </w:tcMar>
          </w:tcPr>
          <w:p w14:paraId="6D5F89EA" w14:textId="77777777">
            <w:pPr>
              <w:pStyle w:val="IPPArialTable"/>
            </w:pPr>
            <w:r>
              <w:rPr>
                <w:rStyle w:val="PleaseReviewParagraphId"/>
                <w:b w:val="off"/>
                <w:i w:val="off"/>
              </w:rPr>
              <w:t>[3]</w:t>
            </w:r>
            <w:r>
              <w:t>This is not an official part of the standard and it will be modified by the IPPC Secretariat after adoption.</w:t>
            </w:r>
          </w:p>
        </w:tc>
      </w:tr>
      <w:tr w14:paraId="184CC06B"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3972D2D1" w14:textId="77777777">
            <w:pPr>
              <w:pStyle w:val="IPPArialTable"/>
              <w:rPr>
                <w:b/>
              </w:rPr>
            </w:pPr>
            <w:r>
              <w:rPr>
                <w:rStyle w:val="PleaseReviewParagraphId"/>
                <w:b w:val="off"/>
                <w:i w:val="off"/>
              </w:rPr>
              <w:t>[4]</w:t>
            </w:r>
            <w:r>
              <w:rPr>
                <w:b/>
              </w:rPr>
              <w:t>Date of this document</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050E7FE2" w14:textId="7256CA71">
            <w:pPr>
              <w:pStyle w:val="IPPArialTable"/>
            </w:pPr>
            <w:r>
              <w:rPr>
                <w:rStyle w:val="PleaseReviewParagraphId"/>
                <w:b w:val="off"/>
                <w:i w:val="off"/>
              </w:rPr>
              <w:t>[5]</w:t>
            </w:r>
            <w:r>
              <w:t>2026-05-04</w:t>
            </w:r>
          </w:p>
        </w:tc>
      </w:tr>
      <w:tr w14:paraId="0BD5E288"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537E8F01" w14:textId="77777777">
            <w:pPr>
              <w:pStyle w:val="IPPArialTable"/>
              <w:rPr>
                <w:b/>
              </w:rPr>
            </w:pPr>
            <w:r>
              <w:rPr>
                <w:rStyle w:val="PleaseReviewParagraphId"/>
                <w:b w:val="off"/>
                <w:i w:val="off"/>
              </w:rPr>
              <w:t>[6]</w:t>
            </w:r>
            <w:r>
              <w:rPr>
                <w:b/>
              </w:rPr>
              <w:t>Document category</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3940F3CD" w14:textId="77777777">
            <w:pPr>
              <w:pStyle w:val="IPPArialTable"/>
            </w:pPr>
            <w:r>
              <w:rPr>
                <w:rStyle w:val="PleaseReviewParagraphId"/>
                <w:b w:val="off"/>
                <w:i w:val="off"/>
              </w:rPr>
              <w:t>[7]</w:t>
            </w:r>
            <w:r>
              <w:t>Draft annex to ISPM 28</w:t>
            </w:r>
          </w:p>
        </w:tc>
      </w:tr>
      <w:tr w14:paraId="15BB831B"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276033D4" w14:textId="77777777">
            <w:pPr>
              <w:pStyle w:val="IPPArialTable"/>
              <w:rPr>
                <w:b/>
              </w:rPr>
            </w:pPr>
            <w:r>
              <w:rPr>
                <w:rStyle w:val="PleaseReviewParagraphId"/>
                <w:b w:val="off"/>
                <w:i w:val="off"/>
              </w:rPr>
              <w:t>[8]</w:t>
            </w:r>
            <w:r>
              <w:rPr>
                <w:b/>
              </w:rPr>
              <w:t>Current document stage</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30B11D3D" w14:textId="3205D779">
            <w:pPr>
              <w:pStyle w:val="IPPArialTable"/>
              <w:rPr>
                <w:highlight w:val="yellow"/>
              </w:rPr>
            </w:pPr>
            <w:r>
              <w:rPr>
                <w:rStyle w:val="PleaseReviewParagraphId"/>
                <w:b w:val="off"/>
                <w:i w:val="off"/>
              </w:rPr>
              <w:t>[9]</w:t>
            </w:r>
            <w:r>
              <w:rPr>
                <w:i/>
              </w:rPr>
              <w:t>To</w:t>
            </w:r>
            <w:r>
              <w:t xml:space="preserve"> Standards Committee (SC) for approval for consultation</w:t>
            </w:r>
          </w:p>
        </w:tc>
      </w:tr>
      <w:tr w14:paraId="79449584"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55A16365" w14:textId="77777777">
            <w:pPr>
              <w:pStyle w:val="IPPArialTable"/>
              <w:rPr>
                <w:b/>
              </w:rPr>
            </w:pPr>
            <w:r>
              <w:rPr>
                <w:rStyle w:val="PleaseReviewParagraphId"/>
                <w:b w:val="off"/>
                <w:i w:val="off"/>
              </w:rPr>
              <w:t>[10]</w:t>
            </w:r>
            <w:r>
              <w:rPr>
                <w:b/>
              </w:rPr>
              <w:t>Major stages</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2B6F0990" w14:textId="25281573">
            <w:pPr>
              <w:pStyle w:val="IPPArialTable"/>
            </w:pPr>
            <w:r>
              <w:rPr>
                <w:rStyle w:val="PleaseReviewParagraphId"/>
                <w:b w:val="off"/>
                <w:i w:val="off"/>
              </w:rPr>
              <w:t>[11]</w:t>
            </w:r>
            <w:r>
              <w:t>2018-02 Treatment submitted in response to 2017-07 call for treatments.</w:t>
            </w:r>
          </w:p>
          <w:p w14:paraId="5DCE940E" w14:textId="58639D03">
            <w:pPr>
              <w:pStyle w:val="IPPArialTable"/>
            </w:pPr>
            <w:r>
              <w:rPr>
                <w:rStyle w:val="PleaseReviewParagraphId"/>
                <w:b w:val="off"/>
                <w:i w:val="off"/>
              </w:rPr>
              <w:t>[12]</w:t>
            </w:r>
            <w:r>
              <w:t>2018-03 Technical Panel on Phytosanitary Treatments (TPPT) reviewed submission and requested further information.</w:t>
            </w:r>
          </w:p>
          <w:p w14:paraId="5912C682" w14:textId="603CC585">
            <w:pPr>
              <w:pStyle w:val="IPPArialTable"/>
              <w:rPr>
                <w:rFonts w:eastAsia="MS Mincho" w:cs="Arial"/>
                <w:szCs w:val="18"/>
              </w:rPr>
            </w:pPr>
            <w:r>
              <w:rPr>
                <w:rStyle w:val="PleaseReviewParagraphId"/>
                <w:b w:val="off"/>
                <w:i w:val="off"/>
              </w:rPr>
              <w:t>[13]</w:t>
            </w:r>
            <w:r>
              <w:rPr>
                <w:rFonts w:eastAsia="MS Mincho" w:cs="Arial"/>
                <w:szCs w:val="18"/>
              </w:rPr>
              <w:t xml:space="preserve">2018-05 SC added </w:t>
            </w:r>
            <w:r>
              <w:rPr>
                <w:rFonts w:eastAsia="MS Mincho" w:cs="Arial"/>
                <w:i/>
                <w:szCs w:val="18"/>
              </w:rPr>
              <w:t xml:space="preserve">Phytosanitary irradiation treatment of fresh commodities against </w:t>
            </w:r>
            <w:r>
              <w:rPr>
                <w:rFonts w:eastAsia="MS Mincho" w:cs="Arial"/>
                <w:iCs/>
                <w:szCs w:val="18"/>
              </w:rPr>
              <w:t>Liriomyza sativa</w:t>
            </w:r>
            <w:r>
              <w:rPr>
                <w:rFonts w:eastAsia="MS Mincho" w:cs="Arial"/>
                <w:i/>
                <w:szCs w:val="18"/>
              </w:rPr>
              <w:t xml:space="preserve">, </w:t>
            </w:r>
            <w:r>
              <w:rPr>
                <w:rFonts w:eastAsia="MS Mincho" w:cs="Arial"/>
                <w:iCs/>
                <w:szCs w:val="18"/>
              </w:rPr>
              <w:t>Liriomyza trifolii</w:t>
            </w:r>
            <w:r>
              <w:rPr>
                <w:rFonts w:eastAsia="MS Mincho" w:cs="Arial"/>
                <w:i/>
                <w:szCs w:val="18"/>
              </w:rPr>
              <w:t xml:space="preserve"> and </w:t>
            </w:r>
            <w:r>
              <w:rPr>
                <w:rFonts w:eastAsia="MS Mincho" w:cs="Arial"/>
                <w:iCs/>
                <w:szCs w:val="18"/>
              </w:rPr>
              <w:t>Liriomyza huidobrensis</w:t>
            </w:r>
            <w:r>
              <w:rPr>
                <w:rFonts w:eastAsia="MS Mincho" w:cs="Arial"/>
                <w:i/>
                <w:szCs w:val="18"/>
              </w:rPr>
              <w:t xml:space="preserve"> </w:t>
            </w:r>
            <w:r>
              <w:rPr>
                <w:rFonts w:eastAsia="MS Mincho" w:cs="Arial"/>
                <w:szCs w:val="18"/>
              </w:rPr>
              <w:t>(2018-001)</w:t>
            </w:r>
            <w:r>
              <w:rPr>
                <w:rFonts w:ascii="Times New Roman" w:hAnsi="Times New Roman" w:eastAsia="MS Mincho"/>
                <w:b/>
                <w:sz w:val="22"/>
              </w:rPr>
              <w:t xml:space="preserve"> </w:t>
            </w:r>
            <w:r>
              <w:rPr>
                <w:rFonts w:eastAsia="MS Mincho" w:cs="Arial"/>
                <w:szCs w:val="18"/>
              </w:rPr>
              <w:t>to the TPPT work programme with priority 2.</w:t>
            </w:r>
          </w:p>
          <w:p w14:paraId="3B115E81" w14:textId="3FA0749C">
            <w:pPr>
              <w:pStyle w:val="IPPArialTable"/>
              <w:rPr>
                <w:rFonts w:eastAsia="MS Mincho" w:cs="Arial"/>
                <w:szCs w:val="18"/>
              </w:rPr>
            </w:pPr>
            <w:r>
              <w:rPr>
                <w:rStyle w:val="PleaseReviewParagraphId"/>
                <w:b w:val="off"/>
                <w:i w:val="off"/>
              </w:rPr>
              <w:t>[14]</w:t>
            </w:r>
            <w:r>
              <w:rPr>
                <w:rFonts w:eastAsia="MS Mincho" w:cs="Arial"/>
                <w:szCs w:val="18"/>
              </w:rPr>
              <w:t>2018-11 SC reviewed the inclusion of the treatment (2018-001) in the TPPT work programme and agreed to maintain it on the work programme until its next meeting.</w:t>
            </w:r>
          </w:p>
          <w:p w14:paraId="3F67FADD" w14:textId="6AF81496">
            <w:pPr>
              <w:pStyle w:val="IPPArialTable"/>
              <w:rPr>
                <w:rFonts w:cs="Arial"/>
                <w:szCs w:val="18"/>
              </w:rPr>
            </w:pPr>
            <w:r>
              <w:rPr>
                <w:rStyle w:val="PleaseReviewParagraphId"/>
                <w:b w:val="off"/>
                <w:i w:val="off"/>
              </w:rPr>
              <w:t>[15]</w:t>
            </w:r>
            <w:r>
              <w:rPr>
                <w:rFonts w:cs="Arial"/>
                <w:szCs w:val="18"/>
              </w:rPr>
              <w:t>2019-05 SC agreed</w:t>
            </w:r>
            <w:r>
              <w:rPr>
                <w:rFonts w:cs="Arial"/>
                <w:i/>
                <w:iCs/>
                <w:szCs w:val="18"/>
              </w:rPr>
              <w:t xml:space="preserve"> </w:t>
            </w:r>
            <w:r>
              <w:rPr>
                <w:rFonts w:cs="Arial"/>
                <w:szCs w:val="18"/>
              </w:rPr>
              <w:t>to retain the treatment (2018-001) on the TPPT work programme and defer making a further decision until more information was available.</w:t>
            </w:r>
          </w:p>
          <w:p w14:paraId="7B4C7BDA" w14:textId="0476B7D6">
            <w:pPr>
              <w:pStyle w:val="IPPArialTable"/>
              <w:rPr>
                <w:rFonts w:eastAsia="MS Mincho" w:cs="Arial"/>
                <w:szCs w:val="18"/>
              </w:rPr>
            </w:pPr>
            <w:r>
              <w:rPr>
                <w:rStyle w:val="PleaseReviewParagraphId"/>
                <w:b w:val="off"/>
                <w:i w:val="off"/>
              </w:rPr>
              <w:t>[16]</w:t>
            </w:r>
            <w:r>
              <w:rPr>
                <w:rFonts w:eastAsia="MS Mincho" w:cs="Arial"/>
                <w:szCs w:val="18"/>
              </w:rPr>
              <w:t>2024-06 TPPT reviewed the treatment based on evidence from the supporting reference.</w:t>
            </w:r>
          </w:p>
          <w:p w14:paraId="405658DF" w14:textId="2B9EA237">
            <w:pPr>
              <w:pStyle w:val="IPPArialTable"/>
              <w:rPr>
                <w:rFonts w:eastAsia="MS Mincho" w:cs="Arial"/>
                <w:szCs w:val="18"/>
                <w:lang w:eastAsia="ja-JP"/>
              </w:rPr>
            </w:pPr>
            <w:r>
              <w:rPr>
                <w:rStyle w:val="PleaseReviewParagraphId"/>
                <w:b w:val="off"/>
                <w:i w:val="off"/>
              </w:rPr>
              <w:t>[17]</w:t>
            </w:r>
            <w:r>
              <w:rPr>
                <w:rFonts w:eastAsia="MS Mincho" w:cs="Arial"/>
                <w:szCs w:val="18"/>
                <w:lang w:eastAsia="ja-JP"/>
              </w:rPr>
              <w:t>2025-02 Submitter provided additional information.</w:t>
            </w:r>
          </w:p>
          <w:p w14:paraId="72CD7F47" w14:textId="4742EBFC">
            <w:pPr>
              <w:pStyle w:val="IPPArialTable"/>
              <w:rPr>
                <w:rFonts w:eastAsiaTheme="minorEastAsia"/>
                <w:lang w:eastAsia="ja-JP"/>
              </w:rPr>
            </w:pPr>
            <w:r>
              <w:rPr>
                <w:rStyle w:val="PleaseReviewParagraphId"/>
                <w:b w:val="off"/>
                <w:i w:val="off"/>
              </w:rPr>
              <w:t>[18]</w:t>
            </w:r>
            <w:r>
              <w:rPr>
                <w:rFonts w:eastAsiaTheme="minorEastAsia"/>
                <w:lang w:eastAsia="ja-JP"/>
              </w:rPr>
              <w:t xml:space="preserve">2025-06 TPPT revised treatment </w:t>
            </w:r>
            <w:r>
              <w:rPr>
                <w:rFonts w:eastAsia="MS Mincho" w:cs="Arial"/>
                <w:szCs w:val="18"/>
                <w:lang w:eastAsia="ja-JP"/>
              </w:rPr>
              <w:t>and recommended to SC for approval for first consultation.</w:t>
            </w:r>
          </w:p>
          <w:p w14:paraId="6731B6F4" w14:textId="301290EC">
            <w:pPr>
              <w:pStyle w:val="IPPArialTable"/>
              <w:rPr>
                <w:rFonts w:eastAsiaTheme="minorEastAsia"/>
                <w:lang w:eastAsia="ja-JP"/>
              </w:rPr>
            </w:pPr>
            <w:r>
              <w:rPr>
                <w:rStyle w:val="PleaseReviewParagraphId"/>
                <w:b w:val="off"/>
                <w:i w:val="off"/>
              </w:rPr>
              <w:t>[19]</w:t>
            </w:r>
            <w:r>
              <w:rPr>
                <w:rFonts w:eastAsiaTheme="minorEastAsia"/>
                <w:lang w:eastAsia="ja-JP"/>
              </w:rPr>
              <w:t xml:space="preserve">2026-03 TPPT </w:t>
            </w:r>
            <w:r>
              <w:rPr>
                <w:rFonts w:eastAsia="MS Mincho" w:cs="Arial"/>
                <w:szCs w:val="18"/>
                <w:lang w:eastAsia="ja-JP"/>
              </w:rPr>
              <w:t xml:space="preserve">refined the text and reaffirmed its June 2025 decision to recommend </w:t>
            </w:r>
            <w:r>
              <w:rPr>
                <w:rFonts w:eastAsiaTheme="minorEastAsia"/>
                <w:lang w:eastAsia="ja-JP"/>
              </w:rPr>
              <w:t xml:space="preserve">to SC for first consultation. </w:t>
            </w:r>
          </w:p>
        </w:tc>
      </w:tr>
      <w:tr w14:paraId="3E638149"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5728D1DA" w14:textId="77777777">
            <w:pPr>
              <w:pStyle w:val="IPPArialTable"/>
              <w:rPr>
                <w:b/>
              </w:rPr>
            </w:pPr>
            <w:r>
              <w:rPr>
                <w:rStyle w:val="PleaseReviewParagraphId"/>
                <w:b w:val="off"/>
                <w:i w:val="off"/>
              </w:rPr>
              <w:t>[20]</w:t>
            </w:r>
            <w:r>
              <w:rPr>
                <w:b/>
              </w:rPr>
              <w:t>Treatment Lead</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54077D6C" w14:textId="28D9452A">
            <w:pPr>
              <w:pStyle w:val="IPPArialTable"/>
              <w:rPr>
                <w:lang w:val="pt-BR"/>
              </w:rPr>
            </w:pPr>
            <w:r>
              <w:rPr>
                <w:rStyle w:val="PleaseReviewParagraphId"/>
                <w:b w:val="off"/>
                <w:i w:val="off"/>
              </w:rPr>
              <w:t>[21]</w:t>
            </w:r>
            <w:r>
              <w:rPr>
                <w:lang w:val="pt-BR"/>
              </w:rPr>
              <w:t>2024-06 Vanessa SIMOES DIAS DE CASTRO (IAEA)</w:t>
            </w:r>
          </w:p>
        </w:tc>
      </w:tr>
      <w:tr w14:paraId="4669E722"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0A639A53" w14:textId="77777777">
            <w:pPr>
              <w:pStyle w:val="IPPArialTable"/>
              <w:rPr>
                <w:b/>
              </w:rPr>
            </w:pPr>
            <w:r>
              <w:rPr>
                <w:rStyle w:val="PleaseReviewParagraphId"/>
                <w:b w:val="off"/>
                <w:i w:val="off"/>
              </w:rPr>
              <w:t>[22]</w:t>
            </w:r>
            <w:r>
              <w:rPr>
                <w:b/>
              </w:rPr>
              <w:t>Notes</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2B661F56" w14:textId="690675C4">
            <w:pPr>
              <w:pStyle w:val="IPPArialTable"/>
              <w:rPr>
                <w:rFonts w:eastAsia="MS Mincho" w:cs="Arial"/>
                <w:szCs w:val="18"/>
              </w:rPr>
            </w:pPr>
            <w:r>
              <w:rPr>
                <w:rStyle w:val="PleaseReviewParagraphId"/>
                <w:b w:val="off"/>
                <w:i w:val="off"/>
              </w:rPr>
              <w:t>[23]</w:t>
            </w:r>
            <w:r>
              <w:t xml:space="preserve">2025-06 TPPT changed the title to </w:t>
            </w:r>
            <w:r>
              <w:rPr>
                <w:rFonts w:eastAsia="MS Mincho" w:cs="Arial"/>
                <w:i/>
                <w:szCs w:val="18"/>
              </w:rPr>
              <w:t xml:space="preserve">Irradiation treatment for </w:t>
            </w:r>
            <w:r>
              <w:rPr>
                <w:i/>
                <w:iCs/>
              </w:rPr>
              <w:t>Liriomyza huidobrensis</w:t>
            </w:r>
            <w:r>
              <w:t>,</w:t>
            </w:r>
            <w:r>
              <w:rPr>
                <w:i/>
                <w:iCs/>
              </w:rPr>
              <w:t xml:space="preserve"> </w:t>
            </w:r>
            <w:r>
              <w:rPr>
                <w:rFonts w:eastAsia="MS Mincho" w:cs="Arial"/>
                <w:i/>
                <w:szCs w:val="18"/>
              </w:rPr>
              <w:t>Liriomyza</w:t>
            </w:r>
            <w:r>
              <w:rPr>
                <w:i/>
                <w:iCs/>
              </w:rPr>
              <w:t xml:space="preserve"> sativa</w:t>
            </w:r>
            <w:r>
              <w:rPr>
                <w:rFonts w:cstheme="minorBidi"/>
                <w:i/>
                <w:iCs/>
                <w:lang w:eastAsia="zh-CN"/>
              </w:rPr>
              <w:t>e</w:t>
            </w:r>
            <w:r>
              <w:t>,</w:t>
            </w:r>
            <w:r>
              <w:rPr>
                <w:i/>
                <w:iCs/>
              </w:rPr>
              <w:t xml:space="preserve"> </w:t>
            </w:r>
            <w:r>
              <w:t>and</w:t>
            </w:r>
            <w:r>
              <w:rPr>
                <w:rFonts w:eastAsia="MS Mincho" w:cs="Arial"/>
                <w:iCs/>
                <w:szCs w:val="18"/>
              </w:rPr>
              <w:t xml:space="preserve"> </w:t>
            </w:r>
            <w:r>
              <w:rPr>
                <w:rFonts w:eastAsia="MS Mincho" w:cs="Arial"/>
                <w:i/>
                <w:szCs w:val="18"/>
              </w:rPr>
              <w:t>Liriomyza</w:t>
            </w:r>
            <w:r>
              <w:rPr>
                <w:i/>
                <w:iCs/>
              </w:rPr>
              <w:t xml:space="preserve"> trifolii </w:t>
            </w:r>
            <w:r>
              <w:rPr>
                <w:rFonts w:eastAsia="MS Mincho" w:cs="Arial"/>
                <w:szCs w:val="18"/>
              </w:rPr>
              <w:t>(2018-001)</w:t>
            </w:r>
          </w:p>
          <w:p w14:paraId="2A241C99" w14:textId="5F63CBEC">
            <w:pPr>
              <w:pStyle w:val="IPPArialTable"/>
              <w:rPr>
                <w:i/>
                <w:iCs/>
              </w:rPr>
            </w:pPr>
            <w:r>
              <w:rPr>
                <w:rStyle w:val="PleaseReviewParagraphId"/>
                <w:b w:val="off"/>
                <w:i w:val="off"/>
              </w:rPr>
              <w:t>[24]</w:t>
            </w:r>
            <w:r>
              <w:rPr>
                <w:rFonts w:eastAsia="MS Mincho" w:cs="Arial"/>
                <w:szCs w:val="18"/>
              </w:rPr>
              <w:t xml:space="preserve">2026-05 Edited </w:t>
            </w:r>
          </w:p>
        </w:tc>
      </w:tr>
    </w:tbl>
    <w:p w14:paraId="1A1076B6" w14:textId="77777777">
      <w:pPr>
        <w:pStyle w:val="IPPHeading1"/>
        <w:ind w:left="0" w:firstLine="0"/>
      </w:pPr>
      <w:r>
        <w:rPr>
          <w:rStyle w:val="PleaseReviewParagraphId"/>
          <w:b w:val="off"/>
          <w:i w:val="off"/>
        </w:rPr>
        <w:t>[25]</w:t>
      </w:r>
      <w:r>
        <w:t>Scope of the treatment</w:t>
      </w:r>
    </w:p>
    <w:p w14:paraId="2CBB8F77" w14:textId="54CA6153">
      <w:pPr>
        <w:pStyle w:val="IPPParagraphnumbering"/>
        <w:numPr>
          <w:ilvl w:val="0"/>
          <w:numId w:val="0"/>
        </w:numPr>
        <w:rPr>
          <w:lang w:val="en-GB"/>
        </w:rPr>
      </w:pPr>
      <w:r>
        <w:rPr>
          <w:rStyle w:val="PleaseReviewParagraphId"/>
          <w:b w:val="off"/>
          <w:i w:val="off"/>
        </w:rPr>
        <w:t>[26]</w:t>
      </w:r>
      <w:r>
        <w:rPr>
          <w:lang w:val="en-GB"/>
        </w:rPr>
        <w:t xml:space="preserve">This treatment describes the irradiation of vegetables and ornamental plants at 176 Gy minimum absorbed dose to prevent the development of viable </w:t>
      </w:r>
      <w:bookmarkStart w:name="_Hlk199954629" w:id="1"/>
      <w:r>
        <w:rPr>
          <w:lang w:val="en-GB"/>
        </w:rPr>
        <w:t>F</w:t>
      </w:r>
      <w:r>
        <w:rPr>
          <w:vertAlign w:val="subscript"/>
          <w:lang w:val="en-GB"/>
        </w:rPr>
        <w:t>1</w:t>
      </w:r>
      <w:r>
        <w:rPr>
          <w:lang w:val="en-GB"/>
        </w:rPr>
        <w:t xml:space="preserve"> larvae of </w:t>
      </w:r>
      <w:r>
        <w:rPr>
          <w:i/>
          <w:iCs/>
          <w:lang w:val="en-GB"/>
        </w:rPr>
        <w:t>Liriomyza huidobrensis</w:t>
      </w:r>
      <w:r>
        <w:rPr>
          <w:lang w:val="en-GB"/>
        </w:rPr>
        <w:t xml:space="preserve"> and</w:t>
      </w:r>
      <w:r>
        <w:rPr>
          <w:i/>
          <w:iCs/>
          <w:lang w:val="en-GB"/>
        </w:rPr>
        <w:t xml:space="preserve"> Liriomyza sativa</w:t>
      </w:r>
      <w:r>
        <w:rPr>
          <w:rFonts w:cstheme="minorBidi"/>
          <w:i/>
          <w:iCs/>
          <w:lang w:val="en-GB" w:eastAsia="zh-CN"/>
        </w:rPr>
        <w:t>e</w:t>
      </w:r>
      <w:r>
        <w:rPr>
          <w:lang w:val="en-GB"/>
        </w:rPr>
        <w:t>, and</w:t>
      </w:r>
      <w:r>
        <w:rPr>
          <w:i/>
          <w:iCs/>
          <w:lang w:val="en-GB"/>
        </w:rPr>
        <w:t xml:space="preserve"> </w:t>
      </w:r>
      <w:r>
        <w:rPr>
          <w:lang w:val="en-GB"/>
        </w:rPr>
        <w:t xml:space="preserve">166 Gy for </w:t>
      </w:r>
      <w:r>
        <w:rPr>
          <w:i/>
          <w:iCs/>
          <w:lang w:val="en-GB"/>
        </w:rPr>
        <w:t>Liriomyza trifolii</w:t>
      </w:r>
      <w:r>
        <w:rPr>
          <w:lang w:val="en-GB"/>
        </w:rPr>
        <w:t>,</w:t>
      </w:r>
      <w:r>
        <w:rPr>
          <w:i/>
          <w:iCs/>
          <w:lang w:val="en-GB"/>
        </w:rPr>
        <w:t xml:space="preserve"> </w:t>
      </w:r>
      <w:bookmarkEnd w:id="1"/>
      <w:r>
        <w:rPr>
          <w:lang w:val="en-GB"/>
        </w:rPr>
        <w:t>at the stated efficacy.</w:t>
      </w:r>
      <w:r>
        <w:rPr>
          <w:rStyle w:val="FootnoteReference"/>
          <w:lang w:val="en-GB"/>
        </w:rPr>
        <w:footnoteReference w:id="1"/>
      </w:r>
    </w:p>
    <w:p w14:paraId="0A033B1D" w14:textId="77777777">
      <w:pPr>
        <w:pStyle w:val="IPPHeading1"/>
        <w:rPr>
          <w:lang w:eastAsia="en-AU"/>
        </w:rPr>
      </w:pPr>
      <w:r>
        <w:rPr>
          <w:rStyle w:val="PleaseReviewParagraphId"/>
          <w:b w:val="off"/>
          <w:i w:val="off"/>
        </w:rPr>
        <w:t>[28]</w:t>
      </w:r>
      <w:r>
        <w:rPr>
          <w:lang w:eastAsia="en-AU"/>
        </w:rPr>
        <w:t>Treatment description</w:t>
      </w:r>
    </w:p>
    <w:p w14:paraId="38FF7DEF" w14:textId="3B0F8CBD">
      <w:pPr>
        <w:pStyle w:val="IPPParagraphnumbering"/>
        <w:numPr>
          <w:ilvl w:val="0"/>
          <w:numId w:val="0"/>
        </w:numPr>
        <w:tabs>
          <w:tab w:val="left" w:pos="2552"/>
        </w:tabs>
        <w:rPr>
          <w:lang w:val="en-GB" w:eastAsia="en-AU"/>
        </w:rPr>
      </w:pPr>
      <w:r>
        <w:rPr>
          <w:rStyle w:val="PleaseReviewParagraphId"/>
          <w:b w:val="off"/>
          <w:i w:val="off"/>
        </w:rPr>
        <w:t>[29]</w:t>
      </w:r>
      <w:r>
        <w:rPr>
          <w:b/>
          <w:lang w:val="en-GB" w:eastAsia="en-AU"/>
        </w:rPr>
        <w:t>Name of treatment</w:t>
      </w:r>
      <w:r>
        <w:rPr>
          <w:lang w:val="en-GB" w:eastAsia="en-AU"/>
        </w:rPr>
        <w:tab/>
        <w:t xml:space="preserve">Irradiation treatment for </w:t>
      </w:r>
      <w:r>
        <w:rPr>
          <w:i/>
          <w:iCs/>
          <w:lang w:val="en-GB" w:eastAsia="en-AU"/>
        </w:rPr>
        <w:t>Liriomyza huidobrensis</w:t>
      </w:r>
      <w:r>
        <w:rPr>
          <w:lang w:val="en-GB" w:eastAsia="en-AU"/>
        </w:rPr>
        <w:t xml:space="preserve">, </w:t>
      </w:r>
      <w:r>
        <w:rPr>
          <w:i/>
          <w:iCs/>
          <w:lang w:val="en-GB" w:eastAsia="en-AU"/>
        </w:rPr>
        <w:t>Liriomyza sativa</w:t>
      </w:r>
      <w:r>
        <w:rPr>
          <w:rFonts w:cstheme="minorBidi"/>
          <w:i/>
          <w:iCs/>
          <w:lang w:val="en-GB" w:eastAsia="zh-CN"/>
        </w:rPr>
        <w:t>e</w:t>
      </w:r>
      <w:r>
        <w:rPr>
          <w:lang w:val="en-GB" w:eastAsia="en-AU"/>
        </w:rPr>
        <w:t xml:space="preserve"> and </w:t>
      </w:r>
      <w:r>
        <w:rPr>
          <w:i/>
          <w:iCs/>
          <w:lang w:val="en-GB" w:eastAsia="en-AU"/>
        </w:rPr>
        <w:t>Liriomyza trifolii</w:t>
      </w:r>
    </w:p>
    <w:p w14:paraId="02E630D1" w14:textId="627BB030">
      <w:pPr>
        <w:pStyle w:val="IPPParagraphnumbering"/>
        <w:numPr>
          <w:ilvl w:val="0"/>
          <w:numId w:val="0"/>
        </w:numPr>
        <w:tabs>
          <w:tab w:val="left" w:pos="2552"/>
        </w:tabs>
        <w:rPr>
          <w:lang w:val="en-GB" w:eastAsia="en-AU"/>
        </w:rPr>
      </w:pPr>
      <w:r>
        <w:rPr>
          <w:rStyle w:val="PleaseReviewParagraphId"/>
          <w:b w:val="off"/>
          <w:i w:val="off"/>
        </w:rPr>
        <w:t>[30]</w:t>
      </w:r>
      <w:r>
        <w:rPr>
          <w:b/>
          <w:lang w:val="en-GB" w:eastAsia="en-AU"/>
        </w:rPr>
        <w:t>Active ingredient</w:t>
      </w:r>
      <w:r>
        <w:rPr>
          <w:lang w:val="en-GB" w:eastAsia="en-AU"/>
        </w:rPr>
        <w:tab/>
        <w:t>n/a</w:t>
      </w:r>
    </w:p>
    <w:p w14:paraId="440CD607" w14:textId="47B0E98E">
      <w:pPr>
        <w:pStyle w:val="IPPParagraphnumbering"/>
        <w:numPr>
          <w:ilvl w:val="0"/>
          <w:numId w:val="0"/>
        </w:numPr>
        <w:tabs>
          <w:tab w:val="left" w:pos="0"/>
          <w:tab w:val="left" w:pos="2552"/>
        </w:tabs>
        <w:rPr>
          <w:lang w:val="en-GB" w:eastAsia="en-AU"/>
        </w:rPr>
      </w:pPr>
      <w:r>
        <w:rPr>
          <w:rStyle w:val="PleaseReviewParagraphId"/>
          <w:b w:val="off"/>
          <w:i w:val="off"/>
        </w:rPr>
        <w:t>[31]</w:t>
      </w:r>
      <w:r>
        <w:rPr>
          <w:b/>
          <w:bCs/>
          <w:lang w:val="en-GB" w:eastAsia="en-AU"/>
        </w:rPr>
        <w:t>Treatment type</w:t>
      </w:r>
      <w:r>
        <w:rPr>
          <w:lang w:val="en-GB" w:eastAsia="en-AU"/>
        </w:rPr>
        <w:tab/>
        <w:t>Irradiation</w:t>
      </w:r>
    </w:p>
    <w:p w14:paraId="5D70C190" w14:textId="4A277EAC">
      <w:pPr>
        <w:pStyle w:val="IPPParagraphnumbering"/>
        <w:numPr>
          <w:ilvl w:val="0"/>
          <w:numId w:val="0"/>
        </w:numPr>
        <w:tabs>
          <w:tab w:val="left" w:pos="0"/>
          <w:tab w:val="left" w:pos="2552"/>
        </w:tabs>
        <w:jc w:val="left"/>
        <w:rPr>
          <w:lang w:val="en-GB" w:eastAsia="en-AU"/>
        </w:rPr>
      </w:pPr>
      <w:r>
        <w:rPr>
          <w:rStyle w:val="PleaseReviewParagraphId"/>
          <w:b w:val="off"/>
          <w:i w:val="off"/>
        </w:rPr>
        <w:t>[32]</w:t>
      </w:r>
      <w:r>
        <w:rPr>
          <w:b/>
          <w:lang w:val="en-GB"/>
        </w:rPr>
        <w:t>Target pests</w:t>
      </w:r>
      <w:r>
        <w:rPr>
          <w:lang w:val="en-GB"/>
        </w:rPr>
        <w:tab/>
      </w:r>
      <w:r>
        <w:rPr>
          <w:i/>
          <w:iCs/>
          <w:lang w:val="en-GB" w:eastAsia="en-AU"/>
        </w:rPr>
        <w:t xml:space="preserve">Liriomyza huidobrensis </w:t>
      </w:r>
      <w:r>
        <w:rPr>
          <w:lang w:val="en-GB" w:eastAsia="en-AU"/>
        </w:rPr>
        <w:t xml:space="preserve">(Blanchard, 1926), </w:t>
      </w:r>
      <w:r>
        <w:rPr>
          <w:i/>
          <w:iCs/>
          <w:lang w:val="en-GB" w:eastAsia="en-AU"/>
        </w:rPr>
        <w:t>Liriomyza sativa</w:t>
      </w:r>
      <w:r>
        <w:rPr>
          <w:rFonts w:cstheme="minorBidi"/>
          <w:i/>
          <w:iCs/>
          <w:lang w:val="en-GB" w:eastAsia="zh-CN"/>
        </w:rPr>
        <w:t>e</w:t>
      </w:r>
      <w:r>
        <w:rPr>
          <w:i/>
          <w:iCs/>
          <w:lang w:val="en-GB" w:eastAsia="en-AU"/>
        </w:rPr>
        <w:t xml:space="preserve"> </w:t>
      </w:r>
      <w:r>
        <w:rPr>
          <w:lang w:val="en-GB" w:eastAsia="en-AU"/>
        </w:rPr>
        <w:t>Blanchard, 1938 and</w:t>
      </w:r>
      <w:r>
        <w:rPr>
          <w:i/>
          <w:iCs/>
          <w:lang w:val="en-GB" w:eastAsia="en-AU"/>
        </w:rPr>
        <w:t xml:space="preserve"> Liriomyza trifolii </w:t>
      </w:r>
      <w:r>
        <w:rPr>
          <w:lang w:val="en-GB" w:eastAsia="en-AU"/>
        </w:rPr>
        <w:t>(Burgess, 1880) (Diptera: Agromyzidae)</w:t>
      </w:r>
    </w:p>
    <w:p w14:paraId="4BF935AA" w14:textId="192DF5B4">
      <w:pPr>
        <w:pStyle w:val="IPPParagraphnumbering"/>
        <w:numPr>
          <w:ilvl w:val="0"/>
          <w:numId w:val="0"/>
        </w:numPr>
        <w:tabs>
          <w:tab w:val="left" w:pos="2552"/>
        </w:tabs>
        <w:rPr>
          <w:lang w:val="en-GB" w:eastAsia="en-AU"/>
        </w:rPr>
      </w:pPr>
      <w:r>
        <w:rPr>
          <w:rStyle w:val="PleaseReviewParagraphId"/>
          <w:b w:val="off"/>
          <w:i w:val="off"/>
        </w:rPr>
        <w:t>[33]</w:t>
      </w:r>
      <w:r>
        <w:rPr>
          <w:b/>
          <w:lang w:val="en-GB" w:eastAsia="en-AU"/>
        </w:rPr>
        <w:t>Target regulated articles</w:t>
      </w:r>
      <w:r>
        <w:rPr>
          <w:lang w:val="en-GB" w:eastAsia="en-AU"/>
        </w:rPr>
        <w:tab/>
        <w:t>All vegetables and ornamental plants that are hosts of the above leaf miners</w:t>
      </w:r>
    </w:p>
    <w:p w14:paraId="28C91E25" w14:textId="08751865">
      <w:pPr>
        <w:pStyle w:val="IPPHeading1"/>
        <w:rPr>
          <w:lang w:eastAsia="en-AU"/>
        </w:rPr>
      </w:pPr>
      <w:r>
        <w:rPr>
          <w:rStyle w:val="PleaseReviewParagraphId"/>
          <w:b w:val="off"/>
          <w:i w:val="off"/>
        </w:rPr>
        <w:t>[34]</w:t>
      </w:r>
      <w:r>
        <w:rPr>
          <w:lang w:eastAsia="en-AU"/>
        </w:rPr>
        <w:t>Treatment schedules</w:t>
      </w:r>
    </w:p>
    <w:p w14:paraId="58F3DDBC" w14:textId="57402DFF">
      <w:pPr>
        <w:pStyle w:val="IPPParagraphnumbering"/>
        <w:numPr>
          <w:ilvl w:val="0"/>
          <w:numId w:val="0"/>
        </w:numPr>
        <w:rPr>
          <w:rFonts w:eastAsia="Times New Roman"/>
          <w:b/>
          <w:bCs/>
          <w:lang w:val="en-GB" w:eastAsia="en-AU"/>
        </w:rPr>
      </w:pPr>
      <w:r>
        <w:rPr>
          <w:rStyle w:val="PleaseReviewParagraphId"/>
          <w:b w:val="off"/>
          <w:i w:val="off"/>
        </w:rPr>
        <w:t>[35]</w:t>
      </w:r>
      <w:r>
        <w:rPr>
          <w:rFonts w:eastAsia="Times New Roman"/>
          <w:b/>
          <w:bCs/>
          <w:lang w:val="en-GB" w:eastAsia="en-AU"/>
        </w:rPr>
        <w:t>Schedule 1:</w:t>
      </w:r>
      <w:r>
        <w:rPr>
          <w:rFonts w:eastAsia="Times New Roman"/>
          <w:lang w:val="en-GB" w:eastAsia="en-AU"/>
        </w:rPr>
        <w:t xml:space="preserve"> Minimum absorbed dose of 176 Gy to prevent development of viable F1 larvae</w:t>
      </w:r>
      <w:r>
        <w:rPr>
          <w:lang w:val="en-GB"/>
        </w:rPr>
        <w:t xml:space="preserve"> </w:t>
      </w:r>
      <w:r>
        <w:rPr>
          <w:rFonts w:eastAsia="Times New Roman"/>
          <w:lang w:val="en-GB" w:eastAsia="en-AU"/>
        </w:rPr>
        <w:t xml:space="preserve">of </w:t>
      </w:r>
      <w:r>
        <w:rPr>
          <w:rFonts w:eastAsia="Times New Roman"/>
          <w:i/>
          <w:iCs/>
          <w:lang w:val="en-GB" w:eastAsia="en-AU"/>
        </w:rPr>
        <w:t>Liriomyza huidobrensis.</w:t>
      </w:r>
    </w:p>
    <w:p w14:paraId="3D025E07" w14:textId="5BF6B15E">
      <w:pPr>
        <w:pStyle w:val="IPPParagraphnumbering"/>
        <w:numPr>
          <w:ilvl w:val="0"/>
          <w:numId w:val="0"/>
        </w:numPr>
        <w:rPr>
          <w:rFonts w:eastAsia="Times New Roman"/>
          <w:b/>
          <w:bCs/>
          <w:lang w:val="en-GB" w:eastAsia="en-AU"/>
        </w:rPr>
      </w:pPr>
      <w:r>
        <w:rPr>
          <w:rStyle w:val="PleaseReviewParagraphId"/>
          <w:b w:val="off"/>
          <w:i w:val="off"/>
        </w:rPr>
        <w:t>[36]</w:t>
      </w:r>
      <w:r>
        <w:rPr>
          <w:rFonts w:eastAsia="Times New Roman"/>
          <w:lang w:val="en-GB" w:eastAsia="en-AU"/>
        </w:rPr>
        <w:t xml:space="preserve">There is 95% confidence that the treatment according to this schedule prevents development of viable F1 larvae in not less than 99.9722% of pharate adults of </w:t>
      </w:r>
      <w:r>
        <w:rPr>
          <w:rFonts w:eastAsia="Times New Roman"/>
          <w:i/>
          <w:iCs/>
          <w:lang w:val="en-GB" w:eastAsia="en-AU"/>
        </w:rPr>
        <w:t xml:space="preserve">Liriomyza huidobrensis. </w:t>
      </w:r>
    </w:p>
    <w:p w14:paraId="56C6FF9A" w14:textId="077A158E">
      <w:pPr>
        <w:pStyle w:val="IPPParagraphnumbering"/>
        <w:numPr>
          <w:ilvl w:val="0"/>
          <w:numId w:val="0"/>
        </w:numPr>
        <w:rPr>
          <w:rFonts w:eastAsia="Times New Roman"/>
          <w:b/>
          <w:bCs/>
          <w:lang w:val="en-GB" w:eastAsia="en-AU"/>
        </w:rPr>
      </w:pPr>
      <w:r>
        <w:rPr>
          <w:rStyle w:val="PleaseReviewParagraphId"/>
          <w:b w:val="off"/>
          <w:i w:val="off"/>
        </w:rPr>
        <w:t>[37]</w:t>
      </w:r>
      <w:r>
        <w:rPr>
          <w:rFonts w:eastAsia="Times New Roman"/>
          <w:b/>
          <w:bCs/>
          <w:lang w:val="en-GB" w:eastAsia="en-AU"/>
        </w:rPr>
        <w:t>Schedule 2:</w:t>
      </w:r>
      <w:r>
        <w:rPr>
          <w:rFonts w:eastAsia="Times New Roman"/>
          <w:lang w:val="en-GB" w:eastAsia="en-AU"/>
        </w:rPr>
        <w:t xml:space="preserve"> Minimum absorbed dose of 176 Gy to prevent development of viable F1 larvae</w:t>
      </w:r>
      <w:r>
        <w:rPr>
          <w:lang w:val="en-GB"/>
        </w:rPr>
        <w:t xml:space="preserve"> </w:t>
      </w:r>
      <w:r>
        <w:rPr>
          <w:rFonts w:eastAsia="Times New Roman"/>
          <w:lang w:val="en-GB" w:eastAsia="en-AU"/>
        </w:rPr>
        <w:t xml:space="preserve">of </w:t>
      </w:r>
      <w:r>
        <w:rPr>
          <w:rFonts w:eastAsia="Times New Roman"/>
          <w:i/>
          <w:iCs/>
          <w:lang w:val="en-GB" w:eastAsia="en-AU"/>
        </w:rPr>
        <w:t>Liriomyza sativa</w:t>
      </w:r>
      <w:r>
        <w:rPr>
          <w:rFonts w:cstheme="minorBidi"/>
          <w:i/>
          <w:iCs/>
          <w:lang w:val="en-GB" w:eastAsia="zh-CN"/>
        </w:rPr>
        <w:t>e.</w:t>
      </w:r>
    </w:p>
    <w:p w14:paraId="1224D786" w14:textId="0D099988">
      <w:pPr>
        <w:pStyle w:val="IPPParagraphnumbering"/>
        <w:numPr>
          <w:ilvl w:val="0"/>
          <w:numId w:val="0"/>
        </w:numPr>
        <w:rPr>
          <w:rFonts w:eastAsia="Times New Roman"/>
          <w:b/>
          <w:bCs/>
          <w:lang w:val="en-GB" w:eastAsia="en-AU"/>
        </w:rPr>
      </w:pPr>
      <w:r>
        <w:rPr>
          <w:rStyle w:val="PleaseReviewParagraphId"/>
          <w:b w:val="off"/>
          <w:i w:val="off"/>
        </w:rPr>
        <w:t>[38]</w:t>
      </w:r>
      <w:r>
        <w:rPr>
          <w:rFonts w:eastAsia="Times New Roman"/>
          <w:lang w:val="en-GB" w:eastAsia="en-AU"/>
        </w:rPr>
        <w:t>There is 95% confidence that the treatment according to this schedule prevents development of viable F1 larvae in not less than 99.9715% of pharate adults of</w:t>
      </w:r>
      <w:r>
        <w:rPr>
          <w:rFonts w:eastAsia="Times New Roman"/>
          <w:i/>
          <w:iCs/>
          <w:lang w:val="en-GB" w:eastAsia="en-AU"/>
        </w:rPr>
        <w:t xml:space="preserve"> Liriomyza sativa</w:t>
      </w:r>
      <w:r>
        <w:rPr>
          <w:rFonts w:cstheme="minorBidi"/>
          <w:i/>
          <w:iCs/>
          <w:lang w:val="en-GB" w:eastAsia="zh-CN"/>
        </w:rPr>
        <w:t>e.</w:t>
      </w:r>
    </w:p>
    <w:p w14:paraId="1BE76913" w14:textId="768A98C7">
      <w:pPr>
        <w:pStyle w:val="IPPParagraphnumbering"/>
        <w:numPr>
          <w:ilvl w:val="0"/>
          <w:numId w:val="0"/>
        </w:numPr>
        <w:rPr>
          <w:rFonts w:eastAsia="Times New Roman"/>
          <w:lang w:val="en-GB" w:eastAsia="en-AU"/>
        </w:rPr>
      </w:pPr>
      <w:r>
        <w:rPr>
          <w:rStyle w:val="PleaseReviewParagraphId"/>
          <w:b w:val="off"/>
          <w:i w:val="off"/>
        </w:rPr>
        <w:t>[39]</w:t>
      </w:r>
      <w:r>
        <w:rPr>
          <w:rFonts w:eastAsia="Times New Roman"/>
          <w:b/>
          <w:bCs/>
          <w:lang w:val="en-GB" w:eastAsia="en-AU"/>
        </w:rPr>
        <w:t>Schedule 3:</w:t>
      </w:r>
      <w:r>
        <w:rPr>
          <w:rFonts w:eastAsia="Times New Roman"/>
          <w:lang w:val="en-GB" w:eastAsia="en-AU"/>
        </w:rPr>
        <w:t xml:space="preserve"> Minimum absorbed dose of 166 Gy to prevent development of viable F1 larvae of </w:t>
      </w:r>
      <w:r>
        <w:rPr>
          <w:rFonts w:eastAsia="Times New Roman"/>
          <w:i/>
          <w:iCs/>
          <w:lang w:val="en-GB" w:eastAsia="en-AU"/>
        </w:rPr>
        <w:t>Liriomyza trifolii</w:t>
      </w:r>
      <w:r>
        <w:rPr>
          <w:rFonts w:eastAsia="Times New Roman"/>
          <w:lang w:val="en-GB" w:eastAsia="en-AU"/>
        </w:rPr>
        <w:t>.</w:t>
      </w:r>
    </w:p>
    <w:p w14:paraId="21B7055B" w14:textId="04BAC692">
      <w:pPr>
        <w:pStyle w:val="IPPParagraphnumbering"/>
        <w:numPr>
          <w:ilvl w:val="0"/>
          <w:numId w:val="0"/>
        </w:numPr>
        <w:rPr>
          <w:rFonts w:eastAsia="Times New Roman"/>
          <w:lang w:val="en-GB" w:eastAsia="en-AU"/>
        </w:rPr>
      </w:pPr>
      <w:r>
        <w:rPr>
          <w:rStyle w:val="PleaseReviewParagraphId"/>
          <w:b w:val="off"/>
          <w:i w:val="off"/>
        </w:rPr>
        <w:t>[40]</w:t>
      </w:r>
      <w:r>
        <w:rPr>
          <w:rFonts w:eastAsia="Times New Roman"/>
          <w:lang w:val="en-GB" w:eastAsia="en-AU"/>
        </w:rPr>
        <w:t>There is 95% confidence that the treatment according to this schedule prevents development of viable F1 larvae in not less than 99.9720% of pharate adults of</w:t>
      </w:r>
      <w:r>
        <w:rPr>
          <w:rFonts w:eastAsia="Times New Roman"/>
          <w:i/>
          <w:iCs/>
          <w:lang w:val="en-GB" w:eastAsia="en-AU"/>
        </w:rPr>
        <w:t xml:space="preserve"> Liriomyza trifolii</w:t>
      </w:r>
      <w:r>
        <w:rPr>
          <w:rFonts w:eastAsia="Times New Roman"/>
          <w:lang w:val="en-GB" w:eastAsia="en-AU"/>
        </w:rPr>
        <w:t>.</w:t>
      </w:r>
    </w:p>
    <w:p w14:paraId="590FCD45" w14:textId="6EBDD0A2">
      <w:pPr>
        <w:pStyle w:val="IPPParagraphnumbering"/>
        <w:numPr>
          <w:ilvl w:val="0"/>
          <w:numId w:val="0"/>
        </w:numPr>
        <w:rPr>
          <w:rFonts w:eastAsia="Times New Roman"/>
          <w:lang w:val="en-GB" w:eastAsia="en-AU"/>
        </w:rPr>
      </w:pPr>
      <w:r>
        <w:rPr>
          <w:rStyle w:val="PleaseReviewParagraphId"/>
          <w:b w:val="off"/>
          <w:i w:val="off"/>
        </w:rPr>
        <w:t>[41]</w:t>
      </w:r>
      <w:r>
        <w:rPr>
          <w:rFonts w:eastAsia="Times New Roman"/>
          <w:lang w:val="en-GB" w:eastAsia="en-AU"/>
        </w:rPr>
        <w:t>These treatments should be applied in accordance with the requirements of ISPM 18 (</w:t>
      </w:r>
      <w:r>
        <w:rPr>
          <w:rFonts w:eastAsia="Times New Roman"/>
          <w:i/>
          <w:iCs/>
          <w:lang w:val="en-GB" w:eastAsia="en-AU"/>
        </w:rPr>
        <w:t>Requirements for the use of irradiation as a phytosanitary measure</w:t>
      </w:r>
      <w:r>
        <w:rPr>
          <w:rFonts w:eastAsia="Times New Roman"/>
          <w:lang w:val="en-GB" w:eastAsia="en-AU"/>
        </w:rPr>
        <w:t>).</w:t>
      </w:r>
    </w:p>
    <w:p w14:paraId="4E42A483" w14:textId="0C6D6C34">
      <w:pPr>
        <w:pStyle w:val="IPPParagraphnumbering"/>
        <w:numPr>
          <w:ilvl w:val="0"/>
          <w:numId w:val="0"/>
        </w:numPr>
        <w:rPr>
          <w:rFonts w:eastAsia="Times New Roman"/>
          <w:lang w:val="en-GB" w:eastAsia="en-AU"/>
        </w:rPr>
      </w:pPr>
      <w:r>
        <w:rPr>
          <w:rStyle w:val="PleaseReviewParagraphId"/>
          <w:b w:val="off"/>
          <w:i w:val="off"/>
        </w:rPr>
        <w:t>[42]</w:t>
      </w:r>
      <w:r>
        <w:rPr>
          <w:rFonts w:eastAsia="Times New Roman"/>
          <w:lang w:val="en-GB" w:eastAsia="en-AU"/>
        </w:rPr>
        <w:t>These irradiation treatments should not be applied to host commodities stored in a modified atmosphere because the modified atmosphere may affect the treatment efficacy.</w:t>
      </w:r>
    </w:p>
    <w:p w14:paraId="4BFEB7AA" w14:textId="77777777">
      <w:pPr>
        <w:pStyle w:val="IPPHeading1"/>
        <w:rPr>
          <w:lang w:eastAsia="en-AU"/>
        </w:rPr>
      </w:pPr>
      <w:r>
        <w:rPr>
          <w:rStyle w:val="PleaseReviewParagraphId"/>
          <w:b w:val="off"/>
          <w:i w:val="off"/>
        </w:rPr>
        <w:t>[43]</w:t>
      </w:r>
      <w:r>
        <w:rPr>
          <w:lang w:eastAsia="en-AU"/>
        </w:rPr>
        <w:t>Other relevant information</w:t>
      </w:r>
    </w:p>
    <w:p w14:paraId="23E59062" w14:textId="2CBADE7E">
      <w:pPr>
        <w:pStyle w:val="IPPParagraphnumbering"/>
        <w:numPr>
          <w:ilvl w:val="0"/>
          <w:numId w:val="0"/>
        </w:numPr>
        <w:rPr>
          <w:lang w:val="en-GB" w:eastAsia="en-AU"/>
        </w:rPr>
      </w:pPr>
      <w:r>
        <w:rPr>
          <w:rStyle w:val="PleaseReviewParagraphId"/>
          <w:b w:val="off"/>
          <w:i w:val="off"/>
        </w:rPr>
        <w:t>[44]</w:t>
      </w:r>
      <w:r>
        <w:rPr>
          <w:lang w:val="en-GB" w:eastAsia="en-AU"/>
        </w:rPr>
        <w:t xml:space="preserve">Because irradiation may not result in outright mortality, inspectors may encounter live but non-viable </w:t>
      </w:r>
      <w:r>
        <w:rPr>
          <w:rFonts w:eastAsia="Times New Roman"/>
          <w:i/>
          <w:iCs/>
          <w:lang w:val="en-GB" w:eastAsia="en-AU"/>
        </w:rPr>
        <w:t>Liriomyza huidobrensis</w:t>
      </w:r>
      <w:r>
        <w:rPr>
          <w:rFonts w:eastAsia="Times New Roman"/>
          <w:lang w:val="en-GB" w:eastAsia="en-AU"/>
        </w:rPr>
        <w:t>,</w:t>
      </w:r>
      <w:r>
        <w:rPr>
          <w:rFonts w:eastAsia="Times New Roman"/>
          <w:i/>
          <w:iCs/>
          <w:lang w:val="en-GB" w:eastAsia="en-AU"/>
        </w:rPr>
        <w:t xml:space="preserve"> Liriomyza sativa</w:t>
      </w:r>
      <w:r>
        <w:rPr>
          <w:rFonts w:cstheme="minorBidi"/>
          <w:i/>
          <w:iCs/>
          <w:lang w:val="en-GB" w:eastAsia="zh-CN"/>
        </w:rPr>
        <w:t>e</w:t>
      </w:r>
      <w:r>
        <w:rPr>
          <w:rFonts w:eastAsia="Times New Roman"/>
          <w:lang w:val="en-GB" w:eastAsia="en-AU"/>
        </w:rPr>
        <w:t xml:space="preserve"> and</w:t>
      </w:r>
      <w:r>
        <w:rPr>
          <w:rFonts w:eastAsia="Times New Roman"/>
          <w:i/>
          <w:iCs/>
          <w:lang w:val="en-GB" w:eastAsia="en-AU"/>
        </w:rPr>
        <w:t xml:space="preserve"> Liriomyza trifolii</w:t>
      </w:r>
      <w:r>
        <w:rPr>
          <w:lang w:val="en-GB" w:eastAsia="en-AU"/>
        </w:rPr>
        <w:t xml:space="preserve"> immatures or adults during the inspection process. This does not imply a failure of the treatment. </w:t>
      </w:r>
    </w:p>
    <w:p w14:paraId="0D58B41A" w14:textId="367CFBE3">
      <w:pPr>
        <w:pStyle w:val="IPPParagraphnumbering"/>
        <w:numPr>
          <w:ilvl w:val="0"/>
          <w:numId w:val="0"/>
        </w:numPr>
        <w:rPr>
          <w:lang w:val="en-GB" w:eastAsia="en-AU"/>
        </w:rPr>
      </w:pPr>
      <w:r>
        <w:rPr>
          <w:rStyle w:val="PleaseReviewParagraphId"/>
          <w:b w:val="off"/>
          <w:i w:val="off"/>
        </w:rPr>
        <w:t>[45]</w:t>
      </w:r>
      <w:r>
        <w:rPr>
          <w:lang w:val="en-GB" w:eastAsia="en-AU"/>
        </w:rPr>
        <w:t xml:space="preserve">The Technical Panel on Phytosanitary Treatments (TPPT) based its evaluation of this treatment on the research reported by Ozyardimci, Aylangan and Aydin (2016), which determined the efficacy of 150 Gy as an irradiation treatment for </w:t>
      </w:r>
      <w:r>
        <w:rPr>
          <w:rFonts w:eastAsia="Times New Roman"/>
          <w:i/>
          <w:iCs/>
          <w:lang w:val="en-GB" w:eastAsia="en-AU"/>
        </w:rPr>
        <w:t>Liriomyza</w:t>
      </w:r>
      <w:r>
        <w:rPr>
          <w:i/>
          <w:iCs/>
          <w:lang w:val="en-GB" w:eastAsia="en-AU"/>
        </w:rPr>
        <w:t xml:space="preserve"> huidobrensis</w:t>
      </w:r>
      <w:r>
        <w:rPr>
          <w:lang w:val="en-GB" w:eastAsia="en-AU"/>
        </w:rPr>
        <w:t xml:space="preserve">, </w:t>
      </w:r>
      <w:r>
        <w:rPr>
          <w:rFonts w:eastAsia="Times New Roman"/>
          <w:i/>
          <w:iCs/>
          <w:lang w:val="en-GB" w:eastAsia="en-AU"/>
        </w:rPr>
        <w:t>Liriomyza</w:t>
      </w:r>
      <w:r>
        <w:rPr>
          <w:i/>
          <w:iCs/>
          <w:lang w:val="en-GB" w:eastAsia="en-AU"/>
        </w:rPr>
        <w:t xml:space="preserve"> sativa</w:t>
      </w:r>
      <w:r>
        <w:rPr>
          <w:rFonts w:cstheme="minorBidi"/>
          <w:i/>
          <w:iCs/>
          <w:lang w:val="en-GB" w:eastAsia="zh-CN"/>
        </w:rPr>
        <w:t>e</w:t>
      </w:r>
      <w:r>
        <w:rPr>
          <w:lang w:val="en-GB"/>
        </w:rPr>
        <w:t xml:space="preserve"> and </w:t>
      </w:r>
      <w:r>
        <w:rPr>
          <w:rFonts w:eastAsia="Times New Roman"/>
          <w:i/>
          <w:iCs/>
          <w:lang w:val="en-GB" w:eastAsia="en-AU"/>
        </w:rPr>
        <w:t>Liriomyza</w:t>
      </w:r>
      <w:r>
        <w:rPr>
          <w:i/>
          <w:iCs/>
          <w:lang w:val="en-GB"/>
        </w:rPr>
        <w:t xml:space="preserve"> trifolii</w:t>
      </w:r>
      <w:r>
        <w:rPr>
          <w:i/>
          <w:iCs/>
          <w:lang w:val="en-GB" w:eastAsia="en-AU"/>
        </w:rPr>
        <w:t xml:space="preserve"> </w:t>
      </w:r>
      <w:r>
        <w:rPr>
          <w:lang w:val="en-GB" w:eastAsia="en-AU"/>
        </w:rPr>
        <w:t xml:space="preserve">on common bean, </w:t>
      </w:r>
      <w:r>
        <w:rPr>
          <w:i/>
          <w:iCs/>
          <w:lang w:val="en-GB" w:eastAsia="en-AU"/>
        </w:rPr>
        <w:t>Phaseolus vulgaris</w:t>
      </w:r>
      <w:r>
        <w:rPr>
          <w:lang w:val="en-GB" w:eastAsia="en-AU"/>
        </w:rPr>
        <w:t xml:space="preserve">. A subsequent large confirmatory trial showed that there was no leaf-mine formation by F1 larvae of the three </w:t>
      </w:r>
      <w:r>
        <w:rPr>
          <w:i/>
          <w:iCs/>
          <w:lang w:val="en-GB" w:eastAsia="en-AU"/>
        </w:rPr>
        <w:t>Liriomyza</w:t>
      </w:r>
      <w:r>
        <w:rPr>
          <w:lang w:val="en-GB" w:eastAsia="en-AU"/>
        </w:rPr>
        <w:t xml:space="preserve"> spp. at a maximum absorbed dose of 176 Gy. The TPPT also considered information on the most radio-tolerant life stage of </w:t>
      </w:r>
      <w:r>
        <w:rPr>
          <w:i/>
          <w:iCs/>
          <w:lang w:val="en-GB" w:eastAsia="en-AU"/>
        </w:rPr>
        <w:t xml:space="preserve">Liriomyza </w:t>
      </w:r>
      <w:r>
        <w:rPr>
          <w:lang w:val="en-GB" w:eastAsia="en-AU"/>
        </w:rPr>
        <w:t xml:space="preserve">spp. reported by Yathom </w:t>
      </w:r>
      <w:r>
        <w:rPr>
          <w:i/>
          <w:iCs/>
          <w:lang w:val="en-GB" w:eastAsia="en-AU"/>
        </w:rPr>
        <w:t>et al.</w:t>
      </w:r>
      <w:r>
        <w:rPr>
          <w:lang w:val="en-GB" w:eastAsia="en-AU"/>
        </w:rPr>
        <w:t xml:space="preserve"> (1990).</w:t>
      </w:r>
    </w:p>
    <w:p w14:paraId="60DD94A6" w14:textId="36EF3754">
      <w:pPr>
        <w:pStyle w:val="IPPParagraphnumbering"/>
        <w:numPr>
          <w:ilvl w:val="0"/>
          <w:numId w:val="0"/>
        </w:numPr>
        <w:rPr>
          <w:lang w:val="en-GB" w:eastAsia="en-AU"/>
        </w:rPr>
      </w:pPr>
      <w:r>
        <w:rPr>
          <w:rStyle w:val="PleaseReviewParagraphId"/>
          <w:b w:val="off"/>
          <w:i w:val="off"/>
        </w:rPr>
        <w:t>[46]</w:t>
      </w:r>
      <w:r>
        <w:rPr>
          <w:lang w:val="en-GB" w:eastAsia="en-AU"/>
        </w:rPr>
        <w:t>The efficacy of schedules 1, 2 and 3 was calculated based on a total of 10 700, 10 804 and 10 533 pharate adults, respectively; the overall control mortality was 6.55%.</w:t>
      </w:r>
    </w:p>
    <w:p w14:paraId="291BD5BB" w14:textId="28F981B6">
      <w:pPr>
        <w:pStyle w:val="IPPParagraphnumbering"/>
        <w:numPr>
          <w:ilvl w:val="0"/>
          <w:numId w:val="0"/>
        </w:numPr>
        <w:rPr>
          <w:lang w:val="en-GB" w:eastAsia="en-AU"/>
        </w:rPr>
      </w:pPr>
      <w:r>
        <w:rPr>
          <w:rStyle w:val="PleaseReviewParagraphId"/>
          <w:b w:val="off"/>
          <w:i w:val="off"/>
        </w:rPr>
        <w:t>[47]</w:t>
      </w:r>
      <w:r>
        <w:rPr>
          <w:lang w:val="en-GB" w:eastAsia="en-AU"/>
        </w:rPr>
        <w:t xml:space="preserve">Extrapolation of treatment efficacy to all hosts was based on knowledge and experience that radiation dosimetry systems measure the actual radiation dose absorbed by the target pest independent of </w:t>
      </w:r>
      <w:r>
        <w:rPr>
          <w:lang w:val="en-GB"/>
        </w:rPr>
        <w:t>host</w:t>
      </w:r>
      <w:r>
        <w:rPr>
          <w:lang w:val="en-GB" w:eastAsia="en-AU"/>
        </w:rPr>
        <w:t xml:space="preserve"> commodity, and evidence from research studies on a variety of pests and commodities. Examples of pests and hosts that have been studied in such research are provided in PT 49 (Irradiation treatment for </w:t>
      </w:r>
      <w:r>
        <w:rPr>
          <w:i/>
          <w:iCs/>
          <w:lang w:val="en-GB" w:eastAsia="en-AU"/>
        </w:rPr>
        <w:t>Pseudococcus baliteus</w:t>
      </w:r>
      <w:r>
        <w:rPr>
          <w:lang w:val="en-GB" w:eastAsia="en-AU"/>
        </w:rPr>
        <w:t>). It is recognized, however, that treatment efficacy has not been tested for all potential hosts of the target pests. If evidence becomes available to show that the extrapolation of the treatment to cover all hosts of these pests is incorrect, the treatment will be reviewed.</w:t>
      </w:r>
    </w:p>
    <w:p w14:paraId="7E229C16" w14:textId="77777777">
      <w:pPr>
        <w:pStyle w:val="IPPHeading1"/>
      </w:pPr>
      <w:r>
        <w:rPr>
          <w:rStyle w:val="PleaseReviewParagraphId"/>
          <w:b w:val="off"/>
          <w:i w:val="off"/>
        </w:rPr>
        <w:t>[48]</w:t>
      </w:r>
      <w:r>
        <w:t>References</w:t>
      </w:r>
    </w:p>
    <w:p w14:paraId="4B6E7D13" w14:textId="546AD93D">
      <w:pPr>
        <w:pStyle w:val="IPPParagraphnumbering"/>
        <w:numPr>
          <w:ilvl w:val="0"/>
          <w:numId w:val="0"/>
        </w:numPr>
        <w:spacing w:line="259" w:lineRule="auto"/>
        <w:jc w:val="left"/>
        <w:rPr>
          <w:rFonts w:cs="Calibri"/>
          <w:sz w:val="24"/>
          <w:lang w:val="en-GB"/>
        </w:rPr>
      </w:pPr>
      <w:r>
        <w:rPr>
          <w:rStyle w:val="PleaseReviewParagraphId"/>
          <w:b w:val="off"/>
          <w:i w:val="off"/>
        </w:rPr>
        <w:t>[49]</w:t>
      </w:r>
      <w:r>
        <w:rPr>
          <w:lang w:val="en-GB" w:eastAsia="zh-CN"/>
        </w:rPr>
        <w:t>The present annex may refer to ISPMs. ISPMs are available on the International Phytosanitary Portal (IPP) at </w:t>
      </w:r>
      <w:hyperlink w:history="1" r:id="rId11">
        <w:r>
          <w:rPr>
            <w:rStyle w:val="Hyperlink"/>
            <w:lang w:val="en-GB" w:eastAsia="zh-CN"/>
          </w:rPr>
          <w:t>https://www.ippc.int/core-activities/standards-setting/ispms</w:t>
        </w:r>
      </w:hyperlink>
      <w:r>
        <w:rPr>
          <w:rFonts w:eastAsia="SimSun"/>
          <w:color w:val="000000"/>
          <w:szCs w:val="22"/>
          <w:lang w:val="en-GB" w:eastAsia="zh-CN"/>
        </w:rPr>
        <w:t>.</w:t>
      </w:r>
    </w:p>
    <w:p w14:paraId="4AC9B7D2" w14:textId="773EAF6B">
      <w:pPr>
        <w:pStyle w:val="IPPParagraphnumbering"/>
        <w:numPr>
          <w:ilvl w:val="0"/>
          <w:numId w:val="0"/>
        </w:numPr>
        <w:rPr>
          <w:lang w:val="en-GB"/>
        </w:rPr>
      </w:pPr>
      <w:r>
        <w:rPr>
          <w:rStyle w:val="PleaseReviewParagraphId"/>
          <w:b w:val="off"/>
          <w:i w:val="off"/>
        </w:rPr>
        <w:t>[50]</w:t>
      </w:r>
      <w:r>
        <w:rPr>
          <w:b/>
          <w:bCs/>
          <w:lang w:val="en-GB"/>
        </w:rPr>
        <w:t>Ozyardimci, B., Aylangan, A., Ic, E. &amp; Aydin, T.</w:t>
      </w:r>
      <w:r>
        <w:rPr>
          <w:lang w:val="en-GB"/>
        </w:rPr>
        <w:t xml:space="preserve"> 2016. Phytosanitary irradiation against leafminers (Diptera: Agromyzidae) and radiotolerance of shelled peas, </w:t>
      </w:r>
      <w:r>
        <w:rPr>
          <w:i/>
          <w:iCs/>
          <w:lang w:val="en-GB"/>
        </w:rPr>
        <w:t>Pisum sativum</w:t>
      </w:r>
      <w:r>
        <w:rPr>
          <w:lang w:val="en-GB"/>
        </w:rPr>
        <w:t xml:space="preserve"> (Fabales: Fabaceae). </w:t>
      </w:r>
      <w:r>
        <w:rPr>
          <w:i/>
          <w:iCs/>
          <w:lang w:val="en-GB"/>
        </w:rPr>
        <w:t>Florida Entomologist</w:t>
      </w:r>
      <w:r>
        <w:rPr>
          <w:lang w:val="en-GB"/>
        </w:rPr>
        <w:t xml:space="preserve">, 99 (Special Issue 2): 171–177. </w:t>
      </w:r>
      <w:hyperlink w:history="1" r:id="rId12">
        <w:r>
          <w:rPr>
            <w:rStyle w:val="Hyperlink"/>
            <w:lang w:val="en-GB"/>
          </w:rPr>
          <w:t>https://journals.flvc.org/flaent/article/view/88695</w:t>
        </w:r>
      </w:hyperlink>
    </w:p>
    <w:p w14:paraId="5EB898EE" w14:textId="3A7B69D9">
      <w:pPr>
        <w:pStyle w:val="IPPParagraphnumbering"/>
        <w:numPr>
          <w:ilvl w:val="0"/>
          <w:numId w:val="0"/>
        </w:numPr>
        <w:rPr>
          <w:lang w:val="en-GB"/>
        </w:rPr>
      </w:pPr>
      <w:r>
        <w:rPr>
          <w:rStyle w:val="PleaseReviewParagraphId"/>
          <w:b w:val="off"/>
          <w:i w:val="off"/>
        </w:rPr>
        <w:t>[51]</w:t>
      </w:r>
      <w:r>
        <w:rPr>
          <w:b/>
          <w:bCs/>
          <w:lang w:val="pt-BR"/>
        </w:rPr>
        <w:t>Yathom, S., Podava, R., Tal, S. &amp; Ross, I.</w:t>
      </w:r>
      <w:r>
        <w:rPr>
          <w:lang w:val="pt-BR"/>
        </w:rPr>
        <w:t xml:space="preserve"> 1990. </w:t>
      </w:r>
      <w:r>
        <w:rPr>
          <w:lang w:val="en-GB"/>
        </w:rPr>
        <w:t xml:space="preserve">Effects of gamma radiation on the immature stages of </w:t>
      </w:r>
      <w:r>
        <w:rPr>
          <w:i/>
          <w:iCs/>
          <w:lang w:val="en-GB"/>
        </w:rPr>
        <w:t>Liriomyza trifolii</w:t>
      </w:r>
      <w:r>
        <w:rPr>
          <w:lang w:val="en-GB"/>
        </w:rPr>
        <w:t xml:space="preserve">. </w:t>
      </w:r>
      <w:r>
        <w:rPr>
          <w:i/>
          <w:iCs/>
          <w:lang w:val="en-GB"/>
        </w:rPr>
        <w:t>Phytoparasitica</w:t>
      </w:r>
      <w:r>
        <w:rPr>
          <w:lang w:val="en-GB"/>
        </w:rPr>
        <w:t>, 18: 117–124.</w:t>
      </w:r>
      <w:bookmarkEnd w:id="0"/>
      <w:r>
        <w:rPr>
          <w:lang w:val="en-GB"/>
        </w:rPr>
        <w:t xml:space="preserve"> </w:t>
      </w:r>
      <w:hyperlink w:history="1" r:id="rId13">
        <w:r>
          <w:rPr>
            <w:rStyle w:val="Hyperlink"/>
            <w:lang w:val="en-GB"/>
          </w:rPr>
          <w:t>https://doi.org/10.1007/BF02981228</w:t>
        </w:r>
      </w:hyperlink>
    </w:p>
    <w:sectPr>
      <w:pgSz w:w="11906" w:h="16838" w:code="9"/>
      <w:pgMar w:top="1559" w:right="1418" w:bottom="1418" w:left="1418" w:header="850" w:footer="850" w:gutter="0"/>
      <w:cols w:space="708"/>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B7ED" w14:textId="77777777">
      <w:r>
        <w:rPr>
          <w:rStyle w:val="PleaseReviewParagraphId"/>
          <w:b w:val="off"/>
          <w:i w:val="off"/>
        </w:rPr>
        <w:t>[]</w:t>
      </w:r>
      <w:r>
        <w:separator/>
      </w:r>
    </w:p>
  </w:endnote>
  <w:endnote w:type="continuationSeparator" w:id="0">
    <w:p w14:paraId="54EB9907" w14:textId="77777777">
      <w:r>
        <w:rPr>
          <w:rStyle w:val="PleaseReviewParagraphId"/>
          <w:b w:val="off"/>
          <w:i w:val="off"/>
        </w:rPr>
        <w:t>[]</w:t>
      </w:r>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A252" w14:textId="77777777">
      <w:r>
        <w:rPr>
          <w:rStyle w:val="PleaseReviewParagraphId"/>
          <w:b w:val="off"/>
          <w:i w:val="off"/>
        </w:rPr>
        <w:t>[]</w:t>
      </w:r>
      <w:r>
        <w:separator/>
      </w:r>
    </w:p>
  </w:footnote>
  <w:footnote w:type="continuationSeparator" w:id="0">
    <w:p w14:paraId="5A3A2DFC" w14:textId="77777777">
      <w:r>
        <w:rPr>
          <w:rStyle w:val="PleaseReviewParagraphId"/>
          <w:b w:val="off"/>
          <w:i w:val="off"/>
        </w:rPr>
        <w:t>[]</w:t>
      </w:r>
      <w:r>
        <w:continuationSeparator/>
      </w:r>
    </w:p>
  </w:footnote>
  <w:footnote w:id="1">
    <w:p w14:paraId="3B19ABBE" w14:textId="170341AD">
      <w:pPr>
        <w:pStyle w:val="IPPFootnote"/>
      </w:pPr>
      <w:r>
        <w:rPr>
          <w:rStyle w:val="PleaseReviewParagraphId"/>
          <w:b w:val="off"/>
          <w:i w:val="off"/>
        </w:rPr>
        <w:t>[27]</w:t>
      </w:r>
      <w:r>
        <w:rPr>
          <w:rStyle w:val="FootnoteReference"/>
        </w:rPr>
        <w:footnoteRef/>
      </w:r>
      <w:r>
        <w:t xml:space="preserve"> The scope of phytosanitary treatments does not include issues related to pesticide registration or other domestic requirements for contracting parties’ approval of treatments. Treatments adopted by the Commission on Phytosanitary Measures may not provide information on specific effects on human health or food safety, which should be addressed using domestic procedures before contracting parties approve a treatment. In addition, potential effects of treatments on product quality are considered for some host commodities before their international adoption. However, evaluation of any effects of a treatment on the quality of commodities may require additional consideration. There is no obligation for a contracting party to approve, register or adopt the treatments for use in its territory.</w:t>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4"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25353565">
    <w:abstractNumId w:val="6"/>
  </w:num>
  <w:num w:numId="2" w16cid:durableId="1687512053">
    <w:abstractNumId w:val="2"/>
  </w:num>
  <w:num w:numId="3" w16cid:durableId="733938166">
    <w:abstractNumId w:val="8"/>
  </w:num>
  <w:num w:numId="4" w16cid:durableId="935793754">
    <w:abstractNumId w:val="0"/>
  </w:num>
  <w:num w:numId="5" w16cid:durableId="1849252911">
    <w:abstractNumId w:val="5"/>
  </w:num>
  <w:num w:numId="6" w16cid:durableId="1161389487">
    <w:abstractNumId w:val="4"/>
  </w:num>
  <w:num w:numId="7" w16cid:durableId="742331922">
    <w:abstractNumId w:val="9"/>
  </w:num>
  <w:num w:numId="8" w16cid:durableId="1975938114">
    <w:abstractNumId w:val="7"/>
  </w:num>
  <w:num w:numId="9" w16cid:durableId="578441286">
    <w:abstractNumId w:val="3"/>
  </w:num>
  <w:num w:numId="10" w16cid:durableId="1452480507">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IdMacAtCleanup w:val="10"/>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95"/>
    <w:rsid w:val="00001332"/>
    <w:rsid w:val="000014B8"/>
    <w:rsid w:val="0000690D"/>
    <w:rsid w:val="000114A8"/>
    <w:rsid w:val="000117BD"/>
    <w:rsid w:val="000141E4"/>
    <w:rsid w:val="000249AC"/>
    <w:rsid w:val="00025452"/>
    <w:rsid w:val="00027FE3"/>
    <w:rsid w:val="000302E5"/>
    <w:rsid w:val="00032883"/>
    <w:rsid w:val="000364B1"/>
    <w:rsid w:val="00037ECF"/>
    <w:rsid w:val="000467CB"/>
    <w:rsid w:val="000472B9"/>
    <w:rsid w:val="00050908"/>
    <w:rsid w:val="000509EE"/>
    <w:rsid w:val="000532D3"/>
    <w:rsid w:val="0006027D"/>
    <w:rsid w:val="000613F9"/>
    <w:rsid w:val="00064056"/>
    <w:rsid w:val="00064693"/>
    <w:rsid w:val="00066FE3"/>
    <w:rsid w:val="00067BA7"/>
    <w:rsid w:val="000714D6"/>
    <w:rsid w:val="000752B7"/>
    <w:rsid w:val="00075E8E"/>
    <w:rsid w:val="00081855"/>
    <w:rsid w:val="00083629"/>
    <w:rsid w:val="00084B20"/>
    <w:rsid w:val="00086E03"/>
    <w:rsid w:val="00087A75"/>
    <w:rsid w:val="000915EC"/>
    <w:rsid w:val="000922FC"/>
    <w:rsid w:val="00092BF7"/>
    <w:rsid w:val="000937F9"/>
    <w:rsid w:val="00094051"/>
    <w:rsid w:val="000A13C9"/>
    <w:rsid w:val="000A2570"/>
    <w:rsid w:val="000A3CBB"/>
    <w:rsid w:val="000A4747"/>
    <w:rsid w:val="000B0CD7"/>
    <w:rsid w:val="000B30CF"/>
    <w:rsid w:val="000B5242"/>
    <w:rsid w:val="000B5A90"/>
    <w:rsid w:val="000B6CB4"/>
    <w:rsid w:val="000B7AB3"/>
    <w:rsid w:val="000C01A2"/>
    <w:rsid w:val="000C59AE"/>
    <w:rsid w:val="000C62DD"/>
    <w:rsid w:val="000C6DEF"/>
    <w:rsid w:val="000C7EEA"/>
    <w:rsid w:val="000D0C67"/>
    <w:rsid w:val="000D257A"/>
    <w:rsid w:val="000D7354"/>
    <w:rsid w:val="000D7A91"/>
    <w:rsid w:val="000E1662"/>
    <w:rsid w:val="000E3F08"/>
    <w:rsid w:val="000E4254"/>
    <w:rsid w:val="000E4559"/>
    <w:rsid w:val="000E687B"/>
    <w:rsid w:val="000F05EC"/>
    <w:rsid w:val="000F11BA"/>
    <w:rsid w:val="000F32DF"/>
    <w:rsid w:val="000F331E"/>
    <w:rsid w:val="000F34D4"/>
    <w:rsid w:val="000F3F30"/>
    <w:rsid w:val="000F5594"/>
    <w:rsid w:val="000F66E9"/>
    <w:rsid w:val="0010016E"/>
    <w:rsid w:val="00100B41"/>
    <w:rsid w:val="00100EC0"/>
    <w:rsid w:val="00102B6D"/>
    <w:rsid w:val="00105908"/>
    <w:rsid w:val="0010591A"/>
    <w:rsid w:val="001072B5"/>
    <w:rsid w:val="00107CAB"/>
    <w:rsid w:val="00107DFB"/>
    <w:rsid w:val="0011347D"/>
    <w:rsid w:val="001144C1"/>
    <w:rsid w:val="001149C3"/>
    <w:rsid w:val="00114BFA"/>
    <w:rsid w:val="001174D3"/>
    <w:rsid w:val="00120494"/>
    <w:rsid w:val="00120576"/>
    <w:rsid w:val="001232F0"/>
    <w:rsid w:val="00123370"/>
    <w:rsid w:val="00127460"/>
    <w:rsid w:val="00130C5E"/>
    <w:rsid w:val="00131D1A"/>
    <w:rsid w:val="001352BA"/>
    <w:rsid w:val="00140B4F"/>
    <w:rsid w:val="00146772"/>
    <w:rsid w:val="00147A38"/>
    <w:rsid w:val="00150B9D"/>
    <w:rsid w:val="00152191"/>
    <w:rsid w:val="001523F6"/>
    <w:rsid w:val="00152538"/>
    <w:rsid w:val="00156F91"/>
    <w:rsid w:val="001656D4"/>
    <w:rsid w:val="001675EF"/>
    <w:rsid w:val="00170D24"/>
    <w:rsid w:val="00175B5F"/>
    <w:rsid w:val="00180274"/>
    <w:rsid w:val="00181241"/>
    <w:rsid w:val="00181BF2"/>
    <w:rsid w:val="00182CF6"/>
    <w:rsid w:val="00186C56"/>
    <w:rsid w:val="001877A9"/>
    <w:rsid w:val="00192060"/>
    <w:rsid w:val="001935ED"/>
    <w:rsid w:val="00194020"/>
    <w:rsid w:val="00195C78"/>
    <w:rsid w:val="001965BC"/>
    <w:rsid w:val="00196AE8"/>
    <w:rsid w:val="00197E14"/>
    <w:rsid w:val="001A11F3"/>
    <w:rsid w:val="001A1707"/>
    <w:rsid w:val="001A1A5B"/>
    <w:rsid w:val="001A1EBB"/>
    <w:rsid w:val="001A398E"/>
    <w:rsid w:val="001A4D6F"/>
    <w:rsid w:val="001A5734"/>
    <w:rsid w:val="001A62BA"/>
    <w:rsid w:val="001B0185"/>
    <w:rsid w:val="001B2705"/>
    <w:rsid w:val="001B56A0"/>
    <w:rsid w:val="001B5E63"/>
    <w:rsid w:val="001B6BA8"/>
    <w:rsid w:val="001C12FF"/>
    <w:rsid w:val="001C2CEC"/>
    <w:rsid w:val="001C529C"/>
    <w:rsid w:val="001C5859"/>
    <w:rsid w:val="001C58E1"/>
    <w:rsid w:val="001D06AB"/>
    <w:rsid w:val="001D1583"/>
    <w:rsid w:val="001D1AAF"/>
    <w:rsid w:val="001D1FF3"/>
    <w:rsid w:val="001D35E5"/>
    <w:rsid w:val="001D52C8"/>
    <w:rsid w:val="001D6340"/>
    <w:rsid w:val="001E2DEA"/>
    <w:rsid w:val="001E5A07"/>
    <w:rsid w:val="001F077D"/>
    <w:rsid w:val="002033EB"/>
    <w:rsid w:val="00205107"/>
    <w:rsid w:val="00205F4C"/>
    <w:rsid w:val="00206959"/>
    <w:rsid w:val="00206B1C"/>
    <w:rsid w:val="00207822"/>
    <w:rsid w:val="00210FDA"/>
    <w:rsid w:val="002115E0"/>
    <w:rsid w:val="0021273E"/>
    <w:rsid w:val="0021291D"/>
    <w:rsid w:val="002132AB"/>
    <w:rsid w:val="002138C4"/>
    <w:rsid w:val="00213F98"/>
    <w:rsid w:val="002145AD"/>
    <w:rsid w:val="00214A22"/>
    <w:rsid w:val="00216C20"/>
    <w:rsid w:val="00216C48"/>
    <w:rsid w:val="00220873"/>
    <w:rsid w:val="002214D8"/>
    <w:rsid w:val="00222207"/>
    <w:rsid w:val="00222BF8"/>
    <w:rsid w:val="00223603"/>
    <w:rsid w:val="00225586"/>
    <w:rsid w:val="00234F4C"/>
    <w:rsid w:val="0023523A"/>
    <w:rsid w:val="002367CF"/>
    <w:rsid w:val="00240383"/>
    <w:rsid w:val="00242256"/>
    <w:rsid w:val="00246022"/>
    <w:rsid w:val="00253379"/>
    <w:rsid w:val="002547BC"/>
    <w:rsid w:val="0025701D"/>
    <w:rsid w:val="00257833"/>
    <w:rsid w:val="00261D96"/>
    <w:rsid w:val="00261F61"/>
    <w:rsid w:val="00261FB7"/>
    <w:rsid w:val="002627F3"/>
    <w:rsid w:val="00265BE4"/>
    <w:rsid w:val="00267EA1"/>
    <w:rsid w:val="00270C1B"/>
    <w:rsid w:val="00271268"/>
    <w:rsid w:val="00272162"/>
    <w:rsid w:val="00272AAC"/>
    <w:rsid w:val="002756EC"/>
    <w:rsid w:val="002769B1"/>
    <w:rsid w:val="00281C09"/>
    <w:rsid w:val="00283C6A"/>
    <w:rsid w:val="00284515"/>
    <w:rsid w:val="00291A47"/>
    <w:rsid w:val="002925C6"/>
    <w:rsid w:val="0029282A"/>
    <w:rsid w:val="0029466E"/>
    <w:rsid w:val="00295A27"/>
    <w:rsid w:val="00297127"/>
    <w:rsid w:val="002A3B60"/>
    <w:rsid w:val="002A7AC7"/>
    <w:rsid w:val="002B2253"/>
    <w:rsid w:val="002B40B5"/>
    <w:rsid w:val="002B4F3E"/>
    <w:rsid w:val="002B5A03"/>
    <w:rsid w:val="002B6546"/>
    <w:rsid w:val="002B7E49"/>
    <w:rsid w:val="002C1B8A"/>
    <w:rsid w:val="002D0AB9"/>
    <w:rsid w:val="002E210F"/>
    <w:rsid w:val="002E4091"/>
    <w:rsid w:val="002E596B"/>
    <w:rsid w:val="002F0DAF"/>
    <w:rsid w:val="002F1CFC"/>
    <w:rsid w:val="002F34FC"/>
    <w:rsid w:val="002F393B"/>
    <w:rsid w:val="002F41C6"/>
    <w:rsid w:val="002F47AA"/>
    <w:rsid w:val="002F51A7"/>
    <w:rsid w:val="002F76A4"/>
    <w:rsid w:val="002F78CD"/>
    <w:rsid w:val="00300575"/>
    <w:rsid w:val="00300E98"/>
    <w:rsid w:val="003012BE"/>
    <w:rsid w:val="00304286"/>
    <w:rsid w:val="00310575"/>
    <w:rsid w:val="003150DA"/>
    <w:rsid w:val="00320BF8"/>
    <w:rsid w:val="00320E83"/>
    <w:rsid w:val="0032367B"/>
    <w:rsid w:val="003241C0"/>
    <w:rsid w:val="0032589F"/>
    <w:rsid w:val="0033212D"/>
    <w:rsid w:val="00337453"/>
    <w:rsid w:val="003407BA"/>
    <w:rsid w:val="00341EE1"/>
    <w:rsid w:val="00342E45"/>
    <w:rsid w:val="00344FBF"/>
    <w:rsid w:val="00345D98"/>
    <w:rsid w:val="00345ED9"/>
    <w:rsid w:val="003479A2"/>
    <w:rsid w:val="00350F8D"/>
    <w:rsid w:val="003517C3"/>
    <w:rsid w:val="0035293C"/>
    <w:rsid w:val="00352C61"/>
    <w:rsid w:val="00353638"/>
    <w:rsid w:val="00356F2F"/>
    <w:rsid w:val="003639D9"/>
    <w:rsid w:val="0036473A"/>
    <w:rsid w:val="003663AE"/>
    <w:rsid w:val="00367A19"/>
    <w:rsid w:val="003712F3"/>
    <w:rsid w:val="00371B95"/>
    <w:rsid w:val="00372F82"/>
    <w:rsid w:val="003730D8"/>
    <w:rsid w:val="003751B5"/>
    <w:rsid w:val="00375202"/>
    <w:rsid w:val="0037603A"/>
    <w:rsid w:val="00377EA1"/>
    <w:rsid w:val="003808A4"/>
    <w:rsid w:val="00382C95"/>
    <w:rsid w:val="00385B3A"/>
    <w:rsid w:val="00391E8A"/>
    <w:rsid w:val="0039408C"/>
    <w:rsid w:val="00394329"/>
    <w:rsid w:val="00395253"/>
    <w:rsid w:val="003966DC"/>
    <w:rsid w:val="00397D6B"/>
    <w:rsid w:val="003A124E"/>
    <w:rsid w:val="003A2566"/>
    <w:rsid w:val="003A4FCB"/>
    <w:rsid w:val="003B2DBA"/>
    <w:rsid w:val="003B2EA8"/>
    <w:rsid w:val="003B3306"/>
    <w:rsid w:val="003C047B"/>
    <w:rsid w:val="003C25AD"/>
    <w:rsid w:val="003C2A1D"/>
    <w:rsid w:val="003C4924"/>
    <w:rsid w:val="003C4E61"/>
    <w:rsid w:val="003C636B"/>
    <w:rsid w:val="003D0A11"/>
    <w:rsid w:val="003D1F5D"/>
    <w:rsid w:val="003D3923"/>
    <w:rsid w:val="003D598F"/>
    <w:rsid w:val="003D74C1"/>
    <w:rsid w:val="003E0201"/>
    <w:rsid w:val="003E05AB"/>
    <w:rsid w:val="003E3904"/>
    <w:rsid w:val="003E3E5D"/>
    <w:rsid w:val="003E4C8C"/>
    <w:rsid w:val="003E5567"/>
    <w:rsid w:val="003F1237"/>
    <w:rsid w:val="003F2642"/>
    <w:rsid w:val="003F654A"/>
    <w:rsid w:val="004001C8"/>
    <w:rsid w:val="00401320"/>
    <w:rsid w:val="004036EB"/>
    <w:rsid w:val="00403FA8"/>
    <w:rsid w:val="00404C7A"/>
    <w:rsid w:val="0040565C"/>
    <w:rsid w:val="00411FFE"/>
    <w:rsid w:val="00413AD9"/>
    <w:rsid w:val="00424394"/>
    <w:rsid w:val="0042489B"/>
    <w:rsid w:val="00424D07"/>
    <w:rsid w:val="00425BA4"/>
    <w:rsid w:val="00425CE0"/>
    <w:rsid w:val="00430AEC"/>
    <w:rsid w:val="00433EEC"/>
    <w:rsid w:val="004345E8"/>
    <w:rsid w:val="00443A7A"/>
    <w:rsid w:val="00445C8F"/>
    <w:rsid w:val="00446DC9"/>
    <w:rsid w:val="004533B2"/>
    <w:rsid w:val="00460B78"/>
    <w:rsid w:val="004654E7"/>
    <w:rsid w:val="004719E2"/>
    <w:rsid w:val="00474397"/>
    <w:rsid w:val="004821F5"/>
    <w:rsid w:val="00482EC4"/>
    <w:rsid w:val="00483497"/>
    <w:rsid w:val="00484F8C"/>
    <w:rsid w:val="00485313"/>
    <w:rsid w:val="00485A7F"/>
    <w:rsid w:val="00486827"/>
    <w:rsid w:val="004878FE"/>
    <w:rsid w:val="004906BB"/>
    <w:rsid w:val="0049212C"/>
    <w:rsid w:val="00492FE0"/>
    <w:rsid w:val="004A0538"/>
    <w:rsid w:val="004A0A0D"/>
    <w:rsid w:val="004A1B0B"/>
    <w:rsid w:val="004A2063"/>
    <w:rsid w:val="004A249D"/>
    <w:rsid w:val="004A49DC"/>
    <w:rsid w:val="004A53CD"/>
    <w:rsid w:val="004B0A7A"/>
    <w:rsid w:val="004B2CDE"/>
    <w:rsid w:val="004B3168"/>
    <w:rsid w:val="004B361F"/>
    <w:rsid w:val="004B46A9"/>
    <w:rsid w:val="004B4CD0"/>
    <w:rsid w:val="004B4D5B"/>
    <w:rsid w:val="004B77D9"/>
    <w:rsid w:val="004C1EFB"/>
    <w:rsid w:val="004C54E7"/>
    <w:rsid w:val="004C734A"/>
    <w:rsid w:val="004D3470"/>
    <w:rsid w:val="004D6A23"/>
    <w:rsid w:val="004E2B3B"/>
    <w:rsid w:val="004E34A1"/>
    <w:rsid w:val="004E37AF"/>
    <w:rsid w:val="004F1420"/>
    <w:rsid w:val="004F2981"/>
    <w:rsid w:val="004F3553"/>
    <w:rsid w:val="004F3A86"/>
    <w:rsid w:val="004F6C2A"/>
    <w:rsid w:val="004F6C33"/>
    <w:rsid w:val="005021D1"/>
    <w:rsid w:val="005031F7"/>
    <w:rsid w:val="00504553"/>
    <w:rsid w:val="00504FAC"/>
    <w:rsid w:val="00510259"/>
    <w:rsid w:val="00512048"/>
    <w:rsid w:val="005139D1"/>
    <w:rsid w:val="00516570"/>
    <w:rsid w:val="00516E3C"/>
    <w:rsid w:val="00517339"/>
    <w:rsid w:val="005204E2"/>
    <w:rsid w:val="005208DA"/>
    <w:rsid w:val="00521887"/>
    <w:rsid w:val="00522F7D"/>
    <w:rsid w:val="0053289C"/>
    <w:rsid w:val="00533005"/>
    <w:rsid w:val="00533034"/>
    <w:rsid w:val="005345F4"/>
    <w:rsid w:val="00540BCB"/>
    <w:rsid w:val="00544AB8"/>
    <w:rsid w:val="00545153"/>
    <w:rsid w:val="00545406"/>
    <w:rsid w:val="005509B1"/>
    <w:rsid w:val="00550D1D"/>
    <w:rsid w:val="00554D86"/>
    <w:rsid w:val="00555AA4"/>
    <w:rsid w:val="0055663A"/>
    <w:rsid w:val="005639FD"/>
    <w:rsid w:val="00567A9A"/>
    <w:rsid w:val="00571A76"/>
    <w:rsid w:val="0057454D"/>
    <w:rsid w:val="005776BD"/>
    <w:rsid w:val="00577B7D"/>
    <w:rsid w:val="0058157D"/>
    <w:rsid w:val="00581EFD"/>
    <w:rsid w:val="00582BC7"/>
    <w:rsid w:val="0058366F"/>
    <w:rsid w:val="00584A8D"/>
    <w:rsid w:val="00591111"/>
    <w:rsid w:val="00593300"/>
    <w:rsid w:val="00593D51"/>
    <w:rsid w:val="00595B63"/>
    <w:rsid w:val="005979D5"/>
    <w:rsid w:val="005A0E65"/>
    <w:rsid w:val="005A0F6D"/>
    <w:rsid w:val="005A499F"/>
    <w:rsid w:val="005A5B59"/>
    <w:rsid w:val="005B101C"/>
    <w:rsid w:val="005B3E65"/>
    <w:rsid w:val="005C2F30"/>
    <w:rsid w:val="005C726E"/>
    <w:rsid w:val="005D0460"/>
    <w:rsid w:val="005D5911"/>
    <w:rsid w:val="005D6628"/>
    <w:rsid w:val="005D6EE6"/>
    <w:rsid w:val="005E3B30"/>
    <w:rsid w:val="005E783F"/>
    <w:rsid w:val="005F06DE"/>
    <w:rsid w:val="005F080A"/>
    <w:rsid w:val="005F2354"/>
    <w:rsid w:val="005F389C"/>
    <w:rsid w:val="005F3ECA"/>
    <w:rsid w:val="005F4CCB"/>
    <w:rsid w:val="005F7515"/>
    <w:rsid w:val="0060143E"/>
    <w:rsid w:val="00601606"/>
    <w:rsid w:val="00604DB7"/>
    <w:rsid w:val="006111B7"/>
    <w:rsid w:val="00611BFA"/>
    <w:rsid w:val="006140B3"/>
    <w:rsid w:val="00623A1F"/>
    <w:rsid w:val="00624200"/>
    <w:rsid w:val="00625499"/>
    <w:rsid w:val="00632857"/>
    <w:rsid w:val="00634008"/>
    <w:rsid w:val="00635920"/>
    <w:rsid w:val="00636A49"/>
    <w:rsid w:val="0064139B"/>
    <w:rsid w:val="00645FF5"/>
    <w:rsid w:val="00646A3D"/>
    <w:rsid w:val="0064735D"/>
    <w:rsid w:val="00647B5E"/>
    <w:rsid w:val="00651D28"/>
    <w:rsid w:val="006530E7"/>
    <w:rsid w:val="00653381"/>
    <w:rsid w:val="00653F31"/>
    <w:rsid w:val="0065401B"/>
    <w:rsid w:val="00665640"/>
    <w:rsid w:val="00667422"/>
    <w:rsid w:val="00667DCF"/>
    <w:rsid w:val="00671374"/>
    <w:rsid w:val="00673209"/>
    <w:rsid w:val="00673DD5"/>
    <w:rsid w:val="00676A12"/>
    <w:rsid w:val="00676B27"/>
    <w:rsid w:val="0068064F"/>
    <w:rsid w:val="0068065A"/>
    <w:rsid w:val="00681230"/>
    <w:rsid w:val="00681936"/>
    <w:rsid w:val="006866A8"/>
    <w:rsid w:val="006A062F"/>
    <w:rsid w:val="006A0B22"/>
    <w:rsid w:val="006A1968"/>
    <w:rsid w:val="006A1D5D"/>
    <w:rsid w:val="006A2C88"/>
    <w:rsid w:val="006A368F"/>
    <w:rsid w:val="006A450F"/>
    <w:rsid w:val="006A4939"/>
    <w:rsid w:val="006A4CA0"/>
    <w:rsid w:val="006A6DA8"/>
    <w:rsid w:val="006A7A47"/>
    <w:rsid w:val="006B3510"/>
    <w:rsid w:val="006B3868"/>
    <w:rsid w:val="006C0A17"/>
    <w:rsid w:val="006C3D3D"/>
    <w:rsid w:val="006D3C89"/>
    <w:rsid w:val="006E0A9C"/>
    <w:rsid w:val="006E0D71"/>
    <w:rsid w:val="006E121E"/>
    <w:rsid w:val="006E25F3"/>
    <w:rsid w:val="006E3625"/>
    <w:rsid w:val="006E4A9F"/>
    <w:rsid w:val="006E6AEA"/>
    <w:rsid w:val="006E6E3B"/>
    <w:rsid w:val="006E7294"/>
    <w:rsid w:val="006F24E7"/>
    <w:rsid w:val="006F31E0"/>
    <w:rsid w:val="006F4322"/>
    <w:rsid w:val="006F65C2"/>
    <w:rsid w:val="006F79B6"/>
    <w:rsid w:val="00700767"/>
    <w:rsid w:val="00712405"/>
    <w:rsid w:val="007127AF"/>
    <w:rsid w:val="0071284D"/>
    <w:rsid w:val="00712CB4"/>
    <w:rsid w:val="0071382D"/>
    <w:rsid w:val="00714107"/>
    <w:rsid w:val="00716275"/>
    <w:rsid w:val="00716E0E"/>
    <w:rsid w:val="00720853"/>
    <w:rsid w:val="00722380"/>
    <w:rsid w:val="0072264C"/>
    <w:rsid w:val="007269E4"/>
    <w:rsid w:val="00727726"/>
    <w:rsid w:val="007302C6"/>
    <w:rsid w:val="00733240"/>
    <w:rsid w:val="007333A4"/>
    <w:rsid w:val="00734926"/>
    <w:rsid w:val="00735CBD"/>
    <w:rsid w:val="00741620"/>
    <w:rsid w:val="00747A94"/>
    <w:rsid w:val="0075515B"/>
    <w:rsid w:val="0075744B"/>
    <w:rsid w:val="007603E9"/>
    <w:rsid w:val="00760762"/>
    <w:rsid w:val="00761080"/>
    <w:rsid w:val="00761487"/>
    <w:rsid w:val="007615DA"/>
    <w:rsid w:val="007637E4"/>
    <w:rsid w:val="007644F1"/>
    <w:rsid w:val="0076744E"/>
    <w:rsid w:val="00770153"/>
    <w:rsid w:val="00775439"/>
    <w:rsid w:val="00780CAF"/>
    <w:rsid w:val="00780F39"/>
    <w:rsid w:val="007812FE"/>
    <w:rsid w:val="007819EB"/>
    <w:rsid w:val="00782444"/>
    <w:rsid w:val="007827E1"/>
    <w:rsid w:val="00792B67"/>
    <w:rsid w:val="00796C14"/>
    <w:rsid w:val="007A0C5C"/>
    <w:rsid w:val="007A14AF"/>
    <w:rsid w:val="007A24AC"/>
    <w:rsid w:val="007A4F27"/>
    <w:rsid w:val="007A74AA"/>
    <w:rsid w:val="007B2E4B"/>
    <w:rsid w:val="007B526C"/>
    <w:rsid w:val="007B5869"/>
    <w:rsid w:val="007B6395"/>
    <w:rsid w:val="007B7328"/>
    <w:rsid w:val="007C2ED8"/>
    <w:rsid w:val="007C395E"/>
    <w:rsid w:val="007C766E"/>
    <w:rsid w:val="007D0295"/>
    <w:rsid w:val="007D300B"/>
    <w:rsid w:val="007D45EF"/>
    <w:rsid w:val="007D48F5"/>
    <w:rsid w:val="007D5EF9"/>
    <w:rsid w:val="007D64B8"/>
    <w:rsid w:val="007D6E4B"/>
    <w:rsid w:val="007D775A"/>
    <w:rsid w:val="007E0A7A"/>
    <w:rsid w:val="007E14CF"/>
    <w:rsid w:val="007E2702"/>
    <w:rsid w:val="007E2BF9"/>
    <w:rsid w:val="007E3D38"/>
    <w:rsid w:val="007F26C0"/>
    <w:rsid w:val="007F2F34"/>
    <w:rsid w:val="007F3775"/>
    <w:rsid w:val="007F4820"/>
    <w:rsid w:val="007F588A"/>
    <w:rsid w:val="008017E0"/>
    <w:rsid w:val="00802034"/>
    <w:rsid w:val="00803133"/>
    <w:rsid w:val="00804F85"/>
    <w:rsid w:val="008072CE"/>
    <w:rsid w:val="00810B38"/>
    <w:rsid w:val="008110D3"/>
    <w:rsid w:val="00812713"/>
    <w:rsid w:val="00817C14"/>
    <w:rsid w:val="00820461"/>
    <w:rsid w:val="00822A3E"/>
    <w:rsid w:val="00822EDB"/>
    <w:rsid w:val="00823949"/>
    <w:rsid w:val="00823A19"/>
    <w:rsid w:val="00826454"/>
    <w:rsid w:val="008304A2"/>
    <w:rsid w:val="008346AC"/>
    <w:rsid w:val="00836292"/>
    <w:rsid w:val="00840F17"/>
    <w:rsid w:val="00845A19"/>
    <w:rsid w:val="00853B59"/>
    <w:rsid w:val="00853CB6"/>
    <w:rsid w:val="008545B9"/>
    <w:rsid w:val="00856C36"/>
    <w:rsid w:val="00860E56"/>
    <w:rsid w:val="00863980"/>
    <w:rsid w:val="00873C61"/>
    <w:rsid w:val="00874066"/>
    <w:rsid w:val="008741A5"/>
    <w:rsid w:val="00874458"/>
    <w:rsid w:val="0087715E"/>
    <w:rsid w:val="00880944"/>
    <w:rsid w:val="0088112E"/>
    <w:rsid w:val="0088159B"/>
    <w:rsid w:val="00882ACF"/>
    <w:rsid w:val="00890123"/>
    <w:rsid w:val="0089019B"/>
    <w:rsid w:val="00890C66"/>
    <w:rsid w:val="00894BB4"/>
    <w:rsid w:val="00896081"/>
    <w:rsid w:val="00896C17"/>
    <w:rsid w:val="00897296"/>
    <w:rsid w:val="008A0565"/>
    <w:rsid w:val="008A0743"/>
    <w:rsid w:val="008A24E1"/>
    <w:rsid w:val="008A2E8E"/>
    <w:rsid w:val="008B1209"/>
    <w:rsid w:val="008B2C3F"/>
    <w:rsid w:val="008B4729"/>
    <w:rsid w:val="008C0753"/>
    <w:rsid w:val="008C1240"/>
    <w:rsid w:val="008C3CAA"/>
    <w:rsid w:val="008C4A62"/>
    <w:rsid w:val="008C4DE7"/>
    <w:rsid w:val="008C511A"/>
    <w:rsid w:val="008C558A"/>
    <w:rsid w:val="008C5CC0"/>
    <w:rsid w:val="008C7C7D"/>
    <w:rsid w:val="008D47C1"/>
    <w:rsid w:val="008D6B45"/>
    <w:rsid w:val="008E3060"/>
    <w:rsid w:val="008E4523"/>
    <w:rsid w:val="008E4CBB"/>
    <w:rsid w:val="008E4D6A"/>
    <w:rsid w:val="008E63FD"/>
    <w:rsid w:val="008F087B"/>
    <w:rsid w:val="008F1D1E"/>
    <w:rsid w:val="008F2EE2"/>
    <w:rsid w:val="008F528A"/>
    <w:rsid w:val="0090109B"/>
    <w:rsid w:val="00901FC8"/>
    <w:rsid w:val="009035A6"/>
    <w:rsid w:val="00904F79"/>
    <w:rsid w:val="00906F8A"/>
    <w:rsid w:val="009070A6"/>
    <w:rsid w:val="00910415"/>
    <w:rsid w:val="00914557"/>
    <w:rsid w:val="00915EB2"/>
    <w:rsid w:val="009207ED"/>
    <w:rsid w:val="0092202D"/>
    <w:rsid w:val="00924C77"/>
    <w:rsid w:val="00926ED7"/>
    <w:rsid w:val="009424BD"/>
    <w:rsid w:val="00942A93"/>
    <w:rsid w:val="00942E32"/>
    <w:rsid w:val="0094498D"/>
    <w:rsid w:val="009459AD"/>
    <w:rsid w:val="00947DBE"/>
    <w:rsid w:val="00950A42"/>
    <w:rsid w:val="00950B26"/>
    <w:rsid w:val="00967DDB"/>
    <w:rsid w:val="009738C6"/>
    <w:rsid w:val="00974B59"/>
    <w:rsid w:val="00974ED9"/>
    <w:rsid w:val="00976269"/>
    <w:rsid w:val="00976B0C"/>
    <w:rsid w:val="00980BA7"/>
    <w:rsid w:val="00984D82"/>
    <w:rsid w:val="00985B6B"/>
    <w:rsid w:val="0099252D"/>
    <w:rsid w:val="00996621"/>
    <w:rsid w:val="00997A3A"/>
    <w:rsid w:val="00997A81"/>
    <w:rsid w:val="009A0CE1"/>
    <w:rsid w:val="009A4774"/>
    <w:rsid w:val="009A712D"/>
    <w:rsid w:val="009B2167"/>
    <w:rsid w:val="009B3F13"/>
    <w:rsid w:val="009B5FF8"/>
    <w:rsid w:val="009C120D"/>
    <w:rsid w:val="009C4E86"/>
    <w:rsid w:val="009C595E"/>
    <w:rsid w:val="009D5780"/>
    <w:rsid w:val="009E18F7"/>
    <w:rsid w:val="009E6726"/>
    <w:rsid w:val="009F041B"/>
    <w:rsid w:val="009F58BD"/>
    <w:rsid w:val="009F7A6E"/>
    <w:rsid w:val="00A00C03"/>
    <w:rsid w:val="00A01545"/>
    <w:rsid w:val="00A026EB"/>
    <w:rsid w:val="00A029C1"/>
    <w:rsid w:val="00A06A54"/>
    <w:rsid w:val="00A10FBD"/>
    <w:rsid w:val="00A11044"/>
    <w:rsid w:val="00A11795"/>
    <w:rsid w:val="00A130BE"/>
    <w:rsid w:val="00A1714A"/>
    <w:rsid w:val="00A2015D"/>
    <w:rsid w:val="00A20A5E"/>
    <w:rsid w:val="00A20A88"/>
    <w:rsid w:val="00A20B33"/>
    <w:rsid w:val="00A25BF6"/>
    <w:rsid w:val="00A260C5"/>
    <w:rsid w:val="00A31AA9"/>
    <w:rsid w:val="00A3237E"/>
    <w:rsid w:val="00A340E4"/>
    <w:rsid w:val="00A35789"/>
    <w:rsid w:val="00A35C1E"/>
    <w:rsid w:val="00A372FE"/>
    <w:rsid w:val="00A37E8B"/>
    <w:rsid w:val="00A47B1F"/>
    <w:rsid w:val="00A52970"/>
    <w:rsid w:val="00A5327F"/>
    <w:rsid w:val="00A53EE6"/>
    <w:rsid w:val="00A54664"/>
    <w:rsid w:val="00A569B3"/>
    <w:rsid w:val="00A56FDA"/>
    <w:rsid w:val="00A60633"/>
    <w:rsid w:val="00A60D70"/>
    <w:rsid w:val="00A7010C"/>
    <w:rsid w:val="00A70AED"/>
    <w:rsid w:val="00A71C52"/>
    <w:rsid w:val="00A73E85"/>
    <w:rsid w:val="00A74314"/>
    <w:rsid w:val="00A748B3"/>
    <w:rsid w:val="00A75E8E"/>
    <w:rsid w:val="00A760E0"/>
    <w:rsid w:val="00A77674"/>
    <w:rsid w:val="00A81800"/>
    <w:rsid w:val="00A932C1"/>
    <w:rsid w:val="00A9362B"/>
    <w:rsid w:val="00A94A64"/>
    <w:rsid w:val="00A96475"/>
    <w:rsid w:val="00A96904"/>
    <w:rsid w:val="00A96DE1"/>
    <w:rsid w:val="00AA113D"/>
    <w:rsid w:val="00AA205E"/>
    <w:rsid w:val="00AA3564"/>
    <w:rsid w:val="00AA7481"/>
    <w:rsid w:val="00AA7F53"/>
    <w:rsid w:val="00AB2A91"/>
    <w:rsid w:val="00AB4035"/>
    <w:rsid w:val="00AB42FB"/>
    <w:rsid w:val="00AB51A6"/>
    <w:rsid w:val="00AB693E"/>
    <w:rsid w:val="00AB7F7C"/>
    <w:rsid w:val="00AC01D5"/>
    <w:rsid w:val="00AC18A0"/>
    <w:rsid w:val="00AC27A5"/>
    <w:rsid w:val="00AD68F2"/>
    <w:rsid w:val="00AE1B29"/>
    <w:rsid w:val="00AE3CC6"/>
    <w:rsid w:val="00AE7304"/>
    <w:rsid w:val="00AE7ADF"/>
    <w:rsid w:val="00AF0BA8"/>
    <w:rsid w:val="00AF1D9D"/>
    <w:rsid w:val="00AF229E"/>
    <w:rsid w:val="00AF62C5"/>
    <w:rsid w:val="00B0159C"/>
    <w:rsid w:val="00B02070"/>
    <w:rsid w:val="00B0330E"/>
    <w:rsid w:val="00B05071"/>
    <w:rsid w:val="00B06D7E"/>
    <w:rsid w:val="00B12D67"/>
    <w:rsid w:val="00B13E69"/>
    <w:rsid w:val="00B17C9D"/>
    <w:rsid w:val="00B231F5"/>
    <w:rsid w:val="00B234DB"/>
    <w:rsid w:val="00B319D6"/>
    <w:rsid w:val="00B3312F"/>
    <w:rsid w:val="00B33A85"/>
    <w:rsid w:val="00B36BF2"/>
    <w:rsid w:val="00B40424"/>
    <w:rsid w:val="00B41DA9"/>
    <w:rsid w:val="00B4261F"/>
    <w:rsid w:val="00B42A90"/>
    <w:rsid w:val="00B42FFA"/>
    <w:rsid w:val="00B43157"/>
    <w:rsid w:val="00B45CFC"/>
    <w:rsid w:val="00B469B0"/>
    <w:rsid w:val="00B46E53"/>
    <w:rsid w:val="00B505F8"/>
    <w:rsid w:val="00B514AD"/>
    <w:rsid w:val="00B51DD3"/>
    <w:rsid w:val="00B60801"/>
    <w:rsid w:val="00B66925"/>
    <w:rsid w:val="00B67E6B"/>
    <w:rsid w:val="00B70595"/>
    <w:rsid w:val="00B72169"/>
    <w:rsid w:val="00B748A7"/>
    <w:rsid w:val="00B7631C"/>
    <w:rsid w:val="00B7719F"/>
    <w:rsid w:val="00B806F9"/>
    <w:rsid w:val="00B826ED"/>
    <w:rsid w:val="00B836FD"/>
    <w:rsid w:val="00B84902"/>
    <w:rsid w:val="00B85191"/>
    <w:rsid w:val="00B8761B"/>
    <w:rsid w:val="00B87808"/>
    <w:rsid w:val="00B92640"/>
    <w:rsid w:val="00B9564B"/>
    <w:rsid w:val="00B97B09"/>
    <w:rsid w:val="00BA12BD"/>
    <w:rsid w:val="00BA1F48"/>
    <w:rsid w:val="00BA49DD"/>
    <w:rsid w:val="00BA712E"/>
    <w:rsid w:val="00BA75DF"/>
    <w:rsid w:val="00BA7CB7"/>
    <w:rsid w:val="00BB0865"/>
    <w:rsid w:val="00BB0E91"/>
    <w:rsid w:val="00BB22B4"/>
    <w:rsid w:val="00BB2518"/>
    <w:rsid w:val="00BB388F"/>
    <w:rsid w:val="00BB39D1"/>
    <w:rsid w:val="00BB3C95"/>
    <w:rsid w:val="00BB748E"/>
    <w:rsid w:val="00BC0230"/>
    <w:rsid w:val="00BC24E9"/>
    <w:rsid w:val="00BC3D26"/>
    <w:rsid w:val="00BC520E"/>
    <w:rsid w:val="00BC62C3"/>
    <w:rsid w:val="00BC76BB"/>
    <w:rsid w:val="00BC7DAB"/>
    <w:rsid w:val="00BD3052"/>
    <w:rsid w:val="00BE7B5F"/>
    <w:rsid w:val="00BF4E67"/>
    <w:rsid w:val="00BF6CAE"/>
    <w:rsid w:val="00C007F6"/>
    <w:rsid w:val="00C02989"/>
    <w:rsid w:val="00C03CED"/>
    <w:rsid w:val="00C07263"/>
    <w:rsid w:val="00C10404"/>
    <w:rsid w:val="00C168AE"/>
    <w:rsid w:val="00C17E5E"/>
    <w:rsid w:val="00C20099"/>
    <w:rsid w:val="00C21320"/>
    <w:rsid w:val="00C301AE"/>
    <w:rsid w:val="00C302A6"/>
    <w:rsid w:val="00C36377"/>
    <w:rsid w:val="00C37D16"/>
    <w:rsid w:val="00C40334"/>
    <w:rsid w:val="00C40866"/>
    <w:rsid w:val="00C42BF0"/>
    <w:rsid w:val="00C5097B"/>
    <w:rsid w:val="00C50D1C"/>
    <w:rsid w:val="00C51219"/>
    <w:rsid w:val="00C525F0"/>
    <w:rsid w:val="00C60408"/>
    <w:rsid w:val="00C60CA1"/>
    <w:rsid w:val="00C60FDD"/>
    <w:rsid w:val="00C63474"/>
    <w:rsid w:val="00C63B38"/>
    <w:rsid w:val="00C66AAD"/>
    <w:rsid w:val="00C706AD"/>
    <w:rsid w:val="00C7290E"/>
    <w:rsid w:val="00C72FA6"/>
    <w:rsid w:val="00C73012"/>
    <w:rsid w:val="00C737A0"/>
    <w:rsid w:val="00C75D2D"/>
    <w:rsid w:val="00C76589"/>
    <w:rsid w:val="00C76A1B"/>
    <w:rsid w:val="00C77529"/>
    <w:rsid w:val="00C8313A"/>
    <w:rsid w:val="00C83932"/>
    <w:rsid w:val="00C845E7"/>
    <w:rsid w:val="00C87DD1"/>
    <w:rsid w:val="00C929C6"/>
    <w:rsid w:val="00CA374C"/>
    <w:rsid w:val="00CB0712"/>
    <w:rsid w:val="00CB1865"/>
    <w:rsid w:val="00CB1A77"/>
    <w:rsid w:val="00CB2387"/>
    <w:rsid w:val="00CB53B7"/>
    <w:rsid w:val="00CB58E5"/>
    <w:rsid w:val="00CB5E4E"/>
    <w:rsid w:val="00CB66D8"/>
    <w:rsid w:val="00CC08B2"/>
    <w:rsid w:val="00CC1EDA"/>
    <w:rsid w:val="00CC47B2"/>
    <w:rsid w:val="00CD1EFA"/>
    <w:rsid w:val="00CD238D"/>
    <w:rsid w:val="00CD24DC"/>
    <w:rsid w:val="00CD7512"/>
    <w:rsid w:val="00CE182A"/>
    <w:rsid w:val="00CE7A2E"/>
    <w:rsid w:val="00CF02F6"/>
    <w:rsid w:val="00CF0978"/>
    <w:rsid w:val="00CF1F15"/>
    <w:rsid w:val="00CF3E87"/>
    <w:rsid w:val="00CF6B65"/>
    <w:rsid w:val="00CF724C"/>
    <w:rsid w:val="00CF7692"/>
    <w:rsid w:val="00D02AB4"/>
    <w:rsid w:val="00D038C0"/>
    <w:rsid w:val="00D055A1"/>
    <w:rsid w:val="00D06F0C"/>
    <w:rsid w:val="00D12D5B"/>
    <w:rsid w:val="00D17533"/>
    <w:rsid w:val="00D218A8"/>
    <w:rsid w:val="00D24970"/>
    <w:rsid w:val="00D27EC6"/>
    <w:rsid w:val="00D33074"/>
    <w:rsid w:val="00D3359A"/>
    <w:rsid w:val="00D337A6"/>
    <w:rsid w:val="00D33C23"/>
    <w:rsid w:val="00D357F3"/>
    <w:rsid w:val="00D4064F"/>
    <w:rsid w:val="00D420D8"/>
    <w:rsid w:val="00D42CC5"/>
    <w:rsid w:val="00D44B74"/>
    <w:rsid w:val="00D44C22"/>
    <w:rsid w:val="00D45C89"/>
    <w:rsid w:val="00D47737"/>
    <w:rsid w:val="00D52014"/>
    <w:rsid w:val="00D52612"/>
    <w:rsid w:val="00D52BBB"/>
    <w:rsid w:val="00D53A53"/>
    <w:rsid w:val="00D53E4D"/>
    <w:rsid w:val="00D5549B"/>
    <w:rsid w:val="00D575E6"/>
    <w:rsid w:val="00D6161D"/>
    <w:rsid w:val="00D61FB8"/>
    <w:rsid w:val="00D70E9F"/>
    <w:rsid w:val="00D718D2"/>
    <w:rsid w:val="00D7299A"/>
    <w:rsid w:val="00D73D90"/>
    <w:rsid w:val="00D800A2"/>
    <w:rsid w:val="00D80CA6"/>
    <w:rsid w:val="00D83139"/>
    <w:rsid w:val="00D86A3B"/>
    <w:rsid w:val="00D873DC"/>
    <w:rsid w:val="00D876DB"/>
    <w:rsid w:val="00D924A6"/>
    <w:rsid w:val="00D9266B"/>
    <w:rsid w:val="00D94A7D"/>
    <w:rsid w:val="00DB2EE1"/>
    <w:rsid w:val="00DB33F4"/>
    <w:rsid w:val="00DB458B"/>
    <w:rsid w:val="00DB541B"/>
    <w:rsid w:val="00DB6AB2"/>
    <w:rsid w:val="00DB72B2"/>
    <w:rsid w:val="00DC09E8"/>
    <w:rsid w:val="00DC4DE5"/>
    <w:rsid w:val="00DC52FF"/>
    <w:rsid w:val="00DC7EAF"/>
    <w:rsid w:val="00DD0A0A"/>
    <w:rsid w:val="00DD2157"/>
    <w:rsid w:val="00DD26C3"/>
    <w:rsid w:val="00DD2EA9"/>
    <w:rsid w:val="00DD4481"/>
    <w:rsid w:val="00DD709C"/>
    <w:rsid w:val="00DD754F"/>
    <w:rsid w:val="00DE1603"/>
    <w:rsid w:val="00DE4A61"/>
    <w:rsid w:val="00DF08C7"/>
    <w:rsid w:val="00DF2BA4"/>
    <w:rsid w:val="00DF3E56"/>
    <w:rsid w:val="00DF5E68"/>
    <w:rsid w:val="00DF74B7"/>
    <w:rsid w:val="00E0695F"/>
    <w:rsid w:val="00E10005"/>
    <w:rsid w:val="00E13AF5"/>
    <w:rsid w:val="00E15011"/>
    <w:rsid w:val="00E15BEE"/>
    <w:rsid w:val="00E15EC2"/>
    <w:rsid w:val="00E1723A"/>
    <w:rsid w:val="00E175E2"/>
    <w:rsid w:val="00E206D9"/>
    <w:rsid w:val="00E20A1D"/>
    <w:rsid w:val="00E20E59"/>
    <w:rsid w:val="00E21D32"/>
    <w:rsid w:val="00E267C9"/>
    <w:rsid w:val="00E3092F"/>
    <w:rsid w:val="00E31CE1"/>
    <w:rsid w:val="00E428D5"/>
    <w:rsid w:val="00E42FA3"/>
    <w:rsid w:val="00E43D11"/>
    <w:rsid w:val="00E4474E"/>
    <w:rsid w:val="00E45131"/>
    <w:rsid w:val="00E45F1F"/>
    <w:rsid w:val="00E50B5D"/>
    <w:rsid w:val="00E553B5"/>
    <w:rsid w:val="00E60005"/>
    <w:rsid w:val="00E63064"/>
    <w:rsid w:val="00E630EF"/>
    <w:rsid w:val="00E65986"/>
    <w:rsid w:val="00E67B1C"/>
    <w:rsid w:val="00E71DF4"/>
    <w:rsid w:val="00E74C81"/>
    <w:rsid w:val="00E81634"/>
    <w:rsid w:val="00E824DA"/>
    <w:rsid w:val="00E82B3E"/>
    <w:rsid w:val="00E83E31"/>
    <w:rsid w:val="00E86552"/>
    <w:rsid w:val="00E87663"/>
    <w:rsid w:val="00E9183A"/>
    <w:rsid w:val="00E953B5"/>
    <w:rsid w:val="00E965C6"/>
    <w:rsid w:val="00E972D1"/>
    <w:rsid w:val="00EA428A"/>
    <w:rsid w:val="00EA43EB"/>
    <w:rsid w:val="00EB2C2A"/>
    <w:rsid w:val="00EB3A62"/>
    <w:rsid w:val="00EB434E"/>
    <w:rsid w:val="00EB446A"/>
    <w:rsid w:val="00EB5147"/>
    <w:rsid w:val="00EB579D"/>
    <w:rsid w:val="00EB6836"/>
    <w:rsid w:val="00EB6CCF"/>
    <w:rsid w:val="00EC3D19"/>
    <w:rsid w:val="00EC404B"/>
    <w:rsid w:val="00EC53A0"/>
    <w:rsid w:val="00EC5502"/>
    <w:rsid w:val="00ED36AD"/>
    <w:rsid w:val="00ED49E1"/>
    <w:rsid w:val="00EF4F6F"/>
    <w:rsid w:val="00EF56CF"/>
    <w:rsid w:val="00F01EC1"/>
    <w:rsid w:val="00F0348C"/>
    <w:rsid w:val="00F06D66"/>
    <w:rsid w:val="00F07142"/>
    <w:rsid w:val="00F12EAB"/>
    <w:rsid w:val="00F21A01"/>
    <w:rsid w:val="00F21A0F"/>
    <w:rsid w:val="00F234CE"/>
    <w:rsid w:val="00F24131"/>
    <w:rsid w:val="00F27586"/>
    <w:rsid w:val="00F27EAF"/>
    <w:rsid w:val="00F30339"/>
    <w:rsid w:val="00F35759"/>
    <w:rsid w:val="00F377DE"/>
    <w:rsid w:val="00F421BB"/>
    <w:rsid w:val="00F440BA"/>
    <w:rsid w:val="00F51FBE"/>
    <w:rsid w:val="00F5306E"/>
    <w:rsid w:val="00F53941"/>
    <w:rsid w:val="00F54865"/>
    <w:rsid w:val="00F5490B"/>
    <w:rsid w:val="00F55BD0"/>
    <w:rsid w:val="00F55CDB"/>
    <w:rsid w:val="00F5750F"/>
    <w:rsid w:val="00F61FE7"/>
    <w:rsid w:val="00F6245E"/>
    <w:rsid w:val="00F631B5"/>
    <w:rsid w:val="00F65B6F"/>
    <w:rsid w:val="00F73716"/>
    <w:rsid w:val="00F73F74"/>
    <w:rsid w:val="00F83DE4"/>
    <w:rsid w:val="00F84DFE"/>
    <w:rsid w:val="00F853A8"/>
    <w:rsid w:val="00F907C5"/>
    <w:rsid w:val="00F9265D"/>
    <w:rsid w:val="00F95F89"/>
    <w:rsid w:val="00FA0E98"/>
    <w:rsid w:val="00FA11D3"/>
    <w:rsid w:val="00FA135F"/>
    <w:rsid w:val="00FA3526"/>
    <w:rsid w:val="00FA46D5"/>
    <w:rsid w:val="00FB062B"/>
    <w:rsid w:val="00FB0E39"/>
    <w:rsid w:val="00FB27A8"/>
    <w:rsid w:val="00FB36C4"/>
    <w:rsid w:val="00FB4883"/>
    <w:rsid w:val="00FC1173"/>
    <w:rsid w:val="00FC13D5"/>
    <w:rsid w:val="00FC4845"/>
    <w:rsid w:val="00FC533F"/>
    <w:rsid w:val="00FC7303"/>
    <w:rsid w:val="00FD268E"/>
    <w:rsid w:val="00FD623E"/>
    <w:rsid w:val="00FE32F5"/>
    <w:rsid w:val="00FE5267"/>
    <w:rsid w:val="00FE6446"/>
    <w:rsid w:val="00FF1A39"/>
    <w:rsid w:val="00FF2ED4"/>
    <w:rsid w:val="00FF3F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D8DB0"/>
  <w15:chartTrackingRefBased/>
  <w15:docId w15:val="{5EEB3F46-BF95-46A0-88C8-C0A1A23CDEF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MS Mincho"/>
      <w:sz w:val="22"/>
      <w:szCs w:val="24"/>
      <w:lang w:eastAsia="en-US"/>
    </w:rPr>
  </w:style>
  <w:style w:type="paragraph" w:styleId="Heading1">
    <w:name w:val="heading 1"/>
    <w:aliases w:val="IPPC Headsection"/>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eastAsia="MS Mincho"/>
      <w:sz w:val="22"/>
      <w:szCs w:val="24"/>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eastAsia="MS Mincho"/>
      <w:sz w:val="22"/>
      <w:szCs w:val="24"/>
      <w:lang w:eastAsia="en-US"/>
    </w:rPr>
  </w:style>
  <w:style w:type="character" w:customStyle="1" w:styleId="Heading1Char">
    <w:name w:val="Heading 1 Char"/>
    <w:aliases w:val="IPPC Headsection Char"/>
    <w:basedOn w:val="DefaultParagraphFont"/>
    <w:link w:val="Heading1"/>
    <w:rPr>
      <w:rFonts w:eastAsia="MS Mincho"/>
      <w:b/>
      <w:bCs/>
      <w:sz w:val="22"/>
      <w:szCs w:val="24"/>
      <w:lang w:eastAsia="en-US"/>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paragraph" w:customStyle="1" w:styleId="IPPBullet2">
    <w:name w:val="IPP Bullet2"/>
    <w:basedOn w:val="IPPNormal"/>
    <w:next w:val="IPPBullet1"/>
    <w:qFormat/>
    <w:pPr>
      <w:numPr>
        <w:numId w:val="3"/>
      </w:numPr>
      <w:tabs>
        <w:tab w:val="left" w:pos="1134"/>
      </w:tabs>
      <w:spacing w:after="60"/>
      <w:ind w:left="1134" w:hanging="567"/>
    </w:pPr>
  </w:style>
  <w:style w:type="paragraph" w:customStyle="1" w:styleId="IPPQuote">
    <w:name w:val="IPP Quote"/>
    <w:basedOn w:val="IPPNormal"/>
    <w:qFormat/>
    <w:pPr>
      <w:ind w:left="851" w:right="851"/>
    </w:pPr>
    <w:rPr>
      <w:sz w:val="18"/>
    </w:rPr>
  </w:style>
  <w:style w:type="paragraph" w:customStyle="1" w:styleId="IPPNormal">
    <w:name w:val="IPP Normal"/>
    <w:basedOn w:val="Normal"/>
    <w:link w:val="IPPNormalChar"/>
    <w:qFormat/>
    <w:pPr>
      <w:spacing w:after="180"/>
    </w:pPr>
    <w:rPr>
      <w:rFonts w:eastAsia="Times"/>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n-US"/>
    </w:rPr>
  </w:style>
  <w:style w:type="character" w:customStyle="1" w:styleId="IPPNormalbold">
    <w:name w:val="IPP Normal bold"/>
    <w:basedOn w:val="PlainTextChar"/>
    <w:rPr>
      <w:rFonts w:ascii="Times New Roman" w:eastAsia="Times" w:hAnsi="Times New Roman"/>
      <w:b/>
      <w:sz w:val="22"/>
      <w:szCs w:val="21"/>
      <w:lang w:val="en-AU" w:eastAsia="en-US"/>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pPr>
      <w:keepNext/>
      <w:ind w:left="567" w:hanging="567"/>
      <w:jc w:val="left"/>
    </w:pPr>
    <w:rPr>
      <w:b/>
      <w:bCs/>
      <w:iCs/>
      <w:szCs w:val="22"/>
    </w:rPr>
  </w:style>
  <w:style w:type="character" w:customStyle="1" w:styleId="IPPNormalunderlined">
    <w:name w:val="IPP Normal underlined"/>
    <w:basedOn w:val="DefaultParagraphFont"/>
    <w:rPr>
      <w:rFonts w:ascii="Times New Roman" w:hAnsi="Times New Roman"/>
      <w:sz w:val="22"/>
      <w:u w:val="single"/>
      <w:lang w:val="en-US"/>
    </w:rPr>
  </w:style>
  <w:style w:type="paragraph" w:customStyle="1" w:styleId="IPPBullet1">
    <w:name w:val="IPP Bullet1"/>
    <w:basedOn w:val="IPPBullet1Last"/>
    <w:qFormat/>
    <w:pPr>
      <w:numPr>
        <w:numId w:val="8"/>
      </w:numPr>
      <w:spacing w:after="60"/>
      <w:ind w:left="567" w:hanging="567"/>
    </w:pPr>
    <w:rPr>
      <w:lang w:val="en-US"/>
    </w:rPr>
  </w:style>
  <w:style w:type="paragraph" w:customStyle="1" w:styleId="IPPBullet1Last">
    <w:name w:val="IPP Bullet1Last"/>
    <w:basedOn w:val="IPPNormal"/>
    <w:next w:val="IPPNormal"/>
    <w:qFormat/>
    <w:pPr>
      <w:numPr>
        <w:numId w:val="5"/>
      </w:numPr>
    </w:p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numbering" w:customStyle="1" w:styleId="IPPParagraphnumberedlist">
    <w:name w:val="IPP Paragraph numbered list"/>
    <w:pPr>
      <w:numPr>
        <w:numId w:val="9"/>
      </w:numPr>
    </w:pPr>
  </w:style>
  <w:style w:type="paragraph" w:customStyle="1" w:styleId="IPPNormalCloseSpace">
    <w:name w:val="IPP NormalCloseSpace"/>
    <w:basedOn w:val="Normal"/>
    <w:qFormat/>
    <w:pPr>
      <w:keepNext/>
      <w:spacing w:after="60"/>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character" w:styleId="PageNumber">
    <w:name w:val="page number"/>
    <w:rPr>
      <w:rFonts w:ascii="Arial" w:hAnsi="Arial"/>
      <w:b/>
      <w:sz w:val="18"/>
    </w:rPr>
  </w:style>
  <w:style w:type="character" w:customStyle="1" w:styleId="Heading2Char">
    <w:name w:val="Heading 2 Char"/>
    <w:basedOn w:val="DefaultParagraphFont"/>
    <w:link w:val="Heading2"/>
    <w:rPr>
      <w:rFonts w:ascii="Calibri" w:eastAsia="MS Mincho" w:hAnsi="Calibri"/>
      <w:b/>
      <w:bCs/>
      <w:i/>
      <w:iCs/>
      <w:sz w:val="28"/>
      <w:szCs w:val="28"/>
      <w:lang w:eastAsia="en-US"/>
    </w:rPr>
  </w:style>
  <w:style w:type="character" w:customStyle="1" w:styleId="Heading3Char">
    <w:name w:val="Heading 3 Char"/>
    <w:basedOn w:val="DefaultParagraphFont"/>
    <w:link w:val="Heading3"/>
    <w:rPr>
      <w:rFonts w:ascii="Calibri" w:eastAsia="MS Mincho" w:hAnsi="Calibri"/>
      <w:b/>
      <w:bCs/>
      <w:sz w:val="26"/>
      <w:szCs w:val="26"/>
      <w:lang w:eastAsia="en-US"/>
    </w:rPr>
  </w:style>
  <w:style w:type="paragraph" w:styleId="FootnoteText">
    <w:name w:val="footnote text"/>
    <w:basedOn w:val="Normal"/>
    <w:link w:val="FootnoteTextChar"/>
    <w:semiHidden/>
    <w:pPr>
      <w:spacing w:before="60"/>
    </w:pPr>
    <w:rPr>
      <w:sz w:val="20"/>
    </w:rPr>
  </w:style>
  <w:style w:type="character" w:customStyle="1" w:styleId="FootnoteTextChar">
    <w:name w:val="Footnote Text Char"/>
    <w:basedOn w:val="DefaultParagraphFont"/>
    <w:link w:val="FootnoteText"/>
    <w:semiHidden/>
    <w:rPr>
      <w:rFonts w:eastAsia="MS Mincho"/>
      <w:szCs w:val="24"/>
      <w:lang w:eastAsia="en-US"/>
    </w:rPr>
  </w:style>
  <w:style w:type="character" w:styleId="FootnoteReference">
    <w:name w:val="footnote reference"/>
    <w:basedOn w:val="DefaultParagraphFont"/>
    <w:semiHidden/>
    <w:rPr>
      <w:vertAlign w:val="superscript"/>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table" w:styleId="TableGrid">
    <w:name w:val="Table Grid"/>
    <w:basedOn w:val="TableNormal"/>
    <w:rPr>
      <w:rFonts w:ascii="Cambria" w:eastAsia="MS Mincho"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lang w:eastAsia="en-US"/>
    </w:rPr>
  </w:style>
  <w:style w:type="paragraph" w:customStyle="1" w:styleId="IPPLetterList">
    <w:name w:val="IPP LetterList"/>
    <w:basedOn w:val="IPPBullet2"/>
    <w:qFormat/>
    <w:pPr>
      <w:numPr>
        <w:numId w:val="1"/>
      </w:numPr>
      <w:jc w:val="left"/>
    </w:pPr>
  </w:style>
  <w:style w:type="paragraph" w:customStyle="1" w:styleId="IPPLetterListIndent">
    <w:name w:val="IPP LetterList Indent"/>
    <w:basedOn w:val="IPPLetterList"/>
    <w:qFormat/>
    <w:pPr>
      <w:numPr>
        <w:numId w:val="2"/>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numString="1.1. "/>
        <w:numId w:val="7"/>
      </w:numPr>
    </w:pPr>
  </w:style>
  <w:style w:type="paragraph" w:customStyle="1" w:styleId="IPPNumberedList">
    <w:name w:val="IPP NumberedList"/>
    <w:basedOn w:val="IPPBullet1"/>
    <w:qFormat/>
    <w:pPr>
      <w:numPr>
        <w:numId w:val="4"/>
      </w:numPr>
    </w:pPr>
  </w:style>
  <w:style w:type="paragraph" w:customStyle="1" w:styleId="IPPParagraphnumbering">
    <w:name w:val="IPP Paragraph numbering"/>
    <w:basedOn w:val="IPPNormal"/>
    <w:qFormat/>
    <w:pPr>
      <w:numPr>
        <w:numId w:val="10"/>
      </w:numPr>
    </w:pPr>
    <w:rPr>
      <w:lang w:val="en-US"/>
    </w:r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lang w:val="en-AU"/>
    </w:rPr>
  </w:style>
  <w:style w:type="paragraph" w:styleId="TOC5">
    <w:name w:val="toc 5"/>
    <w:basedOn w:val="Normal"/>
    <w:next w:val="Normal"/>
    <w:autoRedefine/>
    <w:uiPriority w:val="39"/>
    <w:pPr>
      <w:spacing w:after="120"/>
      <w:ind w:left="880"/>
    </w:pPr>
    <w:rPr>
      <w:rFonts w:eastAsia="Times"/>
      <w:lang w:val="en-AU"/>
    </w:rPr>
  </w:style>
  <w:style w:type="paragraph" w:styleId="TOC6">
    <w:name w:val="toc 6"/>
    <w:basedOn w:val="Normal"/>
    <w:next w:val="Normal"/>
    <w:autoRedefine/>
    <w:uiPriority w:val="39"/>
    <w:pPr>
      <w:spacing w:after="120"/>
      <w:ind w:left="1100"/>
    </w:pPr>
    <w:rPr>
      <w:rFonts w:eastAsia="Times"/>
      <w:lang w:val="en-AU"/>
    </w:rPr>
  </w:style>
  <w:style w:type="paragraph" w:styleId="TOC7">
    <w:name w:val="toc 7"/>
    <w:basedOn w:val="Normal"/>
    <w:next w:val="Normal"/>
    <w:autoRedefine/>
    <w:uiPriority w:val="39"/>
    <w:pPr>
      <w:spacing w:after="120"/>
      <w:ind w:left="1320"/>
    </w:pPr>
    <w:rPr>
      <w:rFonts w:eastAsia="Times"/>
      <w:lang w:val="en-AU"/>
    </w:rPr>
  </w:style>
  <w:style w:type="paragraph" w:styleId="TOC8">
    <w:name w:val="toc 8"/>
    <w:basedOn w:val="Normal"/>
    <w:next w:val="Normal"/>
    <w:autoRedefine/>
    <w:uiPriority w:val="39"/>
    <w:pPr>
      <w:spacing w:after="120"/>
      <w:ind w:left="1540"/>
    </w:pPr>
    <w:rPr>
      <w:rFonts w:eastAsia="Times"/>
      <w:lang w:val="en-AU"/>
    </w:rPr>
  </w:style>
  <w:style w:type="paragraph" w:styleId="TOC9">
    <w:name w:val="toc 9"/>
    <w:basedOn w:val="Normal"/>
    <w:next w:val="Normal"/>
    <w:autoRedefine/>
    <w:uiPriority w:val="39"/>
    <w:pPr>
      <w:spacing w:after="120"/>
      <w:ind w:left="1760"/>
    </w:pPr>
    <w:rPr>
      <w:rFonts w:eastAsia="Times"/>
      <w:lang w:val="en-AU"/>
    </w:rPr>
  </w:style>
  <w:style w:type="paragraph" w:customStyle="1" w:styleId="IPPParagraphnumberingclose">
    <w:name w:val="IPP Paragraph numbering close"/>
    <w:basedOn w:val="IPPParagraphnumbering"/>
    <w:qFormat/>
    <w:pPr>
      <w:keepNext/>
      <w:spacing w:after="60"/>
    </w:pPr>
  </w:style>
  <w:style w:type="paragraph" w:styleId="PlainText">
    <w:name w:val="Plain Text"/>
    <w:basedOn w:val="Normal"/>
    <w:link w:val="PlainTextChar"/>
    <w:uiPriority w:val="99"/>
    <w:unhideWhenUsed/>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Pr>
      <w:rFonts w:ascii="Courier" w:eastAsia="Times" w:hAnsi="Courier"/>
      <w:sz w:val="21"/>
      <w:szCs w:val="21"/>
      <w:lang w:val="en-AU" w:eastAsia="en-US"/>
    </w:rPr>
  </w:style>
  <w:style w:type="paragraph" w:customStyle="1" w:styleId="IPPNumberedListLast">
    <w:name w:val="IPP NumberedListLast"/>
    <w:basedOn w:val="IPPNumberedList"/>
    <w:qFormat/>
    <w:pPr>
      <w:spacing w:after="180"/>
    </w:p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val="nl-NL" w:eastAsia="nl-NL"/>
    </w:rPr>
  </w:style>
  <w:style w:type="paragraph" w:customStyle="1" w:styleId="IPPPargraphnumbering">
    <w:name w:val="IPP Pargraph numbering"/>
    <w:basedOn w:val="IPPNormal"/>
    <w:qFormat/>
    <w:pPr>
      <w:tabs>
        <w:tab w:val="num" w:pos="0"/>
      </w:tabs>
      <w:ind w:hanging="482"/>
    </w:pPr>
    <w:rPr>
      <w:lang w:val="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qFormat/>
    <w:rPr>
      <w:sz w:val="20"/>
      <w:szCs w:val="20"/>
      <w:lang w:val="x-none"/>
    </w:rPr>
  </w:style>
  <w:style w:type="character" w:customStyle="1" w:styleId="CommentTextChar">
    <w:name w:val="Comment Text Char"/>
    <w:link w:val="CommentText"/>
    <w:uiPriority w:val="99"/>
    <w:qFormat/>
    <w:rPr>
      <w:rFonts w:eastAsia="MS Mincho"/>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MS Mincho"/>
      <w:b/>
      <w:bCs/>
      <w:lang w:eastAsia="en-US"/>
    </w:rPr>
  </w:style>
  <w:style w:type="character" w:customStyle="1" w:styleId="IPPNormalChar">
    <w:name w:val="IPP Normal Char"/>
    <w:link w:val="IPPNormal"/>
    <w:rPr>
      <w:rFonts w:eastAsia="Times"/>
      <w:sz w:val="22"/>
      <w:szCs w:val="24"/>
      <w:lang w:eastAsia="en-US"/>
    </w:rPr>
  </w:style>
  <w:style w:type="paragraph" w:styleId="NormalWeb">
    <w:name w:val="Normal (Web)"/>
    <w:basedOn w:val="Normal"/>
    <w:uiPriority w:val="99"/>
    <w:unhideWhenUsed/>
    <w:pPr>
      <w:spacing w:before="100" w:beforeAutospacing="1" w:after="100" w:afterAutospacing="1"/>
      <w:jc w:val="left"/>
    </w:pPr>
    <w:rPr>
      <w:rFonts w:eastAsia="Times New Roman"/>
      <w:sz w:val="24"/>
      <w:lang w:val="en-US"/>
    </w:rPr>
  </w:style>
  <w:style w:type="paragraph" w:styleId="Revision">
    <w:name w:val="Revision"/>
    <w:hidden/>
    <w:uiPriority w:val="99"/>
    <w:semiHidden/>
    <w:rPr>
      <w:rFonts w:eastAsia="MS Mincho"/>
      <w:sz w:val="22"/>
      <w:szCs w:val="24"/>
      <w:lang w:eastAsia="en-US"/>
    </w:rPr>
  </w:style>
  <w:style w:type="paragraph" w:customStyle="1" w:styleId="footnotedescription">
    <w:name w:val="footnote description"/>
    <w:next w:val="Normal"/>
    <w:link w:val="footnotedescriptionChar"/>
    <w:hidden/>
    <w:pPr>
      <w:spacing w:line="276" w:lineRule="auto"/>
      <w:ind w:left="1"/>
    </w:pPr>
    <w:rPr>
      <w:rFonts w:eastAsia="Times New Roman"/>
      <w:color w:val="000000"/>
      <w:szCs w:val="22"/>
      <w:lang w:val="en-AU" w:eastAsia="en-AU"/>
    </w:rPr>
  </w:style>
  <w:style w:type="character" w:customStyle="1" w:styleId="footnotedescriptionChar">
    <w:name w:val="footnote description Char"/>
    <w:link w:val="footnotedescription"/>
    <w:rPr>
      <w:rFonts w:eastAsia="Times New Roman"/>
      <w:color w:val="000000"/>
      <w:szCs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0">
    <w:name w:val="TableGrid"/>
    <w:rPr>
      <w:rFonts w:ascii="Calibri" w:eastAsia="Times New Roman" w:hAnsi="Calibri"/>
      <w:sz w:val="22"/>
      <w:szCs w:val="22"/>
      <w:lang w:val="en-AU" w:eastAsia="en-AU"/>
    </w:rPr>
    <w:tblPr>
      <w:tblCellMar>
        <w:top w:w="0" w:type="dxa"/>
        <w:left w:w="0" w:type="dxa"/>
        <w:bottom w:w="0" w:type="dxa"/>
        <w:right w:w="0" w:type="dxa"/>
      </w:tblCellMar>
    </w:tblPr>
  </w:style>
  <w:style w:type="table" w:customStyle="1" w:styleId="TableGrid3">
    <w:name w:val="TableGrid3"/>
    <w:rPr>
      <w:rFonts w:ascii="Calibri" w:eastAsia="Times New Roman" w:hAnsi="Calibri"/>
      <w:sz w:val="22"/>
      <w:szCs w:val="22"/>
      <w:lang w:val="en-AU" w:eastAsia="en-AU"/>
    </w:rPr>
    <w:tblPr>
      <w:tblCellMar>
        <w:top w:w="0" w:type="dxa"/>
        <w:left w:w="0" w:type="dxa"/>
        <w:bottom w:w="0" w:type="dxa"/>
        <w:right w:w="0" w:type="dxa"/>
      </w:tblCellMar>
    </w:tblPr>
  </w:style>
  <w:style w:type="character" w:styleId="Hyperlink">
    <w:name w:val="Hyperlink"/>
    <w:basedOn w:val="DefaultParagraphFont"/>
    <w:unhideWhenUsed/>
    <w:rPr>
      <w:color w:val="0000FF"/>
      <w:u w:val="single"/>
    </w:rPr>
  </w:style>
  <w:style w:type="paragraph" w:customStyle="1" w:styleId="Default">
    <w:name w:val="Default"/>
    <w:pPr>
      <w:autoSpaceDE w:val="0"/>
      <w:autoSpaceDN w:val="0"/>
      <w:adjustRightInd w:val="0"/>
    </w:pPr>
    <w:rPr>
      <w:color w:val="000000"/>
      <w:sz w:val="24"/>
      <w:szCs w:val="24"/>
      <w:lang w:val="en-AU" w:eastAsia="en-AU"/>
    </w:rPr>
  </w:style>
  <w:style w:type="character" w:styleId="UnresolvedMention">
    <w:name w:val="Unresolved Mention"/>
    <w:uiPriority w:val="99"/>
    <w:semiHidden/>
    <w:unhideWhenUsed/>
    <w:rPr>
      <w:color w:val="605E5C"/>
      <w:shd w:val="clear" w:color="auto" w:fill="E1DFDD"/>
    </w:rPr>
  </w:style>
  <w:style w:type="character" w:styleId="FollowedHyperlink">
    <w:name w:val="FollowedHyperlink"/>
    <w:basedOn w:val="DefaultParagraphFont"/>
    <w:semiHidden/>
    <w:unhideWhenUsed/>
    <w:rPr>
      <w:color w:val="954F72" w:themeColor="followedHyperlink"/>
      <w:u w:val="single"/>
    </w:rPr>
  </w:style>
  <w:style w:type="character" w:styleId="PleaseReviewParagraphId">
    <w:name w:val="PleaseReviewParagraphId"/>
    <w:basedOn w:val="DefaultParagraphFont"/>
    <w:rPr>
      <w:rFonts w:ascii="Arial" w:hAnsi="Arial"/>
      <w:b w:val="off"/>
      <w:i w:val="off"/>
      <w:u w:val="off"/>
      <w:color w:val="000080"/>
      <w:sz w:val="16"/>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86284">
      <w:bodyDiv w:val="1"/>
      <w:marLeft w:val="0"/>
      <w:marRight w:val="0"/>
      <w:marTop w:val="0"/>
      <w:marBottom w:val="0"/>
      <w:divBdr>
        <w:top w:val="none" w:sz="0" w:space="0" w:color="auto"/>
        <w:left w:val="none" w:sz="0" w:space="0" w:color="auto"/>
        <w:bottom w:val="none" w:sz="0" w:space="0" w:color="auto"/>
        <w:right w:val="none" w:sz="0" w:space="0" w:color="auto"/>
      </w:divBdr>
    </w:div>
    <w:div w:id="769811779">
      <w:bodyDiv w:val="1"/>
      <w:marLeft w:val="0"/>
      <w:marRight w:val="0"/>
      <w:marTop w:val="0"/>
      <w:marBottom w:val="0"/>
      <w:divBdr>
        <w:top w:val="none" w:sz="0" w:space="0" w:color="auto"/>
        <w:left w:val="none" w:sz="0" w:space="0" w:color="auto"/>
        <w:bottom w:val="none" w:sz="0" w:space="0" w:color="auto"/>
        <w:right w:val="none" w:sz="0" w:space="0" w:color="auto"/>
      </w:divBdr>
    </w:div>
    <w:div w:id="1538470091">
      <w:bodyDiv w:val="1"/>
      <w:marLeft w:val="0"/>
      <w:marRight w:val="0"/>
      <w:marTop w:val="0"/>
      <w:marBottom w:val="0"/>
      <w:divBdr>
        <w:top w:val="none" w:sz="0" w:space="0" w:color="auto"/>
        <w:left w:val="none" w:sz="0" w:space="0" w:color="auto"/>
        <w:bottom w:val="none" w:sz="0" w:space="0" w:color="auto"/>
        <w:right w:val="none" w:sz="0" w:space="0" w:color="auto"/>
      </w:divBdr>
    </w:div>
    <w:div w:id="1796633991">
      <w:bodyDiv w:val="1"/>
      <w:marLeft w:val="0"/>
      <w:marRight w:val="0"/>
      <w:marTop w:val="0"/>
      <w:marBottom w:val="0"/>
      <w:divBdr>
        <w:top w:val="none" w:sz="0" w:space="0" w:color="auto"/>
        <w:left w:val="none" w:sz="0" w:space="0" w:color="auto"/>
        <w:bottom w:val="none" w:sz="0" w:space="0" w:color="auto"/>
        <w:right w:val="none" w:sz="0" w:space="0" w:color="auto"/>
      </w:divBdr>
    </w:div>
    <w:div w:id="1889872633">
      <w:bodyDiv w:val="1"/>
      <w:marLeft w:val="0"/>
      <w:marRight w:val="0"/>
      <w:marTop w:val="0"/>
      <w:marBottom w:val="0"/>
      <w:divBdr>
        <w:top w:val="none" w:sz="0" w:space="0" w:color="auto"/>
        <w:left w:val="none" w:sz="0" w:space="0" w:color="auto"/>
        <w:bottom w:val="none" w:sz="0" w:space="0" w:color="auto"/>
        <w:right w:val="none" w:sz="0" w:space="0" w:color="auto"/>
      </w:divBdr>
    </w:div>
    <w:div w:id="206178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oi.org/10.1007/BF02981228"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journals.flvc.org/flaent/article/view/88695"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ppc.int/core-activities/standards-setting/ispms"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&#65279;<?xml version="1.0" encoding="utf-8"?><Relationships xmlns="http://schemas.openxmlformats.org/package/2006/relationships"><Relationship Type="http://schemas.openxmlformats.org/officeDocument/2006/relationships/attachedTemplate" Target="file:///C:\Users\Torella\Downloads\IPPC_2024-06-17.dotx" TargetMode="Externa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6B90F8E-6591-43DE-AB07-20217EDA0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953A3-9F89-4412-A579-6CF11C9E80B0}">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3.xml><?xml version="1.0" encoding="utf-8"?>
<ds:datastoreItem xmlns:ds="http://schemas.openxmlformats.org/officeDocument/2006/customXml" ds:itemID="{1D3930A8-B5DD-4598-AC05-3B357567EA8A}">
  <ds:schemaRefs>
    <ds:schemaRef ds:uri="http://schemas.microsoft.com/sharepoint/v3/contenttype/forms"/>
  </ds:schemaRefs>
</ds:datastoreItem>
</file>

<file path=customXml/itemProps4.xml><?xml version="1.0" encoding="utf-8"?>
<ds:datastoreItem xmlns:ds="http://schemas.openxmlformats.org/officeDocument/2006/customXml" ds:itemID="{051D0288-340B-4970-9C1C-78BE57CC6A38}">
  <ds:schemaRefs>
    <ds:schemaRef ds:uri="http://schemas.openxmlformats.org/officeDocument/2006/bibliography"/>
  </ds:schemaRefs>
</ds:datastoreItem>
</file>

<file path=docMetadata/LabelInfo.xml><?xml version="1.0" encoding="utf-8"?>
<clbl:labelList xmlns:clbl="http://schemas.microsoft.com/office/2020/mipLabelMetadata">
  <clbl:label id="{a2f21493-a4d1-4b7f-ad07-819c824f5c4a}" enabled="0" method="" siteId="{a2f21493-a4d1-4b7f-ad07-819c824f5c4a}" removed="1"/>
</clbl:labelList>
</file>

<file path=docProps/app.xml><?xml version="1.0" encoding="utf-8"?>
<Properties xmlns="http://schemas.openxmlformats.org/officeDocument/2006/extended-properties" xmlns:vt="http://schemas.openxmlformats.org/officeDocument/2006/docPropsVTypes">
  <Template>IPPC_2024-06-17</Template>
  <TotalTime>0</TotalTime>
  <Pages>1</Pages>
  <Words>933</Words>
  <Characters>5323</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ANNOTATED TEMPLATE FOR DRAFTING PHYTOSANITARY TREATMENTS</vt:lpstr>
      <vt:lpstr>    Adoption</vt:lpstr>
      <vt:lpstr>    Title</vt:lpstr>
      <vt:lpstr>Draft ANNEX to ISPM 28: Cold treatment for Zeugodacus tau on Citrus sinensis (20</vt:lpstr>
      <vt:lpstr>    Scope of the treatment</vt:lpstr>
      <vt:lpstr>    Treatment description</vt:lpstr>
      <vt:lpstr>    Treatment schedule[s]</vt:lpstr>
      <vt:lpstr>    Other relevant information</vt:lpstr>
      <vt:lpstr>    References</vt:lpstr>
    </vt:vector>
  </TitlesOfParts>
  <Company>FAO of the UN</Company>
  <LinksUpToDate>false</LinksUpToDate>
  <CharactersWithSpaces>6244</CharactersWithSpaces>
  <SharedDoc>false</SharedDoc>
  <HLinks>
    <vt:vector size="18" baseType="variant">
      <vt:variant>
        <vt:i4>7667765</vt:i4>
      </vt:variant>
      <vt:variant>
        <vt:i4>6</vt:i4>
      </vt:variant>
      <vt:variant>
        <vt:i4>0</vt:i4>
      </vt:variant>
      <vt:variant>
        <vt:i4>5</vt:i4>
      </vt:variant>
      <vt:variant>
        <vt:lpwstr>https://doi.org/10.1007/BF02981228</vt:lpwstr>
      </vt:variant>
      <vt:variant>
        <vt:lpwstr/>
      </vt:variant>
      <vt:variant>
        <vt:i4>3014778</vt:i4>
      </vt:variant>
      <vt:variant>
        <vt:i4>3</vt:i4>
      </vt:variant>
      <vt:variant>
        <vt:i4>0</vt:i4>
      </vt:variant>
      <vt:variant>
        <vt:i4>5</vt:i4>
      </vt:variant>
      <vt:variant>
        <vt:lpwstr>https://journals.flvc.org/flaent/article/view/88695</vt:lpwstr>
      </vt:variant>
      <vt:variant>
        <vt:lpwstr/>
      </vt:variant>
      <vt:variant>
        <vt:i4>1507357</vt:i4>
      </vt:variant>
      <vt:variant>
        <vt:i4>0</vt:i4>
      </vt:variant>
      <vt:variant>
        <vt:i4>0</vt:i4>
      </vt:variant>
      <vt:variant>
        <vt:i4>5</vt:i4>
      </vt:variant>
      <vt:variant>
        <vt:lpwstr>https://www.ippc.int/core-activities/standards-setting/ispms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FAO</dc:creator>
  <cp:keywords/>
  <cp:lastModifiedBy>Prizm</cp:lastModifiedBy>
  <cp:revision>2</cp:revision>
  <cp:lastPrinted>2021-08-08T05:15:00Z</cp:lastPrinted>
  <dcterms:created xsi:type="dcterms:W3CDTF">2026-07-01T10:41:00Z</dcterms:created>
  <dcterms:modified xsi:type="dcterms:W3CDTF">2026-07-01T10:41:00Z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0x010100299519679B1A8B4091DBA33CE26F55F5</vt:lpwstr>
  </property>
  <property fmtid="{D5CDD505-2E9C-101B-9397-08002B2CF9AE}" pid="4" name="GrammarlyDocumentId">
    <vt:lpwstr>5f8c7f10afdec0779cb756e9cdee81036c1bcbb0aab020dd0b198d7015b4106f</vt:lpwstr>
  </property>
  <property fmtid="{D5CDD505-2E9C-101B-9397-08002B2CF9AE}" pid="5" name="docLang">
    <vt:lpwstr>en</vt:lpwstr>
  </property>
  <property fmtid="{D5CDD505-2E9C-101B-9397-08002B2CF9AE}" pid="6" name="MSIP_Label_23e3f3ef-5eea-4282-98cf-e701503737fe_Enabled">
    <vt:lpwstr>true</vt:lpwstr>
  </property>
  <property fmtid="{D5CDD505-2E9C-101B-9397-08002B2CF9AE}" pid="7" name="MSIP_Label_23e3f3ef-5eea-4282-98cf-e701503737fe_SetDate">
    <vt:lpwstr>2026-03-23T01:24:50Z</vt:lpwstr>
  </property>
  <property fmtid="{D5CDD505-2E9C-101B-9397-08002B2CF9AE}" pid="8" name="MSIP_Label_23e3f3ef-5eea-4282-98cf-e701503737fe_Method">
    <vt:lpwstr>Privileged</vt:lpwstr>
  </property>
  <property fmtid="{D5CDD505-2E9C-101B-9397-08002B2CF9AE}" pid="9" name="MSIP_Label_23e3f3ef-5eea-4282-98cf-e701503737fe_Name">
    <vt:lpwstr>UNCLASSIFIED - No marking</vt:lpwstr>
  </property>
  <property fmtid="{D5CDD505-2E9C-101B-9397-08002B2CF9AE}" pid="10" name="MSIP_Label_23e3f3ef-5eea-4282-98cf-e701503737fe_SiteId">
    <vt:lpwstr>c30d47c4-6369-4cf2-9dd6-79a0e0aa416d</vt:lpwstr>
  </property>
  <property fmtid="{D5CDD505-2E9C-101B-9397-08002B2CF9AE}" pid="11" name="MSIP_Label_23e3f3ef-5eea-4282-98cf-e701503737fe_ActionId">
    <vt:lpwstr>6a7b8b38-61a5-4e2c-9baa-794f17ea38dc</vt:lpwstr>
  </property>
  <property fmtid="{D5CDD505-2E9C-101B-9397-08002B2CF9AE}" pid="12" name="MSIP_Label_23e3f3ef-5eea-4282-98cf-e701503737fe_ContentBits">
    <vt:lpwstr>0</vt:lpwstr>
  </property>
  <property fmtid="{D5CDD505-2E9C-101B-9397-08002B2CF9AE}" pid="13" name="MSIP_Label_23e3f3ef-5eea-4282-98cf-e701503737fe_Tag">
    <vt:lpwstr>10, 0, 1, 1</vt:lpwstr>
  </property>
</Properties>
</file>