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Consultation-2018-001- Draft annex to ISPM 28: Irradiation treatment for Liriomyza huidobrensis, Liriomyza sativae and Liri. Document title: 2018-001_DraftPT_Ir_LiriomyzaSpp_es.docx]</w:t>
      </w:r>
    </w:p>
    <w:p w14:paraId="207033AB" w14:textId="628EF689">
      <w:pPr>
        <w:pStyle w:val="IPPHeadSection"/>
        <w:tabs>
          <w:tab w:val="clear" w:pos="851"/>
          <w:tab w:val="left" w:pos="0"/>
        </w:tabs>
        <w:ind w:left="0" w:firstLine="0"/>
        <w:jc w:val="left"/>
        <w:rPr>
          <w:rFonts w:cstheme="minorBidi"/>
          <w:caps w:val="0"/>
          <w:lang w:val="es-ES_tradnl"/>
        </w:rPr>
      </w:pPr>
      <w:r>
        <w:rPr>
          <w:rStyle w:val="PleaseReviewParagraphId"/>
          <w:b w:val="off"/>
          <w:i w:val="off"/>
        </w:rPr>
        <w:t>[1]</w:t>
      </w:r>
      <w:bookmarkStart w:name="_Toc121913536" w:id="0"/>
      <w:r>
        <w:rPr>
          <w:lang w:val="es-ES_tradnl"/>
        </w:rPr>
        <w:t xml:space="preserve">Proyecto de ANEXO de la NIMF 28: </w:t>
      </w:r>
      <w:r>
        <w:rPr>
          <w:caps w:val="0"/>
          <w:lang w:val="es-ES_tradnl"/>
        </w:rPr>
        <w:t xml:space="preserve">Tratamiento de irradiación contra </w:t>
      </w:r>
      <w:r>
        <w:rPr>
          <w:i/>
          <w:caps w:val="0"/>
          <w:lang w:val="es-ES_tradnl"/>
        </w:rPr>
        <w:t>Liriomyza huidobrensis</w:t>
      </w:r>
      <w:r>
        <w:rPr>
          <w:caps w:val="0"/>
          <w:lang w:val="es-ES_tradnl"/>
        </w:rPr>
        <w:t xml:space="preserve">, </w:t>
      </w:r>
      <w:r>
        <w:rPr>
          <w:i/>
          <w:caps w:val="0"/>
          <w:lang w:val="es-ES_tradnl"/>
        </w:rPr>
        <w:t>Liriomyza sativae</w:t>
      </w:r>
      <w:r>
        <w:rPr>
          <w:caps w:val="0"/>
          <w:lang w:val="es-ES_tradnl"/>
        </w:rPr>
        <w:t xml:space="preserve"> y </w:t>
      </w:r>
      <w:r>
        <w:rPr>
          <w:i/>
          <w:caps w:val="0"/>
          <w:lang w:val="es-ES_tradnl"/>
        </w:rPr>
        <w:t xml:space="preserve">Liriomyza trifolii </w:t>
      </w:r>
    </w:p>
    <w:tbl>
      <w:tblPr>
        <w:tblW w:w="8475" w:type="dxa"/>
        <w:tblCellSpacing w:w="0" w:type="dxa"/>
        <w:tblBorders>
          <w:top w:val="outset" w:color="auto" w:sz="6" w:space="0"/>
          <w:left w:val="outset" w:color="auto" w:sz="6" w:space="0"/>
          <w:bottom w:val="outset" w:color="auto" w:sz="6" w:space="0"/>
          <w:right w:val="outset" w:color="auto" w:sz="6" w:space="0"/>
        </w:tblBorders>
        <w:tblCellMar>
          <w:top w:w="105" w:type="dxa"/>
          <w:left w:w="105" w:type="dxa"/>
          <w:bottom w:w="105" w:type="dxa"/>
          <w:right w:w="105" w:type="dxa"/>
        </w:tblCellMar>
        <w:tblLook w:val="00A0" w:firstRow="1" w:lastRow="0" w:firstColumn="1" w:lastColumn="0" w:noHBand="0" w:noVBand="0"/>
      </w:tblPr>
      <w:tblGrid>
        <w:gridCol w:w="2424"/>
        <w:gridCol w:w="6051"/>
      </w:tblGrid>
      <w:tr w14:paraId="048E00D5"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0B7AE41E" w14:textId="77777777">
            <w:pPr>
              <w:pStyle w:val="IPPArialTable"/>
              <w:rPr>
                <w:b/>
                <w:lang w:val="es-ES_tradnl"/>
              </w:rPr>
            </w:pPr>
            <w:r>
              <w:rPr>
                <w:rStyle w:val="PleaseReviewParagraphId"/>
                <w:b w:val="off"/>
                <w:i w:val="off"/>
              </w:rPr>
              <w:t>[2]</w:t>
            </w:r>
            <w:r>
              <w:rPr>
                <w:b/>
                <w:lang w:val="es-ES_tradnl"/>
              </w:rPr>
              <w:t>Estado de la elaboración</w:t>
            </w:r>
          </w:p>
        </w:tc>
      </w:tr>
      <w:tr w14:paraId="0551D258"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56C2AC1E" w14:textId="77777777">
            <w:pPr>
              <w:pStyle w:val="IPPArialTable"/>
              <w:rPr>
                <w:lang w:val="es-ES_tradnl"/>
              </w:rPr>
            </w:pPr>
            <w:r>
              <w:rPr>
                <w:rStyle w:val="PleaseReviewParagraphId"/>
                <w:b w:val="off"/>
                <w:i w:val="off"/>
              </w:rPr>
              <w:t>[3]</w:t>
            </w:r>
            <w:r>
              <w:rPr>
                <w:lang w:val="es-ES_tradnl"/>
              </w:rPr>
              <w:t>Esta no es una parte oficial de la norma; después de la aprobación de la norma, esta parte será modificada por la Secretaría de la CIPF.</w:t>
            </w:r>
          </w:p>
        </w:tc>
      </w:tr>
      <w:tr w14:paraId="293704CE"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2EFF2C79" w14:textId="77777777">
            <w:pPr>
              <w:pStyle w:val="IPPArialTable"/>
              <w:rPr>
                <w:b/>
                <w:lang w:val="es-ES_tradnl"/>
              </w:rPr>
            </w:pPr>
            <w:r>
              <w:rPr>
                <w:rStyle w:val="PleaseReviewParagraphId"/>
                <w:b w:val="off"/>
                <w:i w:val="off"/>
              </w:rPr>
              <w:t>[4]</w:t>
            </w:r>
            <w:r>
              <w:rPr>
                <w:b/>
                <w:lang w:val="es-ES_tradnl"/>
              </w:rPr>
              <w:t>Fecha de este documento</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0E59E1C5" w14:textId="77777777">
            <w:pPr>
              <w:pStyle w:val="IPPArialTable"/>
              <w:rPr>
                <w:lang w:val="es-ES_tradnl"/>
              </w:rPr>
            </w:pPr>
            <w:r>
              <w:rPr>
                <w:rStyle w:val="PleaseReviewParagraphId"/>
                <w:b w:val="off"/>
                <w:i w:val="off"/>
              </w:rPr>
              <w:t>[5]</w:t>
            </w:r>
            <w:r>
              <w:rPr>
                <w:lang w:val="es-ES_tradnl"/>
              </w:rPr>
              <w:t>2026-05-04</w:t>
            </w:r>
          </w:p>
        </w:tc>
      </w:tr>
      <w:tr w14:paraId="6D4359C2"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3EC01C31" w14:textId="77777777">
            <w:pPr>
              <w:pStyle w:val="IPPArialTable"/>
              <w:rPr>
                <w:b/>
                <w:lang w:val="es-ES_tradnl"/>
              </w:rPr>
            </w:pPr>
            <w:r>
              <w:rPr>
                <w:rStyle w:val="PleaseReviewParagraphId"/>
                <w:b w:val="off"/>
                <w:i w:val="off"/>
              </w:rPr>
              <w:t>[6]</w:t>
            </w:r>
            <w:r>
              <w:rPr>
                <w:b/>
                <w:lang w:val="es-ES_tradnl"/>
              </w:rPr>
              <w:t>Categoría del documento</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6B0656F8" w14:textId="77777777">
            <w:pPr>
              <w:pStyle w:val="IPPArialTable"/>
              <w:rPr>
                <w:lang w:val="es-ES_tradnl"/>
              </w:rPr>
            </w:pPr>
            <w:r>
              <w:rPr>
                <w:rStyle w:val="PleaseReviewParagraphId"/>
                <w:b w:val="off"/>
                <w:i w:val="off"/>
              </w:rPr>
              <w:t>[7]</w:t>
            </w:r>
            <w:r>
              <w:rPr>
                <w:lang w:val="es-ES_tradnl"/>
              </w:rPr>
              <w:t>Proyecto de anexo de la NIMF 28</w:t>
            </w:r>
          </w:p>
        </w:tc>
      </w:tr>
      <w:tr w14:paraId="17122783"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4BD75672" w14:textId="77777777">
            <w:pPr>
              <w:pStyle w:val="IPPArialTable"/>
              <w:rPr>
                <w:b/>
                <w:lang w:val="es-ES_tradnl"/>
              </w:rPr>
            </w:pPr>
            <w:r>
              <w:rPr>
                <w:rStyle w:val="PleaseReviewParagraphId"/>
                <w:b w:val="off"/>
                <w:i w:val="off"/>
              </w:rPr>
              <w:t>[8]</w:t>
            </w:r>
            <w:r>
              <w:rPr>
                <w:b/>
                <w:lang w:val="es-ES_tradnl"/>
              </w:rPr>
              <w:t>Etapa actual del documento</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1F1C2DB4" w14:textId="77777777">
            <w:pPr>
              <w:pStyle w:val="IPPArialTable"/>
              <w:rPr>
                <w:highlight w:val="yellow"/>
                <w:lang w:val="es-ES_tradnl"/>
              </w:rPr>
            </w:pPr>
            <w:r>
              <w:rPr>
                <w:rStyle w:val="PleaseReviewParagraphId"/>
                <w:b w:val="off"/>
                <w:i w:val="off"/>
              </w:rPr>
              <w:t>[9]</w:t>
            </w:r>
            <w:r>
              <w:rPr>
                <w:i/>
                <w:iCs/>
                <w:lang w:val="es-ES_tradnl"/>
              </w:rPr>
              <w:t>Remitido</w:t>
            </w:r>
            <w:r>
              <w:rPr>
                <w:lang w:val="es-ES_tradnl"/>
              </w:rPr>
              <w:t xml:space="preserve"> al Comité de Normas (CN) para que lo apruebe a efectos de la consulta</w:t>
            </w:r>
          </w:p>
        </w:tc>
      </w:tr>
      <w:tr w14:paraId="741F25E3"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2E828D41" w14:textId="77777777">
            <w:pPr>
              <w:pStyle w:val="IPPArialTable"/>
              <w:rPr>
                <w:b/>
                <w:lang w:val="es-ES_tradnl"/>
              </w:rPr>
            </w:pPr>
            <w:r>
              <w:rPr>
                <w:rStyle w:val="PleaseReviewParagraphId"/>
                <w:b w:val="off"/>
                <w:i w:val="off"/>
              </w:rPr>
              <w:t>[10]</w:t>
            </w:r>
            <w:r>
              <w:rPr>
                <w:b/>
                <w:lang w:val="es-ES_tradnl"/>
              </w:rPr>
              <w:t>Etapas principales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6171C716" w14:textId="77777777">
            <w:pPr>
              <w:pStyle w:val="IPPArialTable"/>
              <w:rPr>
                <w:lang w:val="es-ES_tradnl"/>
              </w:rPr>
            </w:pPr>
            <w:r>
              <w:rPr>
                <w:rStyle w:val="PleaseReviewParagraphId"/>
                <w:b w:val="off"/>
                <w:i w:val="off"/>
              </w:rPr>
              <w:t>[11]</w:t>
            </w:r>
            <w:r>
              <w:rPr>
                <w:lang w:val="es-ES_tradnl"/>
              </w:rPr>
              <w:t>2018-02: El tratamiento se presentó en respuesta a la solicitud de tratamientos de 2017-07.</w:t>
            </w:r>
          </w:p>
          <w:p w14:paraId="64EF73FA" w14:textId="77777777">
            <w:pPr>
              <w:pStyle w:val="IPPArialTable"/>
              <w:rPr>
                <w:lang w:val="es-ES_tradnl"/>
              </w:rPr>
            </w:pPr>
            <w:r>
              <w:rPr>
                <w:rStyle w:val="PleaseReviewParagraphId"/>
                <w:b w:val="off"/>
                <w:i w:val="off"/>
              </w:rPr>
              <w:t>[12]</w:t>
            </w:r>
            <w:r>
              <w:rPr>
                <w:lang w:val="es-ES_tradnl"/>
              </w:rPr>
              <w:t>2018-03: El Grupo técnico sobre tratamientos fitosanitarios (GTTF) examinó la propuesta y solicitó información adicional.</w:t>
            </w:r>
          </w:p>
          <w:p w14:paraId="5141279E" w14:textId="3D05B41D">
            <w:pPr>
              <w:pStyle w:val="IPPArialTable"/>
              <w:rPr>
                <w:rFonts w:eastAsia="MS Mincho" w:cs="Arial"/>
                <w:szCs w:val="18"/>
                <w:lang w:val="es-ES_tradnl"/>
              </w:rPr>
            </w:pPr>
            <w:r>
              <w:rPr>
                <w:rStyle w:val="PleaseReviewParagraphId"/>
                <w:b w:val="off"/>
                <w:i w:val="off"/>
              </w:rPr>
              <w:t>[13]</w:t>
            </w:r>
            <w:r>
              <w:rPr>
                <w:lang w:val="es-ES_tradnl"/>
              </w:rPr>
              <w:t xml:space="preserve">2018-05: El CN añadió el tema </w:t>
            </w:r>
            <w:r>
              <w:rPr>
                <w:i/>
                <w:lang w:val="es-ES_tradnl"/>
              </w:rPr>
              <w:t xml:space="preserve">Tratamiento de irradiación fitosanitaria de productos frescos contra </w:t>
            </w:r>
            <w:r>
              <w:rPr>
                <w:lang w:val="es-ES_tradnl"/>
              </w:rPr>
              <w:t>Liriomyza sativae</w:t>
            </w:r>
            <w:r>
              <w:rPr>
                <w:i/>
                <w:lang w:val="es-ES_tradnl"/>
              </w:rPr>
              <w:t xml:space="preserve">, </w:t>
            </w:r>
            <w:r>
              <w:rPr>
                <w:lang w:val="es-ES_tradnl"/>
              </w:rPr>
              <w:t>Liriomyza trifolii</w:t>
            </w:r>
            <w:r>
              <w:rPr>
                <w:i/>
                <w:lang w:val="es-ES_tradnl"/>
              </w:rPr>
              <w:t xml:space="preserve"> y </w:t>
            </w:r>
            <w:r>
              <w:rPr>
                <w:lang w:val="es-ES_tradnl"/>
              </w:rPr>
              <w:t>Liriomyza huidobrensis</w:t>
            </w:r>
            <w:r>
              <w:rPr>
                <w:i/>
                <w:lang w:val="es-ES_tradnl"/>
              </w:rPr>
              <w:t xml:space="preserve"> </w:t>
            </w:r>
            <w:r>
              <w:rPr>
                <w:lang w:val="es-ES_tradnl"/>
              </w:rPr>
              <w:t>(2018-001)</w:t>
            </w:r>
            <w:r>
              <w:rPr>
                <w:rFonts w:ascii="Times New Roman" w:hAnsi="Times New Roman"/>
                <w:b/>
                <w:sz w:val="22"/>
                <w:lang w:val="es-ES_tradnl"/>
              </w:rPr>
              <w:t xml:space="preserve"> </w:t>
            </w:r>
            <w:r>
              <w:rPr>
                <w:lang w:val="es-ES_tradnl"/>
              </w:rPr>
              <w:t>al programa de trabajo del GTTF con prioridad 2.</w:t>
            </w:r>
          </w:p>
          <w:p w14:paraId="4B99C485" w14:textId="77777777">
            <w:pPr>
              <w:pStyle w:val="IPPArialTable"/>
              <w:rPr>
                <w:rFonts w:eastAsia="MS Mincho" w:cs="Arial"/>
                <w:szCs w:val="18"/>
                <w:lang w:val="es-ES_tradnl"/>
              </w:rPr>
            </w:pPr>
            <w:r>
              <w:rPr>
                <w:rStyle w:val="PleaseReviewParagraphId"/>
                <w:b w:val="off"/>
                <w:i w:val="off"/>
              </w:rPr>
              <w:t>[14]</w:t>
            </w:r>
            <w:r>
              <w:rPr>
                <w:lang w:val="es-ES_tradnl"/>
              </w:rPr>
              <w:t>2018-11: El CN examinó la inclusión del tratamiento (2018-001) en el programa de trabajo del GTTF y acordó mantenerlo hasta su próxima reunión.</w:t>
            </w:r>
          </w:p>
          <w:p w14:paraId="65150046" w14:textId="77777777">
            <w:pPr>
              <w:pStyle w:val="IPPArialTable"/>
              <w:rPr>
                <w:rFonts w:cs="Arial"/>
                <w:szCs w:val="18"/>
                <w:lang w:val="es-ES_tradnl"/>
              </w:rPr>
            </w:pPr>
            <w:r>
              <w:rPr>
                <w:rStyle w:val="PleaseReviewParagraphId"/>
                <w:b w:val="off"/>
                <w:i w:val="off"/>
              </w:rPr>
              <w:t>[15]</w:t>
            </w:r>
            <w:r>
              <w:rPr>
                <w:lang w:val="es-ES_tradnl"/>
              </w:rPr>
              <w:t>2019-05: El CN acordó</w:t>
            </w:r>
            <w:r>
              <w:rPr>
                <w:i/>
                <w:lang w:val="es-ES_tradnl"/>
              </w:rPr>
              <w:t xml:space="preserve"> </w:t>
            </w:r>
            <w:r>
              <w:rPr>
                <w:lang w:val="es-ES_tradnl"/>
              </w:rPr>
              <w:t>mantener el tratamiento (2018-001) en el programa de trabajo del GTTF y aplazar la adopción de una nueva decisión hasta que se dispusiera de más información.</w:t>
            </w:r>
          </w:p>
          <w:p w14:paraId="71B87516" w14:textId="77777777">
            <w:pPr>
              <w:pStyle w:val="IPPArialTable"/>
              <w:rPr>
                <w:rFonts w:eastAsia="MS Mincho" w:cs="Arial"/>
                <w:szCs w:val="18"/>
                <w:lang w:val="es-ES_tradnl"/>
              </w:rPr>
            </w:pPr>
            <w:r>
              <w:rPr>
                <w:rStyle w:val="PleaseReviewParagraphId"/>
                <w:b w:val="off"/>
                <w:i w:val="off"/>
              </w:rPr>
              <w:t>[16]</w:t>
            </w:r>
            <w:r>
              <w:rPr>
                <w:lang w:val="es-ES_tradnl"/>
              </w:rPr>
              <w:t>2024-06: El GTTF examinó el tratamiento sobre la base de los datos extraídos del documento de referencia.</w:t>
            </w:r>
          </w:p>
          <w:p w14:paraId="4C70D044" w14:textId="77777777">
            <w:pPr>
              <w:pStyle w:val="IPPArialTable"/>
              <w:rPr>
                <w:rFonts w:eastAsia="MS Mincho" w:cs="Arial"/>
                <w:szCs w:val="18"/>
                <w:lang w:val="es-ES_tradnl"/>
              </w:rPr>
            </w:pPr>
            <w:r>
              <w:rPr>
                <w:rStyle w:val="PleaseReviewParagraphId"/>
                <w:b w:val="off"/>
                <w:i w:val="off"/>
              </w:rPr>
              <w:t>[17]</w:t>
            </w:r>
            <w:r>
              <w:rPr>
                <w:lang w:val="es-ES_tradnl"/>
              </w:rPr>
              <w:t>2025-02: El proponente facilitó información adicional.</w:t>
            </w:r>
          </w:p>
          <w:p w14:paraId="1EF2A389" w14:textId="77777777">
            <w:pPr>
              <w:pStyle w:val="IPPArialTable"/>
              <w:rPr>
                <w:rFonts w:eastAsiaTheme="minorEastAsia"/>
                <w:lang w:val="es-ES_tradnl"/>
              </w:rPr>
            </w:pPr>
            <w:r>
              <w:rPr>
                <w:rStyle w:val="PleaseReviewParagraphId"/>
                <w:b w:val="off"/>
                <w:i w:val="off"/>
              </w:rPr>
              <w:t>[18]</w:t>
            </w:r>
            <w:r>
              <w:rPr>
                <w:lang w:val="es-ES_tradnl"/>
              </w:rPr>
              <w:t>2025-06: El GTTF revisó el tratamiento y recomendó al CN que lo aprobara para la primera consulta.</w:t>
            </w:r>
          </w:p>
          <w:p w14:paraId="5D7888A6" w14:textId="1EFA4DE3">
            <w:pPr>
              <w:pStyle w:val="IPPArialTable"/>
              <w:rPr>
                <w:rFonts w:eastAsiaTheme="minorEastAsia"/>
                <w:lang w:val="es-ES_tradnl"/>
              </w:rPr>
            </w:pPr>
            <w:r>
              <w:rPr>
                <w:rStyle w:val="PleaseReviewParagraphId"/>
                <w:b w:val="off"/>
                <w:i w:val="off"/>
              </w:rPr>
              <w:t>[19]</w:t>
            </w:r>
            <w:r>
              <w:rPr>
                <w:lang w:val="es-ES_tradnl"/>
              </w:rPr>
              <w:t>2026-03: El GTTF perfeccionó el texto y reafirmó la decisión que había tomado en junio de 2025 de recomendar al CN que lo aprobara para someterlo a la primera consulta.</w:t>
            </w:r>
          </w:p>
        </w:tc>
      </w:tr>
      <w:tr w14:paraId="72DC7875"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69FD70A5" w14:textId="77777777">
            <w:pPr>
              <w:pStyle w:val="IPPArialTable"/>
              <w:rPr>
                <w:b/>
                <w:lang w:val="es-ES_tradnl"/>
              </w:rPr>
            </w:pPr>
            <w:r>
              <w:rPr>
                <w:rStyle w:val="PleaseReviewParagraphId"/>
                <w:b w:val="off"/>
                <w:i w:val="off"/>
              </w:rPr>
              <w:t>[20]</w:t>
            </w:r>
            <w:r>
              <w:rPr>
                <w:b/>
                <w:lang w:val="es-ES_tradnl"/>
              </w:rPr>
              <w:t>Administradora principal</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3AD75B75" w14:textId="77777777">
            <w:pPr>
              <w:pStyle w:val="IPPArialTable"/>
              <w:rPr>
                <w:lang w:val="es-ES_tradnl"/>
              </w:rPr>
            </w:pPr>
            <w:r>
              <w:rPr>
                <w:rStyle w:val="PleaseReviewParagraphId"/>
                <w:b w:val="off"/>
                <w:i w:val="off"/>
              </w:rPr>
              <w:t>[21]</w:t>
            </w:r>
            <w:r>
              <w:rPr>
                <w:lang w:val="es-ES_tradnl"/>
              </w:rPr>
              <w:t>2024-06: Vanessa SIMOES DIAS DE CASTRO (OIEA)</w:t>
            </w:r>
          </w:p>
        </w:tc>
      </w:tr>
      <w:tr w14:paraId="12DD957D"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0F06225C" w14:textId="77777777">
            <w:pPr>
              <w:pStyle w:val="IPPArialTable"/>
              <w:rPr>
                <w:b/>
                <w:lang w:val="es-ES_tradnl"/>
              </w:rPr>
            </w:pPr>
            <w:r>
              <w:rPr>
                <w:rStyle w:val="PleaseReviewParagraphId"/>
                <w:b w:val="off"/>
                <w:i w:val="off"/>
              </w:rPr>
              <w:t>[22]</w:t>
            </w:r>
            <w:r>
              <w:rPr>
                <w:b/>
                <w:lang w:val="es-ES_tradnl"/>
              </w:rPr>
              <w:t>Notas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7960CEA7" w14:textId="77777777">
            <w:pPr>
              <w:pStyle w:val="IPPArialTable"/>
              <w:rPr>
                <w:rFonts w:eastAsia="MS Mincho" w:cs="Arial"/>
                <w:szCs w:val="18"/>
                <w:lang w:val="es-ES_tradnl"/>
              </w:rPr>
            </w:pPr>
            <w:r>
              <w:rPr>
                <w:rStyle w:val="PleaseReviewParagraphId"/>
                <w:b w:val="off"/>
                <w:i w:val="off"/>
              </w:rPr>
              <w:t>[23]</w:t>
            </w:r>
            <w:r>
              <w:rPr>
                <w:lang w:val="es-ES_tradnl"/>
              </w:rPr>
              <w:t xml:space="preserve">2025-06: El GTTF cambió el título a “Tratamiento de irradiación contra </w:t>
            </w:r>
            <w:r>
              <w:rPr>
                <w:i/>
                <w:lang w:val="es-ES_tradnl"/>
              </w:rPr>
              <w:t>Liriomyza huidobrensis</w:t>
            </w:r>
            <w:r>
              <w:rPr>
                <w:lang w:val="es-ES_tradnl"/>
              </w:rPr>
              <w:t>,</w:t>
            </w:r>
            <w:r>
              <w:rPr>
                <w:i/>
                <w:lang w:val="es-ES_tradnl"/>
              </w:rPr>
              <w:t xml:space="preserve"> Liriomyza sativae </w:t>
            </w:r>
            <w:r>
              <w:rPr>
                <w:lang w:val="es-ES_tradnl"/>
              </w:rPr>
              <w:t xml:space="preserve">y </w:t>
            </w:r>
            <w:r>
              <w:rPr>
                <w:i/>
                <w:lang w:val="es-ES_tradnl"/>
              </w:rPr>
              <w:t>Liriomyza trifolii</w:t>
            </w:r>
            <w:r>
              <w:rPr>
                <w:lang w:val="es-ES_tradnl"/>
              </w:rPr>
              <w:t>” (2018-001)</w:t>
            </w:r>
          </w:p>
          <w:p w14:paraId="11E4D575" w14:textId="77777777">
            <w:pPr>
              <w:pStyle w:val="IPPArialTable"/>
              <w:rPr>
                <w:i/>
                <w:iCs/>
                <w:lang w:val="es-ES_tradnl"/>
              </w:rPr>
            </w:pPr>
            <w:r>
              <w:rPr>
                <w:rStyle w:val="PleaseReviewParagraphId"/>
                <w:b w:val="off"/>
                <w:i w:val="off"/>
              </w:rPr>
              <w:t>[24]</w:t>
            </w:r>
            <w:r>
              <w:rPr>
                <w:lang w:val="es-ES_tradnl"/>
              </w:rPr>
              <w:t xml:space="preserve">2026-05: Editado </w:t>
            </w:r>
          </w:p>
        </w:tc>
      </w:tr>
    </w:tbl>
    <w:p w14:paraId="59BCA7C9" w14:textId="77777777">
      <w:pPr>
        <w:pStyle w:val="IPPHeading1"/>
        <w:ind w:left="0" w:firstLine="0"/>
        <w:rPr>
          <w:lang w:val="es-ES_tradnl"/>
        </w:rPr>
      </w:pPr>
      <w:r>
        <w:rPr>
          <w:rStyle w:val="PleaseReviewParagraphId"/>
          <w:b w:val="off"/>
          <w:i w:val="off"/>
        </w:rPr>
        <w:t>[25]</w:t>
      </w:r>
      <w:r>
        <w:rPr>
          <w:lang w:val="es-ES_tradnl"/>
        </w:rPr>
        <w:t>Ámbito del tratamiento</w:t>
      </w:r>
    </w:p>
    <w:p w14:paraId="357DBFE2" w14:textId="77777777">
      <w:pPr>
        <w:pStyle w:val="IPPParagraphnumbering"/>
        <w:numPr>
          <w:ilvl w:val="0"/>
          <w:numId w:val="0"/>
        </w:numPr>
        <w:rPr>
          <w:lang w:val="es-ES_tradnl"/>
        </w:rPr>
      </w:pPr>
      <w:r>
        <w:rPr>
          <w:rStyle w:val="PleaseReviewParagraphId"/>
          <w:b w:val="off"/>
          <w:i w:val="off"/>
        </w:rPr>
        <w:t>[26]</w:t>
      </w:r>
      <w:r>
        <w:rPr>
          <w:lang w:val="es-ES_tradnl"/>
        </w:rPr>
        <w:t xml:space="preserve">Este tratamiento describe la irradiación de hortalizas y plantas ornamentales con una dosis mínima absorbida de 176 Gy para prevenir el desarrollo en la generación </w:t>
      </w:r>
      <w:bookmarkStart w:name="_Hlk199954629" w:id="1"/>
      <w:r>
        <w:rPr>
          <w:lang w:val="es-ES_tradnl"/>
        </w:rPr>
        <w:t>F</w:t>
      </w:r>
      <w:r>
        <w:rPr>
          <w:vertAlign w:val="subscript"/>
          <w:lang w:val="es-ES_tradnl"/>
        </w:rPr>
        <w:t>1</w:t>
      </w:r>
      <w:r>
        <w:rPr>
          <w:lang w:val="es-ES_tradnl"/>
        </w:rPr>
        <w:t xml:space="preserve"> de larvas viables de </w:t>
      </w:r>
      <w:r>
        <w:rPr>
          <w:i/>
          <w:lang w:val="es-ES_tradnl"/>
        </w:rPr>
        <w:t>Liriomyza huidobrensis</w:t>
      </w:r>
      <w:r>
        <w:rPr>
          <w:lang w:val="es-ES_tradnl"/>
        </w:rPr>
        <w:t xml:space="preserve"> y</w:t>
      </w:r>
      <w:r>
        <w:rPr>
          <w:i/>
          <w:lang w:val="es-ES_tradnl"/>
        </w:rPr>
        <w:t xml:space="preserve"> Liriomyza sativae</w:t>
      </w:r>
      <w:r>
        <w:rPr>
          <w:lang w:val="es-ES_tradnl"/>
        </w:rPr>
        <w:t>, y con una dosis mínima absorbida de</w:t>
      </w:r>
      <w:r>
        <w:rPr>
          <w:i/>
          <w:lang w:val="es-ES_tradnl"/>
        </w:rPr>
        <w:t xml:space="preserve"> </w:t>
      </w:r>
      <w:r>
        <w:rPr>
          <w:lang w:val="es-ES_tradnl"/>
        </w:rPr>
        <w:t xml:space="preserve">166 Gy en el caso de </w:t>
      </w:r>
      <w:r>
        <w:rPr>
          <w:i/>
          <w:lang w:val="es-ES_tradnl"/>
        </w:rPr>
        <w:t>Liriomyza trifolii</w:t>
      </w:r>
      <w:r>
        <w:rPr>
          <w:lang w:val="es-ES_tradnl"/>
        </w:rPr>
        <w:t>,</w:t>
      </w:r>
      <w:r>
        <w:rPr>
          <w:i/>
          <w:lang w:val="es-ES_tradnl"/>
        </w:rPr>
        <w:t xml:space="preserve"> </w:t>
      </w:r>
      <w:bookmarkEnd w:id="1"/>
      <w:r>
        <w:rPr>
          <w:lang w:val="es-ES_tradnl"/>
        </w:rPr>
        <w:t>con la eficacia establecida</w:t>
      </w:r>
      <w:r>
        <w:rPr>
          <w:rStyle w:val="FootnoteReference"/>
          <w:lang w:val="es-ES_tradnl"/>
        </w:rPr>
        <w:footnoteReference w:id="1"/>
      </w:r>
      <w:r>
        <w:rPr>
          <w:lang w:val="es-ES_tradnl"/>
        </w:rPr>
        <w:t>.</w:t>
      </w:r>
    </w:p>
    <w:p w14:paraId="3437103A" w14:textId="77777777">
      <w:pPr>
        <w:pStyle w:val="IPPHeading1"/>
        <w:rPr>
          <w:lang w:val="es-ES_tradnl"/>
        </w:rPr>
      </w:pPr>
      <w:r>
        <w:rPr>
          <w:rStyle w:val="PleaseReviewParagraphId"/>
          <w:b w:val="off"/>
          <w:i w:val="off"/>
        </w:rPr>
        <w:t>[28]</w:t>
      </w:r>
      <w:r>
        <w:rPr>
          <w:lang w:val="es-ES_tradnl"/>
        </w:rPr>
        <w:t>Descripción del tratamiento</w:t>
      </w:r>
    </w:p>
    <w:p w14:paraId="3F7653B7" w14:textId="77777777">
      <w:pPr>
        <w:pStyle w:val="IPPParagraphnumbering"/>
        <w:numPr>
          <w:ilvl w:val="0"/>
          <w:numId w:val="0"/>
        </w:numPr>
        <w:tabs>
          <w:tab w:val="left" w:pos="2552"/>
        </w:tabs>
        <w:rPr>
          <w:lang w:val="es-ES_tradnl"/>
        </w:rPr>
      </w:pPr>
      <w:r>
        <w:rPr>
          <w:rStyle w:val="PleaseReviewParagraphId"/>
          <w:b w:val="off"/>
          <w:i w:val="off"/>
        </w:rPr>
        <w:t>[29]</w:t>
      </w:r>
      <w:r>
        <w:rPr>
          <w:b/>
          <w:lang w:val="es-ES_tradnl"/>
        </w:rPr>
        <w:t>Nombre del tratamiento</w:t>
      </w:r>
      <w:r>
        <w:rPr>
          <w:lang w:val="es-ES_tradnl"/>
        </w:rPr>
        <w:tab/>
        <w:t xml:space="preserve">Tratamiento de irradiación contra </w:t>
      </w:r>
      <w:r>
        <w:rPr>
          <w:i/>
          <w:lang w:val="es-ES_tradnl"/>
        </w:rPr>
        <w:t>Liriomyza huidobrensis</w:t>
      </w:r>
      <w:r>
        <w:rPr>
          <w:lang w:val="es-ES_tradnl"/>
        </w:rPr>
        <w:t xml:space="preserve">, </w:t>
      </w:r>
      <w:r>
        <w:rPr>
          <w:i/>
          <w:lang w:val="es-ES_tradnl"/>
        </w:rPr>
        <w:t>Liriomyza sativae</w:t>
      </w:r>
      <w:r>
        <w:rPr>
          <w:lang w:val="es-ES_tradnl"/>
        </w:rPr>
        <w:t xml:space="preserve"> y </w:t>
      </w:r>
      <w:r>
        <w:rPr>
          <w:i/>
          <w:lang w:val="es-ES_tradnl"/>
        </w:rPr>
        <w:t>Liriomyza trifolii</w:t>
      </w:r>
    </w:p>
    <w:p w14:paraId="39767ABB" w14:textId="77777777">
      <w:pPr>
        <w:pStyle w:val="IPPParagraphnumbering"/>
        <w:numPr>
          <w:ilvl w:val="0"/>
          <w:numId w:val="0"/>
        </w:numPr>
        <w:tabs>
          <w:tab w:val="left" w:pos="2552"/>
        </w:tabs>
        <w:rPr>
          <w:lang w:val="es-ES_tradnl"/>
        </w:rPr>
      </w:pPr>
      <w:r>
        <w:rPr>
          <w:rStyle w:val="PleaseReviewParagraphId"/>
          <w:b w:val="off"/>
          <w:i w:val="off"/>
        </w:rPr>
        <w:t>[30]</w:t>
      </w:r>
      <w:r>
        <w:rPr>
          <w:b/>
          <w:lang w:val="es-ES_tradnl"/>
        </w:rPr>
        <w:t>Ingrediente activo</w:t>
      </w:r>
      <w:r>
        <w:rPr>
          <w:lang w:val="es-ES_tradnl"/>
        </w:rPr>
        <w:tab/>
        <w:t>No aplicable</w:t>
      </w:r>
    </w:p>
    <w:p w14:paraId="114F3D51" w14:textId="77777777">
      <w:pPr>
        <w:pStyle w:val="IPPParagraphnumbering"/>
        <w:numPr>
          <w:ilvl w:val="0"/>
          <w:numId w:val="0"/>
        </w:numPr>
        <w:tabs>
          <w:tab w:val="left" w:pos="0"/>
          <w:tab w:val="left" w:pos="2552"/>
        </w:tabs>
        <w:rPr>
          <w:lang w:val="es-ES_tradnl"/>
        </w:rPr>
      </w:pPr>
      <w:r>
        <w:rPr>
          <w:rStyle w:val="PleaseReviewParagraphId"/>
          <w:b w:val="off"/>
          <w:i w:val="off"/>
        </w:rPr>
        <w:t>[31]</w:t>
      </w:r>
      <w:r>
        <w:rPr>
          <w:b/>
          <w:lang w:val="es-ES_tradnl"/>
        </w:rPr>
        <w:t>Tipo de tratamiento</w:t>
      </w:r>
      <w:r>
        <w:rPr>
          <w:lang w:val="es-ES_tradnl"/>
        </w:rPr>
        <w:tab/>
        <w:t>Irradiación</w:t>
      </w:r>
    </w:p>
    <w:p w14:paraId="27EFF6B0" w14:textId="77777777">
      <w:pPr>
        <w:pStyle w:val="IPPParagraphnumbering"/>
        <w:numPr>
          <w:ilvl w:val="0"/>
          <w:numId w:val="0"/>
        </w:numPr>
        <w:tabs>
          <w:tab w:val="left" w:pos="0"/>
          <w:tab w:val="left" w:pos="2552"/>
        </w:tabs>
        <w:jc w:val="left"/>
        <w:rPr>
          <w:lang w:val="es-ES_tradnl"/>
        </w:rPr>
      </w:pPr>
      <w:r>
        <w:rPr>
          <w:rStyle w:val="PleaseReviewParagraphId"/>
          <w:b w:val="off"/>
          <w:i w:val="off"/>
        </w:rPr>
        <w:t>[32]</w:t>
      </w:r>
      <w:r>
        <w:rPr>
          <w:b/>
          <w:lang w:val="es-ES_tradnl"/>
        </w:rPr>
        <w:t>Plagas objetivo</w:t>
      </w:r>
      <w:r>
        <w:rPr>
          <w:lang w:val="es-ES_tradnl"/>
        </w:rPr>
        <w:tab/>
      </w:r>
      <w:r>
        <w:rPr>
          <w:i/>
          <w:lang w:val="es-ES_tradnl"/>
        </w:rPr>
        <w:t xml:space="preserve">Liriomyza huidobrensis </w:t>
      </w:r>
      <w:r>
        <w:rPr>
          <w:lang w:val="es-ES_tradnl"/>
        </w:rPr>
        <w:t xml:space="preserve">(Blanchard, 1926), </w:t>
      </w:r>
      <w:r>
        <w:rPr>
          <w:i/>
          <w:lang w:val="es-ES_tradnl"/>
        </w:rPr>
        <w:t xml:space="preserve">Liriomyza sativae </w:t>
      </w:r>
      <w:r>
        <w:rPr>
          <w:lang w:val="es-ES_tradnl"/>
        </w:rPr>
        <w:t>(Blanchard, 1938) y</w:t>
      </w:r>
      <w:r>
        <w:rPr>
          <w:i/>
          <w:lang w:val="es-ES_tradnl"/>
        </w:rPr>
        <w:t xml:space="preserve"> Liriomyza trifolii </w:t>
      </w:r>
      <w:r>
        <w:rPr>
          <w:lang w:val="es-ES_tradnl"/>
        </w:rPr>
        <w:t>(Burgess, 1880) (Diptera: Agromyzidae)</w:t>
      </w:r>
    </w:p>
    <w:p w14:paraId="3BD7827F" w14:textId="77777777">
      <w:pPr>
        <w:pStyle w:val="IPPParagraphnumbering"/>
        <w:numPr>
          <w:ilvl w:val="0"/>
          <w:numId w:val="0"/>
        </w:numPr>
        <w:tabs>
          <w:tab w:val="left" w:pos="2552"/>
        </w:tabs>
        <w:rPr>
          <w:lang w:val="es-ES_tradnl"/>
        </w:rPr>
      </w:pPr>
      <w:r>
        <w:rPr>
          <w:rStyle w:val="PleaseReviewParagraphId"/>
          <w:b w:val="off"/>
          <w:i w:val="off"/>
        </w:rPr>
        <w:t>[33]</w:t>
      </w:r>
      <w:r>
        <w:rPr>
          <w:b/>
          <w:bCs/>
          <w:lang w:val="es-ES_tradnl"/>
        </w:rPr>
        <w:t>Artículos reglamentados objeto del tratamiento</w:t>
      </w:r>
      <w:r>
        <w:rPr>
          <w:lang w:val="es-ES_tradnl"/>
        </w:rPr>
        <w:tab/>
        <w:t>Todas las hortalizas y plantas ornamentales que son hospedantes de los minadores de las hojas mencionados anteriormente</w:t>
      </w:r>
    </w:p>
    <w:p w14:paraId="55B623B1" w14:textId="77777777">
      <w:pPr>
        <w:pStyle w:val="IPPHeading1"/>
        <w:rPr>
          <w:lang w:val="es-ES_tradnl"/>
        </w:rPr>
      </w:pPr>
      <w:r>
        <w:rPr>
          <w:rStyle w:val="PleaseReviewParagraphId"/>
          <w:b w:val="off"/>
          <w:i w:val="off"/>
        </w:rPr>
        <w:t>[34]</w:t>
      </w:r>
      <w:r>
        <w:rPr>
          <w:lang w:val="es-ES_tradnl"/>
        </w:rPr>
        <w:t>Protocolos de tratamiento</w:t>
      </w:r>
    </w:p>
    <w:p w14:paraId="47842A2C" w14:textId="77777777">
      <w:pPr>
        <w:pStyle w:val="IPPParagraphnumbering"/>
        <w:numPr>
          <w:ilvl w:val="0"/>
          <w:numId w:val="0"/>
        </w:numPr>
        <w:rPr>
          <w:rFonts w:eastAsia="Times New Roman"/>
          <w:b/>
          <w:bCs/>
          <w:lang w:val="es-ES_tradnl"/>
        </w:rPr>
      </w:pPr>
      <w:r>
        <w:rPr>
          <w:rStyle w:val="PleaseReviewParagraphId"/>
          <w:b w:val="off"/>
          <w:i w:val="off"/>
        </w:rPr>
        <w:t>[35]</w:t>
      </w:r>
      <w:r>
        <w:rPr>
          <w:b/>
          <w:lang w:val="es-ES_tradnl"/>
        </w:rPr>
        <w:t>Protocolo 1:</w:t>
      </w:r>
      <w:r>
        <w:rPr>
          <w:lang w:val="es-ES_tradnl"/>
        </w:rPr>
        <w:t xml:space="preserve"> Dosis mínima absorbida de 176 Gy para prevenir el desarrollo en la generación F</w:t>
      </w:r>
      <w:r>
        <w:rPr>
          <w:vertAlign w:val="subscript"/>
          <w:lang w:val="es-ES_tradnl"/>
        </w:rPr>
        <w:t>1</w:t>
      </w:r>
      <w:r>
        <w:rPr>
          <w:lang w:val="es-ES_tradnl"/>
        </w:rPr>
        <w:t xml:space="preserve"> de larvas viables de </w:t>
      </w:r>
      <w:r>
        <w:rPr>
          <w:i/>
          <w:lang w:val="es-ES_tradnl"/>
        </w:rPr>
        <w:t>Liriomyza huidobrensis</w:t>
      </w:r>
      <w:r>
        <w:rPr>
          <w:lang w:val="es-ES_tradnl"/>
        </w:rPr>
        <w:t>.</w:t>
      </w:r>
    </w:p>
    <w:p w14:paraId="3452B0E7" w14:textId="739B1179">
      <w:pPr>
        <w:pStyle w:val="IPPParagraphnumbering"/>
        <w:numPr>
          <w:ilvl w:val="0"/>
          <w:numId w:val="0"/>
        </w:numPr>
        <w:rPr>
          <w:rFonts w:eastAsia="Times New Roman"/>
          <w:b/>
          <w:bCs/>
          <w:lang w:val="es-ES_tradnl"/>
        </w:rPr>
      </w:pPr>
      <w:r>
        <w:rPr>
          <w:rStyle w:val="PleaseReviewParagraphId"/>
          <w:b w:val="off"/>
          <w:i w:val="off"/>
        </w:rPr>
        <w:t>[36]</w:t>
      </w:r>
      <w:r>
        <w:rPr>
          <w:lang w:val="es-ES_tradnl"/>
        </w:rPr>
        <w:t>Se tiene un nivel de confianza del 95 % en que el tratamiento conforme a este protocolo prevenga el desarrollo en la generación F</w:t>
      </w:r>
      <w:r>
        <w:rPr>
          <w:vertAlign w:val="subscript"/>
          <w:lang w:val="es-ES_tradnl"/>
        </w:rPr>
        <w:t>1</w:t>
      </w:r>
      <w:r>
        <w:rPr>
          <w:lang w:val="es-ES_tradnl"/>
        </w:rPr>
        <w:t xml:space="preserve"> de larvas viables en no menos del 99,9722 % de los adultos faratos de </w:t>
      </w:r>
      <w:r>
        <w:rPr>
          <w:i/>
          <w:lang w:val="es-ES_tradnl"/>
        </w:rPr>
        <w:t>Liriomyza huidobrensis</w:t>
      </w:r>
      <w:r>
        <w:rPr>
          <w:lang w:val="es-ES_tradnl"/>
        </w:rPr>
        <w:t>.</w:t>
      </w:r>
    </w:p>
    <w:p w14:paraId="63595C5E" w14:textId="77777777">
      <w:pPr>
        <w:pStyle w:val="IPPParagraphnumbering"/>
        <w:numPr>
          <w:ilvl w:val="0"/>
          <w:numId w:val="0"/>
        </w:numPr>
        <w:rPr>
          <w:rFonts w:eastAsia="Times New Roman"/>
          <w:b/>
          <w:bCs/>
          <w:lang w:val="es-ES_tradnl"/>
        </w:rPr>
      </w:pPr>
      <w:r>
        <w:rPr>
          <w:rStyle w:val="PleaseReviewParagraphId"/>
          <w:b w:val="off"/>
          <w:i w:val="off"/>
        </w:rPr>
        <w:t>[37]</w:t>
      </w:r>
      <w:r>
        <w:rPr>
          <w:b/>
          <w:lang w:val="es-ES_tradnl"/>
        </w:rPr>
        <w:t>Protocolo 2:</w:t>
      </w:r>
      <w:r>
        <w:rPr>
          <w:lang w:val="es-ES_tradnl"/>
        </w:rPr>
        <w:t xml:space="preserve"> Dosis mínima absorbida de 176 Gy para prevenir el desarrollo en la generación F</w:t>
      </w:r>
      <w:r>
        <w:rPr>
          <w:vertAlign w:val="subscript"/>
          <w:lang w:val="es-ES_tradnl"/>
        </w:rPr>
        <w:t>1</w:t>
      </w:r>
      <w:r>
        <w:rPr>
          <w:lang w:val="es-ES_tradnl"/>
        </w:rPr>
        <w:t xml:space="preserve"> de larvas viables de </w:t>
      </w:r>
      <w:r>
        <w:rPr>
          <w:i/>
          <w:lang w:val="es-ES_tradnl"/>
        </w:rPr>
        <w:t>Liriomyza sativae</w:t>
      </w:r>
      <w:r>
        <w:rPr>
          <w:lang w:val="es-ES_tradnl"/>
        </w:rPr>
        <w:t>.</w:t>
      </w:r>
    </w:p>
    <w:p w14:paraId="763962CE" w14:textId="77777777">
      <w:pPr>
        <w:pStyle w:val="IPPParagraphnumbering"/>
        <w:numPr>
          <w:ilvl w:val="0"/>
          <w:numId w:val="0"/>
        </w:numPr>
        <w:rPr>
          <w:rFonts w:eastAsia="Times New Roman"/>
          <w:b/>
          <w:bCs/>
          <w:lang w:val="es-ES_tradnl"/>
        </w:rPr>
      </w:pPr>
      <w:r>
        <w:rPr>
          <w:rStyle w:val="PleaseReviewParagraphId"/>
          <w:b w:val="off"/>
          <w:i w:val="off"/>
        </w:rPr>
        <w:t>[38]</w:t>
      </w:r>
      <w:r>
        <w:rPr>
          <w:lang w:val="es-ES_tradnl"/>
        </w:rPr>
        <w:t>Se tiene un nivel de confianza del 95 % en que el tratamiento conforme a este protocolo prevenga el desarrollo en la generación F</w:t>
      </w:r>
      <w:r>
        <w:rPr>
          <w:vertAlign w:val="subscript"/>
          <w:lang w:val="es-ES_tradnl"/>
        </w:rPr>
        <w:t>1</w:t>
      </w:r>
      <w:r>
        <w:rPr>
          <w:lang w:val="es-ES_tradnl"/>
        </w:rPr>
        <w:t xml:space="preserve"> de larvas viables en no menos del 99,9715 % de los adultos faratos de</w:t>
      </w:r>
      <w:r>
        <w:rPr>
          <w:i/>
          <w:lang w:val="es-ES_tradnl"/>
        </w:rPr>
        <w:t xml:space="preserve"> Liriomyza sativae</w:t>
      </w:r>
      <w:r>
        <w:rPr>
          <w:lang w:val="es-ES_tradnl"/>
        </w:rPr>
        <w:t>.</w:t>
      </w:r>
    </w:p>
    <w:p w14:paraId="12905ED1" w14:textId="77777777">
      <w:pPr>
        <w:pStyle w:val="IPPParagraphnumbering"/>
        <w:numPr>
          <w:ilvl w:val="0"/>
          <w:numId w:val="0"/>
        </w:numPr>
        <w:rPr>
          <w:rFonts w:eastAsia="Times New Roman"/>
          <w:lang w:val="es-ES_tradnl"/>
        </w:rPr>
      </w:pPr>
      <w:r>
        <w:rPr>
          <w:rStyle w:val="PleaseReviewParagraphId"/>
          <w:b w:val="off"/>
          <w:i w:val="off"/>
        </w:rPr>
        <w:t>[39]</w:t>
      </w:r>
      <w:r>
        <w:rPr>
          <w:b/>
          <w:lang w:val="es-ES_tradnl"/>
        </w:rPr>
        <w:t>Protocolo 3:</w:t>
      </w:r>
      <w:r>
        <w:rPr>
          <w:lang w:val="es-ES_tradnl"/>
        </w:rPr>
        <w:t xml:space="preserve"> Dosis mínima absorbida de 166 Gy para prevenir el desarrollo en la generación F</w:t>
      </w:r>
      <w:r>
        <w:rPr>
          <w:vertAlign w:val="subscript"/>
          <w:lang w:val="es-ES_tradnl"/>
        </w:rPr>
        <w:t>1</w:t>
      </w:r>
      <w:r>
        <w:rPr>
          <w:lang w:val="es-ES_tradnl"/>
        </w:rPr>
        <w:t xml:space="preserve"> de larvas viables de </w:t>
      </w:r>
      <w:r>
        <w:rPr>
          <w:i/>
          <w:lang w:val="es-ES_tradnl"/>
        </w:rPr>
        <w:t>Liriomyza trifolii</w:t>
      </w:r>
      <w:r>
        <w:rPr>
          <w:lang w:val="es-ES_tradnl"/>
        </w:rPr>
        <w:t>.</w:t>
      </w:r>
    </w:p>
    <w:p w14:paraId="479233A5" w14:textId="77777777">
      <w:pPr>
        <w:pStyle w:val="IPPParagraphnumbering"/>
        <w:numPr>
          <w:ilvl w:val="0"/>
          <w:numId w:val="0"/>
        </w:numPr>
        <w:rPr>
          <w:rFonts w:eastAsia="Times New Roman"/>
          <w:lang w:val="es-ES_tradnl"/>
        </w:rPr>
      </w:pPr>
      <w:r>
        <w:rPr>
          <w:rStyle w:val="PleaseReviewParagraphId"/>
          <w:b w:val="off"/>
          <w:i w:val="off"/>
        </w:rPr>
        <w:t>[40]</w:t>
      </w:r>
      <w:r>
        <w:rPr>
          <w:lang w:val="es-ES_tradnl"/>
        </w:rPr>
        <w:t>Se tiene un nivel de confianza del 95 % en que el tratamiento conforme a este protocolo prevenga el desarrollo en la generación F</w:t>
      </w:r>
      <w:r>
        <w:rPr>
          <w:vertAlign w:val="subscript"/>
          <w:lang w:val="es-ES_tradnl"/>
        </w:rPr>
        <w:t>1</w:t>
      </w:r>
      <w:r>
        <w:rPr>
          <w:lang w:val="es-ES_tradnl"/>
        </w:rPr>
        <w:t xml:space="preserve"> de larvas viables en no menos del 99,9720 % de los adultos faratos de</w:t>
      </w:r>
      <w:r>
        <w:rPr>
          <w:i/>
          <w:lang w:val="es-ES_tradnl"/>
        </w:rPr>
        <w:t xml:space="preserve"> Liriomyza trifolii</w:t>
      </w:r>
      <w:r>
        <w:rPr>
          <w:lang w:val="es-ES_tradnl"/>
        </w:rPr>
        <w:t>.</w:t>
      </w:r>
    </w:p>
    <w:p w14:paraId="4ED411DD" w14:textId="77777777">
      <w:pPr>
        <w:pStyle w:val="IPPParagraphnumbering"/>
        <w:numPr>
          <w:ilvl w:val="0"/>
          <w:numId w:val="0"/>
        </w:numPr>
        <w:rPr>
          <w:rFonts w:eastAsia="Times New Roman"/>
          <w:lang w:val="es-ES_tradnl"/>
        </w:rPr>
      </w:pPr>
      <w:r>
        <w:rPr>
          <w:rStyle w:val="PleaseReviewParagraphId"/>
          <w:b w:val="off"/>
          <w:i w:val="off"/>
        </w:rPr>
        <w:t>[41]</w:t>
      </w:r>
      <w:r>
        <w:rPr>
          <w:lang w:val="es-ES_tradnl"/>
        </w:rPr>
        <w:t>Estos tratamientos deberían aplicarse de conformidad con los requisitos establecidos en la Norma internacional para medidas fitosanitarias (NIMF) 18 (</w:t>
      </w:r>
      <w:r>
        <w:rPr>
          <w:i/>
          <w:lang w:val="es-ES_tradnl"/>
        </w:rPr>
        <w:t>Requisitos para el uso de la irradiación como medida fitosanitaria</w:t>
      </w:r>
      <w:r>
        <w:rPr>
          <w:lang w:val="es-ES_tradnl"/>
        </w:rPr>
        <w:t>).</w:t>
      </w:r>
    </w:p>
    <w:p w14:paraId="38BE2BB8" w14:textId="77777777">
      <w:pPr>
        <w:pStyle w:val="IPPParagraphnumbering"/>
        <w:numPr>
          <w:ilvl w:val="0"/>
          <w:numId w:val="0"/>
        </w:numPr>
        <w:rPr>
          <w:rFonts w:eastAsia="Times New Roman"/>
          <w:lang w:val="es-ES_tradnl"/>
        </w:rPr>
      </w:pPr>
      <w:r>
        <w:rPr>
          <w:rStyle w:val="PleaseReviewParagraphId"/>
          <w:b w:val="off"/>
          <w:i w:val="off"/>
        </w:rPr>
        <w:t>[42]</w:t>
      </w:r>
      <w:r>
        <w:rPr>
          <w:lang w:val="es-ES_tradnl"/>
        </w:rPr>
        <w:t>Estos tratamientos de irradiación no se deberían aplicar a los productos hospedantes almacenados en una atmósfera modificada porque esta podrá afectar a la eficacia del tratamiento.</w:t>
      </w:r>
    </w:p>
    <w:p w14:paraId="72A002EA" w14:textId="77777777">
      <w:pPr>
        <w:pStyle w:val="IPPHeading1"/>
        <w:rPr>
          <w:lang w:val="es-ES_tradnl"/>
        </w:rPr>
      </w:pPr>
      <w:r>
        <w:rPr>
          <w:rStyle w:val="PleaseReviewParagraphId"/>
          <w:b w:val="off"/>
          <w:i w:val="off"/>
        </w:rPr>
        <w:t>[43]</w:t>
      </w:r>
      <w:r>
        <w:rPr>
          <w:lang w:val="es-ES_tradnl"/>
        </w:rPr>
        <w:t>Otra información pertinente</w:t>
      </w:r>
    </w:p>
    <w:p w14:paraId="7F9CB960" w14:textId="0F5F4D5A">
      <w:pPr>
        <w:pStyle w:val="IPPParagraphnumbering"/>
        <w:numPr>
          <w:ilvl w:val="0"/>
          <w:numId w:val="0"/>
        </w:numPr>
        <w:rPr>
          <w:lang w:val="es-ES_tradnl"/>
        </w:rPr>
      </w:pPr>
      <w:r>
        <w:rPr>
          <w:rStyle w:val="PleaseReviewParagraphId"/>
          <w:b w:val="off"/>
          <w:i w:val="off"/>
        </w:rPr>
        <w:t>[44]</w:t>
      </w:r>
      <w:r>
        <w:rPr>
          <w:lang w:val="es-ES_tradnl"/>
        </w:rPr>
        <w:t xml:space="preserve">Puesto que la irradiación no ocasiona necesariamente la muerte de todos los individuos, los inspectores podrán encontrar ejemplares inmaduros o adultos de </w:t>
      </w:r>
      <w:r>
        <w:rPr>
          <w:i/>
          <w:lang w:val="es-ES_tradnl"/>
        </w:rPr>
        <w:t>Liriomyza huidobrensis</w:t>
      </w:r>
      <w:r>
        <w:rPr>
          <w:lang w:val="es-ES_tradnl"/>
        </w:rPr>
        <w:t>,</w:t>
      </w:r>
      <w:r>
        <w:rPr>
          <w:i/>
          <w:lang w:val="es-ES_tradnl"/>
        </w:rPr>
        <w:t xml:space="preserve"> Liriomyza sativae</w:t>
      </w:r>
      <w:r>
        <w:rPr>
          <w:lang w:val="es-ES_tradnl"/>
        </w:rPr>
        <w:t xml:space="preserve"> y</w:t>
      </w:r>
      <w:r>
        <w:rPr>
          <w:i/>
          <w:lang w:val="es-ES_tradnl"/>
        </w:rPr>
        <w:t xml:space="preserve"> Liriomyza trifolii</w:t>
      </w:r>
      <w:r>
        <w:rPr>
          <w:lang w:val="es-ES_tradnl"/>
        </w:rPr>
        <w:t xml:space="preserve"> vivos, aunque no viables, durante el proceso de inspección. Esto no implica que el tratamiento sea ineficaz.</w:t>
      </w:r>
    </w:p>
    <w:p w14:paraId="3A808725" w14:textId="77777777">
      <w:pPr>
        <w:pStyle w:val="IPPParagraphnumbering"/>
        <w:numPr>
          <w:ilvl w:val="0"/>
          <w:numId w:val="0"/>
        </w:numPr>
        <w:rPr>
          <w:lang w:val="es-ES_tradnl"/>
        </w:rPr>
      </w:pPr>
      <w:r>
        <w:rPr>
          <w:rStyle w:val="PleaseReviewParagraphId"/>
          <w:b w:val="off"/>
          <w:i w:val="off"/>
        </w:rPr>
        <w:t>[45]</w:t>
      </w:r>
      <w:r>
        <w:rPr>
          <w:lang w:val="es-ES_tradnl"/>
        </w:rPr>
        <w:t xml:space="preserve">El Grupo técnico sobre tratamientos fitosanitarios (GTTF) basó su evaluación de este tratamiento en el trabajo de investigación publicado por Ozyardimci, Aylangan y Aydin (2016), en el que se determinó que una dosis de 150 Gy era eficaz como tratamiento de irradiación contra </w:t>
      </w:r>
      <w:r>
        <w:rPr>
          <w:i/>
          <w:lang w:val="es-ES_tradnl"/>
        </w:rPr>
        <w:t>Liriomyza huidobrensis</w:t>
      </w:r>
      <w:r>
        <w:rPr>
          <w:lang w:val="es-ES_tradnl"/>
        </w:rPr>
        <w:t xml:space="preserve">, </w:t>
      </w:r>
      <w:r>
        <w:rPr>
          <w:i/>
          <w:lang w:val="es-ES_tradnl"/>
        </w:rPr>
        <w:t>Liriomyza sativae</w:t>
      </w:r>
      <w:r>
        <w:rPr>
          <w:lang w:val="es-ES_tradnl"/>
        </w:rPr>
        <w:t xml:space="preserve"> y </w:t>
      </w:r>
      <w:r>
        <w:rPr>
          <w:i/>
          <w:lang w:val="es-ES_tradnl"/>
        </w:rPr>
        <w:t xml:space="preserve">Liriomyza trifolii </w:t>
      </w:r>
      <w:r>
        <w:rPr>
          <w:lang w:val="es-ES_tradnl"/>
        </w:rPr>
        <w:t>en la habichuela común (</w:t>
      </w:r>
      <w:r>
        <w:rPr>
          <w:i/>
          <w:lang w:val="es-ES_tradnl"/>
        </w:rPr>
        <w:t>Phaseolus vulgaris</w:t>
      </w:r>
      <w:r>
        <w:rPr>
          <w:lang w:val="es-ES_tradnl"/>
        </w:rPr>
        <w:t>). En un ensayo de confirmación a gran escala realizado posteriormente se demostró que las larvas de la generación F</w:t>
      </w:r>
      <w:r>
        <w:rPr>
          <w:vertAlign w:val="subscript"/>
          <w:lang w:val="es-ES_tradnl"/>
        </w:rPr>
        <w:t>1</w:t>
      </w:r>
      <w:r>
        <w:rPr>
          <w:lang w:val="es-ES_tradnl"/>
        </w:rPr>
        <w:t xml:space="preserve"> de las tres especies de </w:t>
      </w:r>
      <w:r>
        <w:rPr>
          <w:i/>
          <w:lang w:val="es-ES_tradnl"/>
        </w:rPr>
        <w:t>Liriomyza</w:t>
      </w:r>
      <w:r>
        <w:rPr>
          <w:lang w:val="es-ES_tradnl"/>
        </w:rPr>
        <w:t xml:space="preserve"> no habían formado galerías foliares con una dosis máxima absorbida de 176 Gy. El GTTF también consideró la información sobre la etapa de desarrollo más tolerante a la radiación de </w:t>
      </w:r>
      <w:r>
        <w:rPr>
          <w:i/>
          <w:lang w:val="es-ES_tradnl"/>
        </w:rPr>
        <w:t xml:space="preserve">Liriomyza </w:t>
      </w:r>
      <w:r>
        <w:rPr>
          <w:lang w:val="es-ES_tradnl"/>
        </w:rPr>
        <w:t xml:space="preserve">spp. que se especifica en Yathom </w:t>
      </w:r>
      <w:r>
        <w:rPr>
          <w:i/>
          <w:lang w:val="es-ES_tradnl"/>
        </w:rPr>
        <w:t>et al.</w:t>
      </w:r>
      <w:r>
        <w:rPr>
          <w:lang w:val="es-ES_tradnl"/>
        </w:rPr>
        <w:t xml:space="preserve"> (1990).</w:t>
      </w:r>
    </w:p>
    <w:p w14:paraId="6FCD663D" w14:textId="77777777">
      <w:pPr>
        <w:pStyle w:val="IPPParagraphnumbering"/>
        <w:numPr>
          <w:ilvl w:val="0"/>
          <w:numId w:val="0"/>
        </w:numPr>
        <w:rPr>
          <w:lang w:val="es-ES_tradnl"/>
        </w:rPr>
      </w:pPr>
      <w:r>
        <w:rPr>
          <w:rStyle w:val="PleaseReviewParagraphId"/>
          <w:b w:val="off"/>
          <w:i w:val="off"/>
        </w:rPr>
        <w:t>[46]</w:t>
      </w:r>
      <w:r>
        <w:rPr>
          <w:lang w:val="es-ES_tradnl"/>
        </w:rPr>
        <w:t>La eficacia de los protocolos 1, 2 y 3 se calculó basándose en el tratamiento de un total de 10 700, 10 804 y 10 533 adultos faratos, respectivamente; la mortalidad total en el grupo de control fue del 6,55 %.</w:t>
      </w:r>
    </w:p>
    <w:p w14:paraId="35D81D29" w14:textId="77777777">
      <w:pPr>
        <w:pStyle w:val="IPPParagraphnumbering"/>
        <w:numPr>
          <w:ilvl w:val="0"/>
          <w:numId w:val="0"/>
        </w:numPr>
        <w:rPr>
          <w:lang w:val="es-ES_tradnl"/>
        </w:rPr>
      </w:pPr>
      <w:r>
        <w:rPr>
          <w:rStyle w:val="PleaseReviewParagraphId"/>
          <w:b w:val="off"/>
          <w:i w:val="off"/>
        </w:rPr>
        <w:t>[47]</w:t>
      </w:r>
      <w:r>
        <w:rPr>
          <w:lang w:val="es-ES_tradnl"/>
        </w:rPr>
        <w:t xml:space="preserve">La extrapolación de la eficacia del tratamiento a todos los hospedantes se basó tanto en la experiencia y el conocimiento de que los sistemas de dosimetría cuantifican la dosis efectiva de radiación absorbida por la plaga objetivo independientemente del producto hospedante, como en los datos extraídos de estudios de investigación sobre diversas plagas y productos. En el tratamiento fitosanitario 49 (Tratamiento de irradiación contra </w:t>
      </w:r>
      <w:r>
        <w:rPr>
          <w:i/>
          <w:lang w:val="es-ES_tradnl"/>
        </w:rPr>
        <w:t>Pseudococcus baliteus</w:t>
      </w:r>
      <w:r>
        <w:rPr>
          <w:lang w:val="es-ES_tradnl"/>
        </w:rPr>
        <w:t>) se ofrecen ejemplos de plagas y hospedantes estudiados en estas investigaciones. No obstante, se reconoce que no se ha comprobado la eficacia del tratamiento en todos los posibles hospedantes de las plagas objetivo. En el caso de que se obtengan datos que muestren que la extrapolación del tratamiento a todos los hospedantes de estas plagas es incorrecta, se revisará el tratamiento.</w:t>
      </w:r>
    </w:p>
    <w:p w14:paraId="3EE3700E" w14:textId="77777777">
      <w:pPr>
        <w:pStyle w:val="IPPHeading1"/>
        <w:rPr>
          <w:lang w:val="es-ES_tradnl"/>
        </w:rPr>
      </w:pPr>
      <w:r>
        <w:rPr>
          <w:rStyle w:val="PleaseReviewParagraphId"/>
          <w:b w:val="off"/>
          <w:i w:val="off"/>
        </w:rPr>
        <w:t>[48]</w:t>
      </w:r>
      <w:r>
        <w:rPr>
          <w:lang w:val="es-ES_tradnl"/>
        </w:rPr>
        <w:t>Referencias</w:t>
      </w:r>
    </w:p>
    <w:p w14:paraId="364EB1D6" w14:textId="77777777">
      <w:pPr>
        <w:pStyle w:val="IPPParagraphnumbering"/>
        <w:numPr>
          <w:ilvl w:val="0"/>
          <w:numId w:val="0"/>
        </w:numPr>
        <w:spacing w:line="259" w:lineRule="auto"/>
        <w:jc w:val="left"/>
        <w:rPr>
          <w:rFonts w:cs="Calibri"/>
          <w:sz w:val="24"/>
          <w:lang w:val="es-ES_tradnl"/>
        </w:rPr>
      </w:pPr>
      <w:r>
        <w:rPr>
          <w:rStyle w:val="PleaseReviewParagraphId"/>
          <w:b w:val="off"/>
          <w:i w:val="off"/>
        </w:rPr>
        <w:t>[49]</w:t>
      </w:r>
      <w:r>
        <w:rPr>
          <w:lang w:val="es-ES_tradnl"/>
        </w:rPr>
        <w:t xml:space="preserve">En el presente anexo podrá hacerse referencia a las NIMF. Las NIMF están disponibles en el Portal fitosanitario internacional: </w:t>
      </w:r>
      <w:hyperlink w:history="1" r:id="rId11">
        <w:r>
          <w:rPr>
            <w:rStyle w:val="Hyperlink"/>
            <w:lang w:val="es-ES_tradnl"/>
          </w:rPr>
          <w:t>https://www.ippc.int/es/core-activities/standards-setting/ispms</w:t>
        </w:r>
      </w:hyperlink>
      <w:r>
        <w:rPr>
          <w:lang w:val="es-ES_tradnl"/>
        </w:rPr>
        <w:t>.</w:t>
      </w:r>
    </w:p>
    <w:p w14:paraId="0409360A" w14:textId="77777777">
      <w:pPr>
        <w:pStyle w:val="IPPParagraphnumbering"/>
        <w:numPr>
          <w:ilvl w:val="0"/>
          <w:numId w:val="0"/>
        </w:numPr>
        <w:rPr>
          <w:lang w:val="es-ES_tradnl"/>
        </w:rPr>
      </w:pPr>
      <w:r>
        <w:rPr>
          <w:rStyle w:val="PleaseReviewParagraphId"/>
          <w:b w:val="off"/>
          <w:i w:val="off"/>
        </w:rPr>
        <w:t>[50]</w:t>
      </w:r>
      <w:r>
        <w:rPr>
          <w:b/>
          <w:lang w:val="es-ES_tradnl"/>
        </w:rPr>
        <w:t>Ozyardimci, B., Aylangan, A., Ic, E. y Aydin, T.</w:t>
      </w:r>
      <w:r>
        <w:rPr>
          <w:lang w:val="es-ES_tradnl"/>
        </w:rPr>
        <w:t xml:space="preserve"> 2016. Phytosanitary irradiation against leafminers (Diptera: Agromyzidae) and radiotolerance of shelled peas, </w:t>
      </w:r>
      <w:r>
        <w:rPr>
          <w:i/>
          <w:lang w:val="es-ES_tradnl"/>
        </w:rPr>
        <w:t>Pisum sativum</w:t>
      </w:r>
      <w:r>
        <w:rPr>
          <w:lang w:val="es-ES_tradnl"/>
        </w:rPr>
        <w:t xml:space="preserve"> (Fabales: Fabaceae). </w:t>
      </w:r>
      <w:r>
        <w:rPr>
          <w:i/>
          <w:lang w:val="es-ES_tradnl"/>
        </w:rPr>
        <w:t>Florida Entomologist</w:t>
      </w:r>
      <w:r>
        <w:rPr>
          <w:lang w:val="es-ES_tradnl"/>
        </w:rPr>
        <w:t xml:space="preserve">, 99 (número especial 2): 171-177. </w:t>
      </w:r>
      <w:hyperlink w:history="1" r:id="rId12">
        <w:r>
          <w:rPr>
            <w:rStyle w:val="Hyperlink"/>
            <w:lang w:val="es-ES_tradnl"/>
          </w:rPr>
          <w:t>https://journals.flvc.org/flaent/article/view/88695</w:t>
        </w:r>
      </w:hyperlink>
    </w:p>
    <w:p w14:paraId="706AC232" w14:textId="77777777">
      <w:pPr>
        <w:pStyle w:val="IPPParagraphnumbering"/>
        <w:numPr>
          <w:ilvl w:val="0"/>
          <w:numId w:val="0"/>
        </w:numPr>
        <w:rPr>
          <w:lang w:val="es-ES_tradnl"/>
        </w:rPr>
      </w:pPr>
      <w:r>
        <w:rPr>
          <w:rStyle w:val="PleaseReviewParagraphId"/>
          <w:b w:val="off"/>
          <w:i w:val="off"/>
        </w:rPr>
        <w:t>[51]</w:t>
      </w:r>
      <w:r>
        <w:rPr>
          <w:b/>
          <w:lang w:val="es-ES_tradnl"/>
        </w:rPr>
        <w:t>Yathom, S., Podava, R., Tal, S. y Ross, I.</w:t>
      </w:r>
      <w:r>
        <w:rPr>
          <w:lang w:val="es-ES_tradnl"/>
        </w:rPr>
        <w:t xml:space="preserve"> 1990. Effects of gamma radiation on the immature stages of </w:t>
      </w:r>
      <w:r>
        <w:rPr>
          <w:i/>
          <w:lang w:val="es-ES_tradnl"/>
        </w:rPr>
        <w:t>Liriomyza trifolii</w:t>
      </w:r>
      <w:r>
        <w:rPr>
          <w:lang w:val="es-ES_tradnl"/>
        </w:rPr>
        <w:t xml:space="preserve">. </w:t>
      </w:r>
      <w:r>
        <w:rPr>
          <w:i/>
          <w:lang w:val="es-ES_tradnl"/>
        </w:rPr>
        <w:t>Phytoparasitica</w:t>
      </w:r>
      <w:r>
        <w:rPr>
          <w:lang w:val="es-ES_tradnl"/>
        </w:rPr>
        <w:t>, 18: 117-124.</w:t>
      </w:r>
      <w:bookmarkEnd w:id="0"/>
      <w:r>
        <w:rPr>
          <w:lang w:val="es-ES_tradnl"/>
        </w:rPr>
        <w:t xml:space="preserve"> </w:t>
      </w:r>
      <w:hyperlink w:history="1" r:id="rId13">
        <w:r>
          <w:rPr>
            <w:rStyle w:val="Hyperlink"/>
            <w:lang w:val="es-ES_tradnl"/>
          </w:rPr>
          <w:t>https://doi.org/10.1007/BF02981228</w:t>
        </w:r>
      </w:hyperlink>
    </w:p>
    <w:sectPr>
      <w:pgSz w:w="11906" w:h="16838" w:code="9"/>
      <w:pgMar w:top="1559" w:right="1418" w:bottom="1418" w:left="1418" w:header="850" w:footer="850"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AE12" w14:textId="77777777">
      <w:r>
        <w:rPr>
          <w:rStyle w:val="PleaseReviewParagraphId"/>
          <w:b w:val="off"/>
          <w:i w:val="off"/>
        </w:rPr>
        <w:t>[]</w:t>
      </w:r>
      <w:r>
        <w:separator/>
      </w:r>
    </w:p>
  </w:endnote>
  <w:endnote w:type="continuationSeparator" w:id="0">
    <w:p w14:paraId="0A917573"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6585" w14:textId="77777777">
      <w:r>
        <w:rPr>
          <w:rStyle w:val="PleaseReviewParagraphId"/>
          <w:b w:val="off"/>
          <w:i w:val="off"/>
        </w:rPr>
        <w:t>[]</w:t>
      </w:r>
      <w:r>
        <w:separator/>
      </w:r>
    </w:p>
  </w:footnote>
  <w:footnote w:type="continuationSeparator" w:id="0">
    <w:p w14:paraId="3627B1C1" w14:textId="77777777">
      <w:r>
        <w:rPr>
          <w:rStyle w:val="PleaseReviewParagraphId"/>
          <w:b w:val="off"/>
          <w:i w:val="off"/>
        </w:rPr>
        <w:t>[]</w:t>
      </w:r>
      <w:r>
        <w:continuationSeparator/>
      </w:r>
    </w:p>
  </w:footnote>
  <w:footnote w:id="1">
    <w:p w14:paraId="24436859" w14:textId="77777777">
      <w:pPr>
        <w:pStyle w:val="IPPFootnote"/>
        <w:keepLines/>
      </w:pPr>
      <w:r>
        <w:rPr>
          <w:rStyle w:val="PleaseReviewParagraphId"/>
          <w:b w:val="off"/>
          <w:i w:val="off"/>
        </w:rPr>
        <w:t>[27]</w:t>
      </w:r>
      <w:r>
        <w:rPr>
          <w:rStyle w:val="FootnoteReference"/>
        </w:rPr>
        <w:footnoteRef/>
      </w:r>
      <w:r>
        <w:t xml:space="preserve"> El ámbito de los tratamientos fitosanitarios no abarca aspectos relacionados con el registro de plaguicidas u otros requisitos nacionales para la aprobación de tratamientos por las partes contratantes. Los tratamientos adoptados por la Comisión de Medidas Fitosanitarias podrían no proporcionar información sobre efectos específicos en la salud humana o la inocuidad alimentaria, los cuales deberían abordarse mediante procedimientos nacionales antes de que las partes contratantes aprueben un tratamiento. Por otra parte, respecto de ciertos productos hospedantes se consideran, antes de la adopción internacional del tratamiento, sus posibles repercusiones en la calidad. Sin embargo, la evaluación de los efectos de un tratamiento sobre la calidad de los productos podrá requerir un examen adicional. Las partes contratantes no tienen obligación de aprobar, registrar o adoptar los tratamientos con vistas a su utilización en su territorio.</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5353565">
    <w:abstractNumId w:val="6"/>
  </w:num>
  <w:num w:numId="2" w16cid:durableId="1687512053">
    <w:abstractNumId w:val="2"/>
  </w:num>
  <w:num w:numId="3" w16cid:durableId="733938166">
    <w:abstractNumId w:val="8"/>
  </w:num>
  <w:num w:numId="4" w16cid:durableId="935793754">
    <w:abstractNumId w:val="0"/>
  </w:num>
  <w:num w:numId="5" w16cid:durableId="1849252911">
    <w:abstractNumId w:val="5"/>
  </w:num>
  <w:num w:numId="6" w16cid:durableId="1161389487">
    <w:abstractNumId w:val="4"/>
  </w:num>
  <w:num w:numId="7" w16cid:durableId="742331922">
    <w:abstractNumId w:val="9"/>
  </w:num>
  <w:num w:numId="8" w16cid:durableId="1975938114">
    <w:abstractNumId w:val="7"/>
  </w:num>
  <w:num w:numId="9" w16cid:durableId="578441286">
    <w:abstractNumId w:val="3"/>
  </w:num>
  <w:num w:numId="10" w16cid:durableId="145248050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10"/>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001332"/>
    <w:rsid w:val="000014B8"/>
    <w:rsid w:val="0000690D"/>
    <w:rsid w:val="000114A8"/>
    <w:rsid w:val="000117BD"/>
    <w:rsid w:val="000141E4"/>
    <w:rsid w:val="0002161D"/>
    <w:rsid w:val="000249AC"/>
    <w:rsid w:val="00025452"/>
    <w:rsid w:val="00027FE3"/>
    <w:rsid w:val="000302E5"/>
    <w:rsid w:val="00032883"/>
    <w:rsid w:val="000364B1"/>
    <w:rsid w:val="00037ECF"/>
    <w:rsid w:val="000467CB"/>
    <w:rsid w:val="000472B9"/>
    <w:rsid w:val="00050908"/>
    <w:rsid w:val="000509EE"/>
    <w:rsid w:val="000532D3"/>
    <w:rsid w:val="0006027D"/>
    <w:rsid w:val="000613F9"/>
    <w:rsid w:val="00064056"/>
    <w:rsid w:val="00064693"/>
    <w:rsid w:val="00066FE3"/>
    <w:rsid w:val="000714D6"/>
    <w:rsid w:val="000752B7"/>
    <w:rsid w:val="00075E8E"/>
    <w:rsid w:val="00081855"/>
    <w:rsid w:val="00083629"/>
    <w:rsid w:val="00084B20"/>
    <w:rsid w:val="00086E03"/>
    <w:rsid w:val="00087A75"/>
    <w:rsid w:val="000915EC"/>
    <w:rsid w:val="000922FC"/>
    <w:rsid w:val="00092BF7"/>
    <w:rsid w:val="000937F9"/>
    <w:rsid w:val="00094051"/>
    <w:rsid w:val="000A0ADE"/>
    <w:rsid w:val="000A13C9"/>
    <w:rsid w:val="000A2570"/>
    <w:rsid w:val="000A3CBB"/>
    <w:rsid w:val="000A4747"/>
    <w:rsid w:val="000B0CD7"/>
    <w:rsid w:val="000B30CF"/>
    <w:rsid w:val="000B5242"/>
    <w:rsid w:val="000B5A90"/>
    <w:rsid w:val="000B6CB4"/>
    <w:rsid w:val="000B7AB3"/>
    <w:rsid w:val="000C01A2"/>
    <w:rsid w:val="000C59AE"/>
    <w:rsid w:val="000C62DD"/>
    <w:rsid w:val="000C6DEF"/>
    <w:rsid w:val="000C7EEA"/>
    <w:rsid w:val="000D0C67"/>
    <w:rsid w:val="000D257A"/>
    <w:rsid w:val="000D7354"/>
    <w:rsid w:val="000D7A91"/>
    <w:rsid w:val="000E1662"/>
    <w:rsid w:val="000E3F08"/>
    <w:rsid w:val="000E4254"/>
    <w:rsid w:val="000E4559"/>
    <w:rsid w:val="000E687B"/>
    <w:rsid w:val="000F05EC"/>
    <w:rsid w:val="000F11BA"/>
    <w:rsid w:val="000F32DF"/>
    <w:rsid w:val="000F331E"/>
    <w:rsid w:val="000F34D4"/>
    <w:rsid w:val="000F3F30"/>
    <w:rsid w:val="000F5594"/>
    <w:rsid w:val="000F66E9"/>
    <w:rsid w:val="0010016E"/>
    <w:rsid w:val="00100B41"/>
    <w:rsid w:val="00100EC0"/>
    <w:rsid w:val="00102B6D"/>
    <w:rsid w:val="00105908"/>
    <w:rsid w:val="0010591A"/>
    <w:rsid w:val="001072B5"/>
    <w:rsid w:val="00107CAB"/>
    <w:rsid w:val="00107DFB"/>
    <w:rsid w:val="0011347D"/>
    <w:rsid w:val="001144C1"/>
    <w:rsid w:val="001149C3"/>
    <w:rsid w:val="00114BFA"/>
    <w:rsid w:val="001174D3"/>
    <w:rsid w:val="00120494"/>
    <w:rsid w:val="00120576"/>
    <w:rsid w:val="001232F0"/>
    <w:rsid w:val="00123370"/>
    <w:rsid w:val="00127460"/>
    <w:rsid w:val="00131D1A"/>
    <w:rsid w:val="001352BA"/>
    <w:rsid w:val="00140B4F"/>
    <w:rsid w:val="00146772"/>
    <w:rsid w:val="00147A38"/>
    <w:rsid w:val="00150B9D"/>
    <w:rsid w:val="00152191"/>
    <w:rsid w:val="001523F6"/>
    <w:rsid w:val="00152538"/>
    <w:rsid w:val="00156F91"/>
    <w:rsid w:val="001656D4"/>
    <w:rsid w:val="001675EF"/>
    <w:rsid w:val="00170D24"/>
    <w:rsid w:val="00175B5F"/>
    <w:rsid w:val="00180274"/>
    <w:rsid w:val="00181241"/>
    <w:rsid w:val="00181BF2"/>
    <w:rsid w:val="00182CF6"/>
    <w:rsid w:val="00186C56"/>
    <w:rsid w:val="001877A9"/>
    <w:rsid w:val="00192060"/>
    <w:rsid w:val="001935ED"/>
    <w:rsid w:val="00194020"/>
    <w:rsid w:val="00195C78"/>
    <w:rsid w:val="001965BC"/>
    <w:rsid w:val="00196AE8"/>
    <w:rsid w:val="00197E14"/>
    <w:rsid w:val="001A11F3"/>
    <w:rsid w:val="001A1707"/>
    <w:rsid w:val="001A1A5B"/>
    <w:rsid w:val="001A1EBB"/>
    <w:rsid w:val="001A2965"/>
    <w:rsid w:val="001A398E"/>
    <w:rsid w:val="001A4D6F"/>
    <w:rsid w:val="001A5734"/>
    <w:rsid w:val="001A62BA"/>
    <w:rsid w:val="001B0185"/>
    <w:rsid w:val="001B2705"/>
    <w:rsid w:val="001B56A0"/>
    <w:rsid w:val="001B5E63"/>
    <w:rsid w:val="001B6BA8"/>
    <w:rsid w:val="001C12FF"/>
    <w:rsid w:val="001C2CEC"/>
    <w:rsid w:val="001C529C"/>
    <w:rsid w:val="001C5859"/>
    <w:rsid w:val="001C58E1"/>
    <w:rsid w:val="001D06AB"/>
    <w:rsid w:val="001D1583"/>
    <w:rsid w:val="001D1AAF"/>
    <w:rsid w:val="001D1FF3"/>
    <w:rsid w:val="001D35E5"/>
    <w:rsid w:val="001D52C8"/>
    <w:rsid w:val="001D6340"/>
    <w:rsid w:val="001D635E"/>
    <w:rsid w:val="001E2DEA"/>
    <w:rsid w:val="001E5A07"/>
    <w:rsid w:val="001F077D"/>
    <w:rsid w:val="002033EB"/>
    <w:rsid w:val="00205107"/>
    <w:rsid w:val="00205F4C"/>
    <w:rsid w:val="00206959"/>
    <w:rsid w:val="00206B1C"/>
    <w:rsid w:val="00207822"/>
    <w:rsid w:val="00210FDA"/>
    <w:rsid w:val="002115E0"/>
    <w:rsid w:val="0021273E"/>
    <w:rsid w:val="0021291D"/>
    <w:rsid w:val="002132AB"/>
    <w:rsid w:val="002138C4"/>
    <w:rsid w:val="00213F98"/>
    <w:rsid w:val="002145AD"/>
    <w:rsid w:val="00214A22"/>
    <w:rsid w:val="00216C20"/>
    <w:rsid w:val="00216C48"/>
    <w:rsid w:val="00220873"/>
    <w:rsid w:val="002214D8"/>
    <w:rsid w:val="00222207"/>
    <w:rsid w:val="00222BF8"/>
    <w:rsid w:val="00223603"/>
    <w:rsid w:val="00225586"/>
    <w:rsid w:val="00234F4C"/>
    <w:rsid w:val="0023523A"/>
    <w:rsid w:val="002367CF"/>
    <w:rsid w:val="00240383"/>
    <w:rsid w:val="00242256"/>
    <w:rsid w:val="00246022"/>
    <w:rsid w:val="00253379"/>
    <w:rsid w:val="002547BC"/>
    <w:rsid w:val="0025701D"/>
    <w:rsid w:val="00257833"/>
    <w:rsid w:val="00261D96"/>
    <w:rsid w:val="00261F61"/>
    <w:rsid w:val="00261FB7"/>
    <w:rsid w:val="002627F3"/>
    <w:rsid w:val="00265BE4"/>
    <w:rsid w:val="00267EA1"/>
    <w:rsid w:val="00270C1B"/>
    <w:rsid w:val="00271268"/>
    <w:rsid w:val="00272162"/>
    <w:rsid w:val="00272AAC"/>
    <w:rsid w:val="002756EC"/>
    <w:rsid w:val="002769B1"/>
    <w:rsid w:val="00281C09"/>
    <w:rsid w:val="00283C6A"/>
    <w:rsid w:val="00284515"/>
    <w:rsid w:val="00291A47"/>
    <w:rsid w:val="002925C6"/>
    <w:rsid w:val="0029282A"/>
    <w:rsid w:val="0029466E"/>
    <w:rsid w:val="00295A27"/>
    <w:rsid w:val="00297127"/>
    <w:rsid w:val="002A3B60"/>
    <w:rsid w:val="002A7AC7"/>
    <w:rsid w:val="002B2253"/>
    <w:rsid w:val="002B40B5"/>
    <w:rsid w:val="002B4F3E"/>
    <w:rsid w:val="002B5A03"/>
    <w:rsid w:val="002B6546"/>
    <w:rsid w:val="002B7E49"/>
    <w:rsid w:val="002C1B8A"/>
    <w:rsid w:val="002D0AB9"/>
    <w:rsid w:val="002E210F"/>
    <w:rsid w:val="002E4091"/>
    <w:rsid w:val="002E596B"/>
    <w:rsid w:val="002F0DAF"/>
    <w:rsid w:val="002F1CFC"/>
    <w:rsid w:val="002F34FC"/>
    <w:rsid w:val="002F393B"/>
    <w:rsid w:val="002F41C6"/>
    <w:rsid w:val="002F47AA"/>
    <w:rsid w:val="002F51A7"/>
    <w:rsid w:val="002F76A4"/>
    <w:rsid w:val="002F78CD"/>
    <w:rsid w:val="00300575"/>
    <w:rsid w:val="00300E98"/>
    <w:rsid w:val="003012BE"/>
    <w:rsid w:val="00304286"/>
    <w:rsid w:val="00310575"/>
    <w:rsid w:val="003150DA"/>
    <w:rsid w:val="00320BF8"/>
    <w:rsid w:val="00320E83"/>
    <w:rsid w:val="0032367B"/>
    <w:rsid w:val="003241C0"/>
    <w:rsid w:val="0032589F"/>
    <w:rsid w:val="0033212D"/>
    <w:rsid w:val="00337453"/>
    <w:rsid w:val="003407BA"/>
    <w:rsid w:val="00341EE1"/>
    <w:rsid w:val="00342E45"/>
    <w:rsid w:val="00344FBF"/>
    <w:rsid w:val="00345D98"/>
    <w:rsid w:val="00345ED9"/>
    <w:rsid w:val="003479A2"/>
    <w:rsid w:val="00350F8D"/>
    <w:rsid w:val="003517C3"/>
    <w:rsid w:val="0035293C"/>
    <w:rsid w:val="00352C61"/>
    <w:rsid w:val="00353638"/>
    <w:rsid w:val="00356516"/>
    <w:rsid w:val="00356F2F"/>
    <w:rsid w:val="003639D9"/>
    <w:rsid w:val="0036473A"/>
    <w:rsid w:val="003663AE"/>
    <w:rsid w:val="00367A19"/>
    <w:rsid w:val="003712F3"/>
    <w:rsid w:val="00371B95"/>
    <w:rsid w:val="00372F82"/>
    <w:rsid w:val="003730D8"/>
    <w:rsid w:val="003751B5"/>
    <w:rsid w:val="00375202"/>
    <w:rsid w:val="0037603A"/>
    <w:rsid w:val="00377EA1"/>
    <w:rsid w:val="003808A4"/>
    <w:rsid w:val="00382C95"/>
    <w:rsid w:val="00385B3A"/>
    <w:rsid w:val="00391E8A"/>
    <w:rsid w:val="0039408C"/>
    <w:rsid w:val="00394329"/>
    <w:rsid w:val="00395253"/>
    <w:rsid w:val="003966DC"/>
    <w:rsid w:val="003A124E"/>
    <w:rsid w:val="003A2566"/>
    <w:rsid w:val="003A4FCB"/>
    <w:rsid w:val="003B2DBA"/>
    <w:rsid w:val="003B2EA8"/>
    <w:rsid w:val="003B3306"/>
    <w:rsid w:val="003C047B"/>
    <w:rsid w:val="003C25AD"/>
    <w:rsid w:val="003C2A1D"/>
    <w:rsid w:val="003C4924"/>
    <w:rsid w:val="003C4E61"/>
    <w:rsid w:val="003C636B"/>
    <w:rsid w:val="003D0A11"/>
    <w:rsid w:val="003D1F5D"/>
    <w:rsid w:val="003D3923"/>
    <w:rsid w:val="003D598F"/>
    <w:rsid w:val="003D74C1"/>
    <w:rsid w:val="003E0201"/>
    <w:rsid w:val="003E05AB"/>
    <w:rsid w:val="003E3904"/>
    <w:rsid w:val="003E3E5D"/>
    <w:rsid w:val="003E4C8C"/>
    <w:rsid w:val="003E5567"/>
    <w:rsid w:val="003F1237"/>
    <w:rsid w:val="003F2642"/>
    <w:rsid w:val="003F654A"/>
    <w:rsid w:val="004001C8"/>
    <w:rsid w:val="00401320"/>
    <w:rsid w:val="004036EB"/>
    <w:rsid w:val="00403FA8"/>
    <w:rsid w:val="00404C7A"/>
    <w:rsid w:val="0040565C"/>
    <w:rsid w:val="0040622C"/>
    <w:rsid w:val="00411FFE"/>
    <w:rsid w:val="00413AD9"/>
    <w:rsid w:val="00424394"/>
    <w:rsid w:val="0042489B"/>
    <w:rsid w:val="00424D07"/>
    <w:rsid w:val="00425BA4"/>
    <w:rsid w:val="00425CE0"/>
    <w:rsid w:val="00430AEC"/>
    <w:rsid w:val="00431314"/>
    <w:rsid w:val="00433EEC"/>
    <w:rsid w:val="004345E8"/>
    <w:rsid w:val="00443A7A"/>
    <w:rsid w:val="00445C8F"/>
    <w:rsid w:val="00446DC9"/>
    <w:rsid w:val="004533B2"/>
    <w:rsid w:val="00460B78"/>
    <w:rsid w:val="004654E7"/>
    <w:rsid w:val="004719E2"/>
    <w:rsid w:val="00474397"/>
    <w:rsid w:val="004821F5"/>
    <w:rsid w:val="00482EC4"/>
    <w:rsid w:val="00483497"/>
    <w:rsid w:val="00484F8C"/>
    <w:rsid w:val="00485313"/>
    <w:rsid w:val="00485A7F"/>
    <w:rsid w:val="00486827"/>
    <w:rsid w:val="004878FE"/>
    <w:rsid w:val="004906BB"/>
    <w:rsid w:val="0049212C"/>
    <w:rsid w:val="00492FE0"/>
    <w:rsid w:val="004A0538"/>
    <w:rsid w:val="004A0A0D"/>
    <w:rsid w:val="004A1B0B"/>
    <w:rsid w:val="004A2063"/>
    <w:rsid w:val="004A249D"/>
    <w:rsid w:val="004A49DC"/>
    <w:rsid w:val="004A53CD"/>
    <w:rsid w:val="004B0A7A"/>
    <w:rsid w:val="004B2CDE"/>
    <w:rsid w:val="004B3168"/>
    <w:rsid w:val="004B361F"/>
    <w:rsid w:val="004B46A9"/>
    <w:rsid w:val="004B4CD0"/>
    <w:rsid w:val="004B4D5B"/>
    <w:rsid w:val="004B77D9"/>
    <w:rsid w:val="004C1EFB"/>
    <w:rsid w:val="004C54E7"/>
    <w:rsid w:val="004C734A"/>
    <w:rsid w:val="004D3470"/>
    <w:rsid w:val="004D6A23"/>
    <w:rsid w:val="004E2B3B"/>
    <w:rsid w:val="004E34A1"/>
    <w:rsid w:val="004E37AF"/>
    <w:rsid w:val="004F1420"/>
    <w:rsid w:val="004F2981"/>
    <w:rsid w:val="004F3553"/>
    <w:rsid w:val="004F3A86"/>
    <w:rsid w:val="004F6C2A"/>
    <w:rsid w:val="004F6C33"/>
    <w:rsid w:val="005021D1"/>
    <w:rsid w:val="005031F7"/>
    <w:rsid w:val="00504553"/>
    <w:rsid w:val="00504FAC"/>
    <w:rsid w:val="00510259"/>
    <w:rsid w:val="00512048"/>
    <w:rsid w:val="005139D1"/>
    <w:rsid w:val="00516570"/>
    <w:rsid w:val="00516E3C"/>
    <w:rsid w:val="00517339"/>
    <w:rsid w:val="005204E2"/>
    <w:rsid w:val="005208DA"/>
    <w:rsid w:val="00521887"/>
    <w:rsid w:val="00522F7D"/>
    <w:rsid w:val="0053289C"/>
    <w:rsid w:val="00533005"/>
    <w:rsid w:val="00533034"/>
    <w:rsid w:val="005345F4"/>
    <w:rsid w:val="00540BCB"/>
    <w:rsid w:val="00544AB8"/>
    <w:rsid w:val="00545153"/>
    <w:rsid w:val="00545406"/>
    <w:rsid w:val="005509B1"/>
    <w:rsid w:val="00550D1D"/>
    <w:rsid w:val="00554D86"/>
    <w:rsid w:val="00555AA4"/>
    <w:rsid w:val="0055663A"/>
    <w:rsid w:val="005639FD"/>
    <w:rsid w:val="00567A9A"/>
    <w:rsid w:val="00571A76"/>
    <w:rsid w:val="0057454D"/>
    <w:rsid w:val="005776BD"/>
    <w:rsid w:val="00577B7D"/>
    <w:rsid w:val="0058157D"/>
    <w:rsid w:val="00581EFD"/>
    <w:rsid w:val="00582BC7"/>
    <w:rsid w:val="0058366F"/>
    <w:rsid w:val="00584A8D"/>
    <w:rsid w:val="00591111"/>
    <w:rsid w:val="00593300"/>
    <w:rsid w:val="00593D51"/>
    <w:rsid w:val="00595B63"/>
    <w:rsid w:val="005979D5"/>
    <w:rsid w:val="005A0E65"/>
    <w:rsid w:val="005A0F6D"/>
    <w:rsid w:val="005A499F"/>
    <w:rsid w:val="005A5B59"/>
    <w:rsid w:val="005B101C"/>
    <w:rsid w:val="005B3E65"/>
    <w:rsid w:val="005B4E7B"/>
    <w:rsid w:val="005C2F30"/>
    <w:rsid w:val="005C726E"/>
    <w:rsid w:val="005D0460"/>
    <w:rsid w:val="005D5911"/>
    <w:rsid w:val="005D6628"/>
    <w:rsid w:val="005D6EE6"/>
    <w:rsid w:val="005D77CA"/>
    <w:rsid w:val="005E3B30"/>
    <w:rsid w:val="005E783F"/>
    <w:rsid w:val="005F06DE"/>
    <w:rsid w:val="005F080A"/>
    <w:rsid w:val="005F2354"/>
    <w:rsid w:val="005F389C"/>
    <w:rsid w:val="005F3ECA"/>
    <w:rsid w:val="005F4CCB"/>
    <w:rsid w:val="005F7515"/>
    <w:rsid w:val="0060143E"/>
    <w:rsid w:val="00601606"/>
    <w:rsid w:val="00604DB7"/>
    <w:rsid w:val="00606877"/>
    <w:rsid w:val="006111B7"/>
    <w:rsid w:val="00611BFA"/>
    <w:rsid w:val="006140B3"/>
    <w:rsid w:val="00623A1F"/>
    <w:rsid w:val="00624200"/>
    <w:rsid w:val="00625499"/>
    <w:rsid w:val="00632857"/>
    <w:rsid w:val="00634008"/>
    <w:rsid w:val="00635920"/>
    <w:rsid w:val="00636A49"/>
    <w:rsid w:val="0064139B"/>
    <w:rsid w:val="00645FF5"/>
    <w:rsid w:val="00646A3D"/>
    <w:rsid w:val="0064735D"/>
    <w:rsid w:val="00647B5E"/>
    <w:rsid w:val="00651D28"/>
    <w:rsid w:val="006530E7"/>
    <w:rsid w:val="00653381"/>
    <w:rsid w:val="00653F31"/>
    <w:rsid w:val="0065401B"/>
    <w:rsid w:val="00665640"/>
    <w:rsid w:val="00667422"/>
    <w:rsid w:val="00667DCF"/>
    <w:rsid w:val="00671374"/>
    <w:rsid w:val="00673209"/>
    <w:rsid w:val="00676A12"/>
    <w:rsid w:val="00676B27"/>
    <w:rsid w:val="0068065A"/>
    <w:rsid w:val="00681230"/>
    <w:rsid w:val="00681936"/>
    <w:rsid w:val="006866A8"/>
    <w:rsid w:val="006A062F"/>
    <w:rsid w:val="006A0B22"/>
    <w:rsid w:val="006A1968"/>
    <w:rsid w:val="006A1D5D"/>
    <w:rsid w:val="006A2C88"/>
    <w:rsid w:val="006A368F"/>
    <w:rsid w:val="006A450F"/>
    <w:rsid w:val="006A4939"/>
    <w:rsid w:val="006A4CA0"/>
    <w:rsid w:val="006A6DA8"/>
    <w:rsid w:val="006A7A47"/>
    <w:rsid w:val="006B3510"/>
    <w:rsid w:val="006B3868"/>
    <w:rsid w:val="006C0A17"/>
    <w:rsid w:val="006C3D3D"/>
    <w:rsid w:val="006D3C89"/>
    <w:rsid w:val="006E0A9C"/>
    <w:rsid w:val="006E0D71"/>
    <w:rsid w:val="006E121E"/>
    <w:rsid w:val="006E25F3"/>
    <w:rsid w:val="006E3625"/>
    <w:rsid w:val="006E6AEA"/>
    <w:rsid w:val="006E6E3B"/>
    <w:rsid w:val="006E7294"/>
    <w:rsid w:val="006F0280"/>
    <w:rsid w:val="006F24E7"/>
    <w:rsid w:val="006F31E0"/>
    <w:rsid w:val="006F4322"/>
    <w:rsid w:val="006F65C2"/>
    <w:rsid w:val="006F79B6"/>
    <w:rsid w:val="00712405"/>
    <w:rsid w:val="007127AF"/>
    <w:rsid w:val="0071284D"/>
    <w:rsid w:val="00712CB4"/>
    <w:rsid w:val="0071382D"/>
    <w:rsid w:val="00714107"/>
    <w:rsid w:val="00716275"/>
    <w:rsid w:val="00716E0E"/>
    <w:rsid w:val="00720853"/>
    <w:rsid w:val="00722380"/>
    <w:rsid w:val="0072264C"/>
    <w:rsid w:val="007269E4"/>
    <w:rsid w:val="00727726"/>
    <w:rsid w:val="007302C6"/>
    <w:rsid w:val="00733240"/>
    <w:rsid w:val="007333A4"/>
    <w:rsid w:val="00734926"/>
    <w:rsid w:val="00735CBD"/>
    <w:rsid w:val="00741620"/>
    <w:rsid w:val="00743C1F"/>
    <w:rsid w:val="00747A94"/>
    <w:rsid w:val="0075515B"/>
    <w:rsid w:val="0075744B"/>
    <w:rsid w:val="007603E9"/>
    <w:rsid w:val="00760762"/>
    <w:rsid w:val="00761080"/>
    <w:rsid w:val="00761487"/>
    <w:rsid w:val="007615DA"/>
    <w:rsid w:val="007637E4"/>
    <w:rsid w:val="007644F1"/>
    <w:rsid w:val="0076744E"/>
    <w:rsid w:val="00770153"/>
    <w:rsid w:val="00775439"/>
    <w:rsid w:val="00780CAF"/>
    <w:rsid w:val="00780F39"/>
    <w:rsid w:val="007812FE"/>
    <w:rsid w:val="007819EB"/>
    <w:rsid w:val="00782444"/>
    <w:rsid w:val="007827E1"/>
    <w:rsid w:val="00792B67"/>
    <w:rsid w:val="00796C14"/>
    <w:rsid w:val="007A0C5C"/>
    <w:rsid w:val="007A14AF"/>
    <w:rsid w:val="007A24AC"/>
    <w:rsid w:val="007A4F27"/>
    <w:rsid w:val="007A74AA"/>
    <w:rsid w:val="007B2E4B"/>
    <w:rsid w:val="007B526C"/>
    <w:rsid w:val="007B5869"/>
    <w:rsid w:val="007B6395"/>
    <w:rsid w:val="007B7328"/>
    <w:rsid w:val="007C2ED8"/>
    <w:rsid w:val="007C395E"/>
    <w:rsid w:val="007C766E"/>
    <w:rsid w:val="007D0295"/>
    <w:rsid w:val="007D300B"/>
    <w:rsid w:val="007D45EF"/>
    <w:rsid w:val="007D48F5"/>
    <w:rsid w:val="007D5EF9"/>
    <w:rsid w:val="007D64B8"/>
    <w:rsid w:val="007D6E4B"/>
    <w:rsid w:val="007D775A"/>
    <w:rsid w:val="007E0A7A"/>
    <w:rsid w:val="007E14CF"/>
    <w:rsid w:val="007E2702"/>
    <w:rsid w:val="007E2BF9"/>
    <w:rsid w:val="007E3D38"/>
    <w:rsid w:val="007F26C0"/>
    <w:rsid w:val="007F2F34"/>
    <w:rsid w:val="007F3775"/>
    <w:rsid w:val="007F4820"/>
    <w:rsid w:val="007F588A"/>
    <w:rsid w:val="008017E0"/>
    <w:rsid w:val="00802034"/>
    <w:rsid w:val="00803133"/>
    <w:rsid w:val="00804F85"/>
    <w:rsid w:val="00805BDC"/>
    <w:rsid w:val="008072CE"/>
    <w:rsid w:val="00810B38"/>
    <w:rsid w:val="008110D3"/>
    <w:rsid w:val="00812713"/>
    <w:rsid w:val="00817C14"/>
    <w:rsid w:val="00820461"/>
    <w:rsid w:val="00822EDB"/>
    <w:rsid w:val="00823949"/>
    <w:rsid w:val="00823A19"/>
    <w:rsid w:val="00826454"/>
    <w:rsid w:val="008304A2"/>
    <w:rsid w:val="008346AC"/>
    <w:rsid w:val="00836292"/>
    <w:rsid w:val="00840F17"/>
    <w:rsid w:val="00845A19"/>
    <w:rsid w:val="00853B59"/>
    <w:rsid w:val="00853CB6"/>
    <w:rsid w:val="008545B9"/>
    <w:rsid w:val="00856C36"/>
    <w:rsid w:val="00860E56"/>
    <w:rsid w:val="00863980"/>
    <w:rsid w:val="00873C61"/>
    <w:rsid w:val="00874066"/>
    <w:rsid w:val="008741A5"/>
    <w:rsid w:val="00874458"/>
    <w:rsid w:val="0087715E"/>
    <w:rsid w:val="00880944"/>
    <w:rsid w:val="0088112E"/>
    <w:rsid w:val="0088159B"/>
    <w:rsid w:val="00882ACF"/>
    <w:rsid w:val="00890123"/>
    <w:rsid w:val="0089019B"/>
    <w:rsid w:val="00890C66"/>
    <w:rsid w:val="00894BB4"/>
    <w:rsid w:val="00896081"/>
    <w:rsid w:val="00896C17"/>
    <w:rsid w:val="00897296"/>
    <w:rsid w:val="008A0565"/>
    <w:rsid w:val="008A0743"/>
    <w:rsid w:val="008A24E1"/>
    <w:rsid w:val="008A2E8E"/>
    <w:rsid w:val="008B1209"/>
    <w:rsid w:val="008B2C3F"/>
    <w:rsid w:val="008B4729"/>
    <w:rsid w:val="008C0753"/>
    <w:rsid w:val="008C1240"/>
    <w:rsid w:val="008C3CAA"/>
    <w:rsid w:val="008C4A62"/>
    <w:rsid w:val="008C4DE7"/>
    <w:rsid w:val="008C511A"/>
    <w:rsid w:val="008C558A"/>
    <w:rsid w:val="008C5CC0"/>
    <w:rsid w:val="008C7C7D"/>
    <w:rsid w:val="008D47C1"/>
    <w:rsid w:val="008D6B45"/>
    <w:rsid w:val="008E3060"/>
    <w:rsid w:val="008E4523"/>
    <w:rsid w:val="008E4CBB"/>
    <w:rsid w:val="008E4D6A"/>
    <w:rsid w:val="008E63FD"/>
    <w:rsid w:val="008F087B"/>
    <w:rsid w:val="008F1D1E"/>
    <w:rsid w:val="008F2EE2"/>
    <w:rsid w:val="008F528A"/>
    <w:rsid w:val="0090109B"/>
    <w:rsid w:val="00901FC8"/>
    <w:rsid w:val="009035A6"/>
    <w:rsid w:val="00904F79"/>
    <w:rsid w:val="00906F8A"/>
    <w:rsid w:val="009070A6"/>
    <w:rsid w:val="00910415"/>
    <w:rsid w:val="00914557"/>
    <w:rsid w:val="00915EB2"/>
    <w:rsid w:val="009207ED"/>
    <w:rsid w:val="0092202D"/>
    <w:rsid w:val="00924C77"/>
    <w:rsid w:val="00926ED7"/>
    <w:rsid w:val="009424BD"/>
    <w:rsid w:val="00942A93"/>
    <w:rsid w:val="00942E32"/>
    <w:rsid w:val="0094498D"/>
    <w:rsid w:val="009459AD"/>
    <w:rsid w:val="00947DBE"/>
    <w:rsid w:val="00950A42"/>
    <w:rsid w:val="00950B26"/>
    <w:rsid w:val="00967DDB"/>
    <w:rsid w:val="009738C6"/>
    <w:rsid w:val="00974B59"/>
    <w:rsid w:val="00974ED9"/>
    <w:rsid w:val="00976269"/>
    <w:rsid w:val="00980BA7"/>
    <w:rsid w:val="00984D82"/>
    <w:rsid w:val="00985B6B"/>
    <w:rsid w:val="0099252D"/>
    <w:rsid w:val="00996621"/>
    <w:rsid w:val="00997A3A"/>
    <w:rsid w:val="00997A81"/>
    <w:rsid w:val="009A0CE1"/>
    <w:rsid w:val="009A4774"/>
    <w:rsid w:val="009A712D"/>
    <w:rsid w:val="009B2167"/>
    <w:rsid w:val="009B3F13"/>
    <w:rsid w:val="009B5FF8"/>
    <w:rsid w:val="009C120D"/>
    <w:rsid w:val="009C4E86"/>
    <w:rsid w:val="009C595E"/>
    <w:rsid w:val="009D5780"/>
    <w:rsid w:val="009E18F7"/>
    <w:rsid w:val="009E6726"/>
    <w:rsid w:val="009F041B"/>
    <w:rsid w:val="009F58BD"/>
    <w:rsid w:val="009F7A6E"/>
    <w:rsid w:val="00A00C03"/>
    <w:rsid w:val="00A01545"/>
    <w:rsid w:val="00A026EB"/>
    <w:rsid w:val="00A029C1"/>
    <w:rsid w:val="00A06A54"/>
    <w:rsid w:val="00A10FBD"/>
    <w:rsid w:val="00A11044"/>
    <w:rsid w:val="00A11795"/>
    <w:rsid w:val="00A130BE"/>
    <w:rsid w:val="00A1714A"/>
    <w:rsid w:val="00A2015D"/>
    <w:rsid w:val="00A20A5E"/>
    <w:rsid w:val="00A20A88"/>
    <w:rsid w:val="00A20B33"/>
    <w:rsid w:val="00A25BF6"/>
    <w:rsid w:val="00A260C5"/>
    <w:rsid w:val="00A31AA9"/>
    <w:rsid w:val="00A3237E"/>
    <w:rsid w:val="00A340E4"/>
    <w:rsid w:val="00A35789"/>
    <w:rsid w:val="00A35C1E"/>
    <w:rsid w:val="00A372FE"/>
    <w:rsid w:val="00A37C26"/>
    <w:rsid w:val="00A37E8B"/>
    <w:rsid w:val="00A47B1F"/>
    <w:rsid w:val="00A52970"/>
    <w:rsid w:val="00A5327F"/>
    <w:rsid w:val="00A53EE6"/>
    <w:rsid w:val="00A54664"/>
    <w:rsid w:val="00A569B3"/>
    <w:rsid w:val="00A56FDA"/>
    <w:rsid w:val="00A60633"/>
    <w:rsid w:val="00A60D70"/>
    <w:rsid w:val="00A7010C"/>
    <w:rsid w:val="00A70AED"/>
    <w:rsid w:val="00A71C52"/>
    <w:rsid w:val="00A73E85"/>
    <w:rsid w:val="00A74314"/>
    <w:rsid w:val="00A748B3"/>
    <w:rsid w:val="00A75E8E"/>
    <w:rsid w:val="00A760E0"/>
    <w:rsid w:val="00A77674"/>
    <w:rsid w:val="00A81800"/>
    <w:rsid w:val="00A932C1"/>
    <w:rsid w:val="00A9362B"/>
    <w:rsid w:val="00A94A64"/>
    <w:rsid w:val="00A96475"/>
    <w:rsid w:val="00A96904"/>
    <w:rsid w:val="00A96DE1"/>
    <w:rsid w:val="00AA113D"/>
    <w:rsid w:val="00AA205E"/>
    <w:rsid w:val="00AA3564"/>
    <w:rsid w:val="00AA7481"/>
    <w:rsid w:val="00AA7F53"/>
    <w:rsid w:val="00AB2A91"/>
    <w:rsid w:val="00AB4035"/>
    <w:rsid w:val="00AB42FB"/>
    <w:rsid w:val="00AB51A6"/>
    <w:rsid w:val="00AB693E"/>
    <w:rsid w:val="00AB7F7C"/>
    <w:rsid w:val="00AC18A0"/>
    <w:rsid w:val="00AC27A5"/>
    <w:rsid w:val="00AD68F2"/>
    <w:rsid w:val="00AE1B29"/>
    <w:rsid w:val="00AE3CC6"/>
    <w:rsid w:val="00AE7304"/>
    <w:rsid w:val="00AE7ADF"/>
    <w:rsid w:val="00AF0BA8"/>
    <w:rsid w:val="00AF1D9D"/>
    <w:rsid w:val="00AF229E"/>
    <w:rsid w:val="00AF62C5"/>
    <w:rsid w:val="00B0159C"/>
    <w:rsid w:val="00B02070"/>
    <w:rsid w:val="00B0330E"/>
    <w:rsid w:val="00B05071"/>
    <w:rsid w:val="00B06D7E"/>
    <w:rsid w:val="00B12D67"/>
    <w:rsid w:val="00B13E69"/>
    <w:rsid w:val="00B17C9D"/>
    <w:rsid w:val="00B231F5"/>
    <w:rsid w:val="00B234DB"/>
    <w:rsid w:val="00B319D6"/>
    <w:rsid w:val="00B3312F"/>
    <w:rsid w:val="00B33A85"/>
    <w:rsid w:val="00B36BF2"/>
    <w:rsid w:val="00B40424"/>
    <w:rsid w:val="00B41DA9"/>
    <w:rsid w:val="00B4261F"/>
    <w:rsid w:val="00B42A90"/>
    <w:rsid w:val="00B42FFA"/>
    <w:rsid w:val="00B43157"/>
    <w:rsid w:val="00B45CFC"/>
    <w:rsid w:val="00B469B0"/>
    <w:rsid w:val="00B46E53"/>
    <w:rsid w:val="00B505F8"/>
    <w:rsid w:val="00B514AD"/>
    <w:rsid w:val="00B51DD3"/>
    <w:rsid w:val="00B60801"/>
    <w:rsid w:val="00B66925"/>
    <w:rsid w:val="00B67E6B"/>
    <w:rsid w:val="00B70595"/>
    <w:rsid w:val="00B72169"/>
    <w:rsid w:val="00B748A7"/>
    <w:rsid w:val="00B7631C"/>
    <w:rsid w:val="00B7719F"/>
    <w:rsid w:val="00B806F9"/>
    <w:rsid w:val="00B826ED"/>
    <w:rsid w:val="00B836FD"/>
    <w:rsid w:val="00B84902"/>
    <w:rsid w:val="00B85191"/>
    <w:rsid w:val="00B8761B"/>
    <w:rsid w:val="00B87808"/>
    <w:rsid w:val="00B92640"/>
    <w:rsid w:val="00B9564B"/>
    <w:rsid w:val="00B97B09"/>
    <w:rsid w:val="00BA12BD"/>
    <w:rsid w:val="00BA1F48"/>
    <w:rsid w:val="00BA49DD"/>
    <w:rsid w:val="00BA712E"/>
    <w:rsid w:val="00BA75DF"/>
    <w:rsid w:val="00BA7CB7"/>
    <w:rsid w:val="00BB0865"/>
    <w:rsid w:val="00BB0E91"/>
    <w:rsid w:val="00BB22B4"/>
    <w:rsid w:val="00BB2518"/>
    <w:rsid w:val="00BB388F"/>
    <w:rsid w:val="00BB39D1"/>
    <w:rsid w:val="00BB3C95"/>
    <w:rsid w:val="00BB748E"/>
    <w:rsid w:val="00BC0230"/>
    <w:rsid w:val="00BC24E9"/>
    <w:rsid w:val="00BC3D26"/>
    <w:rsid w:val="00BC520E"/>
    <w:rsid w:val="00BC62C3"/>
    <w:rsid w:val="00BC76BB"/>
    <w:rsid w:val="00BC7DAB"/>
    <w:rsid w:val="00BD3052"/>
    <w:rsid w:val="00BE7B5F"/>
    <w:rsid w:val="00BF4E67"/>
    <w:rsid w:val="00BF6CAE"/>
    <w:rsid w:val="00C007F6"/>
    <w:rsid w:val="00C02989"/>
    <w:rsid w:val="00C03CED"/>
    <w:rsid w:val="00C07263"/>
    <w:rsid w:val="00C10404"/>
    <w:rsid w:val="00C168AE"/>
    <w:rsid w:val="00C17E5E"/>
    <w:rsid w:val="00C20099"/>
    <w:rsid w:val="00C21320"/>
    <w:rsid w:val="00C301AE"/>
    <w:rsid w:val="00C302A6"/>
    <w:rsid w:val="00C36377"/>
    <w:rsid w:val="00C37D16"/>
    <w:rsid w:val="00C40334"/>
    <w:rsid w:val="00C40866"/>
    <w:rsid w:val="00C42BF0"/>
    <w:rsid w:val="00C5097B"/>
    <w:rsid w:val="00C50D1C"/>
    <w:rsid w:val="00C51219"/>
    <w:rsid w:val="00C525F0"/>
    <w:rsid w:val="00C52637"/>
    <w:rsid w:val="00C60408"/>
    <w:rsid w:val="00C60CA1"/>
    <w:rsid w:val="00C60FDD"/>
    <w:rsid w:val="00C63474"/>
    <w:rsid w:val="00C63B38"/>
    <w:rsid w:val="00C66AAD"/>
    <w:rsid w:val="00C706AD"/>
    <w:rsid w:val="00C7290E"/>
    <w:rsid w:val="00C72FA6"/>
    <w:rsid w:val="00C73012"/>
    <w:rsid w:val="00C737A0"/>
    <w:rsid w:val="00C75D2D"/>
    <w:rsid w:val="00C76589"/>
    <w:rsid w:val="00C76A1B"/>
    <w:rsid w:val="00C77529"/>
    <w:rsid w:val="00C8313A"/>
    <w:rsid w:val="00C83932"/>
    <w:rsid w:val="00C845E7"/>
    <w:rsid w:val="00C87DD1"/>
    <w:rsid w:val="00C9083E"/>
    <w:rsid w:val="00C929C6"/>
    <w:rsid w:val="00CA374C"/>
    <w:rsid w:val="00CB0712"/>
    <w:rsid w:val="00CB1865"/>
    <w:rsid w:val="00CB1A77"/>
    <w:rsid w:val="00CB2387"/>
    <w:rsid w:val="00CB53B7"/>
    <w:rsid w:val="00CB58E5"/>
    <w:rsid w:val="00CB5E4E"/>
    <w:rsid w:val="00CB66D8"/>
    <w:rsid w:val="00CC08B2"/>
    <w:rsid w:val="00CC1EDA"/>
    <w:rsid w:val="00CC47B2"/>
    <w:rsid w:val="00CD1EFA"/>
    <w:rsid w:val="00CD238D"/>
    <w:rsid w:val="00CD24DC"/>
    <w:rsid w:val="00CD7512"/>
    <w:rsid w:val="00CE182A"/>
    <w:rsid w:val="00CE7A2E"/>
    <w:rsid w:val="00CF02F6"/>
    <w:rsid w:val="00CF0978"/>
    <w:rsid w:val="00CF1F15"/>
    <w:rsid w:val="00CF3E87"/>
    <w:rsid w:val="00CF6B65"/>
    <w:rsid w:val="00CF724C"/>
    <w:rsid w:val="00CF7692"/>
    <w:rsid w:val="00D02AB4"/>
    <w:rsid w:val="00D038C0"/>
    <w:rsid w:val="00D055A1"/>
    <w:rsid w:val="00D06F0C"/>
    <w:rsid w:val="00D12D5B"/>
    <w:rsid w:val="00D17533"/>
    <w:rsid w:val="00D218A8"/>
    <w:rsid w:val="00D24970"/>
    <w:rsid w:val="00D27EC6"/>
    <w:rsid w:val="00D33074"/>
    <w:rsid w:val="00D3359A"/>
    <w:rsid w:val="00D337A6"/>
    <w:rsid w:val="00D33C23"/>
    <w:rsid w:val="00D357F3"/>
    <w:rsid w:val="00D4064F"/>
    <w:rsid w:val="00D420D8"/>
    <w:rsid w:val="00D42CC5"/>
    <w:rsid w:val="00D44B74"/>
    <w:rsid w:val="00D44C22"/>
    <w:rsid w:val="00D45C89"/>
    <w:rsid w:val="00D47737"/>
    <w:rsid w:val="00D52014"/>
    <w:rsid w:val="00D52612"/>
    <w:rsid w:val="00D52BBB"/>
    <w:rsid w:val="00D53A53"/>
    <w:rsid w:val="00D53E4D"/>
    <w:rsid w:val="00D5549B"/>
    <w:rsid w:val="00D575E6"/>
    <w:rsid w:val="00D6161D"/>
    <w:rsid w:val="00D61FB8"/>
    <w:rsid w:val="00D70E9F"/>
    <w:rsid w:val="00D718D2"/>
    <w:rsid w:val="00D7299A"/>
    <w:rsid w:val="00D73D90"/>
    <w:rsid w:val="00D800A2"/>
    <w:rsid w:val="00D80CA6"/>
    <w:rsid w:val="00D83139"/>
    <w:rsid w:val="00D86A3B"/>
    <w:rsid w:val="00D873DC"/>
    <w:rsid w:val="00D876DB"/>
    <w:rsid w:val="00D924A6"/>
    <w:rsid w:val="00D9266B"/>
    <w:rsid w:val="00D94A7D"/>
    <w:rsid w:val="00DB2EE1"/>
    <w:rsid w:val="00DB33F4"/>
    <w:rsid w:val="00DB458B"/>
    <w:rsid w:val="00DB541B"/>
    <w:rsid w:val="00DB6AB2"/>
    <w:rsid w:val="00DB72B2"/>
    <w:rsid w:val="00DC09E8"/>
    <w:rsid w:val="00DC4DE5"/>
    <w:rsid w:val="00DC52FF"/>
    <w:rsid w:val="00DC7EAF"/>
    <w:rsid w:val="00DD0A0A"/>
    <w:rsid w:val="00DD2157"/>
    <w:rsid w:val="00DD26C3"/>
    <w:rsid w:val="00DD2EA9"/>
    <w:rsid w:val="00DD4481"/>
    <w:rsid w:val="00DD5A85"/>
    <w:rsid w:val="00DD709C"/>
    <w:rsid w:val="00DD754F"/>
    <w:rsid w:val="00DE1603"/>
    <w:rsid w:val="00DE4A61"/>
    <w:rsid w:val="00DF08C7"/>
    <w:rsid w:val="00DF2BA4"/>
    <w:rsid w:val="00DF3E56"/>
    <w:rsid w:val="00DF5E68"/>
    <w:rsid w:val="00DF74B7"/>
    <w:rsid w:val="00E0695F"/>
    <w:rsid w:val="00E10005"/>
    <w:rsid w:val="00E13AF5"/>
    <w:rsid w:val="00E15011"/>
    <w:rsid w:val="00E15BEE"/>
    <w:rsid w:val="00E15EC2"/>
    <w:rsid w:val="00E1723A"/>
    <w:rsid w:val="00E175E2"/>
    <w:rsid w:val="00E206D9"/>
    <w:rsid w:val="00E20A1D"/>
    <w:rsid w:val="00E20E59"/>
    <w:rsid w:val="00E21D32"/>
    <w:rsid w:val="00E267C9"/>
    <w:rsid w:val="00E3092F"/>
    <w:rsid w:val="00E31CE1"/>
    <w:rsid w:val="00E428D5"/>
    <w:rsid w:val="00E42FA3"/>
    <w:rsid w:val="00E43D11"/>
    <w:rsid w:val="00E4474E"/>
    <w:rsid w:val="00E45131"/>
    <w:rsid w:val="00E45F1F"/>
    <w:rsid w:val="00E50B5D"/>
    <w:rsid w:val="00E553B5"/>
    <w:rsid w:val="00E60005"/>
    <w:rsid w:val="00E63064"/>
    <w:rsid w:val="00E630EF"/>
    <w:rsid w:val="00E653E4"/>
    <w:rsid w:val="00E65986"/>
    <w:rsid w:val="00E67B1C"/>
    <w:rsid w:val="00E71DF4"/>
    <w:rsid w:val="00E74C81"/>
    <w:rsid w:val="00E81634"/>
    <w:rsid w:val="00E824DA"/>
    <w:rsid w:val="00E82B3E"/>
    <w:rsid w:val="00E83E31"/>
    <w:rsid w:val="00E86552"/>
    <w:rsid w:val="00E87663"/>
    <w:rsid w:val="00E9183A"/>
    <w:rsid w:val="00E953B5"/>
    <w:rsid w:val="00E965C6"/>
    <w:rsid w:val="00E972D1"/>
    <w:rsid w:val="00EA428A"/>
    <w:rsid w:val="00EA43EB"/>
    <w:rsid w:val="00EB2C2A"/>
    <w:rsid w:val="00EB3A62"/>
    <w:rsid w:val="00EB434E"/>
    <w:rsid w:val="00EB446A"/>
    <w:rsid w:val="00EB5147"/>
    <w:rsid w:val="00EB579D"/>
    <w:rsid w:val="00EB6836"/>
    <w:rsid w:val="00EB6CCF"/>
    <w:rsid w:val="00EC3D19"/>
    <w:rsid w:val="00EC404B"/>
    <w:rsid w:val="00EC53A0"/>
    <w:rsid w:val="00EC5502"/>
    <w:rsid w:val="00ED36AD"/>
    <w:rsid w:val="00ED49E1"/>
    <w:rsid w:val="00EF4F6F"/>
    <w:rsid w:val="00EF56CF"/>
    <w:rsid w:val="00F01EC1"/>
    <w:rsid w:val="00F0348C"/>
    <w:rsid w:val="00F06D66"/>
    <w:rsid w:val="00F07142"/>
    <w:rsid w:val="00F12C59"/>
    <w:rsid w:val="00F12EAB"/>
    <w:rsid w:val="00F21A01"/>
    <w:rsid w:val="00F21A0F"/>
    <w:rsid w:val="00F234CE"/>
    <w:rsid w:val="00F24131"/>
    <w:rsid w:val="00F27586"/>
    <w:rsid w:val="00F27EAF"/>
    <w:rsid w:val="00F30339"/>
    <w:rsid w:val="00F35759"/>
    <w:rsid w:val="00F358FC"/>
    <w:rsid w:val="00F377DE"/>
    <w:rsid w:val="00F421BB"/>
    <w:rsid w:val="00F440BA"/>
    <w:rsid w:val="00F51FBE"/>
    <w:rsid w:val="00F5306E"/>
    <w:rsid w:val="00F53941"/>
    <w:rsid w:val="00F54865"/>
    <w:rsid w:val="00F5490B"/>
    <w:rsid w:val="00F55BD0"/>
    <w:rsid w:val="00F55CDB"/>
    <w:rsid w:val="00F5750F"/>
    <w:rsid w:val="00F61FE7"/>
    <w:rsid w:val="00F6245E"/>
    <w:rsid w:val="00F631B5"/>
    <w:rsid w:val="00F65B6F"/>
    <w:rsid w:val="00F73716"/>
    <w:rsid w:val="00F73F74"/>
    <w:rsid w:val="00F83DE4"/>
    <w:rsid w:val="00F84DFE"/>
    <w:rsid w:val="00F853A8"/>
    <w:rsid w:val="00F907C5"/>
    <w:rsid w:val="00F9265D"/>
    <w:rsid w:val="00F95F89"/>
    <w:rsid w:val="00FA0E98"/>
    <w:rsid w:val="00FA11D3"/>
    <w:rsid w:val="00FA135F"/>
    <w:rsid w:val="00FA3526"/>
    <w:rsid w:val="00FA46D5"/>
    <w:rsid w:val="00FB062B"/>
    <w:rsid w:val="00FB0E39"/>
    <w:rsid w:val="00FB27A8"/>
    <w:rsid w:val="00FB36C4"/>
    <w:rsid w:val="00FB4883"/>
    <w:rsid w:val="00FC1173"/>
    <w:rsid w:val="00FC13D5"/>
    <w:rsid w:val="00FC4845"/>
    <w:rsid w:val="00FC533F"/>
    <w:rsid w:val="00FC7303"/>
    <w:rsid w:val="00FD268E"/>
    <w:rsid w:val="00FD623E"/>
    <w:rsid w:val="00FE32F5"/>
    <w:rsid w:val="00FE5267"/>
    <w:rsid w:val="00FE6446"/>
    <w:rsid w:val="00FF1A39"/>
    <w:rsid w:val="00FF2ED4"/>
    <w:rsid w:val="00FF3F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225D4"/>
  <w15:chartTrackingRefBased/>
  <w15:docId w15:val="{5EEB3F46-BF95-46A0-88C8-C0A1A23CDEF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eastAsia="en-US"/>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eastAsia="en-US"/>
    </w:rPr>
  </w:style>
  <w:style w:type="character" w:customStyle="1" w:styleId="Heading1Char">
    <w:name w:val="Heading 1 Char"/>
    <w:aliases w:val="IPPC Headsection Char"/>
    <w:basedOn w:val="DefaultParagraphFont"/>
    <w:link w:val="Heading1"/>
    <w:rPr>
      <w:rFonts w:eastAsia="MS Mincho"/>
      <w:b/>
      <w:bCs/>
      <w:sz w:val="22"/>
      <w:szCs w:val="24"/>
      <w:lang w:eastAsia="en-U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s-ES"/>
    </w:rPr>
  </w:style>
  <w:style w:type="character" w:customStyle="1" w:styleId="IPPNormalbold">
    <w:name w:val="IPP Normal bold"/>
    <w:basedOn w:val="PlainTextChar"/>
    <w:rPr>
      <w:rFonts w:ascii="Times New Roman" w:eastAsia="Times" w:hAnsi="Times New Roman"/>
      <w:b/>
      <w:sz w:val="22"/>
      <w:szCs w:val="21"/>
      <w:lang w:val="es-ES" w:eastAsia="en-U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s-ES"/>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eastAsia="en-US"/>
    </w:rPr>
  </w:style>
  <w:style w:type="character" w:customStyle="1" w:styleId="Heading3Char">
    <w:name w:val="Heading 3 Char"/>
    <w:basedOn w:val="DefaultParagraphFont"/>
    <w:link w:val="Heading3"/>
    <w:rPr>
      <w:rFonts w:ascii="Calibri" w:eastAsia="MS Mincho" w:hAnsi="Calibri"/>
      <w:b/>
      <w:bCs/>
      <w:sz w:val="26"/>
      <w:szCs w:val="26"/>
      <w:lang w:eastAsia="en-U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eastAsia="en-US"/>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eastAsia="en-US"/>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0"/>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es-ES" w:eastAsia="en-US"/>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0"/>
      </w:tabs>
      <w:ind w:hanging="482"/>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eastAsia="en-US"/>
    </w:rPr>
  </w:style>
  <w:style w:type="paragraph" w:styleId="NormalWeb">
    <w:name w:val="Normal (Web)"/>
    <w:basedOn w:val="Normal"/>
    <w:uiPriority w:val="99"/>
    <w:unhideWhenUsed/>
    <w:pPr>
      <w:spacing w:before="100" w:beforeAutospacing="1" w:after="100" w:afterAutospacing="1"/>
      <w:jc w:val="left"/>
    </w:pPr>
    <w:rPr>
      <w:rFonts w:eastAsia="Times New Roman"/>
      <w:sz w:val="24"/>
    </w:rPr>
  </w:style>
  <w:style w:type="paragraph" w:styleId="Revision">
    <w:name w:val="Revision"/>
    <w:hidden/>
    <w:uiPriority w:val="99"/>
    <w:semiHidden/>
    <w:rPr>
      <w:rFonts w:eastAsia="MS Mincho"/>
      <w:sz w:val="22"/>
      <w:szCs w:val="24"/>
      <w:lang w:eastAsia="en-US"/>
    </w:rPr>
  </w:style>
  <w:style w:type="paragraph" w:customStyle="1" w:styleId="footnotedescription">
    <w:name w:val="footnote description"/>
    <w:next w:val="Normal"/>
    <w:link w:val="footnotedescriptionChar"/>
    <w:hidden/>
    <w:pPr>
      <w:spacing w:line="276" w:lineRule="auto"/>
      <w:ind w:left="1"/>
    </w:pPr>
    <w:rPr>
      <w:rFonts w:eastAsia="Times New Roman"/>
      <w:color w:val="000000"/>
      <w:szCs w:val="22"/>
      <w:lang w:eastAsia="en-AU"/>
    </w:rPr>
  </w:style>
  <w:style w:type="character" w:customStyle="1" w:styleId="footnotedescriptionChar">
    <w:name w:val="footnote description Char"/>
    <w:link w:val="footnotedescription"/>
    <w:rPr>
      <w:rFonts w:eastAsia="Times New Roman"/>
      <w:color w:val="000000"/>
      <w:szCs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0">
    <w:name w:val="TableGrid"/>
    <w:rPr>
      <w:rFonts w:ascii="Calibri" w:eastAsia="Times New Roman" w:hAnsi="Calibri"/>
      <w:sz w:val="22"/>
      <w:szCs w:val="22"/>
      <w:lang w:eastAsia="en-AU"/>
    </w:rPr>
    <w:tblPr>
      <w:tblCellMar>
        <w:top w:w="0" w:type="dxa"/>
        <w:left w:w="0" w:type="dxa"/>
        <w:bottom w:w="0" w:type="dxa"/>
        <w:right w:w="0" w:type="dxa"/>
      </w:tblCellMar>
    </w:tblPr>
  </w:style>
  <w:style w:type="table" w:customStyle="1" w:styleId="TableGrid3">
    <w:name w:val="TableGrid3"/>
    <w:rPr>
      <w:rFonts w:ascii="Calibri" w:eastAsia="Times New Roman" w:hAnsi="Calibri"/>
      <w:sz w:val="22"/>
      <w:szCs w:val="22"/>
      <w:lang w:eastAsia="en-AU"/>
    </w:rPr>
    <w:tblPr>
      <w:tblCellMar>
        <w:top w:w="0" w:type="dxa"/>
        <w:left w:w="0" w:type="dxa"/>
        <w:bottom w:w="0" w:type="dxa"/>
        <w:right w:w="0" w:type="dxa"/>
      </w:tblCellMar>
    </w:tblPr>
  </w:style>
  <w:style w:type="character" w:styleId="Hyperlink">
    <w:name w:val="Hyperlink"/>
    <w:basedOn w:val="DefaultParagraphFont"/>
    <w:unhideWhenUsed/>
    <w:rPr>
      <w:color w:val="0000FF"/>
      <w:u w:val="single"/>
    </w:rPr>
  </w:style>
  <w:style w:type="paragraph" w:customStyle="1" w:styleId="Default">
    <w:name w:val="Default"/>
    <w:pPr>
      <w:autoSpaceDE w:val="0"/>
      <w:autoSpaceDN w:val="0"/>
      <w:adjustRightInd w:val="0"/>
    </w:pPr>
    <w:rPr>
      <w:color w:val="000000"/>
      <w:sz w:val="24"/>
      <w:szCs w:val="24"/>
      <w:lang w:eastAsia="en-AU"/>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styleId="PleaseReviewParagraphId">
    <w:name w:val="PleaseReviewParagraphId"/>
    <w:basedOn w:val="DefaultParagraphFont"/>
    <w:rPr>
      <w:rFonts w:ascii="Arial" w:hAnsi="Arial"/>
      <w:b w:val="off"/>
      <w:i w:val="off"/>
      <w:u w:val="off"/>
      <w:color w:val="000080"/>
      <w:sz w:val="16"/>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6284">
      <w:bodyDiv w:val="1"/>
      <w:marLeft w:val="0"/>
      <w:marRight w:val="0"/>
      <w:marTop w:val="0"/>
      <w:marBottom w:val="0"/>
      <w:divBdr>
        <w:top w:val="none" w:sz="0" w:space="0" w:color="auto"/>
        <w:left w:val="none" w:sz="0" w:space="0" w:color="auto"/>
        <w:bottom w:val="none" w:sz="0" w:space="0" w:color="auto"/>
        <w:right w:val="none" w:sz="0" w:space="0" w:color="auto"/>
      </w:divBdr>
    </w:div>
    <w:div w:id="769811779">
      <w:bodyDiv w:val="1"/>
      <w:marLeft w:val="0"/>
      <w:marRight w:val="0"/>
      <w:marTop w:val="0"/>
      <w:marBottom w:val="0"/>
      <w:divBdr>
        <w:top w:val="none" w:sz="0" w:space="0" w:color="auto"/>
        <w:left w:val="none" w:sz="0" w:space="0" w:color="auto"/>
        <w:bottom w:val="none" w:sz="0" w:space="0" w:color="auto"/>
        <w:right w:val="none" w:sz="0" w:space="0" w:color="auto"/>
      </w:divBdr>
    </w:div>
    <w:div w:id="1538470091">
      <w:bodyDiv w:val="1"/>
      <w:marLeft w:val="0"/>
      <w:marRight w:val="0"/>
      <w:marTop w:val="0"/>
      <w:marBottom w:val="0"/>
      <w:divBdr>
        <w:top w:val="none" w:sz="0" w:space="0" w:color="auto"/>
        <w:left w:val="none" w:sz="0" w:space="0" w:color="auto"/>
        <w:bottom w:val="none" w:sz="0" w:space="0" w:color="auto"/>
        <w:right w:val="none" w:sz="0" w:space="0" w:color="auto"/>
      </w:divBdr>
    </w:div>
    <w:div w:id="1796633991">
      <w:bodyDiv w:val="1"/>
      <w:marLeft w:val="0"/>
      <w:marRight w:val="0"/>
      <w:marTop w:val="0"/>
      <w:marBottom w:val="0"/>
      <w:divBdr>
        <w:top w:val="none" w:sz="0" w:space="0" w:color="auto"/>
        <w:left w:val="none" w:sz="0" w:space="0" w:color="auto"/>
        <w:bottom w:val="none" w:sz="0" w:space="0" w:color="auto"/>
        <w:right w:val="none" w:sz="0" w:space="0" w:color="auto"/>
      </w:divBdr>
    </w:div>
    <w:div w:id="1889872633">
      <w:bodyDiv w:val="1"/>
      <w:marLeft w:val="0"/>
      <w:marRight w:val="0"/>
      <w:marTop w:val="0"/>
      <w:marBottom w:val="0"/>
      <w:divBdr>
        <w:top w:val="none" w:sz="0" w:space="0" w:color="auto"/>
        <w:left w:val="none" w:sz="0" w:space="0" w:color="auto"/>
        <w:bottom w:val="none" w:sz="0" w:space="0" w:color="auto"/>
        <w:right w:val="none" w:sz="0" w:space="0" w:color="auto"/>
      </w:divBdr>
    </w:div>
    <w:div w:id="20617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Type="http://schemas.openxmlformats.org/officeDocument/2006/relationships/webSettings" Target="webSettings.xml" Id="rId8" />
  <Relationship Type="http://schemas.openxmlformats.org/officeDocument/2006/relationships/hyperlink" Target="https://doi.org/10.1007/BF02981228" TargetMode="External" Id="rId13" />
  <Relationship Type="http://schemas.openxmlformats.org/officeDocument/2006/relationships/customXml" Target="../customXml/item3.xml" Id="rId3" />
  <Relationship Type="http://schemas.openxmlformats.org/officeDocument/2006/relationships/settings" Target="settings.xml" Id="rId7" />
  <Relationship Type="http://schemas.openxmlformats.org/officeDocument/2006/relationships/hyperlink" Target="https://journals.flvc.org/flaent/article/view/88695" TargetMode="External" Id="rId12" />
  <Relationship Type="http://schemas.openxmlformats.org/officeDocument/2006/relationships/customXml" Target="../customXml/item2.xml" Id="rId2" />
  <Relationship Type="http://schemas.openxmlformats.org/officeDocument/2006/relationships/customXml" Target="../customXml/item1.xml" Id="rId1" />
  <Relationship Type="http://schemas.openxmlformats.org/officeDocument/2006/relationships/styles" Target="styles.xml" Id="rId6" />
  <Relationship Type="http://schemas.openxmlformats.org/officeDocument/2006/relationships/hyperlink" Target="https://www.ippc.int/es/core-activities/standards-setting/ispms" TargetMode="External" Id="rId11" />
  <Relationship Type="http://schemas.openxmlformats.org/officeDocument/2006/relationships/numbering" Target="numbering.xml" Id="rId5" />
  <Relationship Type="http://schemas.openxmlformats.org/officeDocument/2006/relationships/theme" Target="theme/theme1.xml" Id="rId15" />
  <Relationship Type="http://schemas.openxmlformats.org/officeDocument/2006/relationships/endnotes" Target="endnotes.xml" Id="rId10" />
  <Relationship Type="http://schemas.openxmlformats.org/officeDocument/2006/relationships/customXml" Target="../customXml/item4.xml" Id="rId4" />
  <Relationship Type="http://schemas.openxmlformats.org/officeDocument/2006/relationships/footnotes" Target="footnotes.xml" Id="rId9" />
  <Relationship Type="http://schemas.openxmlformats.org/officeDocument/2006/relationships/fontTable" Target="fontTable.xml" Id="rId14" />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953A3-9F89-4412-A579-6CF11C9E80B0}">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06B90F8E-6591-43DE-AB07-20217EDA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D0288-340B-4970-9C1C-78BE57CC6A38}">
  <ds:schemaRefs>
    <ds:schemaRef ds:uri="http://schemas.openxmlformats.org/officeDocument/2006/bibliography"/>
  </ds:schemaRefs>
</ds:datastoreItem>
</file>

<file path=customXml/itemProps4.xml><?xml version="1.0" encoding="utf-8"?>
<ds:datastoreItem xmlns:ds="http://schemas.openxmlformats.org/officeDocument/2006/customXml" ds:itemID="{1D3930A8-B5DD-4598-AC05-3B357567EA8A}">
  <ds:schemaRefs>
    <ds:schemaRef ds:uri="http://schemas.microsoft.com/sharepoint/v3/contenttype/forms"/>
  </ds:schemaRefs>
</ds:datastoreItem>
</file>

<file path=docMetadata/LabelInfo.xml><?xml version="1.0" encoding="utf-8"?>
<clbl:labelList xmlns:clbl="http://schemas.microsoft.com/office/2020/mipLabelMetadata">
  <clbl:label id="{a2f21493-a4d1-4b7f-ad07-819c824f5c4a}" enabled="0" method="" siteId="{a2f21493-a4d1-4b7f-ad07-819c824f5c4a}" removed="1"/>
</clbl:labelList>
</file>

<file path=docProps/app.xml><?xml version="1.0" encoding="utf-8"?>
<Properties xmlns="http://schemas.openxmlformats.org/officeDocument/2006/extended-properties" xmlns:vt="http://schemas.openxmlformats.org/officeDocument/2006/docPropsVTypes">
  <Template>IPPC_2024-06-17</Template>
  <TotalTime>0</TotalTime>
  <Pages>1</Pages>
  <Words>1106</Words>
  <Characters>6307</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ANNOTATED TEMPLATE FOR DRAFTING PHYTOSANITARY TREATMENTS</vt:lpstr>
      <vt:lpstr>    Adoption</vt:lpstr>
      <vt:lpstr>    Title</vt:lpstr>
      <vt:lpstr>Draft ANNEX to ISPM 28: Cold treatment for Zeugodacus tau on Citrus sinensis (20</vt:lpstr>
      <vt:lpstr>    Scope of the treatment</vt:lpstr>
      <vt:lpstr>    Treatment description</vt:lpstr>
      <vt:lpstr>    Treatment schedule[s]</vt:lpstr>
      <vt:lpstr>    Other relevant information</vt:lpstr>
      <vt:lpstr>    References</vt:lpstr>
    </vt:vector>
  </TitlesOfParts>
  <Company>FAO of the UN</Company>
  <LinksUpToDate>false</LinksUpToDate>
  <CharactersWithSpaces>7399</CharactersWithSpaces>
  <SharedDoc>false</SharedDoc>
  <HLinks>
    <vt:vector size="18" baseType="variant">
      <vt:variant>
        <vt:i4>7667765</vt:i4>
      </vt:variant>
      <vt:variant>
        <vt:i4>6</vt:i4>
      </vt:variant>
      <vt:variant>
        <vt:i4>0</vt:i4>
      </vt:variant>
      <vt:variant>
        <vt:i4>5</vt:i4>
      </vt:variant>
      <vt:variant>
        <vt:lpwstr>https://doi.org/10.1007/BF02981228</vt:lpwstr>
      </vt:variant>
      <vt:variant>
        <vt:lpwstr/>
      </vt:variant>
      <vt:variant>
        <vt:i4>3014778</vt:i4>
      </vt:variant>
      <vt:variant>
        <vt:i4>3</vt:i4>
      </vt:variant>
      <vt:variant>
        <vt:i4>0</vt:i4>
      </vt:variant>
      <vt:variant>
        <vt:i4>5</vt:i4>
      </vt:variant>
      <vt:variant>
        <vt:lpwstr>https://journals.flvc.org/flaent/article/view/88695</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cp:lastModifiedBy>Prizm</cp:lastModifiedBy>
  <cp:revision>2</cp:revision>
  <cp:lastPrinted>2021-08-08T05:15:00Z</cp:lastPrinted>
  <dcterms:created xsi:type="dcterms:W3CDTF">2026-07-01T10:41:00Z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0x010100299519679B1A8B4091DBA33CE26F55F5</vt:lpwstr>
  </property>
  <property fmtid="{D5CDD505-2E9C-101B-9397-08002B2CF9AE}" pid="4" name="GrammarlyDocumentId">
    <vt:lpwstr>5f8c7f10afdec0779cb756e9cdee81036c1bcbb0aab020dd0b198d7015b4106f</vt:lpwstr>
  </property>
  <property fmtid="{D5CDD505-2E9C-101B-9397-08002B2CF9AE}" pid="5" name="docLang">
    <vt:lpwstr>en</vt:lpwstr>
  </property>
  <property fmtid="{D5CDD505-2E9C-101B-9397-08002B2CF9AE}" pid="6" name="MSIP_Label_23e3f3ef-5eea-4282-98cf-e701503737fe_Enabled">
    <vt:lpwstr>true</vt:lpwstr>
  </property>
  <property fmtid="{D5CDD505-2E9C-101B-9397-08002B2CF9AE}" pid="7" name="MSIP_Label_23e3f3ef-5eea-4282-98cf-e701503737fe_SetDate">
    <vt:lpwstr>2026-03-23T01:24:50Z</vt:lpwstr>
  </property>
  <property fmtid="{D5CDD505-2E9C-101B-9397-08002B2CF9AE}" pid="8" name="MSIP_Label_23e3f3ef-5eea-4282-98cf-e701503737fe_Method">
    <vt:lpwstr>Privileged</vt:lpwstr>
  </property>
  <property fmtid="{D5CDD505-2E9C-101B-9397-08002B2CF9AE}" pid="9" name="MSIP_Label_23e3f3ef-5eea-4282-98cf-e701503737fe_Name">
    <vt:lpwstr>UNCLASSIFIED - No marking</vt:lpwstr>
  </property>
  <property fmtid="{D5CDD505-2E9C-101B-9397-08002B2CF9AE}" pid="10" name="MSIP_Label_23e3f3ef-5eea-4282-98cf-e701503737fe_SiteId">
    <vt:lpwstr>c30d47c4-6369-4cf2-9dd6-79a0e0aa416d</vt:lpwstr>
  </property>
  <property fmtid="{D5CDD505-2E9C-101B-9397-08002B2CF9AE}" pid="11" name="MSIP_Label_23e3f3ef-5eea-4282-98cf-e701503737fe_ActionId">
    <vt:lpwstr>6a7b8b38-61a5-4e2c-9baa-794f17ea38dc</vt:lpwstr>
  </property>
  <property fmtid="{D5CDD505-2E9C-101B-9397-08002B2CF9AE}" pid="12" name="MSIP_Label_23e3f3ef-5eea-4282-98cf-e701503737fe_ContentBits">
    <vt:lpwstr>0</vt:lpwstr>
  </property>
  <property fmtid="{D5CDD505-2E9C-101B-9397-08002B2CF9AE}" pid="13" name="MSIP_Label_23e3f3ef-5eea-4282-98cf-e701503737fe_Tag">
    <vt:lpwstr>10, 0, 1, 1</vt:lpwstr>
  </property>
</Properties>
</file>