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Consultation -2025-010- Draft specification on Revision of ISPM 3. Document title: 2025-010_DraftSpec_RevisionOfISPM3_es.docx]</w:t>
      </w:r>
    </w:p>
    <w:p w14:paraId="21D51731" w14:textId="571AC7DB">
      <w:pPr>
        <w:pStyle w:val="IPPNormal"/>
        <w:spacing w:before="240" w:after="240"/>
        <w:jc w:val="left"/>
        <w:rPr>
          <w:rStyle w:val="IPPNormalbold"/>
        </w:rPr>
      </w:pPr>
      <w:r>
        <w:rPr>
          <w:rStyle w:val="PleaseReviewParagraphId"/>
          <w:b w:val="off"/>
          <w:i w:val="off"/>
        </w:rPr>
        <w:t>[1]</w:t>
      </w:r>
      <w:r>
        <w:rPr>
          <w:rStyle w:val="IPPNormalbold"/>
        </w:rPr>
        <w:t xml:space="preserve">PROYECTO DE ESPECIFICACIÓN PARA LA NIMF: </w:t>
      </w:r>
      <w:r>
        <w:rPr>
          <w:rStyle w:val="IPPNormalbold"/>
          <w:bCs/>
        </w:rPr>
        <w:t>Revisión de la NIMF 3 (</w:t>
      </w:r>
      <w:r>
        <w:rPr>
          <w:rStyle w:val="IPPNormalbold"/>
          <w:i/>
          <w:iCs/>
        </w:rPr>
        <w:t>Directrices para la exportación, el envío, la importación y liberación de agentes de control biológico y otros organismos benéficos</w:t>
      </w:r>
      <w:r>
        <w:rPr>
          <w:rStyle w:val="IPPNormalbold"/>
          <w:bCs/>
        </w:rPr>
        <w:t>) (2025-010)</w:t>
      </w:r>
    </w:p>
    <w:p w14:paraId="2352E023" w14:textId="77777777">
      <w:pPr>
        <w:pStyle w:val="IPPSubheadSpace"/>
        <w:ind w:left="0" w:firstLine="0"/>
      </w:pPr>
      <w:r>
        <w:rPr>
          <w:rStyle w:val="PleaseReviewParagraphId"/>
          <w:b w:val="off"/>
          <w:i w:val="off"/>
        </w:rPr>
        <w:t>[2]</w:t>
      </w:r>
      <w:r>
        <w:t>Estado de la elaboración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8"/>
        <w:gridCol w:w="6742"/>
      </w:tblGrid>
      <w:tr w14:paraId="260272F5" w14:textId="77777777">
        <w:tc xmlns:tara="kcentrix:tara" tara:rowspan="1" tara:colspan="2">
          <w:tcPr>
            <w:tcW w:w="5000" w:type="pct"/>
            <w:gridSpan w:val="2"/>
          </w:tcPr>
          <w:p w14:paraId="3D6D527E" w14:textId="77777777">
            <w:pPr>
              <w:pStyle w:val="IPPArialTable"/>
            </w:pPr>
            <w:r>
              <w:rPr>
                <w:rStyle w:val="PleaseReviewParagraphId"/>
                <w:b w:val="off"/>
                <w:i w:val="off"/>
              </w:rPr>
              <w:t>[3]</w:t>
            </w:r>
            <w:r>
              <w:t>Esta no es una parte oficial de la especificación; después de la aprobación de la especificación, esta parte será modificada por la Secretaría de la CIPF.</w:t>
            </w:r>
          </w:p>
        </w:tc>
      </w:tr>
      <w:tr w14:paraId="53C97D2D" w14:textId="77777777">
        <w:tc xmlns:tara="kcentrix:tara" tara:rowspan="1" tara:colspan="1">
          <w:tcPr>
            <w:tcW w:w="1279" w:type="pct"/>
          </w:tcPr>
          <w:p w14:paraId="4700E9E9" w14:textId="77777777">
            <w:pPr>
              <w:pStyle w:val="IPPArialTable"/>
              <w:rPr>
                <w:b/>
                <w:bCs/>
              </w:rPr>
            </w:pPr>
            <w:r>
              <w:rPr>
                <w:rStyle w:val="PleaseReviewParagraphId"/>
                <w:b w:val="off"/>
                <w:i w:val="off"/>
              </w:rPr>
              <w:t>[4]</w:t>
            </w:r>
            <w:r>
              <w:rPr>
                <w:b/>
              </w:rPr>
              <w:t>Fecha de este documento</w:t>
            </w:r>
          </w:p>
        </w:tc>
        <w:tc xmlns:tara="kcentrix:tara" tara:rowspan="1" tara:colspan="1">
          <w:tcPr>
            <w:tcW w:w="3721" w:type="pct"/>
          </w:tcPr>
          <w:p w14:paraId="091A5F5F" w14:textId="193CCFB9">
            <w:pPr>
              <w:pStyle w:val="IPPArialTable"/>
            </w:pPr>
            <w:r>
              <w:rPr>
                <w:rStyle w:val="PleaseReviewParagraphId"/>
                <w:b w:val="off"/>
                <w:i w:val="off"/>
              </w:rPr>
              <w:t>[5]</w:t>
            </w:r>
            <w:r>
              <w:t>2026-05-26</w:t>
            </w:r>
          </w:p>
        </w:tc>
      </w:tr>
      <w:tr w14:paraId="3E03BE31" w14:textId="77777777">
        <w:tc xmlns:tara="kcentrix:tara" tara:rowspan="1" tara:colspan="1">
          <w:tcPr>
            <w:tcW w:w="1279" w:type="pct"/>
          </w:tcPr>
          <w:p w14:paraId="73D413FE" w14:textId="77777777">
            <w:pPr>
              <w:pStyle w:val="IPPArialTable"/>
              <w:rPr>
                <w:b/>
                <w:bCs/>
              </w:rPr>
            </w:pPr>
            <w:r>
              <w:rPr>
                <w:rStyle w:val="PleaseReviewParagraphId"/>
                <w:b w:val="off"/>
                <w:i w:val="off"/>
              </w:rPr>
              <w:t>[6]</w:t>
            </w:r>
            <w:r>
              <w:rPr>
                <w:b/>
              </w:rPr>
              <w:t>Categoría del documento</w:t>
            </w:r>
          </w:p>
        </w:tc>
        <w:tc xmlns:tara="kcentrix:tara" tara:rowspan="1" tara:colspan="1">
          <w:tcPr>
            <w:tcW w:w="3721" w:type="pct"/>
          </w:tcPr>
          <w:p w14:paraId="2A0FDFA6" w14:textId="77777777">
            <w:pPr>
              <w:pStyle w:val="IPPArialTable"/>
            </w:pPr>
            <w:r>
              <w:rPr>
                <w:rStyle w:val="PleaseReviewParagraphId"/>
                <w:b w:val="off"/>
                <w:i w:val="off"/>
              </w:rPr>
              <w:t>[7]</w:t>
            </w:r>
            <w:r>
              <w:t>Proyecto de especificación para una Norma internacional para medidas fitosanitarias (NIMF)</w:t>
            </w:r>
          </w:p>
        </w:tc>
      </w:tr>
      <w:tr w14:paraId="47B03829" w14:textId="77777777">
        <w:tc xmlns:tara="kcentrix:tara" tara:rowspan="1" tara:colspan="1">
          <w:tcPr>
            <w:tcW w:w="1279" w:type="pct"/>
          </w:tcPr>
          <w:p w14:paraId="30A4444E" w14:textId="77777777">
            <w:pPr>
              <w:pStyle w:val="IPPArialTable"/>
              <w:rPr>
                <w:b/>
                <w:bCs/>
              </w:rPr>
            </w:pPr>
            <w:r>
              <w:rPr>
                <w:rStyle w:val="PleaseReviewParagraphId"/>
                <w:b w:val="off"/>
                <w:i w:val="off"/>
              </w:rPr>
              <w:t>[8]</w:t>
            </w:r>
            <w:r>
              <w:rPr>
                <w:b/>
              </w:rPr>
              <w:t>Etapa actual del documento</w:t>
            </w:r>
          </w:p>
        </w:tc>
        <w:tc xmlns:tara="kcentrix:tara" tara:rowspan="1" tara:colspan="1">
          <w:tcPr>
            <w:tcW w:w="3721" w:type="pct"/>
          </w:tcPr>
          <w:p w14:paraId="28DD2A65" w14:textId="77777777">
            <w:pPr>
              <w:pStyle w:val="IPPArialTable"/>
            </w:pPr>
            <w:r>
              <w:rPr>
                <w:rStyle w:val="PleaseReviewParagraphId"/>
                <w:b w:val="off"/>
                <w:i w:val="off"/>
              </w:rPr>
              <w:t>[9]</w:t>
            </w:r>
            <w:r>
              <w:rPr>
                <w:i/>
              </w:rPr>
              <w:t>Para</w:t>
            </w:r>
            <w:r>
              <w:t xml:space="preserve"> primera consulta</w:t>
            </w:r>
          </w:p>
        </w:tc>
      </w:tr>
      <w:tr w14:paraId="31F89171" w14:textId="77777777">
        <w:tc xmlns:tara="kcentrix:tara" tara:rowspan="1" tara:colspan="1">
          <w:tcPr>
            <w:tcW w:w="1279" w:type="pct"/>
          </w:tcPr>
          <w:p w14:paraId="4E676412" w14:textId="77777777">
            <w:pPr>
              <w:pStyle w:val="IPPArialTable"/>
              <w:rPr>
                <w:b/>
                <w:bCs/>
              </w:rPr>
            </w:pPr>
            <w:r>
              <w:rPr>
                <w:rStyle w:val="PleaseReviewParagraphId"/>
                <w:b w:val="off"/>
                <w:i w:val="off"/>
              </w:rPr>
              <w:t>[10]</w:t>
            </w:r>
            <w:r>
              <w:rPr>
                <w:b/>
              </w:rPr>
              <w:t>Etapas principales</w:t>
            </w:r>
          </w:p>
        </w:tc>
        <w:tc xmlns:tara="kcentrix:tara" tara:rowspan="1" tara:colspan="1">
          <w:tcPr>
            <w:tcW w:w="3721" w:type="pct"/>
          </w:tcPr>
          <w:p w14:paraId="6F76E4F2" w14:textId="68001F86">
            <w:pPr>
              <w:pStyle w:val="IPPArialTable"/>
              <w:spacing w:after="0"/>
            </w:pPr>
            <w:r>
              <w:rPr>
                <w:rStyle w:val="PleaseReviewParagraphId"/>
                <w:b w:val="off"/>
                <w:i w:val="off"/>
              </w:rPr>
              <w:t>[11]</w:t>
            </w:r>
            <w:r>
              <w:t xml:space="preserve">2026-03: La CMF, en su 20.ª reunión, añadió el tema </w:t>
            </w:r>
            <w:r>
              <w:rPr>
                <w:i/>
              </w:rPr>
              <w:t>Revisión de la NIMF 3 (</w:t>
            </w:r>
            <w:r>
              <w:rPr>
                <w:i/>
                <w:iCs/>
              </w:rPr>
              <w:t>Directrices para la exportación, el envío, la importación y liberación de agentes de control biológico y otros organismos benéficos</w:t>
            </w:r>
            <w:r>
              <w:t xml:space="preserve"> (2025-010), con prioridad 1.</w:t>
            </w:r>
          </w:p>
          <w:p w14:paraId="3F3A1306" w14:textId="205D007C">
            <w:pPr>
              <w:pStyle w:val="IPPArialTable"/>
            </w:pPr>
            <w:r>
              <w:rPr>
                <w:rStyle w:val="PleaseReviewParagraphId"/>
                <w:b w:val="off"/>
                <w:i w:val="off"/>
              </w:rPr>
              <w:t>[12]</w:t>
            </w:r>
            <w:r>
              <w:t>2026-05: El Comité de Normas (CN) revisó el proyecto y lo aprobó para consulta.</w:t>
            </w:r>
          </w:p>
        </w:tc>
      </w:tr>
      <w:tr w14:paraId="5DB56282" w14:textId="77777777">
        <w:tc xmlns:tara="kcentrix:tara" tara:rowspan="1" tara:colspan="1">
          <w:tcPr>
            <w:tcW w:w="1279" w:type="pct"/>
          </w:tcPr>
          <w:p w14:paraId="27F061BC" w14:textId="77777777">
            <w:pPr>
              <w:pStyle w:val="IPPArialTable"/>
              <w:rPr>
                <w:b/>
                <w:bCs/>
              </w:rPr>
            </w:pPr>
            <w:r>
              <w:rPr>
                <w:rStyle w:val="PleaseReviewParagraphId"/>
                <w:b w:val="off"/>
                <w:i w:val="off"/>
              </w:rPr>
              <w:t>[13]</w:t>
            </w:r>
            <w:r>
              <w:rPr>
                <w:b/>
              </w:rPr>
              <w:t>Cronología de los administradores</w:t>
            </w:r>
          </w:p>
        </w:tc>
        <w:tc xmlns:tara="kcentrix:tara" tara:rowspan="1" tara:colspan="1">
          <w:tcPr>
            <w:tcW w:w="3721" w:type="pct"/>
          </w:tcPr>
          <w:p w14:paraId="4BE2404A" w14:textId="526CBF56">
            <w:pPr>
              <w:pStyle w:val="IPPArialTable"/>
              <w:spacing w:after="0"/>
              <w:rPr>
                <w:lang w:val="pt-BR"/>
              </w:rPr>
            </w:pPr>
            <w:r>
              <w:rPr>
                <w:rStyle w:val="PleaseReviewParagraphId"/>
                <w:b w:val="off"/>
                <w:i w:val="off"/>
              </w:rPr>
              <w:t>[14]</w:t>
            </w:r>
            <w:r>
              <w:rPr>
                <w:lang w:val="pt-BR"/>
              </w:rPr>
              <w:t>2026-05: CN Sra. Mariangela CIAMPITTI (IT, administradora principal)</w:t>
            </w:r>
          </w:p>
          <w:p w14:paraId="41C92C4D" w14:textId="49380D0D">
            <w:pPr>
              <w:pStyle w:val="IPPArialTable"/>
            </w:pPr>
            <w:r>
              <w:rPr>
                <w:rStyle w:val="PleaseReviewParagraphId"/>
                <w:b w:val="off"/>
                <w:i w:val="off"/>
              </w:rPr>
              <w:t>[15]</w:t>
            </w:r>
            <w:r>
              <w:t>2026-05: CN Sra. María José MONTELONGO (UY, administradora adjunta)</w:t>
            </w:r>
          </w:p>
        </w:tc>
      </w:tr>
      <w:tr w14:paraId="6B9280CB" w14:textId="77777777">
        <w:tc xmlns:tara="kcentrix:tara" tara:rowspan="1" tara:colspan="1">
          <w:tcPr>
            <w:tcW w:w="1279" w:type="pct"/>
          </w:tcPr>
          <w:p w14:paraId="1290FB95" w14:textId="77777777">
            <w:pPr>
              <w:pStyle w:val="IPPArialTable"/>
              <w:rPr>
                <w:b/>
                <w:bCs/>
              </w:rPr>
            </w:pPr>
            <w:r>
              <w:rPr>
                <w:rStyle w:val="PleaseReviewParagraphId"/>
                <w:b w:val="off"/>
                <w:i w:val="off"/>
              </w:rPr>
              <w:t>[16]</w:t>
            </w:r>
            <w:r>
              <w:rPr>
                <w:b/>
              </w:rPr>
              <w:t>Notas</w:t>
            </w:r>
          </w:p>
        </w:tc>
        <w:tc xmlns:tara="kcentrix:tara" tara:rowspan="1" tara:colspan="1">
          <w:tcPr>
            <w:tcW w:w="3721" w:type="pct"/>
          </w:tcPr>
          <w:p w14:paraId="5F103B40" w14:textId="77777777">
            <w:pPr>
              <w:pStyle w:val="IPPArialTable"/>
              <w:spacing w:after="0"/>
            </w:pPr>
            <w:r>
              <w:rPr>
                <w:rStyle w:val="PleaseReviewParagraphId"/>
                <w:b w:val="off"/>
                <w:i w:val="off"/>
              </w:rPr>
              <w:t>[17]</w:t>
            </w:r>
            <w:r>
              <w:t>El presente documento es un proyecto.</w:t>
            </w:r>
          </w:p>
          <w:p w14:paraId="0CBDE1F7" w14:textId="4BDD1BE1">
            <w:pPr>
              <w:pStyle w:val="IPPArialTable"/>
            </w:pPr>
            <w:r>
              <w:rPr>
                <w:rStyle w:val="PleaseReviewParagraphId"/>
                <w:b w:val="off"/>
                <w:i w:val="off"/>
              </w:rPr>
              <w:t>[18]</w:t>
            </w:r>
            <w:r>
              <w:t>2026-05: Corregido.</w:t>
            </w:r>
          </w:p>
        </w:tc>
      </w:tr>
    </w:tbl>
    <w:p w14:paraId="06E787D9" w14:textId="77777777">
      <w:pPr>
        <w:pStyle w:val="IPPSubheadSpace"/>
      </w:pPr>
      <w:r>
        <w:rPr>
          <w:rStyle w:val="PleaseReviewParagraphId"/>
          <w:b w:val="off"/>
          <w:i w:val="off"/>
        </w:rPr>
        <w:t>[19]</w:t>
      </w:r>
      <w:r>
        <w:t>Título</w:t>
      </w:r>
    </w:p>
    <w:p w14:paraId="7B534986" w14:textId="39720A2E">
      <w:pPr>
        <w:pStyle w:val="IPPParagraphnumbering"/>
        <w:numPr>
          <w:ilvl w:val="0"/>
          <w:numId w:val="0"/>
        </w:numPr>
        <w:spacing w:after="120"/>
      </w:pPr>
      <w:r>
        <w:rPr>
          <w:rStyle w:val="PleaseReviewParagraphId"/>
          <w:b w:val="off"/>
          <w:i w:val="off"/>
        </w:rPr>
        <w:t>[20]</w:t>
      </w:r>
      <w:r>
        <w:t>Revisión de la NIMF 3 (</w:t>
      </w:r>
      <w:r>
        <w:rPr>
          <w:i/>
          <w:iCs/>
        </w:rPr>
        <w:t>Directrices para la exportación, el envío, la importación y liberación de agentes de control biológico y otros organismos benéficos</w:t>
      </w:r>
      <w:r>
        <w:t>) (2025-010)</w:t>
      </w:r>
    </w:p>
    <w:p w14:paraId="453894A3" w14:textId="16D0E15C">
      <w:pPr>
        <w:pStyle w:val="IPPSubheadSpace"/>
        <w:rPr>
          <w:rFonts w:eastAsia="Times"/>
          <w:bCs w:val="0"/>
          <w:iCs w:val="0"/>
          <w:sz w:val="24"/>
        </w:rPr>
      </w:pPr>
      <w:r>
        <w:rPr>
          <w:rStyle w:val="PleaseReviewParagraphId"/>
          <w:b w:val="off"/>
          <w:i w:val="off"/>
        </w:rPr>
        <w:t>[21]</w:t>
      </w:r>
      <w:r>
        <w:rPr>
          <w:sz w:val="24"/>
        </w:rPr>
        <w:t>Justificación de la revisión de la norma</w:t>
      </w:r>
    </w:p>
    <w:p w14:paraId="26AB0DE7" w14:textId="2C7D3179">
      <w:pPr>
        <w:pStyle w:val="IPPParagraphnumbering"/>
        <w:numPr>
          <w:ilvl w:val="0"/>
          <w:numId w:val="0"/>
        </w:numPr>
        <w:spacing w:after="120"/>
      </w:pPr>
      <w:r>
        <w:rPr>
          <w:rStyle w:val="PleaseReviewParagraphId"/>
          <w:b w:val="off"/>
          <w:i w:val="off"/>
        </w:rPr>
        <w:t>[22]</w:t>
      </w:r>
      <w:r>
        <w:t>La NIMF 3 (</w:t>
      </w:r>
      <w:r>
        <w:rPr>
          <w:i/>
          <w:iCs/>
        </w:rPr>
        <w:t>Directrices para la exportación, el envío, la importación y liberación de agentes de control biológico y otros organismos benéficos</w:t>
      </w:r>
      <w:r>
        <w:t xml:space="preserve">) se aprobó por primera vez en 1995 y se revisó en 2005, que constituye la norma vigente. Desde entonces, se han introducido mejoras significativas a las prácticas relacionadas con el uso de agentes de control biológico y otros organismos benéficos, que han ido acompañadas de los avances correspondientes en los marcos reglamentarios de muchos países. La NIMF 3 ha quedado obsoleta y no refleja las prácticas y orientaciones actuales a escala mundial. Esto dificulta la aplicación de la NIMF 3 para las partes interesadas en la regulación de las importaciones, las exportaciones o la liberación de los agentes de control biológico. </w:t>
      </w:r>
    </w:p>
    <w:p w14:paraId="0B4124D9" w14:textId="793D264F">
      <w:pPr>
        <w:pStyle w:val="IPPParagraphnumbering"/>
        <w:numPr>
          <w:ilvl w:val="0"/>
          <w:numId w:val="0"/>
        </w:numPr>
      </w:pPr>
      <w:r>
        <w:rPr>
          <w:rStyle w:val="PleaseReviewParagraphId"/>
          <w:b w:val="off"/>
          <w:i w:val="off"/>
        </w:rPr>
        <w:t>[23]</w:t>
      </w:r>
      <w:r>
        <w:t>La NIMF 3 también se ha aplicado de forma poco sistemática con respecto a la exportación, la importación y la liberación de invertebrados vivos para control biológico. Muchos países requieren certificados sanitarios emitidos por el Oficial Veterinario nacional del país exportador, bien en sustitución del certificado fitosanitario establecido en la NIMF 3, o bien como complemento a este. Por ejemplo, se están utilizando certificados sanitarios para invertebrados destinados a la investigación, el establecimiento de colonias y su liberación como agentes de control biológico con fines tanto de sanidad vegetal como de sanidad o conservación animal. Estos casos se producen a pesar de que la Organización Mundial de Sanidad Animal (OMSA) ha aclarado que, en lo que respecta a los insectos, el alcance de las normas de la OMSA se limita a las abejas y a aquellos insectos que sean vectores de enfermedades animales. Se requiere por lo tanto una revisión de la NIMF 3 para aportar claridad sobre la exportación, la importación y la liberación de invertebrados.</w:t>
      </w:r>
    </w:p>
    <w:p w14:paraId="5D2F48B6" w14:textId="77777777">
      <w:pPr>
        <w:pStyle w:val="IPPSubheadSpace"/>
        <w:rPr>
          <w:rFonts w:eastAsia="Times"/>
          <w:bCs w:val="0"/>
          <w:iCs w:val="0"/>
          <w:sz w:val="24"/>
        </w:rPr>
      </w:pPr>
      <w:r>
        <w:rPr>
          <w:rStyle w:val="PleaseReviewParagraphId"/>
          <w:b w:val="off"/>
          <w:i w:val="off"/>
        </w:rPr>
        <w:t>[24]</w:t>
      </w:r>
      <w:r>
        <w:rPr>
          <w:sz w:val="24"/>
        </w:rPr>
        <w:t xml:space="preserve">Ámbito </w:t>
      </w:r>
    </w:p>
    <w:p w14:paraId="7A054A93" w14:textId="149B24C6">
      <w:pPr>
        <w:pStyle w:val="IPPParagraphnumbering"/>
        <w:numPr>
          <w:ilvl w:val="0"/>
          <w:numId w:val="0"/>
        </w:numPr>
        <w:spacing w:after="120"/>
      </w:pPr>
      <w:r>
        <w:rPr>
          <w:rStyle w:val="PleaseReviewParagraphId"/>
          <w:b w:val="off"/>
          <w:i w:val="off"/>
        </w:rPr>
        <w:t>[25]</w:t>
      </w:r>
      <w:r>
        <w:t>La norma revisada debería describir el proceso de análisis, documentación y gestión de los riesgos de plagas, los riesgos ambientales y los riesgos para la biodiversidad derivados de agentes de control biológico no nativos, otros organismos benéficos e insectos estériles, en particular mediante disposiciones específicas para la importación de dichos organismos con fines de investigación o para su cría en condiciones confinadas.</w:t>
      </w:r>
    </w:p>
    <w:p w14:paraId="1685677D" w14:textId="7EB7CB6B">
      <w:pPr>
        <w:pStyle w:val="IPPParagraphnumbering"/>
        <w:numPr>
          <w:ilvl w:val="0"/>
          <w:numId w:val="0"/>
        </w:numPr>
        <w:spacing w:after="120"/>
      </w:pPr>
      <w:r>
        <w:rPr>
          <w:rStyle w:val="PleaseReviewParagraphId"/>
          <w:b w:val="off"/>
          <w:i w:val="off"/>
        </w:rPr>
        <w:t>[26]</w:t>
      </w:r>
      <w:r>
        <w:t>La norma debería aplicarse a agentes de control biológico que se utilicen para el control biológico aumentativo o clásico. La norma también debería aplicarse a otros organismos benéficos (tales como los polinizadores) e insectos estériles. La norma no debería aplicarse a agentes de control biológico, otros organismos benéficos e insectos estériles destinados a otros fines distintos de la sanidad vegetal.</w:t>
      </w:r>
    </w:p>
    <w:p w14:paraId="16DFE25B" w14:textId="77777777">
      <w:pPr>
        <w:pStyle w:val="IPPSubheadSpace"/>
        <w:rPr>
          <w:rFonts w:eastAsia="Times"/>
          <w:bCs w:val="0"/>
          <w:iCs w:val="0"/>
          <w:sz w:val="24"/>
        </w:rPr>
      </w:pPr>
      <w:r>
        <w:rPr>
          <w:rStyle w:val="PleaseReviewParagraphId"/>
          <w:b w:val="off"/>
          <w:i w:val="off"/>
        </w:rPr>
        <w:t>[27]</w:t>
      </w:r>
      <w:r>
        <w:rPr>
          <w:sz w:val="24"/>
        </w:rPr>
        <w:t>Finalidad</w:t>
      </w:r>
    </w:p>
    <w:p w14:paraId="25FB7C86" w14:textId="31ECF382">
      <w:pPr>
        <w:pStyle w:val="IPPParagraphnumbering"/>
        <w:numPr>
          <w:ilvl w:val="0"/>
          <w:numId w:val="0"/>
        </w:numPr>
        <w:spacing w:after="120"/>
        <w:rPr>
          <w:bCs/>
          <w:szCs w:val="22"/>
        </w:rPr>
      </w:pPr>
      <w:r>
        <w:rPr>
          <w:rStyle w:val="PleaseReviewParagraphId"/>
          <w:b w:val="off"/>
          <w:i w:val="off"/>
        </w:rPr>
        <w:t>[28]</w:t>
      </w:r>
      <w:r>
        <w:t>El objetivo de la revisión es aportar orientaciones claras sobre la importación, la exportación y la liberación de agentes de control biológico, otros organismos benéficos e insectos estériles. Ello reflejará las mejores prácticas y permitirá la armonización de la reglamentación.</w:t>
      </w:r>
    </w:p>
    <w:p w14:paraId="3BE4F4C0" w14:textId="77777777">
      <w:pPr>
        <w:pStyle w:val="IPPSubheadSpace"/>
        <w:ind w:left="0" w:firstLine="0"/>
      </w:pPr>
      <w:r>
        <w:rPr>
          <w:rStyle w:val="PleaseReviewParagraphId"/>
          <w:b w:val="off"/>
          <w:i w:val="off"/>
        </w:rPr>
        <w:t>[29]</w:t>
      </w:r>
      <w:r>
        <w:t>Tareas</w:t>
      </w:r>
    </w:p>
    <w:p w14:paraId="598E3BF2" w14:textId="2D493E9D">
      <w:pPr>
        <w:pStyle w:val="IPPParagraphnumberingclose"/>
        <w:numPr>
          <w:ilvl w:val="0"/>
          <w:numId w:val="0"/>
        </w:numPr>
      </w:pPr>
      <w:r>
        <w:rPr>
          <w:rStyle w:val="PleaseReviewParagraphId"/>
          <w:b w:val="off"/>
          <w:i w:val="off"/>
        </w:rPr>
        <w:t>[30]</w:t>
      </w:r>
      <w:r>
        <w:t>El Grupo de trabajo de expertos (GTE) debería acometer las siguientes tareas:</w:t>
      </w:r>
    </w:p>
    <w:p w14:paraId="640BC113" w14:textId="5877725D">
      <w:pPr>
        <w:pStyle w:val="IPPNumberedList"/>
        <w:tabs>
          <w:tab w:val="clear" w:pos="851"/>
        </w:tabs>
        <w:ind w:left="567"/>
      </w:pPr>
      <w:r>
        <w:rPr>
          <w:rStyle w:val="PleaseReviewParagraphId"/>
          <w:b w:val="off"/>
          <w:i w:val="off"/>
        </w:rPr>
        <w:t>[31]</w:t>
      </w:r>
      <w:r>
        <w:t>Teniendo en cuenta el ámbito de aplicación de la NIMF revisada, proponer un nuevo título para la norma, de ser necesario.</w:t>
      </w:r>
    </w:p>
    <w:p w14:paraId="3579959D" w14:textId="5102762C">
      <w:pPr>
        <w:pStyle w:val="IPPNumberedList"/>
        <w:tabs>
          <w:tab w:val="clear" w:pos="851"/>
        </w:tabs>
        <w:ind w:left="567"/>
      </w:pPr>
      <w:r>
        <w:rPr>
          <w:rStyle w:val="PleaseReviewParagraphId"/>
          <w:b w:val="off"/>
          <w:i w:val="off"/>
        </w:rPr>
        <w:t>[32]</w:t>
      </w:r>
      <w:r>
        <w:t>Elaborar definiciones claras y coherentes para los términos utilizados en la norma actual (por ejemplo, agente de control biológico, organismo benéfico), así como para otros términos pertinentes con miras a garantizar una terminología armonizada para su utilización reglamentaria.</w:t>
      </w:r>
    </w:p>
    <w:p w14:paraId="596C7035" w14:textId="3FBF4E54">
      <w:pPr>
        <w:pStyle w:val="IPPNumberedList"/>
        <w:tabs>
          <w:tab w:val="clear" w:pos="851"/>
        </w:tabs>
        <w:ind w:left="567"/>
      </w:pPr>
      <w:r>
        <w:rPr>
          <w:rStyle w:val="PleaseReviewParagraphId"/>
          <w:b w:val="off"/>
          <w:i w:val="off"/>
        </w:rPr>
        <w:t>[33]</w:t>
      </w:r>
      <w:r>
        <w:t>Tomar en consideración las orientaciones para la reglamentación de los agentes de control biológico, otros organismos benéficos e insectos estériles producidas por distintas organizaciones nacionales de protección fitosanitaria (ONPF), otras autoridades responsables y organizaciones regionales de protección fitosanitaria, para velar por una norma que refleje las mejores prácticas actuales.</w:t>
      </w:r>
    </w:p>
    <w:p w14:paraId="50AC30A5" w14:textId="63A13E95">
      <w:pPr>
        <w:pStyle w:val="IPPNumberedList"/>
        <w:tabs>
          <w:tab w:val="clear" w:pos="851"/>
        </w:tabs>
        <w:ind w:left="567"/>
      </w:pPr>
      <w:r>
        <w:rPr>
          <w:rStyle w:val="PleaseReviewParagraphId"/>
          <w:b w:val="off"/>
          <w:i w:val="off"/>
        </w:rPr>
        <w:t>[34]</w:t>
      </w:r>
      <w:r>
        <w:t>Establecer los requisitos para la importación de agentes de control biológico, otros organismos benéficos e insectos estériles como, por ejemplo, los requisitos de información, análisis de riesgos, toma de decisiones y comunicación.</w:t>
      </w:r>
    </w:p>
    <w:p w14:paraId="488C4823" w14:textId="1F87D68E">
      <w:pPr>
        <w:pStyle w:val="IPPNumberedList"/>
        <w:tabs>
          <w:tab w:val="clear" w:pos="851"/>
        </w:tabs>
        <w:ind w:left="567"/>
      </w:pPr>
      <w:r>
        <w:rPr>
          <w:rStyle w:val="PleaseReviewParagraphId"/>
          <w:b w:val="off"/>
          <w:i w:val="off"/>
        </w:rPr>
        <w:t>[35]</w:t>
      </w:r>
      <w:r>
        <w:t>Determinar los factores clave que deben tomarse en cuenta como parte de una evaluación del riesgo ambiental. Estudiar la pertinencia de aplicar la NIMF 11 (</w:t>
      </w:r>
      <w:r>
        <w:rPr>
          <w:i/>
          <w:iCs/>
        </w:rPr>
        <w:t>Análisis de riesgo de plagas para plagas cuarentenarias</w:t>
      </w:r>
      <w:r>
        <w:t>) y el concepto de plaga cuarentenaria a la reglamentación de los agentes de control biológico, otros organismos benéficos e insectos estériles, incluida la posibilidad de que la importación intencionada de este tipo de organismos justifique una evaluación suplementaria.</w:t>
      </w:r>
    </w:p>
    <w:p w14:paraId="1A2FCFD8" w14:textId="4A75DC8D">
      <w:pPr>
        <w:pStyle w:val="IPPNumberedList"/>
        <w:tabs>
          <w:tab w:val="clear" w:pos="851"/>
        </w:tabs>
        <w:ind w:left="567"/>
      </w:pPr>
      <w:r>
        <w:rPr>
          <w:rStyle w:val="PleaseReviewParagraphId"/>
          <w:b w:val="off"/>
          <w:i w:val="off"/>
        </w:rPr>
        <w:t>[36]</w:t>
      </w:r>
      <w:r>
        <w:t xml:space="preserve">Describir los requisitos documentales para la importación de agentes de control biológico, otros organismos benéficos e insectos estériles, tales como los requisitos de información sobre su posible establecimiento, la especificidad del huésped, la propagación, los efectos directos e indirectos y los beneficios, así como para la información sobre incertidumbres. </w:t>
      </w:r>
    </w:p>
    <w:p w14:paraId="40E352BF" w14:textId="28D0C03E">
      <w:pPr>
        <w:pStyle w:val="IPPNumberedList"/>
        <w:tabs>
          <w:tab w:val="clear" w:pos="851"/>
        </w:tabs>
        <w:ind w:left="567"/>
      </w:pPr>
      <w:r>
        <w:rPr>
          <w:rStyle w:val="PleaseReviewParagraphId"/>
          <w:b w:val="off"/>
          <w:i w:val="off"/>
        </w:rPr>
        <w:t>[37]</w:t>
      </w:r>
      <w:r>
        <w:t>Describir las responsabilidades de las ONPF u otras autoridades responsables en relación con el proceso revisado de análisis, documentación y gestión del riesgo.</w:t>
      </w:r>
    </w:p>
    <w:p w14:paraId="1CD2F410" w14:textId="317AB7E8">
      <w:pPr>
        <w:pStyle w:val="IPPNumberedList"/>
        <w:tabs>
          <w:tab w:val="clear" w:pos="851"/>
        </w:tabs>
        <w:ind w:left="567"/>
      </w:pPr>
      <w:r>
        <w:rPr>
          <w:rStyle w:val="PleaseReviewParagraphId"/>
          <w:b w:val="off"/>
          <w:i w:val="off"/>
        </w:rPr>
        <w:t>[38]</w:t>
      </w:r>
      <w:r>
        <w:t>Revisar y aclarar el proceso de exportación e importación, por ejemplo, los enfoques de certificación fitosanitaria.</w:t>
      </w:r>
    </w:p>
    <w:p w14:paraId="76E5D298" w14:textId="03845A76">
      <w:pPr>
        <w:pStyle w:val="IPPNumberedList"/>
        <w:tabs>
          <w:tab w:val="clear" w:pos="851"/>
        </w:tabs>
        <w:ind w:left="567"/>
      </w:pPr>
      <w:r>
        <w:rPr>
          <w:rStyle w:val="PleaseReviewParagraphId"/>
          <w:b w:val="off"/>
          <w:i w:val="off"/>
        </w:rPr>
        <w:t>[39]</w:t>
      </w:r>
      <w:r>
        <w:t xml:space="preserve">Considerar si las especies </w:t>
      </w:r>
      <w:r>
        <w:rPr>
          <w:i/>
          <w:iCs/>
        </w:rPr>
        <w:t>Apis</w:t>
      </w:r>
      <w:r>
        <w:t xml:space="preserve"> deberían considerarse polinizadores a efectos de esta norma. </w:t>
      </w:r>
    </w:p>
    <w:p w14:paraId="4E86DC05" w14:textId="7BB50291">
      <w:pPr>
        <w:pStyle w:val="IPPNumberedList"/>
        <w:tabs>
          <w:tab w:val="clear" w:pos="851"/>
        </w:tabs>
        <w:ind w:left="567"/>
      </w:pPr>
      <w:r>
        <w:rPr>
          <w:rStyle w:val="PleaseReviewParagraphId"/>
          <w:b w:val="off"/>
          <w:i w:val="off"/>
        </w:rPr>
        <w:t>[40]</w:t>
      </w:r>
      <w:r>
        <w:t xml:space="preserve">Considerar si la norma revisada podría afectar específicamente (de forma positiva o negativa) a la protección de la biodiversidad y del medio ambiente. En caso afirmativo, estos efectos deberían determinarse, abordarse y aclararse en el proyecto de norma. </w:t>
      </w:r>
    </w:p>
    <w:p w14:paraId="4AF53594" w14:textId="5EC75BA8">
      <w:pPr>
        <w:pStyle w:val="IPPNumberedList"/>
        <w:tabs>
          <w:tab w:val="clear" w:pos="851"/>
        </w:tabs>
        <w:ind w:left="567"/>
      </w:pPr>
      <w:r>
        <w:rPr>
          <w:rStyle w:val="PleaseReviewParagraphId"/>
          <w:b w:val="off"/>
          <w:i w:val="off"/>
        </w:rPr>
        <w:t>[41]</w:t>
      </w:r>
      <w:r>
        <w:t xml:space="preserve">Considerar la aplicación de la norma por las partes contratantes y determinar los posibles problemas operacionales y técnicos de la aplicación. Facilitar información y formular posibles recomendaciones sobre estos problemas al Comité de Normas. </w:t>
      </w:r>
    </w:p>
    <w:p w14:paraId="1657E226" w14:textId="1AF0F9AD">
      <w:pPr>
        <w:pStyle w:val="IPPNumberedListLast"/>
        <w:tabs>
          <w:tab w:val="clear" w:pos="851"/>
        </w:tabs>
        <w:spacing w:after="120"/>
        <w:ind w:left="567"/>
      </w:pPr>
      <w:r>
        <w:rPr>
          <w:rStyle w:val="PleaseReviewParagraphId"/>
          <w:b w:val="off"/>
          <w:i w:val="off"/>
        </w:rPr>
        <w:t>[42]</w:t>
      </w:r>
      <w:r>
        <w:t>Examinar todas las referencias a la NIMF 3 que aparezcan en otras NIMF para garantizar que dichas referencias sigan siendo pertinentes y proponer los consiguientes cambios, de ser necesario. Examinar todas las referencias a otras NIMF que aparezcan en la NIMF 3 y enmendarlas según sea necesario.</w:t>
      </w:r>
    </w:p>
    <w:p w14:paraId="5FEAC3FC" w14:textId="77777777">
      <w:pPr>
        <w:pStyle w:val="IPPSubheadSpace"/>
      </w:pPr>
      <w:r>
        <w:rPr>
          <w:rStyle w:val="PleaseReviewParagraphId"/>
          <w:b w:val="off"/>
          <w:i w:val="off"/>
        </w:rPr>
        <w:t>[43]</w:t>
      </w:r>
      <w:r>
        <w:t>Fuentes de recursos</w:t>
      </w:r>
      <w:r>
        <w:rPr>
          <w:color w:val="76923C"/>
        </w:rPr>
        <w:t xml:space="preserve"> </w:t>
      </w:r>
    </w:p>
    <w:p w14:paraId="4C6D8206" w14:textId="297108F6">
      <w:pPr>
        <w:pStyle w:val="IPPParagraphnumbering"/>
        <w:numPr>
          <w:ilvl w:val="0"/>
          <w:numId w:val="0"/>
        </w:numPr>
        <w:spacing w:after="80"/>
      </w:pPr>
      <w:r>
        <w:rPr>
          <w:rStyle w:val="PleaseReviewParagraphId"/>
          <w:b w:val="off"/>
          <w:i w:val="off"/>
        </w:rPr>
        <w:t>[44]</w:t>
      </w:r>
      <w:r>
        <w:t xml:space="preserve">La financiación para la reunión podrá proceder de fuentes distintas del Programa ordinario de la CIPF (FAO). Según se recomendó en la segunda reunión de la Comisión Interina de Medidas Fitosanitarias (1999), siempre que sea posible, los participantes en actividades de establecimiento de normas financiarán de forma voluntaria los gastos de desplazamiento y dietas que acarree su asistencia a las reuniones. Los participantes podrán solicitar ayuda financiera, en el entendimiento de que los recursos son limitados y de que se otorgará prioridad a los participantes de países en desarrollo. Consúltese el documento </w:t>
      </w:r>
      <w:r>
        <w:rPr>
          <w:i/>
        </w:rPr>
        <w:t>Criteria used for prioritizing participants to receive travel assistance to attend meetings organized by the IPPC Secretariat</w:t>
      </w:r>
      <w:r>
        <w:t xml:space="preserve"> (Criterios de prioridad aplicados en la concesión de ayudas de viaje para financiar la asistencia a las reuniones organizadas por la Secretaría de la CIPF) publicado en el Portal fitosanitario internacional (PFI) (véase </w:t>
      </w:r>
      <w:hyperlink w:history="1" r:id="rId12">
        <w:r>
          <w:rPr>
            <w:rStyle w:val="Hyperlink"/>
          </w:rPr>
          <w:t>https://www.ippc.int/es/about/core-activities/</w:t>
        </w:r>
      </w:hyperlink>
      <w:r>
        <w:t>).</w:t>
      </w:r>
    </w:p>
    <w:p w14:paraId="2021F41A" w14:textId="77777777">
      <w:pPr>
        <w:pStyle w:val="IPPSubheadSpace"/>
      </w:pPr>
      <w:r>
        <w:rPr>
          <w:rStyle w:val="PleaseReviewParagraphId"/>
          <w:b w:val="off"/>
          <w:i w:val="off"/>
        </w:rPr>
        <w:t>[45]</w:t>
      </w:r>
      <w:r>
        <w:t>Colaborador</w:t>
      </w:r>
    </w:p>
    <w:p w14:paraId="519E4DB4" w14:textId="77777777">
      <w:pPr>
        <w:pStyle w:val="IPPParagraphnumbering"/>
        <w:numPr>
          <w:ilvl w:val="0"/>
          <w:numId w:val="0"/>
        </w:numPr>
        <w:spacing w:after="120"/>
      </w:pPr>
      <w:r>
        <w:rPr>
          <w:rStyle w:val="PleaseReviewParagraphId"/>
          <w:b w:val="off"/>
          <w:i w:val="off"/>
        </w:rPr>
        <w:t>[46]</w:t>
      </w:r>
      <w:r>
        <w:t>Por determinar.</w:t>
      </w:r>
    </w:p>
    <w:p w14:paraId="4117DE70" w14:textId="77777777">
      <w:pPr>
        <w:pStyle w:val="IPPSubheadSpace"/>
      </w:pPr>
      <w:r>
        <w:rPr>
          <w:rStyle w:val="PleaseReviewParagraphId"/>
          <w:b w:val="off"/>
          <w:i w:val="off"/>
        </w:rPr>
        <w:t>[47]</w:t>
      </w:r>
      <w:r>
        <w:t>Administrador</w:t>
      </w:r>
    </w:p>
    <w:p w14:paraId="4BBD45AE" w14:textId="77D42112">
      <w:pPr>
        <w:pStyle w:val="IPPParagraphnumbering"/>
        <w:numPr>
          <w:ilvl w:val="0"/>
          <w:numId w:val="0"/>
        </w:numPr>
        <w:jc w:val="left"/>
      </w:pPr>
      <w:r>
        <w:rPr>
          <w:rStyle w:val="PleaseReviewParagraphId"/>
          <w:b w:val="off"/>
          <w:i w:val="off"/>
        </w:rPr>
        <w:t>[48]</w:t>
      </w:r>
      <w:r>
        <w:t xml:space="preserve">Consúltese la </w:t>
      </w:r>
      <w:r>
        <w:rPr>
          <w:i/>
          <w:iCs/>
        </w:rPr>
        <w:t>Lista de temas de las normas de la CIPF</w:t>
      </w:r>
      <w:r>
        <w:t xml:space="preserve"> publicada en el PFI (véase </w:t>
      </w:r>
      <w:hyperlink w:history="1" r:id="rId13">
        <w:r>
          <w:rPr>
            <w:rStyle w:val="Hyperlink"/>
          </w:rPr>
          <w:t>https://www.ippc.int/es/about/core-activities/standards-setting/list-topics-ippc-standards/</w:t>
        </w:r>
      </w:hyperlink>
      <w:r>
        <w:t>).</w:t>
      </w:r>
    </w:p>
    <w:p w14:paraId="448B76D0" w14:textId="77777777">
      <w:pPr>
        <w:pStyle w:val="IPPSubheadSpace"/>
      </w:pPr>
      <w:r>
        <w:rPr>
          <w:rStyle w:val="PleaseReviewParagraphId"/>
          <w:b w:val="off"/>
          <w:i w:val="off"/>
        </w:rPr>
        <w:t>[49]</w:t>
      </w:r>
      <w:r>
        <w:t>Expertos</w:t>
      </w:r>
    </w:p>
    <w:p w14:paraId="3559ED71" w14:textId="0DB2973F">
      <w:pPr>
        <w:pStyle w:val="IPPParagraphnumberingclose"/>
        <w:numPr>
          <w:ilvl w:val="0"/>
          <w:numId w:val="0"/>
        </w:numPr>
      </w:pPr>
      <w:r>
        <w:rPr>
          <w:rStyle w:val="PleaseReviewParagraphId"/>
          <w:b w:val="off"/>
          <w:i w:val="off"/>
        </w:rPr>
        <w:t>[50]</w:t>
      </w:r>
      <w:r>
        <w:t>Miembros con conocimientos colectivos y experiencia en la reglamentación de agentes de control biológico, otros organismos benéficos e insectos estériles que abarquen, al menos:</w:t>
      </w:r>
    </w:p>
    <w:p w14:paraId="55F6E6C2" w14:textId="00BBBA52">
      <w:pPr>
        <w:pStyle w:val="IPPBullet1"/>
      </w:pPr>
      <w:r>
        <w:rPr>
          <w:rStyle w:val="PleaseReviewParagraphId"/>
          <w:b w:val="off"/>
          <w:i w:val="off"/>
        </w:rPr>
        <w:t>[51]</w:t>
      </w:r>
      <w:r>
        <w:t>la evaluación del riesgo ambiental;</w:t>
      </w:r>
    </w:p>
    <w:p w14:paraId="7BFF9117" w14:textId="5AEEEFE5">
      <w:pPr>
        <w:pStyle w:val="IPPBullet1"/>
      </w:pPr>
      <w:r>
        <w:rPr>
          <w:rStyle w:val="PleaseReviewParagraphId"/>
          <w:b w:val="off"/>
          <w:i w:val="off"/>
        </w:rPr>
        <w:t>[52]</w:t>
      </w:r>
      <w:r>
        <w:t>la importación y exportación de agentes de control biológico, otros organismos benéficos e insectos estériles, acompañadas de un certificado fitosanitario;</w:t>
      </w:r>
    </w:p>
    <w:p w14:paraId="07DEA1BC" w14:textId="1B76053A">
      <w:pPr>
        <w:pStyle w:val="IPPBullet1"/>
      </w:pPr>
      <w:r>
        <w:rPr>
          <w:rStyle w:val="PleaseReviewParagraphId"/>
          <w:b w:val="off"/>
          <w:i w:val="off"/>
        </w:rPr>
        <w:t>[53]</w:t>
      </w:r>
      <w:r>
        <w:t>la liberación de agentes de control biológico, otros organismos benéficos e insectos estériles;</w:t>
      </w:r>
    </w:p>
    <w:p w14:paraId="32F5C89E" w14:textId="19B33E2A">
      <w:pPr>
        <w:pStyle w:val="IPPBullet1Last"/>
        <w:spacing w:after="60"/>
      </w:pPr>
      <w:r>
        <w:rPr>
          <w:rStyle w:val="PleaseReviewParagraphId"/>
          <w:b w:val="off"/>
          <w:i w:val="off"/>
        </w:rPr>
        <w:t>[54]</w:t>
      </w:r>
      <w:r>
        <w:t>el análisis de riesgo de plagas de los agentes de control biológico, otros organismos benéficos e insectos estériles.</w:t>
      </w:r>
    </w:p>
    <w:p w14:paraId="166E1FC9" w14:textId="77777777">
      <w:pPr>
        <w:pStyle w:val="IPPSubheadSpace"/>
      </w:pPr>
      <w:r>
        <w:rPr>
          <w:rStyle w:val="PleaseReviewParagraphId"/>
          <w:b w:val="off"/>
          <w:i w:val="off"/>
        </w:rPr>
        <w:t>[55]</w:t>
      </w:r>
      <w:r>
        <w:t>Participantes</w:t>
      </w:r>
    </w:p>
    <w:p w14:paraId="19C62263" w14:textId="77777777">
      <w:pPr>
        <w:pStyle w:val="IPPParagraphnumbering"/>
        <w:numPr>
          <w:ilvl w:val="0"/>
          <w:numId w:val="0"/>
        </w:numPr>
      </w:pPr>
      <w:r>
        <w:rPr>
          <w:rStyle w:val="PleaseReviewParagraphId"/>
          <w:b w:val="off"/>
          <w:i w:val="off"/>
        </w:rPr>
        <w:t>[56]</w:t>
      </w:r>
      <w:r>
        <w:t>Entre cinco y siete miembros.</w:t>
      </w:r>
    </w:p>
    <w:p w14:paraId="6121E490" w14:textId="77777777">
      <w:pPr>
        <w:pStyle w:val="IPPParagraphnumbering"/>
        <w:numPr>
          <w:ilvl w:val="0"/>
          <w:numId w:val="0"/>
        </w:numPr>
        <w:spacing w:after="80"/>
      </w:pPr>
      <w:r>
        <w:rPr>
          <w:rStyle w:val="PleaseReviewParagraphId"/>
          <w:b w:val="off"/>
          <w:i w:val="off"/>
        </w:rPr>
        <w:t>[57]</w:t>
      </w:r>
      <w:r>
        <w:t>Además, también se debería invitar a un miembro del Comité de Aplicación y Desarrollo de la Capacidad (CADC) a asistir como experto invitado o representante del CADC.</w:t>
      </w:r>
    </w:p>
    <w:p w14:paraId="6C4A55C8" w14:textId="77777777">
      <w:pPr>
        <w:pStyle w:val="IPPSubheadSpace"/>
      </w:pPr>
      <w:r>
        <w:rPr>
          <w:rStyle w:val="PleaseReviewParagraphId"/>
          <w:b w:val="off"/>
          <w:i w:val="off"/>
        </w:rPr>
        <w:t>[58]</w:t>
      </w:r>
      <w:r>
        <w:t>Bibliografía</w:t>
      </w:r>
    </w:p>
    <w:p w14:paraId="7AC9C1F4" w14:textId="77777777">
      <w:pPr>
        <w:pStyle w:val="IPPParagraphnumbering"/>
        <w:numPr>
          <w:ilvl w:val="0"/>
          <w:numId w:val="0"/>
        </w:numPr>
        <w:spacing w:after="80"/>
      </w:pPr>
      <w:r>
        <w:rPr>
          <w:rStyle w:val="PleaseReviewParagraphId"/>
          <w:b w:val="off"/>
          <w:i w:val="off"/>
        </w:rPr>
        <w:t>[59]</w:t>
      </w:r>
      <w:r>
        <w:t>La CIPF, las NIMF pertinentes y otras normas y acuerdos de alcance nacional, regional e internacional que puedan aplicarse a las tareas y los documentos de debate presentados en relación con este trabajo.</w:t>
      </w:r>
    </w:p>
    <w:p w14:paraId="2922A7DA" w14:textId="77777777">
      <w:pPr>
        <w:pStyle w:val="IPPHeading3"/>
      </w:pPr>
      <w:r>
        <w:rPr>
          <w:rStyle w:val="PleaseReviewParagraphId"/>
          <w:b w:val="off"/>
          <w:i w:val="off"/>
        </w:rPr>
        <w:t>[60]</w:t>
      </w:r>
      <w:r>
        <w:t>Referencias</w:t>
      </w:r>
    </w:p>
    <w:p w14:paraId="563A7D99" w14:textId="0E14D016">
      <w:pPr>
        <w:pStyle w:val="IPPParagraphnumbering"/>
        <w:numPr>
          <w:ilvl w:val="0"/>
          <w:numId w:val="0"/>
        </w:numPr>
      </w:pPr>
      <w:r>
        <w:rPr>
          <w:rStyle w:val="PleaseReviewParagraphId"/>
          <w:b w:val="off"/>
          <w:i w:val="off"/>
        </w:rPr>
        <w:t>[61]</w:t>
      </w:r>
      <w:r>
        <w:rPr>
          <w:b/>
        </w:rPr>
        <w:t>NIMF 11</w:t>
      </w:r>
      <w:r>
        <w:t xml:space="preserve">. 2019. </w:t>
      </w:r>
      <w:r>
        <w:rPr>
          <w:i/>
          <w:iCs/>
        </w:rPr>
        <w:t>Análisis de riesgo de plagas para plagas cuarentenarias.</w:t>
      </w:r>
      <w:r>
        <w:t xml:space="preserve"> Secretaría de la CIPF. Roma, FAO. Adoptada en 2013. </w:t>
      </w:r>
      <w:hyperlink w:history="1" r:id="rId14">
        <w:r>
          <w:rPr>
            <w:rStyle w:val="Hyperlink"/>
          </w:rPr>
          <w:t>https://www.ippc.int/es/publications/639/</w:t>
        </w:r>
      </w:hyperlink>
    </w:p>
    <w:p w14:paraId="32914C16" w14:textId="77777777">
      <w:pPr>
        <w:pStyle w:val="IPPSubheadSpace"/>
        <w:keepNext w:val="0"/>
      </w:pPr>
      <w:r>
        <w:rPr>
          <w:rStyle w:val="PleaseReviewParagraphId"/>
          <w:b w:val="off"/>
          <w:i w:val="off"/>
        </w:rPr>
        <w:t>[62]</w:t>
      </w:r>
      <w:r>
        <w:t>Documentos de debate</w:t>
      </w:r>
    </w:p>
    <w:p w14:paraId="0B20BA7E" w14:textId="75E354AD">
      <w:pPr>
        <w:pStyle w:val="IPPParagraphnumbering"/>
        <w:numPr>
          <w:ilvl w:val="0"/>
          <w:numId w:val="0"/>
        </w:numPr>
      </w:pPr>
      <w:r>
        <w:rPr>
          <w:rStyle w:val="PleaseReviewParagraphId"/>
          <w:b w:val="off"/>
          <w:i w:val="off"/>
        </w:rPr>
        <w:t>[63]</w:t>
      </w:r>
      <w:r>
        <w:t>Se alienta a los participantes y las partes interesadas a remitir documentos de debate a la Secretaría de la CIPF (</w:t>
      </w:r>
      <w:hyperlink w:history="1" r:id="rId15">
        <w:r>
          <w:rPr>
            <w:rStyle w:val="Hyperlink"/>
          </w:rPr>
          <w:t>ippc@fao.org</w:t>
        </w:r>
      </w:hyperlink>
      <w:r>
        <w:t>) para su examen por el GTE.</w:t>
      </w:r>
    </w:p>
    <w:sectPr>
      <w:pgSz w:w="11906" w:h="16838" w:code="9"/>
      <w:pgMar w:top="1559" w:right="1418" w:bottom="1418" w:left="1418" w:header="851" w:footer="851"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51F4" w14:textId="77777777">
      <w:r>
        <w:rPr>
          <w:rStyle w:val="PleaseReviewParagraphId"/>
          <w:b w:val="off"/>
          <w:i w:val="off"/>
        </w:rPr>
        <w:t>[]</w:t>
      </w:r>
      <w:r>
        <w:separator/>
      </w:r>
    </w:p>
  </w:endnote>
  <w:endnote w:type="continuationSeparator" w:id="0">
    <w:p w14:paraId="6B1434E0" w14:textId="77777777">
      <w:r>
        <w:rPr>
          <w:rStyle w:val="PleaseReviewParagraphId"/>
          <w:b w:val="off"/>
          <w:i w:val="off"/>
        </w:rPr>
        <w:t>[]</w:t>
      </w:r>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FD29" w14:textId="77777777">
      <w:r>
        <w:rPr>
          <w:rStyle w:val="PleaseReviewParagraphId"/>
          <w:b w:val="off"/>
          <w:i w:val="off"/>
        </w:rPr>
        <w:t>[]</w:t>
      </w:r>
      <w:r>
        <w:separator/>
      </w:r>
    </w:p>
  </w:footnote>
  <w:footnote w:type="continuationSeparator" w:id="0">
    <w:p w14:paraId="2BDF59DC" w14:textId="77777777">
      <w:r>
        <w:rPr>
          <w:rStyle w:val="PleaseReviewParagraphId"/>
          <w:b w:val="off"/>
          <w:i w:val="off"/>
        </w:rPr>
        <w:t>[]</w:t>
      </w:r>
      <w:r>
        <w:continuationSeparator/>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949"/>
    <w:multiLevelType w:val="hybridMultilevel"/>
    <w:tmpl w:val="1B90E386"/>
    <w:lvl w:ilvl="0" w:tplc="4A88C5D6">
      <w:start w:val="1"/>
      <w:numFmt w:val="decimal"/>
      <w:pStyle w:val="IPPNumberedList"/>
      <w:lvlText w:val="%1)"/>
      <w:lvlJc w:val="left"/>
      <w:pPr>
        <w:tabs>
          <w:tab w:val="num" w:pos="851"/>
        </w:tabs>
        <w:ind w:left="851" w:hanging="567"/>
      </w:pPr>
      <w:rPr>
        <w:rFonts w:ascii="Times New Roman" w:eastAsia="Times" w:hAnsi="Times New Roman" w:cs="Times New Roman"/>
        <w:b w:val="0"/>
        <w:i w:val="0"/>
        <w:sz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713293"/>
    <w:multiLevelType w:val="hybridMultilevel"/>
    <w:tmpl w:val="F486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0DE0"/>
    <w:multiLevelType w:val="hybridMultilevel"/>
    <w:tmpl w:val="E9F2934C"/>
    <w:lvl w:ilvl="0" w:tplc="CE52D25A">
      <w:start w:val="1"/>
      <w:numFmt w:val="decimal"/>
      <w:pStyle w:val="IPPSubheadNumber"/>
      <w:lvlText w:val="%1"/>
      <w:lvlJc w:val="left"/>
      <w:pPr>
        <w:tabs>
          <w:tab w:val="num" w:pos="567"/>
        </w:tabs>
        <w:ind w:left="0" w:firstLine="0"/>
      </w:pPr>
      <w:rPr>
        <w:rFonts w:ascii="Times New Roman" w:hAnsi="Times New Roman"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65E73"/>
    <w:multiLevelType w:val="hybridMultilevel"/>
    <w:tmpl w:val="C5AE239A"/>
    <w:lvl w:ilvl="0" w:tplc="0F929B54">
      <w:start w:val="1"/>
      <w:numFmt w:val="decimal"/>
      <w:pStyle w:val="IPPNumber"/>
      <w:lvlText w:val="%1"/>
      <w:lvlJc w:val="left"/>
      <w:pPr>
        <w:tabs>
          <w:tab w:val="num" w:pos="567"/>
        </w:tabs>
        <w:ind w:left="0" w:firstLine="0"/>
      </w:pPr>
      <w:rPr>
        <w:rFonts w:ascii="Times New Roman" w:hAnsi="Times New Roman"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7" w15:restartNumberingAfterBreak="0">
    <w:nsid w:val="35A3795A"/>
    <w:multiLevelType w:val="hybridMultilevel"/>
    <w:tmpl w:val="F6DE69F2"/>
    <w:lvl w:ilvl="0" w:tplc="6C3249DA">
      <w:start w:val="1"/>
      <w:numFmt w:val="decimal"/>
      <w:lvlText w:val="[%1]"/>
      <w:lvlJc w:val="left"/>
      <w:pPr>
        <w:ind w:left="720" w:hanging="360"/>
      </w:pPr>
      <w:rPr>
        <w:rFonts w:ascii="Arial" w:hAnsi="Arial" w:cs="Arial" w:hint="default"/>
        <w:b w:val="0"/>
        <w:i/>
        <w:color w:val="0000FF"/>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3934902">
    <w:abstractNumId w:val="5"/>
  </w:num>
  <w:num w:numId="2" w16cid:durableId="1475174615">
    <w:abstractNumId w:val="4"/>
  </w:num>
  <w:num w:numId="3" w16cid:durableId="72168050">
    <w:abstractNumId w:val="9"/>
  </w:num>
  <w:num w:numId="4" w16cid:durableId="1901742193">
    <w:abstractNumId w:val="12"/>
  </w:num>
  <w:num w:numId="5" w16cid:durableId="1259024092">
    <w:abstractNumId w:val="2"/>
  </w:num>
  <w:num w:numId="6" w16cid:durableId="1884900620">
    <w:abstractNumId w:val="6"/>
  </w:num>
  <w:num w:numId="7" w16cid:durableId="348796393">
    <w:abstractNumId w:val="0"/>
  </w:num>
  <w:num w:numId="8" w16cid:durableId="1479104642">
    <w:abstractNumId w:val="10"/>
  </w:num>
  <w:num w:numId="9" w16cid:durableId="828906373">
    <w:abstractNumId w:val="8"/>
  </w:num>
  <w:num w:numId="10" w16cid:durableId="1926110415">
    <w:abstractNumId w:val="13"/>
  </w:num>
  <w:num w:numId="11" w16cid:durableId="1422484703">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 w16cid:durableId="588344364">
    <w:abstractNumId w:val="11"/>
  </w:num>
  <w:num w:numId="13" w16cid:durableId="178474547">
    <w:abstractNumId w:val="3"/>
  </w:num>
  <w:num w:numId="14" w16cid:durableId="1421830261">
    <w:abstractNumId w:val="7"/>
  </w:num>
  <w:numIdMacAtCleanup w:val="13"/>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evenAndOddHeader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70"/>
    <w:rsid w:val="000007B4"/>
    <w:rsid w:val="00012842"/>
    <w:rsid w:val="00013203"/>
    <w:rsid w:val="00020F40"/>
    <w:rsid w:val="00021E2F"/>
    <w:rsid w:val="00031F6F"/>
    <w:rsid w:val="0003437B"/>
    <w:rsid w:val="000415C4"/>
    <w:rsid w:val="00041CEC"/>
    <w:rsid w:val="00042041"/>
    <w:rsid w:val="00044DFD"/>
    <w:rsid w:val="0004626B"/>
    <w:rsid w:val="00050EE5"/>
    <w:rsid w:val="00051A86"/>
    <w:rsid w:val="00052C89"/>
    <w:rsid w:val="000564EC"/>
    <w:rsid w:val="00065CE8"/>
    <w:rsid w:val="00072AE0"/>
    <w:rsid w:val="000825E4"/>
    <w:rsid w:val="00083E4A"/>
    <w:rsid w:val="00087C0D"/>
    <w:rsid w:val="00094196"/>
    <w:rsid w:val="000960C9"/>
    <w:rsid w:val="000969D1"/>
    <w:rsid w:val="000970F2"/>
    <w:rsid w:val="000A3E02"/>
    <w:rsid w:val="000A5E1E"/>
    <w:rsid w:val="000A7195"/>
    <w:rsid w:val="000B1207"/>
    <w:rsid w:val="000B5FF7"/>
    <w:rsid w:val="000B7A65"/>
    <w:rsid w:val="000C1FE5"/>
    <w:rsid w:val="000C5C77"/>
    <w:rsid w:val="000C62A4"/>
    <w:rsid w:val="000D341F"/>
    <w:rsid w:val="000D52D9"/>
    <w:rsid w:val="000D76AE"/>
    <w:rsid w:val="000E0188"/>
    <w:rsid w:val="000E0C8E"/>
    <w:rsid w:val="000F1AAF"/>
    <w:rsid w:val="000F44EF"/>
    <w:rsid w:val="000F5442"/>
    <w:rsid w:val="000F5C99"/>
    <w:rsid w:val="00102804"/>
    <w:rsid w:val="001032B2"/>
    <w:rsid w:val="00103DA8"/>
    <w:rsid w:val="00112E1D"/>
    <w:rsid w:val="00114045"/>
    <w:rsid w:val="001161D1"/>
    <w:rsid w:val="00116207"/>
    <w:rsid w:val="00117B8A"/>
    <w:rsid w:val="001220AC"/>
    <w:rsid w:val="001257B4"/>
    <w:rsid w:val="00131CCF"/>
    <w:rsid w:val="00132B4B"/>
    <w:rsid w:val="00133762"/>
    <w:rsid w:val="00142E0E"/>
    <w:rsid w:val="00144E14"/>
    <w:rsid w:val="001462E8"/>
    <w:rsid w:val="0015734F"/>
    <w:rsid w:val="00157AE8"/>
    <w:rsid w:val="00166B28"/>
    <w:rsid w:val="00175DF6"/>
    <w:rsid w:val="00180438"/>
    <w:rsid w:val="001830C1"/>
    <w:rsid w:val="00186DFB"/>
    <w:rsid w:val="00190582"/>
    <w:rsid w:val="001952F5"/>
    <w:rsid w:val="00195651"/>
    <w:rsid w:val="00196141"/>
    <w:rsid w:val="001A3B5A"/>
    <w:rsid w:val="001A6A47"/>
    <w:rsid w:val="001C30C2"/>
    <w:rsid w:val="001D0392"/>
    <w:rsid w:val="001D0993"/>
    <w:rsid w:val="001D1B94"/>
    <w:rsid w:val="001D312C"/>
    <w:rsid w:val="001D7229"/>
    <w:rsid w:val="001E0453"/>
    <w:rsid w:val="001F293A"/>
    <w:rsid w:val="001F2BF2"/>
    <w:rsid w:val="001F59B5"/>
    <w:rsid w:val="001F66A3"/>
    <w:rsid w:val="001F6E51"/>
    <w:rsid w:val="001F7454"/>
    <w:rsid w:val="00202303"/>
    <w:rsid w:val="00202935"/>
    <w:rsid w:val="00205CC8"/>
    <w:rsid w:val="00207970"/>
    <w:rsid w:val="00213E8F"/>
    <w:rsid w:val="0021409F"/>
    <w:rsid w:val="002226CF"/>
    <w:rsid w:val="00225BBB"/>
    <w:rsid w:val="00227A46"/>
    <w:rsid w:val="00227BF6"/>
    <w:rsid w:val="00233CC8"/>
    <w:rsid w:val="002354D3"/>
    <w:rsid w:val="0023580E"/>
    <w:rsid w:val="00250653"/>
    <w:rsid w:val="00251177"/>
    <w:rsid w:val="00256312"/>
    <w:rsid w:val="0026405D"/>
    <w:rsid w:val="0026435B"/>
    <w:rsid w:val="00270A57"/>
    <w:rsid w:val="00270A7C"/>
    <w:rsid w:val="00272FDD"/>
    <w:rsid w:val="00274497"/>
    <w:rsid w:val="002816E8"/>
    <w:rsid w:val="00283A0A"/>
    <w:rsid w:val="00286FAD"/>
    <w:rsid w:val="0029569B"/>
    <w:rsid w:val="0029575B"/>
    <w:rsid w:val="002963DD"/>
    <w:rsid w:val="002A42C9"/>
    <w:rsid w:val="002B74C5"/>
    <w:rsid w:val="002B777A"/>
    <w:rsid w:val="002C1E52"/>
    <w:rsid w:val="002C1EAC"/>
    <w:rsid w:val="002C4D03"/>
    <w:rsid w:val="002C5CE0"/>
    <w:rsid w:val="002D1478"/>
    <w:rsid w:val="002D2460"/>
    <w:rsid w:val="002D61BB"/>
    <w:rsid w:val="002E38F1"/>
    <w:rsid w:val="002E4BC6"/>
    <w:rsid w:val="002E5680"/>
    <w:rsid w:val="002F0D97"/>
    <w:rsid w:val="002F7797"/>
    <w:rsid w:val="00302E3E"/>
    <w:rsid w:val="00314DE2"/>
    <w:rsid w:val="0031661B"/>
    <w:rsid w:val="00330E59"/>
    <w:rsid w:val="00331ABB"/>
    <w:rsid w:val="00334C1C"/>
    <w:rsid w:val="00342409"/>
    <w:rsid w:val="003478FB"/>
    <w:rsid w:val="003513AC"/>
    <w:rsid w:val="003534EB"/>
    <w:rsid w:val="00354F54"/>
    <w:rsid w:val="00355E3B"/>
    <w:rsid w:val="00362289"/>
    <w:rsid w:val="003653B7"/>
    <w:rsid w:val="00367F1D"/>
    <w:rsid w:val="003714C9"/>
    <w:rsid w:val="00373784"/>
    <w:rsid w:val="00374BE5"/>
    <w:rsid w:val="00377248"/>
    <w:rsid w:val="00380311"/>
    <w:rsid w:val="00384954"/>
    <w:rsid w:val="00391677"/>
    <w:rsid w:val="003A6FE8"/>
    <w:rsid w:val="003B5274"/>
    <w:rsid w:val="003B7AAD"/>
    <w:rsid w:val="003C1891"/>
    <w:rsid w:val="003C1A56"/>
    <w:rsid w:val="003C39C6"/>
    <w:rsid w:val="003C602D"/>
    <w:rsid w:val="003C6FB5"/>
    <w:rsid w:val="003D068E"/>
    <w:rsid w:val="003D11C8"/>
    <w:rsid w:val="003D2B6D"/>
    <w:rsid w:val="003D52A0"/>
    <w:rsid w:val="003E3F51"/>
    <w:rsid w:val="003E7E08"/>
    <w:rsid w:val="003F28AE"/>
    <w:rsid w:val="003F4E89"/>
    <w:rsid w:val="00411512"/>
    <w:rsid w:val="00412F08"/>
    <w:rsid w:val="0041356A"/>
    <w:rsid w:val="00413B2B"/>
    <w:rsid w:val="00414F1C"/>
    <w:rsid w:val="004153D0"/>
    <w:rsid w:val="0041710B"/>
    <w:rsid w:val="00417D05"/>
    <w:rsid w:val="004200E4"/>
    <w:rsid w:val="00430C0F"/>
    <w:rsid w:val="00430C54"/>
    <w:rsid w:val="00430ECB"/>
    <w:rsid w:val="00431722"/>
    <w:rsid w:val="004337CD"/>
    <w:rsid w:val="00437289"/>
    <w:rsid w:val="0043758F"/>
    <w:rsid w:val="00441BD7"/>
    <w:rsid w:val="0045108C"/>
    <w:rsid w:val="00453176"/>
    <w:rsid w:val="00454651"/>
    <w:rsid w:val="00460093"/>
    <w:rsid w:val="0046159A"/>
    <w:rsid w:val="004627E0"/>
    <w:rsid w:val="00463205"/>
    <w:rsid w:val="00475F83"/>
    <w:rsid w:val="00495BBC"/>
    <w:rsid w:val="004A1DCD"/>
    <w:rsid w:val="004A7BEA"/>
    <w:rsid w:val="004B0155"/>
    <w:rsid w:val="004B5E1F"/>
    <w:rsid w:val="004C0F14"/>
    <w:rsid w:val="004C3505"/>
    <w:rsid w:val="004C4B2D"/>
    <w:rsid w:val="004D1453"/>
    <w:rsid w:val="004D1A59"/>
    <w:rsid w:val="004D374D"/>
    <w:rsid w:val="004D7E1C"/>
    <w:rsid w:val="004E14C9"/>
    <w:rsid w:val="004E26A1"/>
    <w:rsid w:val="004E5FA2"/>
    <w:rsid w:val="004E6007"/>
    <w:rsid w:val="004E6A72"/>
    <w:rsid w:val="004F113B"/>
    <w:rsid w:val="00500D08"/>
    <w:rsid w:val="0050159B"/>
    <w:rsid w:val="005018D9"/>
    <w:rsid w:val="00502985"/>
    <w:rsid w:val="00505199"/>
    <w:rsid w:val="00506388"/>
    <w:rsid w:val="005070EC"/>
    <w:rsid w:val="005104B0"/>
    <w:rsid w:val="005125C2"/>
    <w:rsid w:val="00517C5F"/>
    <w:rsid w:val="00526DFA"/>
    <w:rsid w:val="005320DB"/>
    <w:rsid w:val="0053224B"/>
    <w:rsid w:val="00532FD8"/>
    <w:rsid w:val="00533DFA"/>
    <w:rsid w:val="00541217"/>
    <w:rsid w:val="005620C9"/>
    <w:rsid w:val="0057013D"/>
    <w:rsid w:val="005731D2"/>
    <w:rsid w:val="0057771F"/>
    <w:rsid w:val="00582C87"/>
    <w:rsid w:val="00583485"/>
    <w:rsid w:val="00586B3B"/>
    <w:rsid w:val="0059444E"/>
    <w:rsid w:val="005964D9"/>
    <w:rsid w:val="005A0BC6"/>
    <w:rsid w:val="005A6BE5"/>
    <w:rsid w:val="005B13EF"/>
    <w:rsid w:val="005B1471"/>
    <w:rsid w:val="005B3B1D"/>
    <w:rsid w:val="005B5AE5"/>
    <w:rsid w:val="005B6144"/>
    <w:rsid w:val="005C22EF"/>
    <w:rsid w:val="005C3E81"/>
    <w:rsid w:val="005C3F87"/>
    <w:rsid w:val="005D07DC"/>
    <w:rsid w:val="005D654A"/>
    <w:rsid w:val="005D6BC5"/>
    <w:rsid w:val="005E37A0"/>
    <w:rsid w:val="005E4E14"/>
    <w:rsid w:val="005F14D6"/>
    <w:rsid w:val="005F2FCE"/>
    <w:rsid w:val="005F3238"/>
    <w:rsid w:val="005F56FA"/>
    <w:rsid w:val="005F7135"/>
    <w:rsid w:val="00603F2F"/>
    <w:rsid w:val="00606F90"/>
    <w:rsid w:val="00610D37"/>
    <w:rsid w:val="00613EF9"/>
    <w:rsid w:val="00617CAA"/>
    <w:rsid w:val="00620011"/>
    <w:rsid w:val="00621E23"/>
    <w:rsid w:val="0062256A"/>
    <w:rsid w:val="0062519C"/>
    <w:rsid w:val="00631CAD"/>
    <w:rsid w:val="006330CE"/>
    <w:rsid w:val="00633952"/>
    <w:rsid w:val="006359F3"/>
    <w:rsid w:val="00650F49"/>
    <w:rsid w:val="00651EDA"/>
    <w:rsid w:val="00652D18"/>
    <w:rsid w:val="00654B8F"/>
    <w:rsid w:val="00660AA6"/>
    <w:rsid w:val="0066567F"/>
    <w:rsid w:val="0067202D"/>
    <w:rsid w:val="006738E7"/>
    <w:rsid w:val="00676742"/>
    <w:rsid w:val="00676FBC"/>
    <w:rsid w:val="0068334A"/>
    <w:rsid w:val="0068394A"/>
    <w:rsid w:val="00686B98"/>
    <w:rsid w:val="006A18A5"/>
    <w:rsid w:val="006A2BA2"/>
    <w:rsid w:val="006A5A63"/>
    <w:rsid w:val="006A7DA4"/>
    <w:rsid w:val="006B682A"/>
    <w:rsid w:val="006B7849"/>
    <w:rsid w:val="006B7CAD"/>
    <w:rsid w:val="006C06E7"/>
    <w:rsid w:val="006C1DD9"/>
    <w:rsid w:val="006C3BBD"/>
    <w:rsid w:val="006D0F0D"/>
    <w:rsid w:val="006D3FBA"/>
    <w:rsid w:val="006D409B"/>
    <w:rsid w:val="006D4D89"/>
    <w:rsid w:val="006D7585"/>
    <w:rsid w:val="006E12AB"/>
    <w:rsid w:val="006E3C2E"/>
    <w:rsid w:val="006E5259"/>
    <w:rsid w:val="006F387A"/>
    <w:rsid w:val="0070455B"/>
    <w:rsid w:val="00706E35"/>
    <w:rsid w:val="007116A6"/>
    <w:rsid w:val="00713F17"/>
    <w:rsid w:val="007147F0"/>
    <w:rsid w:val="00717211"/>
    <w:rsid w:val="007203AC"/>
    <w:rsid w:val="00720C82"/>
    <w:rsid w:val="00720ECA"/>
    <w:rsid w:val="00722F1F"/>
    <w:rsid w:val="00732AC2"/>
    <w:rsid w:val="007346DB"/>
    <w:rsid w:val="00737682"/>
    <w:rsid w:val="00746B05"/>
    <w:rsid w:val="00747E7F"/>
    <w:rsid w:val="00751CFF"/>
    <w:rsid w:val="00753312"/>
    <w:rsid w:val="00757718"/>
    <w:rsid w:val="0076020D"/>
    <w:rsid w:val="007636A9"/>
    <w:rsid w:val="00763F7F"/>
    <w:rsid w:val="0077709B"/>
    <w:rsid w:val="00782DF2"/>
    <w:rsid w:val="00785443"/>
    <w:rsid w:val="00791654"/>
    <w:rsid w:val="00791A19"/>
    <w:rsid w:val="00796CE2"/>
    <w:rsid w:val="007B2B36"/>
    <w:rsid w:val="007B455C"/>
    <w:rsid w:val="007C32E4"/>
    <w:rsid w:val="007C7BFA"/>
    <w:rsid w:val="007D262B"/>
    <w:rsid w:val="007D4300"/>
    <w:rsid w:val="007E3777"/>
    <w:rsid w:val="007E7872"/>
    <w:rsid w:val="007F26AD"/>
    <w:rsid w:val="00801026"/>
    <w:rsid w:val="00802481"/>
    <w:rsid w:val="00804D84"/>
    <w:rsid w:val="008052BA"/>
    <w:rsid w:val="0081103E"/>
    <w:rsid w:val="0081179B"/>
    <w:rsid w:val="008118B9"/>
    <w:rsid w:val="0081699F"/>
    <w:rsid w:val="00827A1F"/>
    <w:rsid w:val="00832F42"/>
    <w:rsid w:val="00833C5A"/>
    <w:rsid w:val="00851D2D"/>
    <w:rsid w:val="00855D6B"/>
    <w:rsid w:val="008635C1"/>
    <w:rsid w:val="008650AE"/>
    <w:rsid w:val="00866693"/>
    <w:rsid w:val="00872450"/>
    <w:rsid w:val="0087329D"/>
    <w:rsid w:val="00873B47"/>
    <w:rsid w:val="0087427C"/>
    <w:rsid w:val="00876210"/>
    <w:rsid w:val="008843D1"/>
    <w:rsid w:val="00891FFA"/>
    <w:rsid w:val="008B04D8"/>
    <w:rsid w:val="008B2DEA"/>
    <w:rsid w:val="008B3073"/>
    <w:rsid w:val="008C0091"/>
    <w:rsid w:val="008C2797"/>
    <w:rsid w:val="008C48F7"/>
    <w:rsid w:val="008D0311"/>
    <w:rsid w:val="008D4388"/>
    <w:rsid w:val="008D6897"/>
    <w:rsid w:val="008E2126"/>
    <w:rsid w:val="008E35BB"/>
    <w:rsid w:val="008E51E1"/>
    <w:rsid w:val="008E54EC"/>
    <w:rsid w:val="008E5C03"/>
    <w:rsid w:val="008E5CEB"/>
    <w:rsid w:val="008F2CDA"/>
    <w:rsid w:val="00900E5D"/>
    <w:rsid w:val="00903AC4"/>
    <w:rsid w:val="009057EF"/>
    <w:rsid w:val="00907153"/>
    <w:rsid w:val="00914BF2"/>
    <w:rsid w:val="00915F6A"/>
    <w:rsid w:val="00927932"/>
    <w:rsid w:val="00933B2E"/>
    <w:rsid w:val="00940481"/>
    <w:rsid w:val="00941E57"/>
    <w:rsid w:val="00943DD6"/>
    <w:rsid w:val="00950241"/>
    <w:rsid w:val="00950DDC"/>
    <w:rsid w:val="00952C00"/>
    <w:rsid w:val="009563FA"/>
    <w:rsid w:val="009647D0"/>
    <w:rsid w:val="0096577D"/>
    <w:rsid w:val="00986761"/>
    <w:rsid w:val="009917F1"/>
    <w:rsid w:val="00993837"/>
    <w:rsid w:val="009A4639"/>
    <w:rsid w:val="009C4801"/>
    <w:rsid w:val="009C5566"/>
    <w:rsid w:val="009D1874"/>
    <w:rsid w:val="009D63E2"/>
    <w:rsid w:val="009E596A"/>
    <w:rsid w:val="009F2F07"/>
    <w:rsid w:val="009F5BB6"/>
    <w:rsid w:val="009F6D31"/>
    <w:rsid w:val="00A03BFD"/>
    <w:rsid w:val="00A102AE"/>
    <w:rsid w:val="00A106FA"/>
    <w:rsid w:val="00A11D38"/>
    <w:rsid w:val="00A14A34"/>
    <w:rsid w:val="00A21DD3"/>
    <w:rsid w:val="00A23A06"/>
    <w:rsid w:val="00A24065"/>
    <w:rsid w:val="00A3200E"/>
    <w:rsid w:val="00A42209"/>
    <w:rsid w:val="00A43E5D"/>
    <w:rsid w:val="00A6108C"/>
    <w:rsid w:val="00A66C74"/>
    <w:rsid w:val="00A70E65"/>
    <w:rsid w:val="00A719D3"/>
    <w:rsid w:val="00A71DEB"/>
    <w:rsid w:val="00A72791"/>
    <w:rsid w:val="00A761B9"/>
    <w:rsid w:val="00A7658A"/>
    <w:rsid w:val="00A76AD2"/>
    <w:rsid w:val="00A849D1"/>
    <w:rsid w:val="00A8699A"/>
    <w:rsid w:val="00A92347"/>
    <w:rsid w:val="00A9242C"/>
    <w:rsid w:val="00A94321"/>
    <w:rsid w:val="00A94B98"/>
    <w:rsid w:val="00AA2E2A"/>
    <w:rsid w:val="00AA4B92"/>
    <w:rsid w:val="00AB1E24"/>
    <w:rsid w:val="00AB207E"/>
    <w:rsid w:val="00AB21CA"/>
    <w:rsid w:val="00AB3B54"/>
    <w:rsid w:val="00AB3F9B"/>
    <w:rsid w:val="00AC5FA2"/>
    <w:rsid w:val="00AD5F81"/>
    <w:rsid w:val="00AD66B7"/>
    <w:rsid w:val="00AD7C74"/>
    <w:rsid w:val="00AE19B1"/>
    <w:rsid w:val="00AE5B41"/>
    <w:rsid w:val="00AF6855"/>
    <w:rsid w:val="00B037A2"/>
    <w:rsid w:val="00B050CC"/>
    <w:rsid w:val="00B050D3"/>
    <w:rsid w:val="00B06900"/>
    <w:rsid w:val="00B06C1C"/>
    <w:rsid w:val="00B1097C"/>
    <w:rsid w:val="00B14436"/>
    <w:rsid w:val="00B24621"/>
    <w:rsid w:val="00B43685"/>
    <w:rsid w:val="00B465D7"/>
    <w:rsid w:val="00B47660"/>
    <w:rsid w:val="00B53B4B"/>
    <w:rsid w:val="00B56FB9"/>
    <w:rsid w:val="00B602E4"/>
    <w:rsid w:val="00B60DDB"/>
    <w:rsid w:val="00B74547"/>
    <w:rsid w:val="00B762B3"/>
    <w:rsid w:val="00B80A7F"/>
    <w:rsid w:val="00B813F2"/>
    <w:rsid w:val="00B87F49"/>
    <w:rsid w:val="00B9232A"/>
    <w:rsid w:val="00B95A49"/>
    <w:rsid w:val="00BA081F"/>
    <w:rsid w:val="00BB30A2"/>
    <w:rsid w:val="00BB7B43"/>
    <w:rsid w:val="00BC2897"/>
    <w:rsid w:val="00BC3A0B"/>
    <w:rsid w:val="00BC478A"/>
    <w:rsid w:val="00BC6796"/>
    <w:rsid w:val="00BC7A95"/>
    <w:rsid w:val="00BD12A2"/>
    <w:rsid w:val="00BF0D7D"/>
    <w:rsid w:val="00BF5702"/>
    <w:rsid w:val="00BF792D"/>
    <w:rsid w:val="00BF7EB7"/>
    <w:rsid w:val="00C06EC8"/>
    <w:rsid w:val="00C20187"/>
    <w:rsid w:val="00C21914"/>
    <w:rsid w:val="00C2375A"/>
    <w:rsid w:val="00C24834"/>
    <w:rsid w:val="00C27D07"/>
    <w:rsid w:val="00C301B0"/>
    <w:rsid w:val="00C332F9"/>
    <w:rsid w:val="00C34F85"/>
    <w:rsid w:val="00C35297"/>
    <w:rsid w:val="00C3550F"/>
    <w:rsid w:val="00C4528E"/>
    <w:rsid w:val="00C51092"/>
    <w:rsid w:val="00C53B12"/>
    <w:rsid w:val="00C549C6"/>
    <w:rsid w:val="00C57104"/>
    <w:rsid w:val="00C62660"/>
    <w:rsid w:val="00C6377D"/>
    <w:rsid w:val="00C92A7A"/>
    <w:rsid w:val="00C9329C"/>
    <w:rsid w:val="00CA191A"/>
    <w:rsid w:val="00CA5AD6"/>
    <w:rsid w:val="00CA6E84"/>
    <w:rsid w:val="00CB1CA2"/>
    <w:rsid w:val="00CB50B7"/>
    <w:rsid w:val="00CB50CA"/>
    <w:rsid w:val="00CB61B1"/>
    <w:rsid w:val="00CC4302"/>
    <w:rsid w:val="00CC6482"/>
    <w:rsid w:val="00CC6D1E"/>
    <w:rsid w:val="00CD5759"/>
    <w:rsid w:val="00CD5AF7"/>
    <w:rsid w:val="00CD6E70"/>
    <w:rsid w:val="00CF2078"/>
    <w:rsid w:val="00CF47FE"/>
    <w:rsid w:val="00D03BB3"/>
    <w:rsid w:val="00D03CF7"/>
    <w:rsid w:val="00D10306"/>
    <w:rsid w:val="00D11B8C"/>
    <w:rsid w:val="00D16869"/>
    <w:rsid w:val="00D16E5D"/>
    <w:rsid w:val="00D226D5"/>
    <w:rsid w:val="00D275BD"/>
    <w:rsid w:val="00D3141F"/>
    <w:rsid w:val="00D35A1B"/>
    <w:rsid w:val="00D368F3"/>
    <w:rsid w:val="00D37C5F"/>
    <w:rsid w:val="00D541A6"/>
    <w:rsid w:val="00D574CC"/>
    <w:rsid w:val="00D60325"/>
    <w:rsid w:val="00D74025"/>
    <w:rsid w:val="00D83AD6"/>
    <w:rsid w:val="00D85DC2"/>
    <w:rsid w:val="00D9185C"/>
    <w:rsid w:val="00D954D8"/>
    <w:rsid w:val="00D96B9D"/>
    <w:rsid w:val="00DA0F57"/>
    <w:rsid w:val="00DA456F"/>
    <w:rsid w:val="00DB4329"/>
    <w:rsid w:val="00DC2427"/>
    <w:rsid w:val="00DC370F"/>
    <w:rsid w:val="00DC3AB9"/>
    <w:rsid w:val="00DC520D"/>
    <w:rsid w:val="00DD2E69"/>
    <w:rsid w:val="00DD3987"/>
    <w:rsid w:val="00DD3E05"/>
    <w:rsid w:val="00DD42EA"/>
    <w:rsid w:val="00DE323B"/>
    <w:rsid w:val="00DE4B4D"/>
    <w:rsid w:val="00DE56E3"/>
    <w:rsid w:val="00DE634F"/>
    <w:rsid w:val="00DF4459"/>
    <w:rsid w:val="00DF5EA9"/>
    <w:rsid w:val="00E02206"/>
    <w:rsid w:val="00E03CE5"/>
    <w:rsid w:val="00E03E34"/>
    <w:rsid w:val="00E42BEE"/>
    <w:rsid w:val="00E45BBB"/>
    <w:rsid w:val="00E5142A"/>
    <w:rsid w:val="00E60BC2"/>
    <w:rsid w:val="00E623EE"/>
    <w:rsid w:val="00E62F78"/>
    <w:rsid w:val="00E63AF4"/>
    <w:rsid w:val="00E64B81"/>
    <w:rsid w:val="00E64FF8"/>
    <w:rsid w:val="00E65B71"/>
    <w:rsid w:val="00E6789B"/>
    <w:rsid w:val="00E70301"/>
    <w:rsid w:val="00E70992"/>
    <w:rsid w:val="00E71DCC"/>
    <w:rsid w:val="00E7775D"/>
    <w:rsid w:val="00E82F9C"/>
    <w:rsid w:val="00E915F5"/>
    <w:rsid w:val="00EA307B"/>
    <w:rsid w:val="00EA4563"/>
    <w:rsid w:val="00EB2717"/>
    <w:rsid w:val="00EB55B7"/>
    <w:rsid w:val="00EB5AD9"/>
    <w:rsid w:val="00EC1718"/>
    <w:rsid w:val="00EC5FC3"/>
    <w:rsid w:val="00EC618F"/>
    <w:rsid w:val="00ED447D"/>
    <w:rsid w:val="00EF4AE0"/>
    <w:rsid w:val="00EF5AC3"/>
    <w:rsid w:val="00EF7E54"/>
    <w:rsid w:val="00F0232E"/>
    <w:rsid w:val="00F031E3"/>
    <w:rsid w:val="00F05223"/>
    <w:rsid w:val="00F06191"/>
    <w:rsid w:val="00F1053B"/>
    <w:rsid w:val="00F10ACE"/>
    <w:rsid w:val="00F11888"/>
    <w:rsid w:val="00F1668D"/>
    <w:rsid w:val="00F2050A"/>
    <w:rsid w:val="00F21A9A"/>
    <w:rsid w:val="00F245FB"/>
    <w:rsid w:val="00F27D86"/>
    <w:rsid w:val="00F311D8"/>
    <w:rsid w:val="00F33E50"/>
    <w:rsid w:val="00F4056C"/>
    <w:rsid w:val="00F41EB4"/>
    <w:rsid w:val="00F44265"/>
    <w:rsid w:val="00F455BF"/>
    <w:rsid w:val="00F45C05"/>
    <w:rsid w:val="00F471A2"/>
    <w:rsid w:val="00F542EC"/>
    <w:rsid w:val="00F650B9"/>
    <w:rsid w:val="00F674A8"/>
    <w:rsid w:val="00F74F8B"/>
    <w:rsid w:val="00F7557F"/>
    <w:rsid w:val="00F8762B"/>
    <w:rsid w:val="00F94F29"/>
    <w:rsid w:val="00FA1560"/>
    <w:rsid w:val="00FA589A"/>
    <w:rsid w:val="00FB1837"/>
    <w:rsid w:val="00FB6168"/>
    <w:rsid w:val="00FC6698"/>
    <w:rsid w:val="00FC778D"/>
    <w:rsid w:val="00FD0FD8"/>
    <w:rsid w:val="00FD19A7"/>
    <w:rsid w:val="00FD1A0B"/>
    <w:rsid w:val="00FD1B8D"/>
    <w:rsid w:val="00FD51AA"/>
    <w:rsid w:val="00FD572D"/>
    <w:rsid w:val="00FE13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22B52"/>
  <w15:chartTrackingRefBased/>
  <w15:docId w15:val="{844A335C-5F32-45BF-9851-FB315A0A4B0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MS Mincho"/>
      <w:sz w:val="22"/>
      <w:szCs w:val="24"/>
      <w:lang w:eastAsia="en-US"/>
    </w:rPr>
  </w:style>
  <w:style w:type="paragraph" w:styleId="Heading1">
    <w:name w:val="heading 1"/>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spacing w:before="60"/>
    </w:pPr>
    <w:rPr>
      <w:sz w:val="20"/>
    </w:rPr>
  </w:style>
  <w:style w:type="character" w:styleId="FootnoteReference">
    <w:name w:val="footnote reference"/>
    <w:basedOn w:val="DefaultParagraphFont"/>
    <w:semiHidden/>
    <w:rPr>
      <w:vertAlign w:val="superscript"/>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character" w:styleId="PageNumber">
    <w:name w:val="page number"/>
    <w:rPr>
      <w:rFonts w:ascii="Arial" w:hAnsi="Arial"/>
      <w:b/>
      <w:sz w:val="18"/>
    </w:rPr>
  </w:style>
  <w:style w:type="character" w:customStyle="1" w:styleId="Underline">
    <w:name w:val="Underline"/>
    <w:rPr>
      <w:u w:val="single"/>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unhideWhenUsed/>
    <w:rPr>
      <w:color w:val="96607D" w:themeColor="followedHyperlink"/>
      <w:u w:val="single"/>
    </w:rPr>
  </w:style>
  <w:style w:type="table" w:styleId="TableGrid">
    <w:name w:val="Table Grid"/>
    <w:basedOn w:val="TableNormal"/>
    <w:rPr>
      <w:rFonts w:ascii="Cambria" w:eastAsia="MS Mincho"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paragraph" w:customStyle="1" w:styleId="IPPBullet2">
    <w:name w:val="IPP Bullet2"/>
    <w:basedOn w:val="IPPNormal"/>
    <w:next w:val="IPPBullet1"/>
    <w:qFormat/>
    <w:pPr>
      <w:numPr>
        <w:numId w:val="4"/>
      </w:numPr>
      <w:tabs>
        <w:tab w:val="left" w:pos="1134"/>
      </w:tabs>
      <w:spacing w:after="60"/>
      <w:ind w:left="1134" w:hanging="567"/>
    </w:pPr>
  </w:style>
  <w:style w:type="paragraph" w:customStyle="1" w:styleId="IPPTitle16ptIndent">
    <w:name w:val="IPP Title16pt Indent"/>
    <w:basedOn w:val="Normal"/>
    <w:qFormat/>
    <w:pPr>
      <w:spacing w:after="720"/>
      <w:ind w:left="1701" w:right="1701"/>
      <w:jc w:val="center"/>
    </w:pPr>
    <w:rPr>
      <w:rFonts w:ascii="Arial" w:hAnsi="Arial" w:cs="Arial"/>
      <w:b/>
      <w:bCs/>
      <w:sz w:val="32"/>
      <w:szCs w:val="32"/>
    </w:r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character" w:customStyle="1" w:styleId="Heading1Char">
    <w:name w:val="Heading 1 Char"/>
    <w:basedOn w:val="DefaultParagraphFont"/>
    <w:link w:val="Heading1"/>
    <w:rPr>
      <w:rFonts w:eastAsia="MS Mincho"/>
      <w:b/>
      <w:bCs/>
      <w:sz w:val="22"/>
      <w:szCs w:val="24"/>
      <w:lang w:val="es-ES"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qFormat/>
    <w:rPr>
      <w:rFonts w:eastAsia="Times New Roman"/>
      <w:sz w:val="20"/>
      <w:szCs w:val="20"/>
      <w:lang w:eastAsia="x-none"/>
    </w:rPr>
  </w:style>
  <w:style w:type="character" w:customStyle="1" w:styleId="CommentTextChar">
    <w:name w:val="Comment Text Char"/>
    <w:link w:val="CommentText"/>
    <w:uiPriority w:val="99"/>
    <w:qFormat/>
    <w:rPr>
      <w:lang w:val="es-E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Pr>
      <w:b/>
      <w:bCs/>
      <w:lang w:val="es-ES"/>
    </w:rPr>
  </w:style>
  <w:style w:type="paragraph" w:customStyle="1" w:styleId="Comments">
    <w:name w:val="Comments"/>
    <w:basedOn w:val="Normal"/>
    <w:pPr>
      <w:ind w:left="284" w:hanging="284"/>
    </w:p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paragraph" w:customStyle="1" w:styleId="IPPNumberedList">
    <w:name w:val="IPP NumberedList"/>
    <w:basedOn w:val="IPPBullet1"/>
    <w:qFormat/>
    <w:pPr>
      <w:numPr>
        <w:numId w:val="7"/>
      </w:numPr>
    </w:pPr>
  </w:style>
  <w:style w:type="paragraph" w:customStyle="1" w:styleId="IPPBullet1">
    <w:name w:val="IPP Bullet1"/>
    <w:basedOn w:val="IPPBullet1Last"/>
    <w:qFormat/>
    <w:pPr>
      <w:numPr>
        <w:numId w:val="12"/>
      </w:numPr>
      <w:spacing w:after="60"/>
      <w:ind w:left="567" w:hanging="567"/>
    </w:pPr>
  </w:style>
  <w:style w:type="paragraph" w:customStyle="1" w:styleId="IPPBullet1Last">
    <w:name w:val="IPP Bullet1Last"/>
    <w:basedOn w:val="IPPNormal"/>
    <w:next w:val="IPPNormal"/>
    <w:qFormat/>
    <w:pPr>
      <w:numPr>
        <w:numId w:val="3"/>
      </w:numPr>
    </w:pPr>
  </w:style>
  <w:style w:type="paragraph" w:customStyle="1" w:styleId="IPPNumberClose">
    <w:name w:val="IPP NumberClose"/>
    <w:basedOn w:val="IPPNumber"/>
    <w:qFormat/>
    <w:pPr>
      <w:keepNext/>
      <w:spacing w:after="60"/>
    </w:p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Number">
    <w:name w:val="IPP Number"/>
    <w:basedOn w:val="IPPNormal"/>
    <w:qFormat/>
    <w:pPr>
      <w:numPr>
        <w:numId w:val="1"/>
      </w:numPr>
    </w:p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List">
    <w:name w:val="IPP List"/>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NumberedListLast">
    <w:name w:val="IPP NumberedListLast"/>
    <w:basedOn w:val="IPPNumberedList"/>
    <w:qFormat/>
    <w:pPr>
      <w:spacing w:after="180"/>
    </w:p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rPr>
  </w:style>
  <w:style w:type="paragraph" w:styleId="TOC5">
    <w:name w:val="toc 5"/>
    <w:basedOn w:val="Normal"/>
    <w:next w:val="Normal"/>
    <w:autoRedefine/>
    <w:uiPriority w:val="39"/>
    <w:pPr>
      <w:spacing w:after="120"/>
      <w:ind w:left="880"/>
    </w:pPr>
    <w:rPr>
      <w:rFonts w:eastAsia="Times"/>
    </w:rPr>
  </w:style>
  <w:style w:type="paragraph" w:styleId="TOC6">
    <w:name w:val="toc 6"/>
    <w:basedOn w:val="Normal"/>
    <w:next w:val="Normal"/>
    <w:autoRedefine/>
    <w:uiPriority w:val="39"/>
    <w:pPr>
      <w:spacing w:after="120"/>
      <w:ind w:left="1100"/>
    </w:pPr>
    <w:rPr>
      <w:rFonts w:eastAsia="Times"/>
    </w:rPr>
  </w:style>
  <w:style w:type="paragraph" w:styleId="TOC7">
    <w:name w:val="toc 7"/>
    <w:basedOn w:val="Normal"/>
    <w:next w:val="Normal"/>
    <w:autoRedefine/>
    <w:uiPriority w:val="39"/>
    <w:pPr>
      <w:spacing w:after="120"/>
      <w:ind w:left="1320"/>
    </w:pPr>
    <w:rPr>
      <w:rFonts w:eastAsia="Times"/>
    </w:rPr>
  </w:style>
  <w:style w:type="paragraph" w:styleId="TOC8">
    <w:name w:val="toc 8"/>
    <w:basedOn w:val="Normal"/>
    <w:next w:val="Normal"/>
    <w:autoRedefine/>
    <w:uiPriority w:val="39"/>
    <w:pPr>
      <w:spacing w:after="120"/>
      <w:ind w:left="1540"/>
    </w:pPr>
    <w:rPr>
      <w:rFonts w:eastAsia="Times"/>
    </w:rPr>
  </w:style>
  <w:style w:type="paragraph" w:styleId="TOC9">
    <w:name w:val="toc 9"/>
    <w:basedOn w:val="Normal"/>
    <w:next w:val="Normal"/>
    <w:autoRedefine/>
    <w:uiPriority w:val="39"/>
    <w:pPr>
      <w:spacing w:after="120"/>
      <w:ind w:left="1760"/>
    </w:pPr>
    <w:rPr>
      <w:rFonts w:eastAsia="Times"/>
    </w:rPr>
  </w:style>
  <w:style w:type="paragraph" w:customStyle="1" w:styleId="IPPReferences">
    <w:name w:val="IPP References"/>
    <w:basedOn w:val="IPPNormal"/>
    <w:qFormat/>
    <w:pPr>
      <w:spacing w:after="60"/>
      <w:ind w:left="567" w:hanging="567"/>
    </w:pPr>
  </w:style>
  <w:style w:type="character" w:customStyle="1" w:styleId="Heading2Char">
    <w:name w:val="Heading 2 Char"/>
    <w:basedOn w:val="DefaultParagraphFont"/>
    <w:link w:val="Heading2"/>
    <w:rPr>
      <w:rFonts w:ascii="Calibri" w:eastAsia="MS Mincho" w:hAnsi="Calibri"/>
      <w:b/>
      <w:bCs/>
      <w:i/>
      <w:iCs/>
      <w:sz w:val="28"/>
      <w:szCs w:val="28"/>
      <w:lang w:val="es-ES" w:eastAsia="en-US"/>
    </w:rPr>
  </w:style>
  <w:style w:type="character" w:customStyle="1" w:styleId="Heading3Char">
    <w:name w:val="Heading 3 Char"/>
    <w:basedOn w:val="DefaultParagraphFont"/>
    <w:link w:val="Heading3"/>
    <w:rPr>
      <w:rFonts w:ascii="Calibri" w:eastAsia="MS Mincho" w:hAnsi="Calibri"/>
      <w:b/>
      <w:bCs/>
      <w:sz w:val="26"/>
      <w:szCs w:val="26"/>
      <w:lang w:val="es-ES" w:eastAsia="en-US"/>
    </w:r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character" w:customStyle="1" w:styleId="FootnoteTextChar">
    <w:name w:val="Footnote Text Char"/>
    <w:basedOn w:val="DefaultParagraphFont"/>
    <w:link w:val="FootnoteText"/>
    <w:semiHidden/>
    <w:rPr>
      <w:rFonts w:eastAsia="MS Mincho"/>
      <w:szCs w:val="24"/>
      <w:lang w:val="es-ES" w:eastAsia="en-US"/>
    </w:rPr>
  </w:style>
  <w:style w:type="paragraph" w:customStyle="1" w:styleId="Indent1">
    <w:name w:val="Indent 1"/>
    <w:basedOn w:val="Normal"/>
    <w:qFormat/>
    <w:pPr>
      <w:spacing w:after="60"/>
      <w:ind w:left="567"/>
      <w:jc w:val="left"/>
    </w:pPr>
    <w:rPr>
      <w:rFonts w:ascii="Georgia" w:eastAsia="Times" w:hAnsi="Georgia"/>
      <w:sz w:val="18"/>
    </w:rPr>
  </w:style>
  <w:style w:type="paragraph" w:customStyle="1" w:styleId="Subhead">
    <w:name w:val="Subhead"/>
    <w:basedOn w:val="Normal"/>
    <w:qFormat/>
    <w:pPr>
      <w:keepNext/>
      <w:spacing w:before="120" w:after="60"/>
      <w:jc w:val="left"/>
    </w:pPr>
    <w:rPr>
      <w:rFonts w:ascii="Georgia" w:eastAsia="Times" w:hAnsi="Georgia"/>
      <w:b/>
      <w:sz w:val="19"/>
    </w:rPr>
  </w:style>
  <w:style w:type="paragraph" w:styleId="PlainText">
    <w:name w:val="Plain Text"/>
    <w:basedOn w:val="Normal"/>
    <w:link w:val="PlainTextChar"/>
    <w:uiPriority w:val="99"/>
    <w:unhideWhenUsed/>
    <w:pPr>
      <w:jc w:val="left"/>
    </w:pPr>
    <w:rPr>
      <w:rFonts w:ascii="Courier" w:eastAsia="Times" w:hAnsi="Courier"/>
      <w:sz w:val="21"/>
      <w:szCs w:val="21"/>
    </w:rPr>
  </w:style>
  <w:style w:type="character" w:customStyle="1" w:styleId="PlainTextChar">
    <w:name w:val="Plain Text Char"/>
    <w:basedOn w:val="DefaultParagraphFont"/>
    <w:link w:val="PlainText"/>
    <w:uiPriority w:val="99"/>
    <w:rPr>
      <w:rFonts w:ascii="Courier" w:eastAsia="Times" w:hAnsi="Courier"/>
      <w:sz w:val="21"/>
      <w:szCs w:val="21"/>
      <w:lang w:val="es-ES" w:eastAsia="en-US"/>
    </w:rPr>
  </w:style>
  <w:style w:type="paragraph" w:customStyle="1" w:styleId="IPPNumberSubhead">
    <w:name w:val="IPP NumberSubhead"/>
    <w:basedOn w:val="IPPNumber"/>
    <w:qFormat/>
    <w:pPr>
      <w:keepNext/>
      <w:spacing w:after="60"/>
    </w:pPr>
    <w:rPr>
      <w:b/>
    </w:rPr>
  </w:style>
  <w:style w:type="paragraph" w:customStyle="1" w:styleId="IPPSubheadNumber">
    <w:name w:val="IPP SubheadNumber"/>
    <w:basedOn w:val="IPPSubhead"/>
    <w:qFormat/>
    <w:pPr>
      <w:numPr>
        <w:numId w:val="2"/>
      </w:numPr>
    </w:pPr>
  </w:style>
  <w:style w:type="paragraph" w:customStyle="1" w:styleId="IPPLetterList">
    <w:name w:val="IPP LetterList"/>
    <w:basedOn w:val="IPPBullet2"/>
    <w:qFormat/>
    <w:pPr>
      <w:numPr>
        <w:numId w:val="8"/>
      </w:numPr>
      <w:jc w:val="left"/>
    </w:pPr>
  </w:style>
  <w:style w:type="paragraph" w:customStyle="1" w:styleId="IPPLetterListIndent">
    <w:name w:val="IPP LetterList Indent"/>
    <w:basedOn w:val="IPPLetterList"/>
    <w:qFormat/>
    <w:pPr>
      <w:numPr>
        <w:numId w:val="5"/>
      </w:numPr>
    </w:pPr>
  </w:style>
  <w:style w:type="paragraph" w:customStyle="1" w:styleId="CharChar">
    <w:name w:val="(文字) (文字) Char (文字) (文字) Char"/>
    <w:basedOn w:val="Normal"/>
    <w:pPr>
      <w:spacing w:after="160" w:line="240" w:lineRule="exact"/>
      <w:jc w:val="left"/>
    </w:pPr>
    <w:rPr>
      <w:rFonts w:ascii="Tahoma" w:hAnsi="Tahoma"/>
      <w:sz w:val="20"/>
    </w:rPr>
  </w:style>
  <w:style w:type="paragraph" w:customStyle="1" w:styleId="IPPSubheadSpace">
    <w:name w:val="IPP Subhead Space"/>
    <w:basedOn w:val="IPPSubhead"/>
    <w:qFormat/>
    <w:pPr>
      <w:tabs>
        <w:tab w:val="left" w:pos="567"/>
      </w:tabs>
      <w:spacing w:before="60" w:after="60"/>
    </w:pPr>
  </w:style>
  <w:style w:type="paragraph" w:customStyle="1" w:styleId="CarCar">
    <w:name w:val="Car Car"/>
    <w:basedOn w:val="Normal"/>
    <w:pPr>
      <w:spacing w:after="160" w:line="240" w:lineRule="exact"/>
      <w:jc w:val="left"/>
    </w:pPr>
    <w:rPr>
      <w:rFonts w:ascii="Tahoma" w:hAnsi="Tahoma"/>
      <w:sz w:val="20"/>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Hdg1Num">
    <w:name w:val="IPP Hdg1Num"/>
    <w:basedOn w:val="IPPHeading1"/>
    <w:next w:val="IPPNormal"/>
    <w:qFormat/>
    <w:pPr>
      <w:numPr>
        <w:numId w:val="9"/>
      </w:numPr>
    </w:pPr>
  </w:style>
  <w:style w:type="paragraph" w:customStyle="1" w:styleId="IPPHdg2Num">
    <w:name w:val="IPP Hdg2Num"/>
    <w:basedOn w:val="IPPHeading2"/>
    <w:next w:val="IPPNormal"/>
    <w:qFormat/>
    <w:pPr>
      <w:numPr>
        <w:ilvl w:val="1" numString="1.1. "/>
        <w:numId w:val="10"/>
      </w:numPr>
    </w:p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NumberedListArial">
    <w:name w:val="IPP NumberedListArial"/>
    <w:basedOn w:val="IPPNumberedList"/>
    <w:qFormat/>
    <w:pPr>
      <w:numPr>
        <w:numId w:val="0"/>
      </w:numPr>
      <w:tabs>
        <w:tab w:val="num" w:pos="1134"/>
      </w:tabs>
      <w:ind w:left="1134" w:hanging="567"/>
    </w:pPr>
    <w:rPr>
      <w:rFonts w:ascii="Arial" w:hAnsi="Arial"/>
      <w:sz w:val="18"/>
    </w:rPr>
  </w:style>
  <w:style w:type="paragraph" w:customStyle="1" w:styleId="IPPSubheadSpaceAfter">
    <w:name w:val="IPP Subhead SpaceAfter"/>
    <w:basedOn w:val="IPPSubhead"/>
    <w:qFormat/>
    <w:pPr>
      <w:spacing w:after="60"/>
    </w:pPr>
  </w:style>
  <w:style w:type="character" w:customStyle="1" w:styleId="HeaderChar">
    <w:name w:val="Header Char"/>
    <w:basedOn w:val="DefaultParagraphFont"/>
    <w:link w:val="Header"/>
    <w:rPr>
      <w:rFonts w:eastAsia="MS Mincho"/>
      <w:sz w:val="22"/>
      <w:szCs w:val="24"/>
      <w:lang w:val="es-ES" w:eastAsia="en-US"/>
    </w:rPr>
  </w:style>
  <w:style w:type="character" w:customStyle="1" w:styleId="FooterChar">
    <w:name w:val="Footer Char"/>
    <w:basedOn w:val="DefaultParagraphFont"/>
    <w:link w:val="Footer"/>
    <w:rPr>
      <w:rFonts w:eastAsia="MS Mincho"/>
      <w:sz w:val="22"/>
      <w:szCs w:val="24"/>
      <w:lang w:val="es-ES" w:eastAsia="en-US"/>
    </w:rPr>
  </w:style>
  <w:style w:type="character" w:customStyle="1" w:styleId="IPPNormalChar">
    <w:name w:val="IPP Normal Char"/>
    <w:link w:val="IPPNormal"/>
    <w:rPr>
      <w:rFonts w:eastAsia="Times"/>
      <w:sz w:val="22"/>
      <w:szCs w:val="24"/>
      <w:lang w:val="es-ES" w:eastAsia="en-US"/>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character" w:customStyle="1" w:styleId="BalloonTextChar">
    <w:name w:val="Balloon Text Char"/>
    <w:basedOn w:val="DefaultParagraphFont"/>
    <w:link w:val="BalloonText"/>
    <w:rPr>
      <w:rFonts w:ascii="Tahoma" w:eastAsia="MS Mincho" w:hAnsi="Tahoma" w:cs="Tahoma"/>
      <w:sz w:val="16"/>
      <w:szCs w:val="16"/>
      <w:lang w:val="es-ES" w:eastAsia="en-US"/>
    </w:r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s-ES"/>
    </w:rPr>
  </w:style>
  <w:style w:type="character" w:customStyle="1" w:styleId="IPPNormalbold">
    <w:name w:val="IPP Normal bold"/>
    <w:basedOn w:val="PlainTextChar"/>
    <w:rPr>
      <w:rFonts w:ascii="Times New Roman" w:eastAsia="Times" w:hAnsi="Times New Roman"/>
      <w:b/>
      <w:sz w:val="22"/>
      <w:szCs w:val="21"/>
      <w:lang w:val="es-ES" w:eastAsia="en-US"/>
    </w:rPr>
  </w:style>
  <w:style w:type="character" w:customStyle="1" w:styleId="IPPNormalunderlined">
    <w:name w:val="IPP Normal underlined"/>
    <w:basedOn w:val="DefaultParagraphFont"/>
    <w:rPr>
      <w:rFonts w:ascii="Times New Roman" w:hAnsi="Times New Roman"/>
      <w:sz w:val="22"/>
      <w:u w:val="single"/>
      <w:lang w:val="es-ES"/>
    </w:rPr>
  </w:style>
  <w:style w:type="character" w:customStyle="1" w:styleId="IPPNormalstrikethrough">
    <w:name w:val="IPP Normal strikethrough"/>
    <w:rPr>
      <w:rFonts w:ascii="Times New Roman" w:hAnsi="Times New Roman"/>
      <w:strike/>
      <w:dstrike w:val="0"/>
      <w:sz w:val="22"/>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rPr>
  </w:style>
  <w:style w:type="numbering" w:customStyle="1" w:styleId="IPPParagraphnumberedlist">
    <w:name w:val="IPP Paragraph numbered list"/>
    <w:pPr>
      <w:numPr>
        <w:numId w:val="6"/>
      </w:numPr>
    </w:p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eastAsia="nl-NL"/>
    </w:rPr>
  </w:style>
  <w:style w:type="paragraph" w:customStyle="1" w:styleId="IPPParagraphnumbering">
    <w:name w:val="IPP Paragraph numbering"/>
    <w:basedOn w:val="IPPNormal"/>
    <w:qFormat/>
    <w:pPr>
      <w:numPr>
        <w:numId w:val="11"/>
      </w:numPr>
    </w:pPr>
  </w:style>
  <w:style w:type="paragraph" w:customStyle="1" w:styleId="IPPParagraphnumberingclose">
    <w:name w:val="IPP Paragraph numbering close"/>
    <w:basedOn w:val="IPPParagraphnumbering"/>
    <w:qFormat/>
    <w:pPr>
      <w:keepNext/>
      <w:spacing w:after="60"/>
    </w:pPr>
  </w:style>
  <w:style w:type="paragraph" w:customStyle="1" w:styleId="IPPPargraphnumbering">
    <w:name w:val="IPP Pargraph numbering"/>
    <w:basedOn w:val="IPPNormal"/>
    <w:qFormat/>
    <w:pPr>
      <w:tabs>
        <w:tab w:val="num" w:pos="360"/>
      </w:tabs>
    </w:pPr>
  </w:style>
  <w:style w:type="character" w:styleId="UnresolvedMention">
    <w:name w:val="Unresolved Mention"/>
    <w:uiPriority w:val="99"/>
    <w:semiHidden/>
    <w:unhideWhenUsed/>
    <w:rPr>
      <w:color w:val="605E5C"/>
      <w:shd w:val="clear" w:color="auto" w:fill="E1DFDD"/>
    </w:rPr>
  </w:style>
  <w:style w:type="paragraph" w:styleId="Revision">
    <w:name w:val="Revision"/>
    <w:hidden/>
    <w:rPr>
      <w:rFonts w:eastAsia="MS Mincho"/>
      <w:sz w:val="22"/>
      <w:szCs w:val="24"/>
      <w:lang w:eastAsia="en-US"/>
    </w:rPr>
  </w:style>
  <w:style w:type="character" w:customStyle="1" w:styleId="PleaseReviewParagraphId">
    <w:name w:val="PleaseReviewParagraphId"/>
    <w:rPr>
      <w:rFonts w:ascii="Arial" w:hAnsi="Arial" w:cs="Arial" w:hint="default"/>
      <w:b w:val="0"/>
      <w:bCs w:val="0"/>
      <w:i w:val="0"/>
      <w:iCs w:val="0"/>
      <w:strike w:val="0"/>
      <w:dstrike w:val="0"/>
      <w:color w:val="000080"/>
      <w:sz w:val="16"/>
      <w:u w:val="none"/>
      <w:effect w:val="none"/>
    </w:rPr>
  </w:style>
  <w:style w:type="paragraph" w:styleId="NormalWeb">
    <w:name w:val="Normal (Web)"/>
    <w:basedOn w:val="Normal"/>
    <w:uiPriority w:val="99"/>
    <w:unhideWhenUsed/>
    <w:pPr>
      <w:spacing w:before="100" w:beforeAutospacing="1" w:after="100" w:afterAutospacing="1"/>
      <w:jc w:val="left"/>
    </w:pPr>
    <w:rPr>
      <w:rFonts w:eastAsia="Times New Roman"/>
      <w:sz w:val="24"/>
      <w:lang w:eastAsia="en-GB"/>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6500">
      <w:bodyDiv w:val="1"/>
      <w:marLeft w:val="0"/>
      <w:marRight w:val="0"/>
      <w:marTop w:val="0"/>
      <w:marBottom w:val="0"/>
      <w:divBdr>
        <w:top w:val="none" w:sz="0" w:space="0" w:color="auto"/>
        <w:left w:val="none" w:sz="0" w:space="0" w:color="auto"/>
        <w:bottom w:val="none" w:sz="0" w:space="0" w:color="auto"/>
        <w:right w:val="none" w:sz="0" w:space="0" w:color="auto"/>
      </w:divBdr>
    </w:div>
    <w:div w:id="984818688">
      <w:bodyDiv w:val="1"/>
      <w:marLeft w:val="24"/>
      <w:marRight w:val="0"/>
      <w:marTop w:val="24"/>
      <w:marBottom w:val="0"/>
      <w:divBdr>
        <w:top w:val="none" w:sz="0" w:space="0" w:color="auto"/>
        <w:left w:val="none" w:sz="0" w:space="0" w:color="auto"/>
        <w:bottom w:val="none" w:sz="0" w:space="0" w:color="auto"/>
        <w:right w:val="none" w:sz="0" w:space="0" w:color="auto"/>
      </w:divBdr>
    </w:div>
    <w:div w:id="19219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ippc.int/es/about/core-activities/standards-setting/list-topics-ippc-standards/"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ippc.int/es/about/core-activitie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ippc@fao.org" TargetMode="Externa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ippc.int/es/publications/639/" TargetMode="External" Id="rId14" /></Relationships>
</file>

<file path=word/_rels/settings.xml.rels>&#65279;<?xml version="1.0" encoding="utf-8"?><Relationships xmlns="http://schemas.openxmlformats.org/package/2006/relationships"><Relationship Type="http://schemas.openxmlformats.org/officeDocument/2006/relationships/attachedTemplate" Target="file:///C:\Users\karen\Desktop\IPPC_2024-06-17.dotx" TargetMode="External"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_rels/item5.xml.rels>&#65279;<?xml version="1.0" encoding="utf-8"?><Relationships xmlns="http://schemas.openxmlformats.org/package/2006/relationships"><Relationship Type="http://schemas.openxmlformats.org/officeDocument/2006/relationships/customXmlProps" Target="itemProps5.xml" Id="rId1" /></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LongProperties xmlns="http://schemas.microsoft.com/office/2006/metadata/longProperties">
  <LongProp xmlns="" name="TaxCatchAll">6;#Official|14c80daa-741b-422c-9722-f71693c9ede4;#10;#Team|ff0485df-0575-416f-802f-e999165821b7;#9;#Internal Defra Group|0867f7b3-e76e-40ca-bb1f-5ba341a49230;#8;#Core Defra|026223dd-2e56-4615-868d-7c5bfd566810;#7;#Crown|69589897-2828-4761-976e-717fd8e631c9</LongProp>
</Long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54917-E026-4C3F-AA72-5A6642E03953}">
  <ds:schemaRefs>
    <ds:schemaRef ds:uri="http://schemas.openxmlformats.org/officeDocument/2006/bibliography"/>
  </ds:schemaRefs>
</ds:datastoreItem>
</file>

<file path=customXml/itemProps2.xml><?xml version="1.0" encoding="utf-8"?>
<ds:datastoreItem xmlns:ds="http://schemas.openxmlformats.org/officeDocument/2006/customXml" ds:itemID="{13559223-7084-4412-AEDB-08546A5478E2}">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A76A17E-BCC5-4503-8078-12F85CF57844}">
  <ds:schemaRefs>
    <ds:schemaRef ds:uri="http://schemas.microsoft.com/sharepoint/v3/contenttype/forms"/>
  </ds:schemaRefs>
</ds:datastoreItem>
</file>

<file path=customXml/itemProps4.xml><?xml version="1.0" encoding="utf-8"?>
<ds:datastoreItem xmlns:ds="http://schemas.openxmlformats.org/officeDocument/2006/customXml" ds:itemID="{3B612681-37AC-4FDF-8E5A-1A55D925F6BC}">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5.xml><?xml version="1.0" encoding="utf-8"?>
<ds:datastoreItem xmlns:ds="http://schemas.openxmlformats.org/officeDocument/2006/customXml" ds:itemID="{3AF2F3FD-8FA7-4348-AD1D-BB3098A9C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1548</Words>
  <Characters>8828</Characters>
  <Application>Microsoft Office Word</Application>
  <DocSecurity>0</DocSecurity>
  <Lines>73</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FAO of the UN</Company>
  <LinksUpToDate>false</LinksUpToDate>
  <CharactersWithSpaces>10356</CharactersWithSpaces>
  <SharedDoc>false</SharedDoc>
  <HyperlinkBase/>
  <HLinks>
    <vt:vector size="6" baseType="variant">
      <vt:variant>
        <vt:i4>393279</vt:i4>
      </vt:variant>
      <vt:variant>
        <vt:i4>0</vt:i4>
      </vt:variant>
      <vt:variant>
        <vt:i4>0</vt:i4>
      </vt:variant>
      <vt:variant>
        <vt:i4>5</vt:i4>
      </vt:variant>
      <vt:variant>
        <vt:lpwstr>mailto:ippc@fao.org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Hedley</dc:creator>
  <cp:keywords/>
  <cp:lastModifiedBy>Prizm</cp:lastModifiedBy>
  <cp:revision>2</cp:revision>
  <cp:lastPrinted>2025-05-05T12:13:00Z</cp:lastPrinted>
  <dcterms:created xsi:type="dcterms:W3CDTF">2026-06-30T15:29:00Z</dcterms:created>
  <dcterms:modified xsi:type="dcterms:W3CDTF">2026-06-30T15:29:00Z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0x010100299519679B1A8B4091DBA33CE26F55F5</vt:lpwstr>
  </property>
  <property fmtid="{D5CDD505-2E9C-101B-9397-08002B2CF9AE}" pid="4" name="HOGovernmentSecurityClassification">
    <vt:lpwstr>6;#Official|14c80daa-741b-422c-9722-f71693c9ede4</vt:lpwstr>
  </property>
  <property fmtid="{D5CDD505-2E9C-101B-9397-08002B2CF9AE}" pid="5" name="InformationType">
    <vt:lpwstr/>
  </property>
  <property fmtid="{D5CDD505-2E9C-101B-9397-08002B2CF9AE}" pid="6" name="OrganisationalUnit">
    <vt:lpwstr>8;#Core Defra|026223dd-2e56-4615-868d-7c5bfd566810</vt:lpwstr>
  </property>
  <property fmtid="{D5CDD505-2E9C-101B-9397-08002B2CF9AE}" pid="7" name="HOSiteType">
    <vt:lpwstr>10;#Team|ff0485df-0575-416f-802f-e999165821b7</vt:lpwstr>
  </property>
  <property fmtid="{D5CDD505-2E9C-101B-9397-08002B2CF9AE}" pid="8" name="Distribution">
    <vt:lpwstr>9;#Internal Defra Group|0867f7b3-e76e-40ca-bb1f-5ba341a49230</vt:lpwstr>
  </property>
  <property fmtid="{D5CDD505-2E9C-101B-9397-08002B2CF9AE}" pid="9" name="HOCopyrightLevel">
    <vt:lpwstr>7;#Crown|69589897-2828-4761-976e-717fd8e631c9</vt:lpwstr>
  </property>
  <property fmtid="{D5CDD505-2E9C-101B-9397-08002B2CF9AE}" pid="10" name="MediaServiceImageTags">
    <vt:lpwstr/>
  </property>
  <property fmtid="{D5CDD505-2E9C-101B-9397-08002B2CF9AE}" pid="11" name="docLang">
    <vt:lpwstr>en</vt:lpwstr>
  </property>
</Properties>
</file>