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Consultation-2018-001- Draft annex to ISPM 28: Irradiation treatment for Liriomyza huidobrensis, Liriomyza sativae and Liri. Document title: 2018-001_DraftPT_Ir_LiriomyzaSpp_fr.docx]</w:t>
      </w:r>
    </w:p>
    <w:p w14:paraId="790BDA79" w14:textId="5841FAF4">
      <w:pPr>
        <w:pStyle w:val="IPPHeadSection"/>
        <w:tabs>
          <w:tab w:val="clear" w:pos="851"/>
          <w:tab w:val="left" w:pos="0"/>
        </w:tabs>
        <w:ind w:left="0" w:firstLine="0"/>
        <w:jc w:val="left"/>
        <w:rPr>
          <w:rFonts w:cstheme="minorBidi"/>
          <w:caps w:val="0"/>
        </w:rPr>
      </w:pPr>
      <w:r>
        <w:rPr>
          <w:rStyle w:val="PleaseReviewParagraphId"/>
          <w:b w:val="off"/>
          <w:i w:val="off"/>
        </w:rPr>
        <w:t>[1]</w:t>
      </w:r>
      <w:bookmarkStart w:name="_Toc121913536" w:id="0"/>
      <w:r>
        <w:t xml:space="preserve">Projet d’ANNEXE à la NIMP 28: </w:t>
      </w:r>
      <w:r>
        <w:rPr>
          <w:caps w:val="0"/>
        </w:rPr>
        <w:t xml:space="preserve">Traitement par irradiation contre </w:t>
      </w:r>
      <w:r>
        <w:rPr>
          <w:i/>
          <w:caps w:val="0"/>
        </w:rPr>
        <w:t>Liriomyza huidobrensis</w:t>
      </w:r>
      <w:r>
        <w:rPr>
          <w:caps w:val="0"/>
        </w:rPr>
        <w:t xml:space="preserve">, </w:t>
      </w:r>
      <w:r>
        <w:rPr>
          <w:i/>
          <w:caps w:val="0"/>
        </w:rPr>
        <w:t>Liriomyza sativae</w:t>
      </w:r>
      <w:r>
        <w:rPr>
          <w:caps w:val="0"/>
        </w:rPr>
        <w:t xml:space="preserve"> et </w:t>
      </w:r>
      <w:r>
        <w:rPr>
          <w:i/>
          <w:caps w:val="0"/>
        </w:rPr>
        <w:t xml:space="preserve">Liriomyza trifolii </w:t>
      </w:r>
    </w:p>
    <w:tbl>
      <w:tblPr>
        <w:tblW w:w="8475" w:type="dxa"/>
        <w:tblCellSpacing w:w="0" w:type="dxa"/>
        <w:tblBorders>
          <w:top w:val="outset" w:color="auto" w:sz="6" w:space="0"/>
          <w:left w:val="outset" w:color="auto" w:sz="6" w:space="0"/>
          <w:bottom w:val="outset" w:color="auto" w:sz="6" w:space="0"/>
          <w:right w:val="outset" w:color="auto" w:sz="6" w:space="0"/>
        </w:tblBorders>
        <w:tblCellMar>
          <w:top w:w="105" w:type="dxa"/>
          <w:left w:w="105" w:type="dxa"/>
          <w:bottom w:w="105" w:type="dxa"/>
          <w:right w:w="105" w:type="dxa"/>
        </w:tblCellMar>
        <w:tblLook w:val="00A0" w:firstRow="1" w:lastRow="0" w:firstColumn="1" w:lastColumn="0" w:noHBand="0" w:noVBand="0"/>
      </w:tblPr>
      <w:tblGrid>
        <w:gridCol w:w="2424"/>
        <w:gridCol w:w="6051"/>
      </w:tblGrid>
      <w:tr w14:paraId="7433415D" w14:textId="77777777">
        <w:trPr>
          <w:tblCellSpacing w:w="0" w:type="dxa"/>
        </w:trPr>
        <w:tc xmlns:tara="kcentrix:tara" tara:rowspan="1" tara:colspan="2">
          <w:tcPr>
            <w:tcW w:w="8475" w:type="dxa"/>
            <w:gridSpan w:val="2"/>
            <w:tcBorders>
              <w:top w:val="single" w:color="CCCCCC" w:sz="4" w:space="0"/>
              <w:left w:val="single" w:color="CCCCCC" w:sz="4" w:space="0"/>
              <w:bottom w:val="outset" w:color="auto" w:sz="6" w:space="0"/>
            </w:tcBorders>
            <w:tcMar>
              <w:top w:w="50" w:type="dxa"/>
              <w:left w:w="50" w:type="dxa"/>
              <w:bottom w:w="50" w:type="dxa"/>
              <w:right w:w="50" w:type="dxa"/>
            </w:tcMar>
          </w:tcPr>
          <w:p w14:paraId="12EB9EAE" w14:textId="77777777">
            <w:pPr>
              <w:pStyle w:val="IPPArialTable"/>
              <w:rPr>
                <w:b/>
              </w:rPr>
            </w:pPr>
            <w:r>
              <w:rPr>
                <w:rStyle w:val="PleaseReviewParagraphId"/>
                <w:b w:val="off"/>
                <w:i w:val="off"/>
              </w:rPr>
              <w:t>[2]</w:t>
            </w:r>
            <w:r>
              <w:rPr>
                <w:b/>
              </w:rPr>
              <w:t>État d’avancement du document</w:t>
            </w:r>
          </w:p>
        </w:tc>
      </w:tr>
      <w:tr w14:paraId="053ABD0A" w14:textId="77777777">
        <w:trPr>
          <w:tblCellSpacing w:w="0" w:type="dxa"/>
        </w:trPr>
        <w:tc xmlns:tara="kcentrix:tara" tara:rowspan="1" tara:colspan="2">
          <w:tcPr>
            <w:tcW w:w="8475" w:type="dxa"/>
            <w:gridSpan w:val="2"/>
            <w:tcBorders>
              <w:top w:val="single" w:color="CCCCCC" w:sz="4" w:space="0"/>
              <w:left w:val="single" w:color="CCCCCC" w:sz="4" w:space="0"/>
              <w:bottom w:val="outset" w:color="auto" w:sz="6" w:space="0"/>
            </w:tcBorders>
            <w:tcMar>
              <w:top w:w="50" w:type="dxa"/>
              <w:left w:w="50" w:type="dxa"/>
              <w:bottom w:w="50" w:type="dxa"/>
              <w:right w:w="50" w:type="dxa"/>
            </w:tcMar>
          </w:tcPr>
          <w:p w14:paraId="6D5F89EA" w14:textId="77777777">
            <w:pPr>
              <w:pStyle w:val="IPPArialTable"/>
            </w:pPr>
            <w:r>
              <w:rPr>
                <w:rStyle w:val="PleaseReviewParagraphId"/>
                <w:b w:val="off"/>
                <w:i w:val="off"/>
              </w:rPr>
              <w:t>[3]</w:t>
            </w:r>
            <w:r>
              <w:t>Ce récapitulatif ne fait pas officiellement partie de la norme et sera modifié par le secrétariat de la CIPV après l’adoption.</w:t>
            </w:r>
          </w:p>
        </w:tc>
      </w:tr>
      <w:tr w14:paraId="184CC06B"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3972D2D1" w14:textId="77777777">
            <w:pPr>
              <w:pStyle w:val="IPPArialTable"/>
              <w:rPr>
                <w:b/>
              </w:rPr>
            </w:pPr>
            <w:r>
              <w:rPr>
                <w:rStyle w:val="PleaseReviewParagraphId"/>
                <w:b w:val="off"/>
                <w:i w:val="off"/>
              </w:rPr>
              <w:t>[4]</w:t>
            </w:r>
            <w:r>
              <w:rPr>
                <w:b/>
              </w:rPr>
              <w:t>Date du présent document</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050E7FE2" w14:textId="7256CA71">
            <w:pPr>
              <w:pStyle w:val="IPPArialTable"/>
            </w:pPr>
            <w:r>
              <w:rPr>
                <w:rStyle w:val="PleaseReviewParagraphId"/>
                <w:b w:val="off"/>
                <w:i w:val="off"/>
              </w:rPr>
              <w:t>[5]</w:t>
            </w:r>
            <w:r>
              <w:t>2026-05-04</w:t>
            </w:r>
          </w:p>
        </w:tc>
      </w:tr>
      <w:tr w14:paraId="0BD5E288"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537E8F01" w14:textId="77777777">
            <w:pPr>
              <w:pStyle w:val="IPPArialTable"/>
              <w:rPr>
                <w:b/>
              </w:rPr>
            </w:pPr>
            <w:r>
              <w:rPr>
                <w:rStyle w:val="PleaseReviewParagraphId"/>
                <w:b w:val="off"/>
                <w:i w:val="off"/>
              </w:rPr>
              <w:t>[6]</w:t>
            </w:r>
            <w:r>
              <w:rPr>
                <w:b/>
              </w:rPr>
              <w:t>Catégorie du document</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3940F3CD" w14:textId="77777777">
            <w:pPr>
              <w:pStyle w:val="IPPArialTable"/>
            </w:pPr>
            <w:r>
              <w:rPr>
                <w:rStyle w:val="PleaseReviewParagraphId"/>
                <w:b w:val="off"/>
                <w:i w:val="off"/>
              </w:rPr>
              <w:t>[7]</w:t>
            </w:r>
            <w:r>
              <w:t>Projet d’annexe à la NIMP 28</w:t>
            </w:r>
          </w:p>
        </w:tc>
      </w:tr>
      <w:tr w14:paraId="15BB831B"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276033D4" w14:textId="77777777">
            <w:pPr>
              <w:pStyle w:val="IPPArialTable"/>
              <w:rPr>
                <w:b/>
              </w:rPr>
            </w:pPr>
            <w:r>
              <w:rPr>
                <w:rStyle w:val="PleaseReviewParagraphId"/>
                <w:b w:val="off"/>
                <w:i w:val="off"/>
              </w:rPr>
              <w:t>[8]</w:t>
            </w:r>
            <w:r>
              <w:rPr>
                <w:b/>
              </w:rPr>
              <w:t>Étape de l’élaboration du document</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30B11D3D" w14:textId="3205D779">
            <w:pPr>
              <w:pStyle w:val="IPPArialTable"/>
              <w:rPr>
                <w:highlight w:val="yellow"/>
              </w:rPr>
            </w:pPr>
            <w:r>
              <w:rPr>
                <w:rStyle w:val="PleaseReviewParagraphId"/>
                <w:b w:val="off"/>
                <w:i w:val="off"/>
              </w:rPr>
              <w:t>[9]</w:t>
            </w:r>
            <w:r>
              <w:t>Présentation au Comité des normes (CN) pour approbation aux fins de consultation</w:t>
            </w:r>
          </w:p>
        </w:tc>
      </w:tr>
      <w:tr w14:paraId="79449584"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55A16365" w14:textId="77777777">
            <w:pPr>
              <w:pStyle w:val="IPPArialTable"/>
              <w:rPr>
                <w:b/>
              </w:rPr>
            </w:pPr>
            <w:r>
              <w:rPr>
                <w:rStyle w:val="PleaseReviewParagraphId"/>
                <w:b w:val="off"/>
                <w:i w:val="off"/>
              </w:rPr>
              <w:t>[10]</w:t>
            </w:r>
            <w:r>
              <w:rPr>
                <w:b/>
              </w:rPr>
              <w:t>Principales étapes</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2B6F0990" w14:textId="25281573">
            <w:pPr>
              <w:pStyle w:val="IPPArialTable"/>
            </w:pPr>
            <w:r>
              <w:rPr>
                <w:rStyle w:val="PleaseReviewParagraphId"/>
                <w:b w:val="off"/>
                <w:i w:val="off"/>
              </w:rPr>
              <w:t>[11]</w:t>
            </w:r>
            <w:r>
              <w:t>2018-02 Le traitement est présenté en réponse à l’appel à proposition de traitements de 2017-07.</w:t>
            </w:r>
          </w:p>
          <w:p w14:paraId="5DCE940E" w14:textId="58639D03">
            <w:pPr>
              <w:pStyle w:val="IPPArialTable"/>
            </w:pPr>
            <w:r>
              <w:rPr>
                <w:rStyle w:val="PleaseReviewParagraphId"/>
                <w:b w:val="off"/>
                <w:i w:val="off"/>
              </w:rPr>
              <w:t>[12]</w:t>
            </w:r>
            <w:r>
              <w:t>2018-03 Le Groupe technique sur les traitements phytosanitaires (GTTP) examine la proposition et demande un complément d’informations.</w:t>
            </w:r>
          </w:p>
          <w:p w14:paraId="5912C682" w14:textId="603CC585">
            <w:pPr>
              <w:pStyle w:val="IPPArialTable"/>
              <w:rPr>
                <w:rFonts w:eastAsia="MS Mincho" w:cs="Arial"/>
                <w:szCs w:val="18"/>
              </w:rPr>
            </w:pPr>
            <w:r>
              <w:rPr>
                <w:rStyle w:val="PleaseReviewParagraphId"/>
                <w:b w:val="off"/>
                <w:i w:val="off"/>
              </w:rPr>
              <w:t>[13]</w:t>
            </w:r>
            <w:r>
              <w:t xml:space="preserve">2018-05 Le CN ajoute </w:t>
            </w:r>
            <w:r>
              <w:rPr>
                <w:i/>
              </w:rPr>
              <w:t xml:space="preserve">Traitement phytosanitaire par irradiation des marchandises fraîches contre </w:t>
            </w:r>
            <w:r>
              <w:t>Liriomyza sativa</w:t>
            </w:r>
            <w:r>
              <w:rPr>
                <w:i/>
              </w:rPr>
              <w:t xml:space="preserve">, </w:t>
            </w:r>
            <w:r>
              <w:t>Liriomyza trifolii</w:t>
            </w:r>
            <w:r>
              <w:rPr>
                <w:i/>
              </w:rPr>
              <w:t xml:space="preserve"> et </w:t>
            </w:r>
            <w:r>
              <w:t>Liriomyza huidobrensis</w:t>
            </w:r>
            <w:r>
              <w:rPr>
                <w:i/>
              </w:rPr>
              <w:t xml:space="preserve"> </w:t>
            </w:r>
            <w:r>
              <w:t>(2018-001)</w:t>
            </w:r>
            <w:r>
              <w:rPr>
                <w:rFonts w:ascii="Times New Roman" w:hAnsi="Times New Roman"/>
                <w:b/>
                <w:sz w:val="22"/>
              </w:rPr>
              <w:t xml:space="preserve"> </w:t>
            </w:r>
            <w:r>
              <w:t>au programme de travail du GTTP, avec le niveau de priorité 2.</w:t>
            </w:r>
          </w:p>
          <w:p w14:paraId="3B115E81" w14:textId="3FA0749C">
            <w:pPr>
              <w:pStyle w:val="IPPArialTable"/>
              <w:rPr>
                <w:rFonts w:eastAsia="MS Mincho" w:cs="Arial"/>
                <w:szCs w:val="18"/>
              </w:rPr>
            </w:pPr>
            <w:r>
              <w:rPr>
                <w:rStyle w:val="PleaseReviewParagraphId"/>
                <w:b w:val="off"/>
                <w:i w:val="off"/>
              </w:rPr>
              <w:t>[14]</w:t>
            </w:r>
            <w:r>
              <w:t>2018-11 Le CN se penche sur l’inscription du traitement (2018-001) dans programme de travail du GTTP et convient de la maintenir jusqu’à sa prochaine réunion.</w:t>
            </w:r>
          </w:p>
          <w:p w14:paraId="3F67FADD" w14:textId="4DD2BE34">
            <w:pPr>
              <w:pStyle w:val="IPPArialTable"/>
              <w:rPr>
                <w:rFonts w:cs="Arial"/>
                <w:szCs w:val="18"/>
              </w:rPr>
            </w:pPr>
            <w:r>
              <w:rPr>
                <w:rStyle w:val="PleaseReviewParagraphId"/>
                <w:b w:val="off"/>
                <w:i w:val="off"/>
              </w:rPr>
              <w:t>[15]</w:t>
            </w:r>
            <w:r>
              <w:t xml:space="preserve">2019-05 Le CN SC convient de maintenir l’inscription du traitement </w:t>
              <w:br/>
              <w:t>(2018-001) dans le programme de travail du GTTP et reporte la prise d’une nouvelle décision jusqu’à ce que davantage d’informations soient disponibles.</w:t>
            </w:r>
          </w:p>
          <w:p w14:paraId="7B4C7BDA" w14:textId="0476B7D6">
            <w:pPr>
              <w:pStyle w:val="IPPArialTable"/>
              <w:rPr>
                <w:rFonts w:eastAsia="MS Mincho" w:cs="Arial"/>
                <w:szCs w:val="18"/>
              </w:rPr>
            </w:pPr>
            <w:r>
              <w:rPr>
                <w:rStyle w:val="PleaseReviewParagraphId"/>
                <w:b w:val="off"/>
                <w:i w:val="off"/>
              </w:rPr>
              <w:t>[16]</w:t>
            </w:r>
            <w:r>
              <w:t>2024-06 Le GTTP examine le traitement sur la base des données probantes de référence.</w:t>
            </w:r>
          </w:p>
          <w:p w14:paraId="405658DF" w14:textId="2B9EA237">
            <w:pPr>
              <w:pStyle w:val="IPPArialTable"/>
              <w:rPr>
                <w:rFonts w:eastAsia="MS Mincho" w:cs="Arial"/>
                <w:szCs w:val="18"/>
              </w:rPr>
            </w:pPr>
            <w:r>
              <w:rPr>
                <w:rStyle w:val="PleaseReviewParagraphId"/>
                <w:b w:val="off"/>
                <w:i w:val="off"/>
              </w:rPr>
              <w:t>[17]</w:t>
            </w:r>
            <w:r>
              <w:t>2025-02 L’auteur de la proposition présente des informations complémentaires.</w:t>
            </w:r>
          </w:p>
          <w:p w14:paraId="72CD7F47" w14:textId="4742EBFC">
            <w:pPr>
              <w:pStyle w:val="IPPArialTable"/>
              <w:rPr>
                <w:rFonts w:eastAsiaTheme="minorEastAsia"/>
              </w:rPr>
            </w:pPr>
            <w:r>
              <w:rPr>
                <w:rStyle w:val="PleaseReviewParagraphId"/>
                <w:b w:val="off"/>
                <w:i w:val="off"/>
              </w:rPr>
              <w:t>[18]</w:t>
            </w:r>
            <w:r>
              <w:t>2025-06 Le GTTP révise le traitement et le recommande au CN pour approbation aux fins de première consultation.</w:t>
            </w:r>
          </w:p>
          <w:p w14:paraId="6731B6F4" w14:textId="301290EC">
            <w:pPr>
              <w:pStyle w:val="IPPArialTable"/>
              <w:rPr>
                <w:rFonts w:eastAsiaTheme="minorEastAsia"/>
              </w:rPr>
            </w:pPr>
            <w:r>
              <w:rPr>
                <w:rStyle w:val="PleaseReviewParagraphId"/>
                <w:b w:val="off"/>
                <w:i w:val="off"/>
              </w:rPr>
              <w:t>[19]</w:t>
            </w:r>
            <w:r>
              <w:t xml:space="preserve">2026-03 Le GTTP affine le texte et réaffirme sa décision de juin 2025 de le recommander au CN pour première consultation. </w:t>
            </w:r>
          </w:p>
        </w:tc>
      </w:tr>
      <w:tr w14:paraId="3E638149"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5728D1DA" w14:textId="77777777">
            <w:pPr>
              <w:pStyle w:val="IPPArialTable"/>
              <w:rPr>
                <w:b/>
              </w:rPr>
            </w:pPr>
            <w:r>
              <w:rPr>
                <w:rStyle w:val="PleaseReviewParagraphId"/>
                <w:b w:val="off"/>
                <w:i w:val="off"/>
              </w:rPr>
              <w:t>[20]</w:t>
            </w:r>
            <w:r>
              <w:rPr>
                <w:b/>
              </w:rPr>
              <w:t>Responsable du traitement</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54077D6C" w14:textId="28D9452A">
            <w:pPr>
              <w:pStyle w:val="IPPArialTable"/>
            </w:pPr>
            <w:r>
              <w:rPr>
                <w:rStyle w:val="PleaseReviewParagraphId"/>
                <w:b w:val="off"/>
                <w:i w:val="off"/>
              </w:rPr>
              <w:t>[21]</w:t>
            </w:r>
            <w:r>
              <w:t>2024-06 Vanessa SIMOES DIAS DE CASTRO (AIEA)</w:t>
            </w:r>
          </w:p>
        </w:tc>
      </w:tr>
      <w:tr w14:paraId="4669E722" w14:textId="77777777">
        <w:trPr>
          <w:tblCellSpacing w:w="0" w:type="dxa"/>
        </w:trPr>
        <w:tc xmlns:tara="kcentrix:tara" tara:rowspan="1" tara:colspan="1">
          <w:tcPr>
            <w:tcW w:w="2424" w:type="dxa"/>
            <w:tcBorders>
              <w:top w:val="single" w:color="CCCCCC" w:sz="4" w:space="0"/>
              <w:left w:val="single" w:color="CCCCCC" w:sz="4" w:space="0"/>
              <w:bottom w:val="outset" w:color="auto" w:sz="6" w:space="0"/>
              <w:right w:val="outset" w:color="auto" w:sz="6" w:space="0"/>
            </w:tcBorders>
            <w:tcMar>
              <w:top w:w="50" w:type="dxa"/>
              <w:left w:w="50" w:type="dxa"/>
              <w:bottom w:w="50" w:type="dxa"/>
              <w:right w:w="50" w:type="dxa"/>
            </w:tcMar>
          </w:tcPr>
          <w:p w14:paraId="0A639A53" w14:textId="77777777">
            <w:pPr>
              <w:pStyle w:val="IPPArialTable"/>
              <w:rPr>
                <w:b/>
              </w:rPr>
            </w:pPr>
            <w:r>
              <w:rPr>
                <w:rStyle w:val="PleaseReviewParagraphId"/>
                <w:b w:val="off"/>
                <w:i w:val="off"/>
              </w:rPr>
              <w:t>[22]</w:t>
            </w:r>
            <w:r>
              <w:rPr>
                <w:b/>
              </w:rPr>
              <w:t>Notes</w:t>
            </w:r>
          </w:p>
        </w:tc>
        <w:tc xmlns:tara="kcentrix:tara" tara:rowspan="1" tara:colspan="1">
          <w:tcPr>
            <w:tcW w:w="6051" w:type="dxa"/>
            <w:tcBorders>
              <w:top w:val="single" w:color="CCCCCC" w:sz="4" w:space="0"/>
              <w:left w:val="single" w:color="CCCCCC" w:sz="4" w:space="0"/>
              <w:bottom w:val="outset" w:color="auto" w:sz="6" w:space="0"/>
            </w:tcBorders>
            <w:tcMar>
              <w:top w:w="50" w:type="dxa"/>
              <w:left w:w="50" w:type="dxa"/>
              <w:bottom w:w="50" w:type="dxa"/>
              <w:right w:w="50" w:type="dxa"/>
            </w:tcMar>
          </w:tcPr>
          <w:p w14:paraId="2B661F56" w14:textId="672FF1ED">
            <w:pPr>
              <w:pStyle w:val="IPPArialTable"/>
              <w:rPr>
                <w:rFonts w:eastAsia="MS Mincho" w:cs="Arial"/>
                <w:szCs w:val="18"/>
              </w:rPr>
            </w:pPr>
            <w:r>
              <w:rPr>
                <w:rStyle w:val="PleaseReviewParagraphId"/>
                <w:b w:val="off"/>
                <w:i w:val="off"/>
              </w:rPr>
              <w:t>[23]</w:t>
            </w:r>
            <w:r>
              <w:t xml:space="preserve">2025-06 Le GTTP modifie le titre afin qu’il se lise </w:t>
            </w:r>
            <w:r>
              <w:rPr>
                <w:i/>
              </w:rPr>
              <w:t xml:space="preserve">Traitement par irradiation contre </w:t>
            </w:r>
            <w:r>
              <w:t>Liriomyza huidobrensis,</w:t>
            </w:r>
            <w:r>
              <w:rPr>
                <w:i/>
              </w:rPr>
              <w:t xml:space="preserve"> </w:t>
            </w:r>
            <w:r>
              <w:t>Liriomyza sativae</w:t>
            </w:r>
            <w:r>
              <w:rPr>
                <w:i/>
              </w:rPr>
              <w:t xml:space="preserve"> et</w:t>
            </w:r>
            <w:r>
              <w:t xml:space="preserve"> Liriomyza trifolii</w:t>
            </w:r>
            <w:r>
              <w:rPr>
                <w:i/>
              </w:rPr>
              <w:t xml:space="preserve"> </w:t>
            </w:r>
            <w:r>
              <w:t>(2018-001).</w:t>
            </w:r>
          </w:p>
          <w:p w14:paraId="2A241C99" w14:textId="5F63CBEC">
            <w:pPr>
              <w:pStyle w:val="IPPArialTable"/>
              <w:rPr>
                <w:i/>
                <w:iCs/>
              </w:rPr>
            </w:pPr>
            <w:r>
              <w:rPr>
                <w:rStyle w:val="PleaseReviewParagraphId"/>
                <w:b w:val="off"/>
                <w:i w:val="off"/>
              </w:rPr>
              <w:t>[24]</w:t>
            </w:r>
            <w:r>
              <w:t xml:space="preserve">2026‑05 Révision éditoriale. </w:t>
            </w:r>
          </w:p>
        </w:tc>
      </w:tr>
    </w:tbl>
    <w:p w14:paraId="1A1076B6" w14:textId="77777777">
      <w:pPr>
        <w:pStyle w:val="IPPHeading1"/>
        <w:ind w:left="0" w:firstLine="0"/>
      </w:pPr>
      <w:r>
        <w:rPr>
          <w:rStyle w:val="PleaseReviewParagraphId"/>
          <w:b w:val="off"/>
          <w:i w:val="off"/>
        </w:rPr>
        <w:t>[25]</w:t>
      </w:r>
      <w:r>
        <w:t>Champ d’application du traitement</w:t>
      </w:r>
    </w:p>
    <w:p w14:paraId="2CBB8F77" w14:textId="54CA6153">
      <w:pPr>
        <w:pStyle w:val="IPPParagraphnumbering"/>
        <w:numPr>
          <w:ilvl w:val="0"/>
          <w:numId w:val="0"/>
        </w:numPr>
      </w:pPr>
      <w:r>
        <w:rPr>
          <w:rStyle w:val="PleaseReviewParagraphId"/>
          <w:b w:val="off"/>
          <w:i w:val="off"/>
        </w:rPr>
        <w:t>[26]</w:t>
      </w:r>
      <w:r>
        <w:t xml:space="preserve">Ce traitement décrit l’irradiation de légumes et de plantes d’ornement à la dose minimale absorbée de 176 Gy visant à empêcher le développement de </w:t>
      </w:r>
      <w:bookmarkStart w:name="_Hlk199954629" w:id="1"/>
      <w:r>
        <w:t xml:space="preserve">larves F1 viables de </w:t>
      </w:r>
      <w:r>
        <w:rPr>
          <w:i/>
        </w:rPr>
        <w:t>Liriomyza huidobrensis</w:t>
      </w:r>
      <w:r>
        <w:t xml:space="preserve"> et de </w:t>
      </w:r>
      <w:r>
        <w:rPr>
          <w:i/>
        </w:rPr>
        <w:t>Liriomyza sativae</w:t>
      </w:r>
      <w:r>
        <w:t xml:space="preserve">, et de 166 Gy pour </w:t>
      </w:r>
      <w:r>
        <w:rPr>
          <w:i/>
        </w:rPr>
        <w:t>Liriomyza trifolii</w:t>
      </w:r>
      <w:r>
        <w:t>,</w:t>
      </w:r>
      <w:r>
        <w:rPr>
          <w:i/>
        </w:rPr>
        <w:t xml:space="preserve"> </w:t>
      </w:r>
      <w:bookmarkEnd w:id="1"/>
      <w:r>
        <w:t>au degré d’efficacité déclaré</w:t>
      </w:r>
      <w:r>
        <w:rPr>
          <w:rStyle w:val="FootnoteReference"/>
          <w:lang w:val="en-GB"/>
        </w:rPr>
        <w:footnoteReference w:id="1"/>
      </w:r>
      <w:r>
        <w:t>.</w:t>
      </w:r>
    </w:p>
    <w:p w14:paraId="0A033B1D" w14:textId="77777777">
      <w:pPr>
        <w:pStyle w:val="IPPHeading1"/>
      </w:pPr>
      <w:r>
        <w:rPr>
          <w:rStyle w:val="PleaseReviewParagraphId"/>
          <w:b w:val="off"/>
          <w:i w:val="off"/>
        </w:rPr>
        <w:t>[28]</w:t>
      </w:r>
      <w:r>
        <w:t>Description du traitement</w:t>
      </w:r>
    </w:p>
    <w:p w14:paraId="38FF7DEF" w14:textId="005BB784">
      <w:pPr>
        <w:pStyle w:val="IPPParagraphnumbering"/>
        <w:numPr>
          <w:ilvl w:val="0"/>
          <w:numId w:val="0"/>
        </w:numPr>
        <w:tabs>
          <w:tab w:val="left" w:pos="2552"/>
        </w:tabs>
      </w:pPr>
      <w:r>
        <w:rPr>
          <w:rStyle w:val="PleaseReviewParagraphId"/>
          <w:b w:val="off"/>
          <w:i w:val="off"/>
        </w:rPr>
        <w:t>[29]</w:t>
      </w:r>
      <w:r>
        <w:rPr>
          <w:b/>
        </w:rPr>
        <w:t>Nom du traitement</w:t>
      </w:r>
      <w:r>
        <w:tab/>
        <w:tab/>
        <w:t xml:space="preserve">Traitement par irradiation contre </w:t>
      </w:r>
      <w:r>
        <w:rPr>
          <w:i/>
        </w:rPr>
        <w:t>Liriomyza huidobrensis</w:t>
      </w:r>
      <w:r>
        <w:t xml:space="preserve">, </w:t>
      </w:r>
      <w:r>
        <w:rPr>
          <w:i/>
        </w:rPr>
        <w:t>Liriomyza sativae</w:t>
      </w:r>
      <w:r>
        <w:t xml:space="preserve"> et </w:t>
      </w:r>
      <w:r>
        <w:rPr>
          <w:i/>
        </w:rPr>
        <w:t>Liriomyza trifolii</w:t>
      </w:r>
    </w:p>
    <w:p w14:paraId="02E630D1" w14:textId="599BF621">
      <w:pPr>
        <w:pStyle w:val="IPPParagraphnumbering"/>
        <w:numPr>
          <w:ilvl w:val="0"/>
          <w:numId w:val="0"/>
        </w:numPr>
        <w:tabs>
          <w:tab w:val="left" w:pos="2552"/>
        </w:tabs>
      </w:pPr>
      <w:r>
        <w:rPr>
          <w:rStyle w:val="PleaseReviewParagraphId"/>
          <w:b w:val="off"/>
          <w:i w:val="off"/>
        </w:rPr>
        <w:t>[30]</w:t>
      </w:r>
      <w:r>
        <w:rPr>
          <w:b/>
        </w:rPr>
        <w:t>Matière active</w:t>
      </w:r>
      <w:r>
        <w:tab/>
        <w:tab/>
        <w:t>Sans objet</w:t>
      </w:r>
    </w:p>
    <w:p w14:paraId="440CD607" w14:textId="4F3E2C27">
      <w:pPr>
        <w:pStyle w:val="IPPParagraphnumbering"/>
        <w:numPr>
          <w:ilvl w:val="0"/>
          <w:numId w:val="0"/>
        </w:numPr>
        <w:tabs>
          <w:tab w:val="left" w:pos="0"/>
          <w:tab w:val="left" w:pos="2552"/>
        </w:tabs>
      </w:pPr>
      <w:r>
        <w:rPr>
          <w:rStyle w:val="PleaseReviewParagraphId"/>
          <w:b w:val="off"/>
          <w:i w:val="off"/>
        </w:rPr>
        <w:t>[31]</w:t>
      </w:r>
      <w:r>
        <w:rPr>
          <w:b/>
        </w:rPr>
        <w:t>Type de traitement</w:t>
      </w:r>
      <w:r>
        <w:tab/>
        <w:tab/>
        <w:t>Irradiation</w:t>
      </w:r>
    </w:p>
    <w:p w14:paraId="5D70C190" w14:textId="1F30A611">
      <w:pPr>
        <w:pStyle w:val="IPPParagraphnumbering"/>
        <w:numPr>
          <w:ilvl w:val="0"/>
          <w:numId w:val="0"/>
        </w:numPr>
        <w:tabs>
          <w:tab w:val="left" w:pos="0"/>
          <w:tab w:val="left" w:pos="2552"/>
        </w:tabs>
        <w:jc w:val="left"/>
      </w:pPr>
      <w:r>
        <w:rPr>
          <w:rStyle w:val="PleaseReviewParagraphId"/>
          <w:b w:val="off"/>
          <w:i w:val="off"/>
        </w:rPr>
        <w:t>[32]</w:t>
      </w:r>
      <w:r>
        <w:rPr>
          <w:b/>
        </w:rPr>
        <w:t>Organismes nuisibles visés</w:t>
      </w:r>
      <w:r>
        <w:tab/>
        <w:tab/>
      </w:r>
      <w:r>
        <w:rPr>
          <w:i/>
        </w:rPr>
        <w:t xml:space="preserve">Liriomyza huidobrensis </w:t>
      </w:r>
      <w:r>
        <w:t xml:space="preserve">(Blanchard, 1926), </w:t>
      </w:r>
      <w:r>
        <w:rPr>
          <w:i/>
        </w:rPr>
        <w:t xml:space="preserve">Liriomyza sativae </w:t>
      </w:r>
      <w:r>
        <w:t>(Blanchard, 1938) et</w:t>
      </w:r>
      <w:r>
        <w:rPr>
          <w:i/>
        </w:rPr>
        <w:t xml:space="preserve"> Liriomyza trifolii </w:t>
      </w:r>
      <w:r>
        <w:t>(Burgess, 1880) (Diptera: Agromyzidae)</w:t>
      </w:r>
    </w:p>
    <w:p w14:paraId="4BF935AA" w14:textId="285FA21C">
      <w:pPr>
        <w:pStyle w:val="IPPParagraphnumbering"/>
        <w:numPr>
          <w:ilvl w:val="0"/>
          <w:numId w:val="0"/>
        </w:numPr>
        <w:tabs>
          <w:tab w:val="left" w:pos="2552"/>
        </w:tabs>
      </w:pPr>
      <w:r>
        <w:rPr>
          <w:rStyle w:val="PleaseReviewParagraphId"/>
          <w:b w:val="off"/>
          <w:i w:val="off"/>
        </w:rPr>
        <w:t>[33]</w:t>
      </w:r>
      <w:r>
        <w:rPr>
          <w:b/>
        </w:rPr>
        <w:t>Articles réglementés visés</w:t>
      </w:r>
      <w:r>
        <w:tab/>
        <w:tab/>
        <w:t>Tous les légumes et toutes les plantes d’ornement hôtes des mineuses de feuilles précitées</w:t>
      </w:r>
    </w:p>
    <w:p w14:paraId="28C91E25" w14:textId="08751865">
      <w:pPr>
        <w:pStyle w:val="IPPHeading1"/>
      </w:pPr>
      <w:r>
        <w:rPr>
          <w:rStyle w:val="PleaseReviewParagraphId"/>
          <w:b w:val="off"/>
          <w:i w:val="off"/>
        </w:rPr>
        <w:t>[34]</w:t>
      </w:r>
      <w:r>
        <w:t>Protocoles de traitement</w:t>
      </w:r>
    </w:p>
    <w:p w14:paraId="58F3DDBC" w14:textId="57402DFF">
      <w:pPr>
        <w:pStyle w:val="IPPParagraphnumbering"/>
        <w:numPr>
          <w:ilvl w:val="0"/>
          <w:numId w:val="0"/>
        </w:numPr>
        <w:rPr>
          <w:rFonts w:eastAsia="Times New Roman"/>
          <w:b/>
          <w:bCs/>
        </w:rPr>
      </w:pPr>
      <w:r>
        <w:rPr>
          <w:rStyle w:val="PleaseReviewParagraphId"/>
          <w:b w:val="off"/>
          <w:i w:val="off"/>
        </w:rPr>
        <w:t>[35]</w:t>
      </w:r>
      <w:r>
        <w:rPr>
          <w:b/>
        </w:rPr>
        <w:t>Protocole 1:</w:t>
      </w:r>
      <w:r>
        <w:t xml:space="preserve"> Dose minimale absorbée de 176 Gy pour empêcher le développement de larves F1 viables de </w:t>
      </w:r>
      <w:r>
        <w:rPr>
          <w:i/>
        </w:rPr>
        <w:t>Liriomyza huidobrensis.</w:t>
      </w:r>
    </w:p>
    <w:p w14:paraId="3D025E07" w14:textId="5BF6B15E">
      <w:pPr>
        <w:pStyle w:val="IPPParagraphnumbering"/>
        <w:numPr>
          <w:ilvl w:val="0"/>
          <w:numId w:val="0"/>
        </w:numPr>
        <w:rPr>
          <w:rFonts w:eastAsia="Times New Roman"/>
          <w:b/>
          <w:bCs/>
        </w:rPr>
      </w:pPr>
      <w:r>
        <w:rPr>
          <w:rStyle w:val="PleaseReviewParagraphId"/>
          <w:b w:val="off"/>
          <w:i w:val="off"/>
        </w:rPr>
        <w:t>[36]</w:t>
      </w:r>
      <w:r>
        <w:t xml:space="preserve">On considère avec une certitude de 95 % que le traitement effectué selon ce protocole empêche le développement d’au moins 99,9722 % des larves F1 viables en adultes pharates de </w:t>
      </w:r>
      <w:r>
        <w:rPr>
          <w:i/>
        </w:rPr>
        <w:t>Liriomyza huidobrensis</w:t>
      </w:r>
      <w:r>
        <w:t>.</w:t>
      </w:r>
      <w:r>
        <w:rPr>
          <w:i/>
        </w:rPr>
        <w:t xml:space="preserve"> </w:t>
      </w:r>
    </w:p>
    <w:p w14:paraId="56C6FF9A" w14:textId="077A158E">
      <w:pPr>
        <w:pStyle w:val="IPPParagraphnumbering"/>
        <w:numPr>
          <w:ilvl w:val="0"/>
          <w:numId w:val="0"/>
        </w:numPr>
        <w:rPr>
          <w:rFonts w:eastAsia="Times New Roman"/>
          <w:b/>
          <w:bCs/>
        </w:rPr>
      </w:pPr>
      <w:r>
        <w:rPr>
          <w:rStyle w:val="PleaseReviewParagraphId"/>
          <w:b w:val="off"/>
          <w:i w:val="off"/>
        </w:rPr>
        <w:t>[37]</w:t>
      </w:r>
      <w:r>
        <w:rPr>
          <w:b/>
        </w:rPr>
        <w:t>Protocole 2:</w:t>
      </w:r>
      <w:r>
        <w:t xml:space="preserve"> Dose minimale absorbée de 176 Gy pour empêcher le développement de larves F1 viables de </w:t>
      </w:r>
      <w:r>
        <w:rPr>
          <w:i/>
        </w:rPr>
        <w:t>Liriomyza sativae.</w:t>
      </w:r>
    </w:p>
    <w:p w14:paraId="1224D786" w14:textId="0D099988">
      <w:pPr>
        <w:pStyle w:val="IPPParagraphnumbering"/>
        <w:numPr>
          <w:ilvl w:val="0"/>
          <w:numId w:val="0"/>
        </w:numPr>
        <w:rPr>
          <w:rFonts w:eastAsia="Times New Roman"/>
          <w:b/>
          <w:bCs/>
        </w:rPr>
      </w:pPr>
      <w:r>
        <w:rPr>
          <w:rStyle w:val="PleaseReviewParagraphId"/>
          <w:b w:val="off"/>
          <w:i w:val="off"/>
        </w:rPr>
        <w:t>[38]</w:t>
      </w:r>
      <w:r>
        <w:t xml:space="preserve">On considère avec une certitude de 95 % que le traitement effectué selon ce protocole empêche le développement d’au moins 99,9715 % des larves F1 viables en adultes pharates de </w:t>
      </w:r>
      <w:r>
        <w:rPr>
          <w:i/>
        </w:rPr>
        <w:t>Liriomyza sativae</w:t>
      </w:r>
      <w:r>
        <w:t>.</w:t>
      </w:r>
    </w:p>
    <w:p w14:paraId="1BE76913" w14:textId="768A98C7">
      <w:pPr>
        <w:pStyle w:val="IPPParagraphnumbering"/>
        <w:numPr>
          <w:ilvl w:val="0"/>
          <w:numId w:val="0"/>
        </w:numPr>
        <w:rPr>
          <w:rFonts w:eastAsia="Times New Roman"/>
        </w:rPr>
      </w:pPr>
      <w:r>
        <w:rPr>
          <w:rStyle w:val="PleaseReviewParagraphId"/>
          <w:b w:val="off"/>
          <w:i w:val="off"/>
        </w:rPr>
        <w:t>[39]</w:t>
      </w:r>
      <w:r>
        <w:rPr>
          <w:b/>
        </w:rPr>
        <w:t>Protocole 3:</w:t>
      </w:r>
      <w:r>
        <w:t xml:space="preserve"> Dose minimale absorbée de 166 Gy pour empêcher le développement de larves F1 viables de </w:t>
      </w:r>
      <w:r>
        <w:rPr>
          <w:i/>
        </w:rPr>
        <w:t>Liriomyza trifolii.</w:t>
      </w:r>
    </w:p>
    <w:p w14:paraId="21B7055B" w14:textId="04BAC692">
      <w:pPr>
        <w:pStyle w:val="IPPParagraphnumbering"/>
        <w:numPr>
          <w:ilvl w:val="0"/>
          <w:numId w:val="0"/>
        </w:numPr>
        <w:rPr>
          <w:rFonts w:eastAsia="Times New Roman"/>
        </w:rPr>
      </w:pPr>
      <w:r>
        <w:rPr>
          <w:rStyle w:val="PleaseReviewParagraphId"/>
          <w:b w:val="off"/>
          <w:i w:val="off"/>
        </w:rPr>
        <w:t>[40]</w:t>
      </w:r>
      <w:r>
        <w:t xml:space="preserve">On considère avec une certitude de 95 % que le traitement effectué selon ce protocole empêche le développement d’au moins 99,9720 % des larves F1 viables en adultes pharates de </w:t>
      </w:r>
      <w:r>
        <w:rPr>
          <w:i/>
        </w:rPr>
        <w:t>Liriomyza trifolii</w:t>
      </w:r>
      <w:r>
        <w:t>.</w:t>
      </w:r>
    </w:p>
    <w:p w14:paraId="590FCD45" w14:textId="6EBDD0A2">
      <w:pPr>
        <w:pStyle w:val="IPPParagraphnumbering"/>
        <w:numPr>
          <w:ilvl w:val="0"/>
          <w:numId w:val="0"/>
        </w:numPr>
        <w:rPr>
          <w:rFonts w:eastAsia="Times New Roman"/>
        </w:rPr>
      </w:pPr>
      <w:r>
        <w:rPr>
          <w:rStyle w:val="PleaseReviewParagraphId"/>
          <w:b w:val="off"/>
          <w:i w:val="off"/>
        </w:rPr>
        <w:t>[41]</w:t>
      </w:r>
      <w:r>
        <w:t>Ces traitements devraient être appliqués conformément aux prescriptions figurant dans la NIMP 18 (</w:t>
      </w:r>
      <w:r>
        <w:rPr>
          <w:i/>
          <w:iCs/>
        </w:rPr>
        <w:t>Exigences relatives à l’utilisation de l’irradiation comme mesure phytosanitaire</w:t>
      </w:r>
      <w:r>
        <w:rPr>
          <w:i/>
        </w:rPr>
        <w:t>)</w:t>
      </w:r>
      <w:r>
        <w:t>.</w:t>
      </w:r>
    </w:p>
    <w:p w14:paraId="4E42A483" w14:textId="0C6D6C34">
      <w:pPr>
        <w:pStyle w:val="IPPParagraphnumbering"/>
        <w:numPr>
          <w:ilvl w:val="0"/>
          <w:numId w:val="0"/>
        </w:numPr>
        <w:rPr>
          <w:rFonts w:eastAsia="Times New Roman"/>
        </w:rPr>
      </w:pPr>
      <w:r>
        <w:rPr>
          <w:rStyle w:val="PleaseReviewParagraphId"/>
          <w:b w:val="off"/>
          <w:i w:val="off"/>
        </w:rPr>
        <w:t>[42]</w:t>
      </w:r>
      <w:r>
        <w:t>Ces traitements par irradiation ne devraient pas être appliqués aux marchandises hôtes entreposées sous atmosphère modifiée, car celle-ci peut en compromettre l’efficacité.</w:t>
      </w:r>
    </w:p>
    <w:p w14:paraId="4BFEB7AA" w14:textId="77777777">
      <w:pPr>
        <w:pStyle w:val="IPPHeading1"/>
      </w:pPr>
      <w:r>
        <w:rPr>
          <w:rStyle w:val="PleaseReviewParagraphId"/>
          <w:b w:val="off"/>
          <w:i w:val="off"/>
        </w:rPr>
        <w:t>[43]</w:t>
      </w:r>
      <w:r>
        <w:t>Autres informations pertinentes</w:t>
      </w:r>
    </w:p>
    <w:p w14:paraId="23E59062" w14:textId="2CBADE7E">
      <w:pPr>
        <w:pStyle w:val="IPPParagraphnumbering"/>
        <w:numPr>
          <w:ilvl w:val="0"/>
          <w:numId w:val="0"/>
        </w:numPr>
      </w:pPr>
      <w:r>
        <w:rPr>
          <w:rStyle w:val="PleaseReviewParagraphId"/>
          <w:b w:val="off"/>
          <w:i w:val="off"/>
        </w:rPr>
        <w:t>[44]</w:t>
      </w:r>
      <w:r>
        <w:t xml:space="preserve">Étant donné que l’irradiation peut ne pas avoir un effet létal immédiat, les inspecteurs peuvent détecter des spécimens de </w:t>
      </w:r>
      <w:r>
        <w:rPr>
          <w:i/>
        </w:rPr>
        <w:t xml:space="preserve">Liriomyza huidobrensis, Liriomyza sativae </w:t>
      </w:r>
      <w:r>
        <w:t>et</w:t>
      </w:r>
      <w:r>
        <w:rPr>
          <w:i/>
        </w:rPr>
        <w:t xml:space="preserve"> Liriomyza trifolii</w:t>
      </w:r>
      <w:r>
        <w:t xml:space="preserve"> (immatures ou adultes) vivants mais non viables au cours de l’inspection. Cela ne signifie pas que le traitement a échoué. </w:t>
      </w:r>
    </w:p>
    <w:p w14:paraId="0D58B41A" w14:textId="367CFBE3">
      <w:pPr>
        <w:pStyle w:val="IPPParagraphnumbering"/>
        <w:numPr>
          <w:ilvl w:val="0"/>
          <w:numId w:val="0"/>
        </w:numPr>
      </w:pPr>
      <w:r>
        <w:rPr>
          <w:rStyle w:val="PleaseReviewParagraphId"/>
          <w:b w:val="off"/>
          <w:i w:val="off"/>
        </w:rPr>
        <w:t>[45]</w:t>
      </w:r>
      <w:r>
        <w:t xml:space="preserve">Le Groupe technique sur les traitements phytosanitaires (GTTP) a fondé son évaluation du traitement sur les travaux de recherche communiqués par Ozyardimci, Aylangan et Aydin (2016), qui établissent l’efficacité de 150 Gy comme traitement par irradiation du haricot commun, </w:t>
      </w:r>
      <w:r>
        <w:rPr>
          <w:i/>
        </w:rPr>
        <w:t>Phaseolus vulgaris</w:t>
      </w:r>
      <w:r>
        <w:t xml:space="preserve">, contre </w:t>
      </w:r>
      <w:r>
        <w:rPr>
          <w:i/>
        </w:rPr>
        <w:t>Liriomyza huidobrensis</w:t>
      </w:r>
      <w:r>
        <w:t xml:space="preserve">, </w:t>
      </w:r>
      <w:r>
        <w:rPr>
          <w:i/>
        </w:rPr>
        <w:t>Liriomyza sativae</w:t>
      </w:r>
      <w:r>
        <w:t xml:space="preserve"> et </w:t>
      </w:r>
      <w:r>
        <w:rPr>
          <w:i/>
        </w:rPr>
        <w:t>Liriomyza trifolii</w:t>
      </w:r>
      <w:r>
        <w:t xml:space="preserve">. Un essai de confirmation de grande ampleur mené par la suite a montré l’absence de formation de mines foliaires dues aux larves F1 des trois </w:t>
      </w:r>
      <w:r>
        <w:rPr>
          <w:i/>
        </w:rPr>
        <w:t>Liriomyza</w:t>
      </w:r>
      <w:r>
        <w:t xml:space="preserve"> spp. à une dose maximale absorbée de 176 Gy. Le GTTP a également examiné les informations relatives au stade de développement de </w:t>
      </w:r>
      <w:r>
        <w:rPr>
          <w:i/>
        </w:rPr>
        <w:t xml:space="preserve">Liriomyza </w:t>
      </w:r>
      <w:r>
        <w:t xml:space="preserve">spp. le plus tolérant aux rayonnements signalé par Yathom </w:t>
      </w:r>
      <w:r>
        <w:rPr>
          <w:i/>
        </w:rPr>
        <w:t>et al.</w:t>
      </w:r>
      <w:r>
        <w:t xml:space="preserve"> (1990).</w:t>
      </w:r>
    </w:p>
    <w:p w14:paraId="60DD94A6" w14:textId="36EF3754">
      <w:pPr>
        <w:pStyle w:val="IPPParagraphnumbering"/>
        <w:numPr>
          <w:ilvl w:val="0"/>
          <w:numId w:val="0"/>
        </w:numPr>
      </w:pPr>
      <w:r>
        <w:rPr>
          <w:rStyle w:val="PleaseReviewParagraphId"/>
          <w:b w:val="off"/>
          <w:i w:val="off"/>
        </w:rPr>
        <w:t>[46]</w:t>
      </w:r>
      <w:r>
        <w:t>L’efficacité des protocoles 1, 2 et 3 a été calculée à partir d’un nombre total d’adultes pharates de 10 700, 10 804 et 10 533, respectivement; la mortalité globale des témoins était de 6,55 %.</w:t>
      </w:r>
    </w:p>
    <w:p w14:paraId="291BD5BB" w14:textId="28F981B6">
      <w:pPr>
        <w:pStyle w:val="IPPParagraphnumbering"/>
        <w:numPr>
          <w:ilvl w:val="0"/>
          <w:numId w:val="0"/>
        </w:numPr>
      </w:pPr>
      <w:r>
        <w:rPr>
          <w:rStyle w:val="PleaseReviewParagraphId"/>
          <w:b w:val="off"/>
          <w:i w:val="off"/>
        </w:rPr>
        <w:t>[47]</w:t>
      </w:r>
      <w:r>
        <w:t xml:space="preserve">L’extrapolation de l’efficacité du traitement à tous les hôtes est fondée sur les connaissances et l’expérience acquises montrant que les systèmes de dosimétrie mesurent la dose d’irradiation effectivement absorbée par l’organisme nuisible visé, indépendamment de la marchandise hôte, et sur les résultats de travaux de recherche relatifs à divers organismes nuisibles et marchandises. Des exemples d’organismes nuisibles et d’hôtes qui ont été étudiés dans le cadre de tels travaux de recherche sont fournis dans le TP 49 (Traitements par irradiation contre </w:t>
      </w:r>
      <w:r>
        <w:rPr>
          <w:i/>
        </w:rPr>
        <w:t>Pseudococcus baliteus</w:t>
      </w:r>
      <w:r>
        <w:t>). Il est toutefois reconnu que l’efficacité du traitement n’a pas été vérifiée sur toutes les marchandises qui sont susceptibles d’être hôtes des organismes nuisibles visés. Si, à l’avenir, de nouveaux éléments de connaissance scientifiques indiquent que le traitement ne peut être extrapolé à tous les hôtes de ces organismes, le traitement sera réexaminé.</w:t>
      </w:r>
    </w:p>
    <w:p w14:paraId="7E229C16" w14:textId="77777777">
      <w:pPr>
        <w:pStyle w:val="IPPHeading1"/>
      </w:pPr>
      <w:r>
        <w:rPr>
          <w:rStyle w:val="PleaseReviewParagraphId"/>
          <w:b w:val="off"/>
          <w:i w:val="off"/>
        </w:rPr>
        <w:t>[48]</w:t>
      </w:r>
      <w:r>
        <w:t>Références</w:t>
      </w:r>
    </w:p>
    <w:p w14:paraId="4B6E7D13" w14:textId="05003424">
      <w:pPr>
        <w:pStyle w:val="IPPParagraphnumbering"/>
        <w:numPr>
          <w:ilvl w:val="0"/>
          <w:numId w:val="0"/>
        </w:numPr>
        <w:spacing w:line="259" w:lineRule="auto"/>
        <w:jc w:val="left"/>
        <w:rPr>
          <w:rFonts w:cs="Calibri"/>
          <w:sz w:val="24"/>
        </w:rPr>
      </w:pPr>
      <w:r>
        <w:rPr>
          <w:rStyle w:val="PleaseReviewParagraphId"/>
          <w:b w:val="off"/>
          <w:i w:val="off"/>
        </w:rPr>
        <w:t>[49]</w:t>
      </w:r>
      <w:r>
        <w:t>La présente annexe peut faire référence à des normes internationales pour les mesures phytosanitaires (NIMP). Les NIMP sont publiées sur le Portail phytosanitaire international (PPI), à l’adresse </w:t>
      </w:r>
      <w:hyperlink w:history="1" r:id="rId11">
        <w:r>
          <w:rPr>
            <w:rStyle w:val="Hyperlink"/>
          </w:rPr>
          <w:t>https://www.ippc.int/fr/core-activities/standards-setting/ispms</w:t>
        </w:r>
      </w:hyperlink>
      <w:r>
        <w:t>.</w:t>
      </w:r>
    </w:p>
    <w:p w14:paraId="4AC9B7D2" w14:textId="00923C99">
      <w:pPr>
        <w:pStyle w:val="IPPParagraphnumbering"/>
        <w:numPr>
          <w:ilvl w:val="0"/>
          <w:numId w:val="0"/>
        </w:numPr>
      </w:pPr>
      <w:r>
        <w:rPr>
          <w:rStyle w:val="PleaseReviewParagraphId"/>
          <w:b w:val="off"/>
          <w:i w:val="off"/>
        </w:rPr>
        <w:t>[50]</w:t>
      </w:r>
      <w:r>
        <w:rPr>
          <w:b/>
        </w:rPr>
        <w:t>Ozyardimci, B., Aylangan, A., Ic, E. et Aydin, T.</w:t>
      </w:r>
      <w:r>
        <w:t xml:space="preserve"> 2016. Phytosanitary irradiation against leafminers (Diptera: Agromyzidae) and radiotolerance of shelled peas, </w:t>
      </w:r>
      <w:r>
        <w:rPr>
          <w:i/>
        </w:rPr>
        <w:t>Pisum sativum</w:t>
      </w:r>
      <w:r>
        <w:t xml:space="preserve"> (Fabales: Fabaceae). </w:t>
      </w:r>
      <w:r>
        <w:rPr>
          <w:i/>
        </w:rPr>
        <w:t>Florida Entomologist</w:t>
      </w:r>
      <w:r>
        <w:t xml:space="preserve">, 99 (Special Issue 2): 171-177. </w:t>
      </w:r>
      <w:hyperlink w:history="1" r:id="rId12">
        <w:r>
          <w:rPr>
            <w:rStyle w:val="Hyperlink"/>
          </w:rPr>
          <w:t>https://journals.flvc.org/flaent/article/view/88695</w:t>
        </w:r>
      </w:hyperlink>
      <w:r>
        <w:t>.</w:t>
      </w:r>
    </w:p>
    <w:p w14:paraId="5EB898EE" w14:textId="6CD2F7D4">
      <w:pPr>
        <w:pStyle w:val="IPPParagraphnumbering"/>
        <w:numPr>
          <w:ilvl w:val="0"/>
          <w:numId w:val="0"/>
        </w:numPr>
      </w:pPr>
      <w:r>
        <w:rPr>
          <w:rStyle w:val="PleaseReviewParagraphId"/>
          <w:b w:val="off"/>
          <w:i w:val="off"/>
        </w:rPr>
        <w:t>[51]</w:t>
      </w:r>
      <w:r>
        <w:rPr>
          <w:b/>
        </w:rPr>
        <w:t>Yathom, S., Podava, R., Tal, S. et Ross, I.</w:t>
      </w:r>
      <w:r>
        <w:t xml:space="preserve"> 1990. Effects of gamma radiation on the immature stages of </w:t>
      </w:r>
      <w:r>
        <w:rPr>
          <w:i/>
        </w:rPr>
        <w:t>Liriomyza trifolii</w:t>
      </w:r>
      <w:r>
        <w:t xml:space="preserve">. </w:t>
      </w:r>
      <w:r>
        <w:rPr>
          <w:i/>
        </w:rPr>
        <w:t>Phytoparasitica</w:t>
      </w:r>
      <w:r>
        <w:t>, 18: 117-124.</w:t>
      </w:r>
      <w:bookmarkEnd w:id="0"/>
      <w:r>
        <w:t xml:space="preserve"> </w:t>
      </w:r>
      <w:hyperlink w:history="1" r:id="rId13">
        <w:r>
          <w:rPr>
            <w:rStyle w:val="Hyperlink"/>
          </w:rPr>
          <w:t>https://doi.org/10.1007/BF02981228</w:t>
        </w:r>
      </w:hyperlink>
      <w:r>
        <w:t>.</w:t>
      </w:r>
    </w:p>
    <w:sectPr>
      <w:pgSz w:w="11906" w:h="16838" w:code="9"/>
      <w:pgMar w:top="1559" w:right="1418" w:bottom="1418" w:left="1418" w:header="850" w:footer="850"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B952" w14:textId="77777777">
      <w:r>
        <w:rPr>
          <w:rStyle w:val="PleaseReviewParagraphId"/>
          <w:b w:val="off"/>
          <w:i w:val="off"/>
        </w:rPr>
        <w:t>[]</w:t>
      </w:r>
      <w:r>
        <w:separator/>
      </w:r>
    </w:p>
  </w:endnote>
  <w:endnote w:type="continuationSeparator" w:id="0">
    <w:p w14:paraId="033BEA2A" w14:textId="77777777">
      <w:r>
        <w:rPr>
          <w:rStyle w:val="PleaseReviewParagraphId"/>
          <w:b w:val="off"/>
          <w:i w:val="off"/>
        </w:rPr>
        <w:t>[]</w:t>
      </w:r>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B5E8" w14:textId="77777777">
      <w:r>
        <w:rPr>
          <w:rStyle w:val="PleaseReviewParagraphId"/>
          <w:b w:val="off"/>
          <w:i w:val="off"/>
        </w:rPr>
        <w:t>[]</w:t>
      </w:r>
      <w:r>
        <w:separator/>
      </w:r>
    </w:p>
  </w:footnote>
  <w:footnote w:type="continuationSeparator" w:id="0">
    <w:p w14:paraId="7E0A5123" w14:textId="77777777">
      <w:r>
        <w:rPr>
          <w:rStyle w:val="PleaseReviewParagraphId"/>
          <w:b w:val="off"/>
          <w:i w:val="off"/>
        </w:rPr>
        <w:t>[]</w:t>
      </w:r>
      <w:r>
        <w:continuationSeparator/>
      </w:r>
    </w:p>
  </w:footnote>
  <w:footnote w:id="1">
    <w:p w14:paraId="3B19ABBE" w14:textId="170341AD">
      <w:pPr>
        <w:pStyle w:val="IPPFootnote"/>
      </w:pPr>
      <w:r>
        <w:rPr>
          <w:rStyle w:val="PleaseReviewParagraphId"/>
          <w:b w:val="off"/>
          <w:i w:val="off"/>
        </w:rPr>
        <w:t>[27]</w:t>
      </w:r>
      <w:r>
        <w:rPr>
          <w:rStyle w:val="FootnoteReference"/>
        </w:rPr>
        <w:footnoteRef/>
      </w:r>
      <w:r>
        <w:t xml:space="preserve"> Le champ d’application des traitements phytosanitaires exclut les questions liées à l’homologation de pesticides ou à d’autres exigences nationales relatives à l’approbation des traitements par les parties contractantes. Les traitements adoptés par la Commission des mesures phytosanitaires peuvent ne pas fournir d’informations au sujet de certains effets particuliers sur la santé humaine ou l’innocuité des denrées alimentaires; les parties contractantes devraient envisager ceux-ci suivant leurs procédures pertinentes avant approbation de chaque traitement. En outre, les effets potentiels des traitements sur la qualité des produits sont pris en compte pour certaines marchandises hôtes avant l’adoption internationale desdits traitements. Cependant, l’évaluation des éventuels effets d’un traitement sur la qualité des marchandises peut nécessiter un examen complémentaire. Il n’est fait aucune obligation aux parties contractantes d’approuver, d’homologuer ni d’adopter lesdits traitements en vue de les appliquer sur leur territoire.</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25353565">
    <w:abstractNumId w:val="6"/>
  </w:num>
  <w:num w:numId="2" w16cid:durableId="1687512053">
    <w:abstractNumId w:val="2"/>
  </w:num>
  <w:num w:numId="3" w16cid:durableId="733938166">
    <w:abstractNumId w:val="8"/>
  </w:num>
  <w:num w:numId="4" w16cid:durableId="935793754">
    <w:abstractNumId w:val="0"/>
  </w:num>
  <w:num w:numId="5" w16cid:durableId="1849252911">
    <w:abstractNumId w:val="5"/>
  </w:num>
  <w:num w:numId="6" w16cid:durableId="1161389487">
    <w:abstractNumId w:val="4"/>
  </w:num>
  <w:num w:numId="7" w16cid:durableId="742331922">
    <w:abstractNumId w:val="9"/>
  </w:num>
  <w:num w:numId="8" w16cid:durableId="1975938114">
    <w:abstractNumId w:val="7"/>
  </w:num>
  <w:num w:numId="9" w16cid:durableId="578441286">
    <w:abstractNumId w:val="3"/>
  </w:num>
  <w:num w:numId="10" w16cid:durableId="1452480507">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IdMacAtCleanup w:val="10"/>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95"/>
    <w:rsid w:val="00001332"/>
    <w:rsid w:val="000014B8"/>
    <w:rsid w:val="0000690D"/>
    <w:rsid w:val="000114A8"/>
    <w:rsid w:val="000117BD"/>
    <w:rsid w:val="000141E4"/>
    <w:rsid w:val="000249AC"/>
    <w:rsid w:val="00025452"/>
    <w:rsid w:val="00027FE3"/>
    <w:rsid w:val="000302E5"/>
    <w:rsid w:val="00032883"/>
    <w:rsid w:val="000364B1"/>
    <w:rsid w:val="00037ECF"/>
    <w:rsid w:val="000467CB"/>
    <w:rsid w:val="000472B9"/>
    <w:rsid w:val="00050908"/>
    <w:rsid w:val="000509EE"/>
    <w:rsid w:val="000532D3"/>
    <w:rsid w:val="0006027D"/>
    <w:rsid w:val="000613F9"/>
    <w:rsid w:val="00064056"/>
    <w:rsid w:val="00064693"/>
    <w:rsid w:val="00066FE3"/>
    <w:rsid w:val="000714D6"/>
    <w:rsid w:val="000752B7"/>
    <w:rsid w:val="00075E8E"/>
    <w:rsid w:val="00081855"/>
    <w:rsid w:val="00083629"/>
    <w:rsid w:val="00084B20"/>
    <w:rsid w:val="00086E03"/>
    <w:rsid w:val="000875A7"/>
    <w:rsid w:val="00087A75"/>
    <w:rsid w:val="000915EC"/>
    <w:rsid w:val="000922FC"/>
    <w:rsid w:val="00092BF7"/>
    <w:rsid w:val="000937F9"/>
    <w:rsid w:val="00094051"/>
    <w:rsid w:val="000A13C9"/>
    <w:rsid w:val="000A2570"/>
    <w:rsid w:val="000A3CBB"/>
    <w:rsid w:val="000A4747"/>
    <w:rsid w:val="000B0CD7"/>
    <w:rsid w:val="000B30CF"/>
    <w:rsid w:val="000B5242"/>
    <w:rsid w:val="000B5A90"/>
    <w:rsid w:val="000B6CB4"/>
    <w:rsid w:val="000B7AB3"/>
    <w:rsid w:val="000C01A2"/>
    <w:rsid w:val="000C59AE"/>
    <w:rsid w:val="000C62DD"/>
    <w:rsid w:val="000C6DEF"/>
    <w:rsid w:val="000C7EEA"/>
    <w:rsid w:val="000D0C67"/>
    <w:rsid w:val="000D257A"/>
    <w:rsid w:val="000D7354"/>
    <w:rsid w:val="000D7A91"/>
    <w:rsid w:val="000E1662"/>
    <w:rsid w:val="000E3F08"/>
    <w:rsid w:val="000E4254"/>
    <w:rsid w:val="000E4559"/>
    <w:rsid w:val="000E59BE"/>
    <w:rsid w:val="000E687B"/>
    <w:rsid w:val="000F05EC"/>
    <w:rsid w:val="000F11BA"/>
    <w:rsid w:val="000F32DF"/>
    <w:rsid w:val="000F331E"/>
    <w:rsid w:val="000F34D4"/>
    <w:rsid w:val="000F3F30"/>
    <w:rsid w:val="000F5594"/>
    <w:rsid w:val="000F66E9"/>
    <w:rsid w:val="0010016E"/>
    <w:rsid w:val="00100B41"/>
    <w:rsid w:val="00100EC0"/>
    <w:rsid w:val="00102B6D"/>
    <w:rsid w:val="00105908"/>
    <w:rsid w:val="0010591A"/>
    <w:rsid w:val="001072B5"/>
    <w:rsid w:val="00107CAB"/>
    <w:rsid w:val="00107DFB"/>
    <w:rsid w:val="0011347D"/>
    <w:rsid w:val="001144C1"/>
    <w:rsid w:val="001149C3"/>
    <w:rsid w:val="00114BFA"/>
    <w:rsid w:val="001174D3"/>
    <w:rsid w:val="00120494"/>
    <w:rsid w:val="00120576"/>
    <w:rsid w:val="001232F0"/>
    <w:rsid w:val="00123370"/>
    <w:rsid w:val="00127460"/>
    <w:rsid w:val="00131D1A"/>
    <w:rsid w:val="001352BA"/>
    <w:rsid w:val="00140B4F"/>
    <w:rsid w:val="00146772"/>
    <w:rsid w:val="00146B0C"/>
    <w:rsid w:val="00147A38"/>
    <w:rsid w:val="00150B9D"/>
    <w:rsid w:val="00152191"/>
    <w:rsid w:val="001523F6"/>
    <w:rsid w:val="00152538"/>
    <w:rsid w:val="00156F91"/>
    <w:rsid w:val="001656D4"/>
    <w:rsid w:val="001675EF"/>
    <w:rsid w:val="00170D24"/>
    <w:rsid w:val="00175B5F"/>
    <w:rsid w:val="00180274"/>
    <w:rsid w:val="00181241"/>
    <w:rsid w:val="00181BF2"/>
    <w:rsid w:val="00182CF6"/>
    <w:rsid w:val="00184163"/>
    <w:rsid w:val="00186C56"/>
    <w:rsid w:val="001877A9"/>
    <w:rsid w:val="00192060"/>
    <w:rsid w:val="001935ED"/>
    <w:rsid w:val="00194020"/>
    <w:rsid w:val="00195C78"/>
    <w:rsid w:val="001965BC"/>
    <w:rsid w:val="00196AE8"/>
    <w:rsid w:val="00197E14"/>
    <w:rsid w:val="001A11F3"/>
    <w:rsid w:val="001A1707"/>
    <w:rsid w:val="001A1A5B"/>
    <w:rsid w:val="001A1EBB"/>
    <w:rsid w:val="001A398E"/>
    <w:rsid w:val="001A4D6F"/>
    <w:rsid w:val="001A5734"/>
    <w:rsid w:val="001A62BA"/>
    <w:rsid w:val="001B0185"/>
    <w:rsid w:val="001B2705"/>
    <w:rsid w:val="001B56A0"/>
    <w:rsid w:val="001B5E63"/>
    <w:rsid w:val="001B6BA8"/>
    <w:rsid w:val="001C12FF"/>
    <w:rsid w:val="001C2CEC"/>
    <w:rsid w:val="001C529C"/>
    <w:rsid w:val="001C5859"/>
    <w:rsid w:val="001C58E1"/>
    <w:rsid w:val="001D06AB"/>
    <w:rsid w:val="001D1583"/>
    <w:rsid w:val="001D1AAF"/>
    <w:rsid w:val="001D1FF3"/>
    <w:rsid w:val="001D35E5"/>
    <w:rsid w:val="001D52C8"/>
    <w:rsid w:val="001D6340"/>
    <w:rsid w:val="001E2DEA"/>
    <w:rsid w:val="001E5A07"/>
    <w:rsid w:val="001F077D"/>
    <w:rsid w:val="002033EB"/>
    <w:rsid w:val="00205107"/>
    <w:rsid w:val="00205F4C"/>
    <w:rsid w:val="00206959"/>
    <w:rsid w:val="00206B1C"/>
    <w:rsid w:val="00207822"/>
    <w:rsid w:val="00210FDA"/>
    <w:rsid w:val="002115E0"/>
    <w:rsid w:val="0021273E"/>
    <w:rsid w:val="0021291D"/>
    <w:rsid w:val="002132AB"/>
    <w:rsid w:val="002138C4"/>
    <w:rsid w:val="00213F98"/>
    <w:rsid w:val="002145AD"/>
    <w:rsid w:val="00214A22"/>
    <w:rsid w:val="00216C20"/>
    <w:rsid w:val="00216C48"/>
    <w:rsid w:val="00220873"/>
    <w:rsid w:val="002214D8"/>
    <w:rsid w:val="00222207"/>
    <w:rsid w:val="00222BF8"/>
    <w:rsid w:val="00223603"/>
    <w:rsid w:val="00225586"/>
    <w:rsid w:val="00234F4C"/>
    <w:rsid w:val="0023523A"/>
    <w:rsid w:val="002367CF"/>
    <w:rsid w:val="00240383"/>
    <w:rsid w:val="00242256"/>
    <w:rsid w:val="00246022"/>
    <w:rsid w:val="00253379"/>
    <w:rsid w:val="002547BC"/>
    <w:rsid w:val="0025701D"/>
    <w:rsid w:val="00257833"/>
    <w:rsid w:val="00261D96"/>
    <w:rsid w:val="00261F61"/>
    <w:rsid w:val="00261FB7"/>
    <w:rsid w:val="002627F3"/>
    <w:rsid w:val="00265BE4"/>
    <w:rsid w:val="00267EA1"/>
    <w:rsid w:val="00270C1B"/>
    <w:rsid w:val="00271268"/>
    <w:rsid w:val="00272162"/>
    <w:rsid w:val="00272AAC"/>
    <w:rsid w:val="002756EC"/>
    <w:rsid w:val="002769B1"/>
    <w:rsid w:val="00281C09"/>
    <w:rsid w:val="00283C6A"/>
    <w:rsid w:val="00284515"/>
    <w:rsid w:val="00291A47"/>
    <w:rsid w:val="002925C6"/>
    <w:rsid w:val="0029282A"/>
    <w:rsid w:val="0029466E"/>
    <w:rsid w:val="00295A27"/>
    <w:rsid w:val="00295AC0"/>
    <w:rsid w:val="00297127"/>
    <w:rsid w:val="002A3B60"/>
    <w:rsid w:val="002A7AC7"/>
    <w:rsid w:val="002B2253"/>
    <w:rsid w:val="002B40B5"/>
    <w:rsid w:val="002B4F3E"/>
    <w:rsid w:val="002B5A03"/>
    <w:rsid w:val="002B6546"/>
    <w:rsid w:val="002B7E49"/>
    <w:rsid w:val="002C1B8A"/>
    <w:rsid w:val="002D0AB9"/>
    <w:rsid w:val="002E210F"/>
    <w:rsid w:val="002E4091"/>
    <w:rsid w:val="002E596B"/>
    <w:rsid w:val="002F0DAF"/>
    <w:rsid w:val="002F1CFC"/>
    <w:rsid w:val="002F34FC"/>
    <w:rsid w:val="002F393B"/>
    <w:rsid w:val="002F41C6"/>
    <w:rsid w:val="002F47AA"/>
    <w:rsid w:val="002F51A7"/>
    <w:rsid w:val="002F76A4"/>
    <w:rsid w:val="002F78CD"/>
    <w:rsid w:val="00300575"/>
    <w:rsid w:val="00300E98"/>
    <w:rsid w:val="003012BE"/>
    <w:rsid w:val="00304286"/>
    <w:rsid w:val="00310575"/>
    <w:rsid w:val="003150DA"/>
    <w:rsid w:val="00320BF8"/>
    <w:rsid w:val="00320E83"/>
    <w:rsid w:val="0032367B"/>
    <w:rsid w:val="003241C0"/>
    <w:rsid w:val="0032589F"/>
    <w:rsid w:val="0033212D"/>
    <w:rsid w:val="00337453"/>
    <w:rsid w:val="003407BA"/>
    <w:rsid w:val="00341EE1"/>
    <w:rsid w:val="00342E45"/>
    <w:rsid w:val="00344FBF"/>
    <w:rsid w:val="00345D98"/>
    <w:rsid w:val="00345ED9"/>
    <w:rsid w:val="003479A2"/>
    <w:rsid w:val="00350F8D"/>
    <w:rsid w:val="003517C3"/>
    <w:rsid w:val="0035293C"/>
    <w:rsid w:val="00352C61"/>
    <w:rsid w:val="00353638"/>
    <w:rsid w:val="003541F5"/>
    <w:rsid w:val="00356F2F"/>
    <w:rsid w:val="003639D9"/>
    <w:rsid w:val="0036473A"/>
    <w:rsid w:val="003663AE"/>
    <w:rsid w:val="00367A19"/>
    <w:rsid w:val="003712F3"/>
    <w:rsid w:val="00371B95"/>
    <w:rsid w:val="00372F82"/>
    <w:rsid w:val="003730D8"/>
    <w:rsid w:val="003751B5"/>
    <w:rsid w:val="00375202"/>
    <w:rsid w:val="0037603A"/>
    <w:rsid w:val="00377EA1"/>
    <w:rsid w:val="003808A4"/>
    <w:rsid w:val="00382C95"/>
    <w:rsid w:val="00385B3A"/>
    <w:rsid w:val="00391E8A"/>
    <w:rsid w:val="0039408C"/>
    <w:rsid w:val="00394329"/>
    <w:rsid w:val="00395253"/>
    <w:rsid w:val="003966DC"/>
    <w:rsid w:val="003A124E"/>
    <w:rsid w:val="003A2566"/>
    <w:rsid w:val="003A4FCB"/>
    <w:rsid w:val="003B2DBA"/>
    <w:rsid w:val="003B2EA8"/>
    <w:rsid w:val="003B3306"/>
    <w:rsid w:val="003C047B"/>
    <w:rsid w:val="003C25AD"/>
    <w:rsid w:val="003C2A1D"/>
    <w:rsid w:val="003C4924"/>
    <w:rsid w:val="003C4E61"/>
    <w:rsid w:val="003C636B"/>
    <w:rsid w:val="003D0A11"/>
    <w:rsid w:val="003D1F5D"/>
    <w:rsid w:val="003D3923"/>
    <w:rsid w:val="003D598F"/>
    <w:rsid w:val="003D74C1"/>
    <w:rsid w:val="003E0201"/>
    <w:rsid w:val="003E05AB"/>
    <w:rsid w:val="003E3904"/>
    <w:rsid w:val="003E3E5D"/>
    <w:rsid w:val="003E4C8C"/>
    <w:rsid w:val="003E5567"/>
    <w:rsid w:val="003F1237"/>
    <w:rsid w:val="003F2642"/>
    <w:rsid w:val="003F654A"/>
    <w:rsid w:val="004001C8"/>
    <w:rsid w:val="00401320"/>
    <w:rsid w:val="004036EB"/>
    <w:rsid w:val="00403FA8"/>
    <w:rsid w:val="00404C7A"/>
    <w:rsid w:val="0040565C"/>
    <w:rsid w:val="0040622C"/>
    <w:rsid w:val="00411FFE"/>
    <w:rsid w:val="00413AD9"/>
    <w:rsid w:val="00424394"/>
    <w:rsid w:val="0042489B"/>
    <w:rsid w:val="00424D07"/>
    <w:rsid w:val="00425BA4"/>
    <w:rsid w:val="00425CE0"/>
    <w:rsid w:val="00430AEC"/>
    <w:rsid w:val="00433EEC"/>
    <w:rsid w:val="004345E8"/>
    <w:rsid w:val="00443A7A"/>
    <w:rsid w:val="00445C8F"/>
    <w:rsid w:val="00446DC9"/>
    <w:rsid w:val="004533B2"/>
    <w:rsid w:val="00460B78"/>
    <w:rsid w:val="004654E7"/>
    <w:rsid w:val="004719E2"/>
    <w:rsid w:val="00474397"/>
    <w:rsid w:val="004821F5"/>
    <w:rsid w:val="00482EC4"/>
    <w:rsid w:val="00483497"/>
    <w:rsid w:val="00484F8C"/>
    <w:rsid w:val="00485313"/>
    <w:rsid w:val="00485A7F"/>
    <w:rsid w:val="00486827"/>
    <w:rsid w:val="004878FE"/>
    <w:rsid w:val="004906BB"/>
    <w:rsid w:val="0049212C"/>
    <w:rsid w:val="00492FE0"/>
    <w:rsid w:val="004A0538"/>
    <w:rsid w:val="004A0A0D"/>
    <w:rsid w:val="004A1B0B"/>
    <w:rsid w:val="004A2063"/>
    <w:rsid w:val="004A249D"/>
    <w:rsid w:val="004A49DC"/>
    <w:rsid w:val="004A53CD"/>
    <w:rsid w:val="004B0A7A"/>
    <w:rsid w:val="004B2CDE"/>
    <w:rsid w:val="004B3168"/>
    <w:rsid w:val="004B361F"/>
    <w:rsid w:val="004B46A9"/>
    <w:rsid w:val="004B4CD0"/>
    <w:rsid w:val="004B4D5B"/>
    <w:rsid w:val="004B77D9"/>
    <w:rsid w:val="004C1EFB"/>
    <w:rsid w:val="004C54E7"/>
    <w:rsid w:val="004C734A"/>
    <w:rsid w:val="004D3470"/>
    <w:rsid w:val="004D6A23"/>
    <w:rsid w:val="004E2B3B"/>
    <w:rsid w:val="004E34A1"/>
    <w:rsid w:val="004E37AF"/>
    <w:rsid w:val="004F1420"/>
    <w:rsid w:val="004F2981"/>
    <w:rsid w:val="004F3553"/>
    <w:rsid w:val="004F3A86"/>
    <w:rsid w:val="004F6C2A"/>
    <w:rsid w:val="004F6C33"/>
    <w:rsid w:val="005021D1"/>
    <w:rsid w:val="005031F7"/>
    <w:rsid w:val="00504553"/>
    <w:rsid w:val="00504FAC"/>
    <w:rsid w:val="00510259"/>
    <w:rsid w:val="00512048"/>
    <w:rsid w:val="005139D1"/>
    <w:rsid w:val="00516570"/>
    <w:rsid w:val="00516E3C"/>
    <w:rsid w:val="00517339"/>
    <w:rsid w:val="005204E2"/>
    <w:rsid w:val="005208DA"/>
    <w:rsid w:val="00521887"/>
    <w:rsid w:val="00522F7D"/>
    <w:rsid w:val="0053289C"/>
    <w:rsid w:val="00533005"/>
    <w:rsid w:val="00533034"/>
    <w:rsid w:val="005345F4"/>
    <w:rsid w:val="00540BCB"/>
    <w:rsid w:val="00544AB8"/>
    <w:rsid w:val="00545153"/>
    <w:rsid w:val="00545406"/>
    <w:rsid w:val="0054545B"/>
    <w:rsid w:val="005509B1"/>
    <w:rsid w:val="00550D1D"/>
    <w:rsid w:val="00554D86"/>
    <w:rsid w:val="00555AA4"/>
    <w:rsid w:val="0055663A"/>
    <w:rsid w:val="005639FD"/>
    <w:rsid w:val="00567A9A"/>
    <w:rsid w:val="00571A76"/>
    <w:rsid w:val="0057454D"/>
    <w:rsid w:val="005776BD"/>
    <w:rsid w:val="00577B7D"/>
    <w:rsid w:val="0058157D"/>
    <w:rsid w:val="00581EFD"/>
    <w:rsid w:val="00582BC7"/>
    <w:rsid w:val="0058366F"/>
    <w:rsid w:val="00584A8D"/>
    <w:rsid w:val="00591111"/>
    <w:rsid w:val="00593300"/>
    <w:rsid w:val="00593D51"/>
    <w:rsid w:val="00595B63"/>
    <w:rsid w:val="005979D5"/>
    <w:rsid w:val="005A0E65"/>
    <w:rsid w:val="005A0F6D"/>
    <w:rsid w:val="005A499F"/>
    <w:rsid w:val="005A5B59"/>
    <w:rsid w:val="005B101C"/>
    <w:rsid w:val="005B3E65"/>
    <w:rsid w:val="005C2F30"/>
    <w:rsid w:val="005C726E"/>
    <w:rsid w:val="005D0460"/>
    <w:rsid w:val="005D5911"/>
    <w:rsid w:val="005D6628"/>
    <w:rsid w:val="005D6EE6"/>
    <w:rsid w:val="005E3B30"/>
    <w:rsid w:val="005E783F"/>
    <w:rsid w:val="005F06DE"/>
    <w:rsid w:val="005F080A"/>
    <w:rsid w:val="005F2354"/>
    <w:rsid w:val="005F389C"/>
    <w:rsid w:val="005F3ECA"/>
    <w:rsid w:val="005F4CCB"/>
    <w:rsid w:val="005F7515"/>
    <w:rsid w:val="0060143E"/>
    <w:rsid w:val="00601606"/>
    <w:rsid w:val="00604DB7"/>
    <w:rsid w:val="006111B7"/>
    <w:rsid w:val="00611BFA"/>
    <w:rsid w:val="006140B3"/>
    <w:rsid w:val="00623A1F"/>
    <w:rsid w:val="00624200"/>
    <w:rsid w:val="00625499"/>
    <w:rsid w:val="00632857"/>
    <w:rsid w:val="00634008"/>
    <w:rsid w:val="00635920"/>
    <w:rsid w:val="00636A49"/>
    <w:rsid w:val="0064139B"/>
    <w:rsid w:val="00645FF5"/>
    <w:rsid w:val="00646A3D"/>
    <w:rsid w:val="0064735D"/>
    <w:rsid w:val="00647B5E"/>
    <w:rsid w:val="00651D28"/>
    <w:rsid w:val="006530E7"/>
    <w:rsid w:val="00653381"/>
    <w:rsid w:val="00653F31"/>
    <w:rsid w:val="0065401B"/>
    <w:rsid w:val="00665640"/>
    <w:rsid w:val="00667422"/>
    <w:rsid w:val="00667DCF"/>
    <w:rsid w:val="00671374"/>
    <w:rsid w:val="00673209"/>
    <w:rsid w:val="00676A12"/>
    <w:rsid w:val="00676B27"/>
    <w:rsid w:val="0068065A"/>
    <w:rsid w:val="00681230"/>
    <w:rsid w:val="00681936"/>
    <w:rsid w:val="006866A8"/>
    <w:rsid w:val="006A062F"/>
    <w:rsid w:val="006A0B22"/>
    <w:rsid w:val="006A1968"/>
    <w:rsid w:val="006A1D5D"/>
    <w:rsid w:val="006A2C88"/>
    <w:rsid w:val="006A368F"/>
    <w:rsid w:val="006A450F"/>
    <w:rsid w:val="006A4939"/>
    <w:rsid w:val="006A4CA0"/>
    <w:rsid w:val="006A6DA8"/>
    <w:rsid w:val="006A7A47"/>
    <w:rsid w:val="006B3510"/>
    <w:rsid w:val="006B3868"/>
    <w:rsid w:val="006C0A17"/>
    <w:rsid w:val="006C3D3D"/>
    <w:rsid w:val="006D3C89"/>
    <w:rsid w:val="006E0A9C"/>
    <w:rsid w:val="006E0D71"/>
    <w:rsid w:val="006E121E"/>
    <w:rsid w:val="006E25F3"/>
    <w:rsid w:val="006E3625"/>
    <w:rsid w:val="006E6AEA"/>
    <w:rsid w:val="006E6E3B"/>
    <w:rsid w:val="006E7294"/>
    <w:rsid w:val="006F24E7"/>
    <w:rsid w:val="006F31E0"/>
    <w:rsid w:val="006F4322"/>
    <w:rsid w:val="006F65C2"/>
    <w:rsid w:val="006F79B6"/>
    <w:rsid w:val="00712405"/>
    <w:rsid w:val="007127AF"/>
    <w:rsid w:val="0071284D"/>
    <w:rsid w:val="00712CB4"/>
    <w:rsid w:val="0071382D"/>
    <w:rsid w:val="00714107"/>
    <w:rsid w:val="00716275"/>
    <w:rsid w:val="00716E0E"/>
    <w:rsid w:val="00720853"/>
    <w:rsid w:val="00722380"/>
    <w:rsid w:val="0072264C"/>
    <w:rsid w:val="007269E4"/>
    <w:rsid w:val="00727726"/>
    <w:rsid w:val="007302C6"/>
    <w:rsid w:val="00730879"/>
    <w:rsid w:val="00733240"/>
    <w:rsid w:val="007333A4"/>
    <w:rsid w:val="00734926"/>
    <w:rsid w:val="00735CBD"/>
    <w:rsid w:val="00741620"/>
    <w:rsid w:val="00747A94"/>
    <w:rsid w:val="0075515B"/>
    <w:rsid w:val="0075744B"/>
    <w:rsid w:val="007603E9"/>
    <w:rsid w:val="00760762"/>
    <w:rsid w:val="00761080"/>
    <w:rsid w:val="00761487"/>
    <w:rsid w:val="007615DA"/>
    <w:rsid w:val="007637E4"/>
    <w:rsid w:val="007644F1"/>
    <w:rsid w:val="0076744E"/>
    <w:rsid w:val="00770153"/>
    <w:rsid w:val="00772543"/>
    <w:rsid w:val="00775439"/>
    <w:rsid w:val="00780CAF"/>
    <w:rsid w:val="00780F39"/>
    <w:rsid w:val="007812FE"/>
    <w:rsid w:val="007819EB"/>
    <w:rsid w:val="00782444"/>
    <w:rsid w:val="007827E1"/>
    <w:rsid w:val="00792B67"/>
    <w:rsid w:val="00796C14"/>
    <w:rsid w:val="007A0C5C"/>
    <w:rsid w:val="007A14AF"/>
    <w:rsid w:val="007A24AC"/>
    <w:rsid w:val="007A2F0F"/>
    <w:rsid w:val="007A4F27"/>
    <w:rsid w:val="007A74AA"/>
    <w:rsid w:val="007B2E4B"/>
    <w:rsid w:val="007B526C"/>
    <w:rsid w:val="007B5869"/>
    <w:rsid w:val="007B6395"/>
    <w:rsid w:val="007B7328"/>
    <w:rsid w:val="007C2ED8"/>
    <w:rsid w:val="007C395E"/>
    <w:rsid w:val="007C766E"/>
    <w:rsid w:val="007D0295"/>
    <w:rsid w:val="007D300B"/>
    <w:rsid w:val="007D45EF"/>
    <w:rsid w:val="007D48F5"/>
    <w:rsid w:val="007D5EF9"/>
    <w:rsid w:val="007D64B8"/>
    <w:rsid w:val="007D6E4B"/>
    <w:rsid w:val="007D775A"/>
    <w:rsid w:val="007E0A7A"/>
    <w:rsid w:val="007E14CF"/>
    <w:rsid w:val="007E2702"/>
    <w:rsid w:val="007E2BF9"/>
    <w:rsid w:val="007E3D38"/>
    <w:rsid w:val="007F26C0"/>
    <w:rsid w:val="007F2F34"/>
    <w:rsid w:val="007F3775"/>
    <w:rsid w:val="007F4820"/>
    <w:rsid w:val="007F588A"/>
    <w:rsid w:val="008017E0"/>
    <w:rsid w:val="00802034"/>
    <w:rsid w:val="00803133"/>
    <w:rsid w:val="00804F85"/>
    <w:rsid w:val="008072CE"/>
    <w:rsid w:val="00810B38"/>
    <w:rsid w:val="008110D3"/>
    <w:rsid w:val="00812713"/>
    <w:rsid w:val="00817C14"/>
    <w:rsid w:val="00820461"/>
    <w:rsid w:val="00822EDB"/>
    <w:rsid w:val="00823949"/>
    <w:rsid w:val="00823A19"/>
    <w:rsid w:val="00826454"/>
    <w:rsid w:val="008304A2"/>
    <w:rsid w:val="008346AC"/>
    <w:rsid w:val="00836292"/>
    <w:rsid w:val="00840F17"/>
    <w:rsid w:val="00841FF6"/>
    <w:rsid w:val="00845A19"/>
    <w:rsid w:val="00853B59"/>
    <w:rsid w:val="00853CB6"/>
    <w:rsid w:val="008545B9"/>
    <w:rsid w:val="00856C36"/>
    <w:rsid w:val="00860E56"/>
    <w:rsid w:val="00863980"/>
    <w:rsid w:val="00873C61"/>
    <w:rsid w:val="00874066"/>
    <w:rsid w:val="008741A5"/>
    <w:rsid w:val="00874458"/>
    <w:rsid w:val="0087715E"/>
    <w:rsid w:val="00880944"/>
    <w:rsid w:val="0088112E"/>
    <w:rsid w:val="0088159B"/>
    <w:rsid w:val="00882ACF"/>
    <w:rsid w:val="00890123"/>
    <w:rsid w:val="0089019B"/>
    <w:rsid w:val="00890C66"/>
    <w:rsid w:val="00894BB4"/>
    <w:rsid w:val="00896081"/>
    <w:rsid w:val="00896C17"/>
    <w:rsid w:val="00897296"/>
    <w:rsid w:val="008A0565"/>
    <w:rsid w:val="008A0743"/>
    <w:rsid w:val="008A24E1"/>
    <w:rsid w:val="008A2E8E"/>
    <w:rsid w:val="008B1209"/>
    <w:rsid w:val="008B2C3F"/>
    <w:rsid w:val="008B4729"/>
    <w:rsid w:val="008C0753"/>
    <w:rsid w:val="008C1240"/>
    <w:rsid w:val="008C3CAA"/>
    <w:rsid w:val="008C4A62"/>
    <w:rsid w:val="008C4DE7"/>
    <w:rsid w:val="008C511A"/>
    <w:rsid w:val="008C558A"/>
    <w:rsid w:val="008C5CC0"/>
    <w:rsid w:val="008C7C7D"/>
    <w:rsid w:val="008D47C1"/>
    <w:rsid w:val="008D6B45"/>
    <w:rsid w:val="008D7619"/>
    <w:rsid w:val="008E3060"/>
    <w:rsid w:val="008E4523"/>
    <w:rsid w:val="008E4CBB"/>
    <w:rsid w:val="008E4D6A"/>
    <w:rsid w:val="008E63FD"/>
    <w:rsid w:val="008F087B"/>
    <w:rsid w:val="008F1D1E"/>
    <w:rsid w:val="008F2EE2"/>
    <w:rsid w:val="008F528A"/>
    <w:rsid w:val="0090109B"/>
    <w:rsid w:val="00901FC8"/>
    <w:rsid w:val="009035A6"/>
    <w:rsid w:val="00904F79"/>
    <w:rsid w:val="00906F8A"/>
    <w:rsid w:val="009070A6"/>
    <w:rsid w:val="00910415"/>
    <w:rsid w:val="00914557"/>
    <w:rsid w:val="00915EB2"/>
    <w:rsid w:val="009207ED"/>
    <w:rsid w:val="0092202D"/>
    <w:rsid w:val="00924C77"/>
    <w:rsid w:val="00926ED7"/>
    <w:rsid w:val="009424BD"/>
    <w:rsid w:val="00942A93"/>
    <w:rsid w:val="00942E32"/>
    <w:rsid w:val="0094498D"/>
    <w:rsid w:val="009459AD"/>
    <w:rsid w:val="00947DBE"/>
    <w:rsid w:val="00950A42"/>
    <w:rsid w:val="00950B26"/>
    <w:rsid w:val="00967DDB"/>
    <w:rsid w:val="009738C6"/>
    <w:rsid w:val="00974B59"/>
    <w:rsid w:val="00974ED9"/>
    <w:rsid w:val="00976269"/>
    <w:rsid w:val="00980BA7"/>
    <w:rsid w:val="00983506"/>
    <w:rsid w:val="00984D82"/>
    <w:rsid w:val="00985B6B"/>
    <w:rsid w:val="0099252D"/>
    <w:rsid w:val="00996621"/>
    <w:rsid w:val="00997A3A"/>
    <w:rsid w:val="00997A81"/>
    <w:rsid w:val="009A0CE1"/>
    <w:rsid w:val="009A4774"/>
    <w:rsid w:val="009A712D"/>
    <w:rsid w:val="009B2167"/>
    <w:rsid w:val="009B3F13"/>
    <w:rsid w:val="009B5FF8"/>
    <w:rsid w:val="009C120D"/>
    <w:rsid w:val="009C4E86"/>
    <w:rsid w:val="009C595E"/>
    <w:rsid w:val="009D5780"/>
    <w:rsid w:val="009E18F7"/>
    <w:rsid w:val="009E6726"/>
    <w:rsid w:val="009F041B"/>
    <w:rsid w:val="009F58BD"/>
    <w:rsid w:val="009F7A6E"/>
    <w:rsid w:val="00A00C03"/>
    <w:rsid w:val="00A01545"/>
    <w:rsid w:val="00A026EB"/>
    <w:rsid w:val="00A029C1"/>
    <w:rsid w:val="00A06A54"/>
    <w:rsid w:val="00A10FBD"/>
    <w:rsid w:val="00A11044"/>
    <w:rsid w:val="00A11795"/>
    <w:rsid w:val="00A130BE"/>
    <w:rsid w:val="00A1714A"/>
    <w:rsid w:val="00A2015D"/>
    <w:rsid w:val="00A20A5E"/>
    <w:rsid w:val="00A20A88"/>
    <w:rsid w:val="00A20B33"/>
    <w:rsid w:val="00A25BF6"/>
    <w:rsid w:val="00A260C5"/>
    <w:rsid w:val="00A31AA9"/>
    <w:rsid w:val="00A3237E"/>
    <w:rsid w:val="00A340E4"/>
    <w:rsid w:val="00A35789"/>
    <w:rsid w:val="00A35C1E"/>
    <w:rsid w:val="00A372FE"/>
    <w:rsid w:val="00A37E8B"/>
    <w:rsid w:val="00A47B1F"/>
    <w:rsid w:val="00A52970"/>
    <w:rsid w:val="00A5327F"/>
    <w:rsid w:val="00A53EE6"/>
    <w:rsid w:val="00A54664"/>
    <w:rsid w:val="00A569B3"/>
    <w:rsid w:val="00A56FDA"/>
    <w:rsid w:val="00A60633"/>
    <w:rsid w:val="00A60D70"/>
    <w:rsid w:val="00A7010C"/>
    <w:rsid w:val="00A70AED"/>
    <w:rsid w:val="00A71C52"/>
    <w:rsid w:val="00A73E85"/>
    <w:rsid w:val="00A74314"/>
    <w:rsid w:val="00A748B3"/>
    <w:rsid w:val="00A75E8E"/>
    <w:rsid w:val="00A760E0"/>
    <w:rsid w:val="00A77674"/>
    <w:rsid w:val="00A81800"/>
    <w:rsid w:val="00A932C1"/>
    <w:rsid w:val="00A9362B"/>
    <w:rsid w:val="00A94A64"/>
    <w:rsid w:val="00A96475"/>
    <w:rsid w:val="00A96904"/>
    <w:rsid w:val="00A96DE1"/>
    <w:rsid w:val="00AA113D"/>
    <w:rsid w:val="00AA205E"/>
    <w:rsid w:val="00AA3564"/>
    <w:rsid w:val="00AA7481"/>
    <w:rsid w:val="00AA7F53"/>
    <w:rsid w:val="00AB2A91"/>
    <w:rsid w:val="00AB4035"/>
    <w:rsid w:val="00AB42FB"/>
    <w:rsid w:val="00AB51A6"/>
    <w:rsid w:val="00AB693E"/>
    <w:rsid w:val="00AB7F7C"/>
    <w:rsid w:val="00AC18A0"/>
    <w:rsid w:val="00AC27A5"/>
    <w:rsid w:val="00AD68F2"/>
    <w:rsid w:val="00AE1B29"/>
    <w:rsid w:val="00AE3CC6"/>
    <w:rsid w:val="00AE7304"/>
    <w:rsid w:val="00AE7ADF"/>
    <w:rsid w:val="00AF0BA8"/>
    <w:rsid w:val="00AF1D9D"/>
    <w:rsid w:val="00AF229E"/>
    <w:rsid w:val="00AF62C5"/>
    <w:rsid w:val="00B0159C"/>
    <w:rsid w:val="00B02070"/>
    <w:rsid w:val="00B0330E"/>
    <w:rsid w:val="00B05071"/>
    <w:rsid w:val="00B06D7E"/>
    <w:rsid w:val="00B076A6"/>
    <w:rsid w:val="00B12D67"/>
    <w:rsid w:val="00B13E69"/>
    <w:rsid w:val="00B17C9D"/>
    <w:rsid w:val="00B231F5"/>
    <w:rsid w:val="00B234DB"/>
    <w:rsid w:val="00B319D6"/>
    <w:rsid w:val="00B3312F"/>
    <w:rsid w:val="00B33A85"/>
    <w:rsid w:val="00B36BF2"/>
    <w:rsid w:val="00B40424"/>
    <w:rsid w:val="00B41DA9"/>
    <w:rsid w:val="00B4261F"/>
    <w:rsid w:val="00B42A90"/>
    <w:rsid w:val="00B42FFA"/>
    <w:rsid w:val="00B43157"/>
    <w:rsid w:val="00B45CFC"/>
    <w:rsid w:val="00B469B0"/>
    <w:rsid w:val="00B46E53"/>
    <w:rsid w:val="00B505F8"/>
    <w:rsid w:val="00B514AD"/>
    <w:rsid w:val="00B51DD3"/>
    <w:rsid w:val="00B60801"/>
    <w:rsid w:val="00B66925"/>
    <w:rsid w:val="00B67E6B"/>
    <w:rsid w:val="00B70595"/>
    <w:rsid w:val="00B72169"/>
    <w:rsid w:val="00B748A7"/>
    <w:rsid w:val="00B7631C"/>
    <w:rsid w:val="00B7719F"/>
    <w:rsid w:val="00B806F9"/>
    <w:rsid w:val="00B826ED"/>
    <w:rsid w:val="00B836FD"/>
    <w:rsid w:val="00B84902"/>
    <w:rsid w:val="00B85191"/>
    <w:rsid w:val="00B8761B"/>
    <w:rsid w:val="00B87808"/>
    <w:rsid w:val="00B92640"/>
    <w:rsid w:val="00B9564B"/>
    <w:rsid w:val="00B97B09"/>
    <w:rsid w:val="00BA12BD"/>
    <w:rsid w:val="00BA1F48"/>
    <w:rsid w:val="00BA49DD"/>
    <w:rsid w:val="00BA712E"/>
    <w:rsid w:val="00BA75DF"/>
    <w:rsid w:val="00BA7CB7"/>
    <w:rsid w:val="00BB0865"/>
    <w:rsid w:val="00BB0E91"/>
    <w:rsid w:val="00BB22B4"/>
    <w:rsid w:val="00BB2518"/>
    <w:rsid w:val="00BB388F"/>
    <w:rsid w:val="00BB39D1"/>
    <w:rsid w:val="00BB3C95"/>
    <w:rsid w:val="00BB748E"/>
    <w:rsid w:val="00BC0230"/>
    <w:rsid w:val="00BC24E9"/>
    <w:rsid w:val="00BC3D26"/>
    <w:rsid w:val="00BC520E"/>
    <w:rsid w:val="00BC62C3"/>
    <w:rsid w:val="00BC76BB"/>
    <w:rsid w:val="00BC7DAB"/>
    <w:rsid w:val="00BD3052"/>
    <w:rsid w:val="00BE7B5F"/>
    <w:rsid w:val="00BF4E67"/>
    <w:rsid w:val="00BF6CAE"/>
    <w:rsid w:val="00C007F6"/>
    <w:rsid w:val="00C02989"/>
    <w:rsid w:val="00C03CED"/>
    <w:rsid w:val="00C07263"/>
    <w:rsid w:val="00C10404"/>
    <w:rsid w:val="00C168AE"/>
    <w:rsid w:val="00C17E5E"/>
    <w:rsid w:val="00C20099"/>
    <w:rsid w:val="00C21320"/>
    <w:rsid w:val="00C301AE"/>
    <w:rsid w:val="00C302A6"/>
    <w:rsid w:val="00C36377"/>
    <w:rsid w:val="00C37D16"/>
    <w:rsid w:val="00C40334"/>
    <w:rsid w:val="00C40866"/>
    <w:rsid w:val="00C42BF0"/>
    <w:rsid w:val="00C5097B"/>
    <w:rsid w:val="00C50D1C"/>
    <w:rsid w:val="00C51219"/>
    <w:rsid w:val="00C525F0"/>
    <w:rsid w:val="00C60408"/>
    <w:rsid w:val="00C60CA1"/>
    <w:rsid w:val="00C60FDD"/>
    <w:rsid w:val="00C63474"/>
    <w:rsid w:val="00C63B38"/>
    <w:rsid w:val="00C66AAD"/>
    <w:rsid w:val="00C706AD"/>
    <w:rsid w:val="00C7290E"/>
    <w:rsid w:val="00C72FA6"/>
    <w:rsid w:val="00C73012"/>
    <w:rsid w:val="00C737A0"/>
    <w:rsid w:val="00C75D2D"/>
    <w:rsid w:val="00C76589"/>
    <w:rsid w:val="00C76A1B"/>
    <w:rsid w:val="00C77529"/>
    <w:rsid w:val="00C8313A"/>
    <w:rsid w:val="00C83932"/>
    <w:rsid w:val="00C845E7"/>
    <w:rsid w:val="00C87DD1"/>
    <w:rsid w:val="00C929C6"/>
    <w:rsid w:val="00CA374C"/>
    <w:rsid w:val="00CB0712"/>
    <w:rsid w:val="00CB1865"/>
    <w:rsid w:val="00CB1A77"/>
    <w:rsid w:val="00CB2387"/>
    <w:rsid w:val="00CB53B7"/>
    <w:rsid w:val="00CB58E5"/>
    <w:rsid w:val="00CB5E4E"/>
    <w:rsid w:val="00CB66D8"/>
    <w:rsid w:val="00CC08B2"/>
    <w:rsid w:val="00CC1EDA"/>
    <w:rsid w:val="00CC47B2"/>
    <w:rsid w:val="00CD1EFA"/>
    <w:rsid w:val="00CD238D"/>
    <w:rsid w:val="00CD24DC"/>
    <w:rsid w:val="00CD7512"/>
    <w:rsid w:val="00CE182A"/>
    <w:rsid w:val="00CE7A2E"/>
    <w:rsid w:val="00CF02F6"/>
    <w:rsid w:val="00CF0978"/>
    <w:rsid w:val="00CF1F15"/>
    <w:rsid w:val="00CF3E87"/>
    <w:rsid w:val="00CF6B65"/>
    <w:rsid w:val="00CF724C"/>
    <w:rsid w:val="00CF7692"/>
    <w:rsid w:val="00D02AB4"/>
    <w:rsid w:val="00D038C0"/>
    <w:rsid w:val="00D055A1"/>
    <w:rsid w:val="00D06F0C"/>
    <w:rsid w:val="00D12D5B"/>
    <w:rsid w:val="00D17533"/>
    <w:rsid w:val="00D218A8"/>
    <w:rsid w:val="00D21C05"/>
    <w:rsid w:val="00D24970"/>
    <w:rsid w:val="00D27EC6"/>
    <w:rsid w:val="00D33074"/>
    <w:rsid w:val="00D3359A"/>
    <w:rsid w:val="00D337A6"/>
    <w:rsid w:val="00D33C23"/>
    <w:rsid w:val="00D357F3"/>
    <w:rsid w:val="00D4064F"/>
    <w:rsid w:val="00D420D8"/>
    <w:rsid w:val="00D42CC5"/>
    <w:rsid w:val="00D44B74"/>
    <w:rsid w:val="00D44C22"/>
    <w:rsid w:val="00D45C89"/>
    <w:rsid w:val="00D47737"/>
    <w:rsid w:val="00D52014"/>
    <w:rsid w:val="00D52612"/>
    <w:rsid w:val="00D52BBB"/>
    <w:rsid w:val="00D53A53"/>
    <w:rsid w:val="00D53E4D"/>
    <w:rsid w:val="00D5549B"/>
    <w:rsid w:val="00D575E6"/>
    <w:rsid w:val="00D6161D"/>
    <w:rsid w:val="00D61FB8"/>
    <w:rsid w:val="00D70E9F"/>
    <w:rsid w:val="00D718D2"/>
    <w:rsid w:val="00D7299A"/>
    <w:rsid w:val="00D73D90"/>
    <w:rsid w:val="00D800A2"/>
    <w:rsid w:val="00D80CA6"/>
    <w:rsid w:val="00D83139"/>
    <w:rsid w:val="00D86A3B"/>
    <w:rsid w:val="00D873DC"/>
    <w:rsid w:val="00D876DB"/>
    <w:rsid w:val="00D924A6"/>
    <w:rsid w:val="00D9266B"/>
    <w:rsid w:val="00D94A7D"/>
    <w:rsid w:val="00DB2EE1"/>
    <w:rsid w:val="00DB33F4"/>
    <w:rsid w:val="00DB458B"/>
    <w:rsid w:val="00DB541B"/>
    <w:rsid w:val="00DB6AB2"/>
    <w:rsid w:val="00DB72B2"/>
    <w:rsid w:val="00DC09E8"/>
    <w:rsid w:val="00DC4DE5"/>
    <w:rsid w:val="00DC52FF"/>
    <w:rsid w:val="00DC7EAF"/>
    <w:rsid w:val="00DD0A0A"/>
    <w:rsid w:val="00DD2157"/>
    <w:rsid w:val="00DD26C3"/>
    <w:rsid w:val="00DD2EA9"/>
    <w:rsid w:val="00DD4481"/>
    <w:rsid w:val="00DD709C"/>
    <w:rsid w:val="00DD754F"/>
    <w:rsid w:val="00DE1603"/>
    <w:rsid w:val="00DE4A61"/>
    <w:rsid w:val="00DF08C7"/>
    <w:rsid w:val="00DF18E7"/>
    <w:rsid w:val="00DF2BA4"/>
    <w:rsid w:val="00DF3E56"/>
    <w:rsid w:val="00DF5E68"/>
    <w:rsid w:val="00DF66C0"/>
    <w:rsid w:val="00DF74B7"/>
    <w:rsid w:val="00E0695F"/>
    <w:rsid w:val="00E10005"/>
    <w:rsid w:val="00E13AF5"/>
    <w:rsid w:val="00E15011"/>
    <w:rsid w:val="00E15BEE"/>
    <w:rsid w:val="00E15EC2"/>
    <w:rsid w:val="00E1723A"/>
    <w:rsid w:val="00E175E2"/>
    <w:rsid w:val="00E206D9"/>
    <w:rsid w:val="00E20A1D"/>
    <w:rsid w:val="00E20E59"/>
    <w:rsid w:val="00E21D32"/>
    <w:rsid w:val="00E267C9"/>
    <w:rsid w:val="00E3092F"/>
    <w:rsid w:val="00E31CE1"/>
    <w:rsid w:val="00E428D5"/>
    <w:rsid w:val="00E42FA3"/>
    <w:rsid w:val="00E43D11"/>
    <w:rsid w:val="00E4474E"/>
    <w:rsid w:val="00E45131"/>
    <w:rsid w:val="00E45F1F"/>
    <w:rsid w:val="00E50B5D"/>
    <w:rsid w:val="00E553B5"/>
    <w:rsid w:val="00E60005"/>
    <w:rsid w:val="00E63064"/>
    <w:rsid w:val="00E630EF"/>
    <w:rsid w:val="00E65986"/>
    <w:rsid w:val="00E67B1C"/>
    <w:rsid w:val="00E71DF4"/>
    <w:rsid w:val="00E74C81"/>
    <w:rsid w:val="00E81634"/>
    <w:rsid w:val="00E824DA"/>
    <w:rsid w:val="00E82B3E"/>
    <w:rsid w:val="00E83E31"/>
    <w:rsid w:val="00E86552"/>
    <w:rsid w:val="00E87663"/>
    <w:rsid w:val="00E9183A"/>
    <w:rsid w:val="00E953B5"/>
    <w:rsid w:val="00E965C6"/>
    <w:rsid w:val="00E972D1"/>
    <w:rsid w:val="00EA428A"/>
    <w:rsid w:val="00EA43EB"/>
    <w:rsid w:val="00EB2C2A"/>
    <w:rsid w:val="00EB3A62"/>
    <w:rsid w:val="00EB434E"/>
    <w:rsid w:val="00EB446A"/>
    <w:rsid w:val="00EB5147"/>
    <w:rsid w:val="00EB579D"/>
    <w:rsid w:val="00EB6836"/>
    <w:rsid w:val="00EB6CCF"/>
    <w:rsid w:val="00EC3D19"/>
    <w:rsid w:val="00EC404B"/>
    <w:rsid w:val="00EC53A0"/>
    <w:rsid w:val="00EC5502"/>
    <w:rsid w:val="00EC7828"/>
    <w:rsid w:val="00ED36AD"/>
    <w:rsid w:val="00ED49E1"/>
    <w:rsid w:val="00EF4F6F"/>
    <w:rsid w:val="00EF56CF"/>
    <w:rsid w:val="00F01EC1"/>
    <w:rsid w:val="00F0348C"/>
    <w:rsid w:val="00F06D66"/>
    <w:rsid w:val="00F07142"/>
    <w:rsid w:val="00F12EAB"/>
    <w:rsid w:val="00F21A01"/>
    <w:rsid w:val="00F21A0F"/>
    <w:rsid w:val="00F234CE"/>
    <w:rsid w:val="00F24131"/>
    <w:rsid w:val="00F27586"/>
    <w:rsid w:val="00F27EAF"/>
    <w:rsid w:val="00F30339"/>
    <w:rsid w:val="00F35759"/>
    <w:rsid w:val="00F377DE"/>
    <w:rsid w:val="00F421BB"/>
    <w:rsid w:val="00F440BA"/>
    <w:rsid w:val="00F51FBE"/>
    <w:rsid w:val="00F5306E"/>
    <w:rsid w:val="00F53941"/>
    <w:rsid w:val="00F54865"/>
    <w:rsid w:val="00F5490B"/>
    <w:rsid w:val="00F55BD0"/>
    <w:rsid w:val="00F55CDB"/>
    <w:rsid w:val="00F5750F"/>
    <w:rsid w:val="00F61FE7"/>
    <w:rsid w:val="00F6245E"/>
    <w:rsid w:val="00F631B5"/>
    <w:rsid w:val="00F65B6F"/>
    <w:rsid w:val="00F73716"/>
    <w:rsid w:val="00F73F74"/>
    <w:rsid w:val="00F83DE4"/>
    <w:rsid w:val="00F84DFE"/>
    <w:rsid w:val="00F853A8"/>
    <w:rsid w:val="00F8652E"/>
    <w:rsid w:val="00F907C5"/>
    <w:rsid w:val="00F9265D"/>
    <w:rsid w:val="00F95F89"/>
    <w:rsid w:val="00FA0E98"/>
    <w:rsid w:val="00FA11D3"/>
    <w:rsid w:val="00FA135F"/>
    <w:rsid w:val="00FA3526"/>
    <w:rsid w:val="00FA46D5"/>
    <w:rsid w:val="00FB062B"/>
    <w:rsid w:val="00FB0E39"/>
    <w:rsid w:val="00FB27A8"/>
    <w:rsid w:val="00FB36C4"/>
    <w:rsid w:val="00FB4883"/>
    <w:rsid w:val="00FC1173"/>
    <w:rsid w:val="00FC13D5"/>
    <w:rsid w:val="00FC4845"/>
    <w:rsid w:val="00FC533F"/>
    <w:rsid w:val="00FC7303"/>
    <w:rsid w:val="00FD268E"/>
    <w:rsid w:val="00FD623E"/>
    <w:rsid w:val="00FE32F5"/>
    <w:rsid w:val="00FE5267"/>
    <w:rsid w:val="00FE6446"/>
    <w:rsid w:val="00FF1A39"/>
    <w:rsid w:val="00FF2ED4"/>
    <w:rsid w:val="00FF3F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D8DB0"/>
  <w15:chartTrackingRefBased/>
  <w15:docId w15:val="{5EEB3F46-BF95-46A0-88C8-C0A1A23CDEFD}"/>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lang w:eastAsia="en-US"/>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eastAsia="en-US"/>
    </w:rPr>
  </w:style>
  <w:style w:type="character" w:customStyle="1" w:styleId="Heading1Char">
    <w:name w:val="Heading 1 Char"/>
    <w:aliases w:val="IPPC Headsection Char"/>
    <w:basedOn w:val="DefaultParagraphFont"/>
    <w:link w:val="Heading1"/>
    <w:rPr>
      <w:rFonts w:eastAsia="MS Mincho"/>
      <w:b/>
      <w:bCs/>
      <w:sz w:val="22"/>
      <w:szCs w:val="24"/>
      <w:lang w:eastAsia="en-US"/>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fr-FR"/>
    </w:rPr>
  </w:style>
  <w:style w:type="character" w:customStyle="1" w:styleId="IPPNormalbold">
    <w:name w:val="IPP Normal bold"/>
    <w:basedOn w:val="PlainTextChar"/>
    <w:rPr>
      <w:rFonts w:ascii="Times New Roman" w:eastAsia="Times" w:hAnsi="Times New Roman"/>
      <w:b/>
      <w:sz w:val="22"/>
      <w:szCs w:val="21"/>
      <w:lang w:val="fr-FR" w:eastAsia="en-US"/>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fr-FR"/>
    </w:rPr>
  </w:style>
  <w:style w:type="paragraph" w:customStyle="1" w:styleId="IPPBullet1">
    <w:name w:val="IPP Bullet1"/>
    <w:basedOn w:val="IPPBullet1Last"/>
    <w:qFormat/>
    <w:pPr>
      <w:numPr>
        <w:numId w:val="8"/>
      </w:numPr>
      <w:spacing w:after="60"/>
      <w:ind w:left="567" w:hanging="567"/>
    </w:p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eastAsia="en-US"/>
    </w:rPr>
  </w:style>
  <w:style w:type="character" w:customStyle="1" w:styleId="Heading3Char">
    <w:name w:val="Heading 3 Char"/>
    <w:basedOn w:val="DefaultParagraphFont"/>
    <w:link w:val="Heading3"/>
    <w:rPr>
      <w:rFonts w:ascii="Calibri" w:eastAsia="MS Mincho" w:hAnsi="Calibri"/>
      <w:b/>
      <w:bCs/>
      <w:sz w:val="26"/>
      <w:szCs w:val="26"/>
      <w:lang w:eastAsia="en-US"/>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eastAsia="en-US"/>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table" w:styleId="TableGrid">
    <w:name w:val="Table Grid"/>
    <w:basedOn w:val="TableNormal"/>
    <w:rPr>
      <w:rFonts w:ascii="Cambria" w:eastAsia="MS Mincho"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eastAsia="en-US"/>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4"/>
      </w:numPr>
    </w:pPr>
  </w:style>
  <w:style w:type="paragraph" w:customStyle="1" w:styleId="IPPParagraphnumbering">
    <w:name w:val="IPP Paragraph numbering"/>
    <w:basedOn w:val="IPPNormal"/>
    <w:qFormat/>
    <w:pPr>
      <w:numPr>
        <w:numId w:val="10"/>
      </w:numPr>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rPr>
  </w:style>
  <w:style w:type="paragraph" w:styleId="TOC5">
    <w:name w:val="toc 5"/>
    <w:basedOn w:val="Normal"/>
    <w:next w:val="Normal"/>
    <w:autoRedefine/>
    <w:uiPriority w:val="39"/>
    <w:pPr>
      <w:spacing w:after="120"/>
      <w:ind w:left="880"/>
    </w:pPr>
    <w:rPr>
      <w:rFonts w:eastAsia="Times"/>
    </w:rPr>
  </w:style>
  <w:style w:type="paragraph" w:styleId="TOC6">
    <w:name w:val="toc 6"/>
    <w:basedOn w:val="Normal"/>
    <w:next w:val="Normal"/>
    <w:autoRedefine/>
    <w:uiPriority w:val="39"/>
    <w:pPr>
      <w:spacing w:after="120"/>
      <w:ind w:left="1100"/>
    </w:pPr>
    <w:rPr>
      <w:rFonts w:eastAsia="Times"/>
    </w:rPr>
  </w:style>
  <w:style w:type="paragraph" w:styleId="TOC7">
    <w:name w:val="toc 7"/>
    <w:basedOn w:val="Normal"/>
    <w:next w:val="Normal"/>
    <w:autoRedefine/>
    <w:uiPriority w:val="39"/>
    <w:pPr>
      <w:spacing w:after="120"/>
      <w:ind w:left="1320"/>
    </w:pPr>
    <w:rPr>
      <w:rFonts w:eastAsia="Times"/>
    </w:rPr>
  </w:style>
  <w:style w:type="paragraph" w:styleId="TOC8">
    <w:name w:val="toc 8"/>
    <w:basedOn w:val="Normal"/>
    <w:next w:val="Normal"/>
    <w:autoRedefine/>
    <w:uiPriority w:val="39"/>
    <w:pPr>
      <w:spacing w:after="120"/>
      <w:ind w:left="1540"/>
    </w:pPr>
    <w:rPr>
      <w:rFonts w:eastAsia="Times"/>
    </w:rPr>
  </w:style>
  <w:style w:type="paragraph" w:styleId="TOC9">
    <w:name w:val="toc 9"/>
    <w:basedOn w:val="Normal"/>
    <w:next w:val="Normal"/>
    <w:autoRedefine/>
    <w:uiPriority w:val="39"/>
    <w:pPr>
      <w:spacing w:after="120"/>
      <w:ind w:left="1760"/>
    </w:pPr>
    <w:rPr>
      <w:rFonts w:eastAsia="Times"/>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rPr>
  </w:style>
  <w:style w:type="character" w:customStyle="1" w:styleId="PlainTextChar">
    <w:name w:val="Plain Text Char"/>
    <w:basedOn w:val="DefaultParagraphFont"/>
    <w:link w:val="PlainText"/>
    <w:uiPriority w:val="99"/>
    <w:rPr>
      <w:rFonts w:ascii="Courier" w:eastAsia="Times" w:hAnsi="Courier"/>
      <w:sz w:val="21"/>
      <w:szCs w:val="21"/>
      <w:lang w:val="fr-FR" w:eastAsia="en-US"/>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paragraph" w:customStyle="1" w:styleId="IPPPargraphnumbering">
    <w:name w:val="IPP Pargraph numbering"/>
    <w:basedOn w:val="IPPNormal"/>
    <w:qFormat/>
    <w:pPr>
      <w:tabs>
        <w:tab w:val="num" w:pos="0"/>
      </w:tabs>
      <w:ind w:hanging="482"/>
    </w:p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link w:val="CommentText"/>
    <w:uiPriority w:val="99"/>
    <w:qFormat/>
    <w:rPr>
      <w:rFonts w:eastAsia="MS Mincho"/>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eastAsia="en-US"/>
    </w:rPr>
  </w:style>
  <w:style w:type="character" w:customStyle="1" w:styleId="IPPNormalChar">
    <w:name w:val="IPP Normal Char"/>
    <w:link w:val="IPPNormal"/>
    <w:rPr>
      <w:rFonts w:eastAsia="Times"/>
      <w:sz w:val="22"/>
      <w:szCs w:val="24"/>
      <w:lang w:eastAsia="en-US"/>
    </w:rPr>
  </w:style>
  <w:style w:type="paragraph" w:styleId="NormalWeb">
    <w:name w:val="Normal (Web)"/>
    <w:basedOn w:val="Normal"/>
    <w:uiPriority w:val="99"/>
    <w:unhideWhenUsed/>
    <w:pPr>
      <w:spacing w:before="100" w:beforeAutospacing="1" w:after="100" w:afterAutospacing="1"/>
      <w:jc w:val="left"/>
    </w:pPr>
    <w:rPr>
      <w:rFonts w:eastAsia="Times New Roman"/>
      <w:sz w:val="24"/>
    </w:rPr>
  </w:style>
  <w:style w:type="paragraph" w:styleId="Revision">
    <w:name w:val="Revision"/>
    <w:hidden/>
    <w:uiPriority w:val="99"/>
    <w:semiHidden/>
    <w:rPr>
      <w:rFonts w:eastAsia="MS Mincho"/>
      <w:sz w:val="22"/>
      <w:szCs w:val="24"/>
      <w:lang w:eastAsia="en-US"/>
    </w:rPr>
  </w:style>
  <w:style w:type="paragraph" w:customStyle="1" w:styleId="footnotedescription">
    <w:name w:val="footnote description"/>
    <w:next w:val="Normal"/>
    <w:link w:val="footnotedescriptionChar"/>
    <w:hidden/>
    <w:pPr>
      <w:spacing w:line="276" w:lineRule="auto"/>
      <w:ind w:left="1"/>
    </w:pPr>
    <w:rPr>
      <w:rFonts w:eastAsia="Times New Roman"/>
      <w:color w:val="000000"/>
      <w:szCs w:val="22"/>
      <w:lang w:eastAsia="en-AU"/>
    </w:rPr>
  </w:style>
  <w:style w:type="character" w:customStyle="1" w:styleId="footnotedescriptionChar">
    <w:name w:val="footnote description Char"/>
    <w:link w:val="footnotedescription"/>
    <w:rPr>
      <w:rFonts w:eastAsia="Times New Roman"/>
      <w:color w:val="000000"/>
      <w:szCs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0">
    <w:name w:val="TableGrid"/>
    <w:rPr>
      <w:rFonts w:ascii="Calibri" w:eastAsia="Times New Roman" w:hAnsi="Calibri"/>
      <w:sz w:val="22"/>
      <w:szCs w:val="22"/>
      <w:lang w:eastAsia="en-AU"/>
    </w:rPr>
    <w:tblPr>
      <w:tblCellMar>
        <w:top w:w="0" w:type="dxa"/>
        <w:left w:w="0" w:type="dxa"/>
        <w:bottom w:w="0" w:type="dxa"/>
        <w:right w:w="0" w:type="dxa"/>
      </w:tblCellMar>
    </w:tblPr>
  </w:style>
  <w:style w:type="table" w:customStyle="1" w:styleId="TableGrid3">
    <w:name w:val="TableGrid3"/>
    <w:rPr>
      <w:rFonts w:ascii="Calibri" w:eastAsia="Times New Roman" w:hAnsi="Calibri"/>
      <w:sz w:val="22"/>
      <w:szCs w:val="22"/>
      <w:lang w:eastAsia="en-AU"/>
    </w:rPr>
    <w:tblPr>
      <w:tblCellMar>
        <w:top w:w="0" w:type="dxa"/>
        <w:left w:w="0" w:type="dxa"/>
        <w:bottom w:w="0" w:type="dxa"/>
        <w:right w:w="0" w:type="dxa"/>
      </w:tblCellMar>
    </w:tblPr>
  </w:style>
  <w:style w:type="character" w:styleId="Hyperlink">
    <w:name w:val="Hyperlink"/>
    <w:basedOn w:val="DefaultParagraphFont"/>
    <w:unhideWhenUsed/>
    <w:rPr>
      <w:color w:val="0000FF"/>
      <w:u w:val="single"/>
    </w:rPr>
  </w:style>
  <w:style w:type="paragraph" w:customStyle="1" w:styleId="Default">
    <w:name w:val="Default"/>
    <w:pPr>
      <w:autoSpaceDE w:val="0"/>
      <w:autoSpaceDN w:val="0"/>
      <w:adjustRightInd w:val="0"/>
    </w:pPr>
    <w:rPr>
      <w:color w:val="000000"/>
      <w:sz w:val="24"/>
      <w:szCs w:val="24"/>
      <w:lang w:eastAsia="en-AU"/>
    </w:rPr>
  </w:style>
  <w:style w:type="character" w:styleId="UnresolvedMention">
    <w:name w:val="Unresolved Mention"/>
    <w:uiPriority w:val="99"/>
    <w:semiHidden/>
    <w:unhideWhenUsed/>
    <w:rPr>
      <w:color w:val="605E5C"/>
      <w:shd w:val="clear" w:color="auto" w:fill="E1DFDD"/>
    </w:rPr>
  </w:style>
  <w:style w:type="character" w:styleId="FollowedHyperlink">
    <w:name w:val="FollowedHyperlink"/>
    <w:basedOn w:val="DefaultParagraphFont"/>
    <w:semiHidden/>
    <w:unhideWhenUsed/>
    <w:rPr>
      <w:color w:val="954F72" w:themeColor="followedHyperlink"/>
      <w:u w:val="single"/>
    </w:rPr>
  </w:style>
  <w:style w:type="character" w:styleId="PleaseReviewParagraphId">
    <w:name w:val="PleaseReviewParagraphId"/>
    <w:basedOn w:val="DefaultParagraphFont"/>
    <w:rPr>
      <w:rFonts w:ascii="Arial" w:hAnsi="Arial"/>
      <w:b w:val="off"/>
      <w:i w:val="off"/>
      <w:u w:val="off"/>
      <w:color w:val="000080"/>
      <w:sz w:val="16"/>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86284">
      <w:bodyDiv w:val="1"/>
      <w:marLeft w:val="0"/>
      <w:marRight w:val="0"/>
      <w:marTop w:val="0"/>
      <w:marBottom w:val="0"/>
      <w:divBdr>
        <w:top w:val="none" w:sz="0" w:space="0" w:color="auto"/>
        <w:left w:val="none" w:sz="0" w:space="0" w:color="auto"/>
        <w:bottom w:val="none" w:sz="0" w:space="0" w:color="auto"/>
        <w:right w:val="none" w:sz="0" w:space="0" w:color="auto"/>
      </w:divBdr>
    </w:div>
    <w:div w:id="769811779">
      <w:bodyDiv w:val="1"/>
      <w:marLeft w:val="0"/>
      <w:marRight w:val="0"/>
      <w:marTop w:val="0"/>
      <w:marBottom w:val="0"/>
      <w:divBdr>
        <w:top w:val="none" w:sz="0" w:space="0" w:color="auto"/>
        <w:left w:val="none" w:sz="0" w:space="0" w:color="auto"/>
        <w:bottom w:val="none" w:sz="0" w:space="0" w:color="auto"/>
        <w:right w:val="none" w:sz="0" w:space="0" w:color="auto"/>
      </w:divBdr>
    </w:div>
    <w:div w:id="1538470091">
      <w:bodyDiv w:val="1"/>
      <w:marLeft w:val="0"/>
      <w:marRight w:val="0"/>
      <w:marTop w:val="0"/>
      <w:marBottom w:val="0"/>
      <w:divBdr>
        <w:top w:val="none" w:sz="0" w:space="0" w:color="auto"/>
        <w:left w:val="none" w:sz="0" w:space="0" w:color="auto"/>
        <w:bottom w:val="none" w:sz="0" w:space="0" w:color="auto"/>
        <w:right w:val="none" w:sz="0" w:space="0" w:color="auto"/>
      </w:divBdr>
    </w:div>
    <w:div w:id="1796633991">
      <w:bodyDiv w:val="1"/>
      <w:marLeft w:val="0"/>
      <w:marRight w:val="0"/>
      <w:marTop w:val="0"/>
      <w:marBottom w:val="0"/>
      <w:divBdr>
        <w:top w:val="none" w:sz="0" w:space="0" w:color="auto"/>
        <w:left w:val="none" w:sz="0" w:space="0" w:color="auto"/>
        <w:bottom w:val="none" w:sz="0" w:space="0" w:color="auto"/>
        <w:right w:val="none" w:sz="0" w:space="0" w:color="auto"/>
      </w:divBdr>
    </w:div>
    <w:div w:id="1889872633">
      <w:bodyDiv w:val="1"/>
      <w:marLeft w:val="0"/>
      <w:marRight w:val="0"/>
      <w:marTop w:val="0"/>
      <w:marBottom w:val="0"/>
      <w:divBdr>
        <w:top w:val="none" w:sz="0" w:space="0" w:color="auto"/>
        <w:left w:val="none" w:sz="0" w:space="0" w:color="auto"/>
        <w:bottom w:val="none" w:sz="0" w:space="0" w:color="auto"/>
        <w:right w:val="none" w:sz="0" w:space="0" w:color="auto"/>
      </w:divBdr>
    </w:div>
    <w:div w:id="206178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Type="http://schemas.openxmlformats.org/officeDocument/2006/relationships/webSettings" Target="webSettings.xml" Id="rId8" />
  <Relationship Type="http://schemas.openxmlformats.org/officeDocument/2006/relationships/hyperlink" Target="https://doi.org/10.1007/BF02981228" TargetMode="External" Id="rId13" />
  <Relationship Type="http://schemas.openxmlformats.org/officeDocument/2006/relationships/customXml" Target="../customXml/item3.xml" Id="rId3" />
  <Relationship Type="http://schemas.openxmlformats.org/officeDocument/2006/relationships/settings" Target="settings.xml" Id="rId7" />
  <Relationship Type="http://schemas.openxmlformats.org/officeDocument/2006/relationships/hyperlink" Target="https://journals.flvc.org/flaent/article/view/88695" TargetMode="External" Id="rId12" />
  <Relationship Type="http://schemas.openxmlformats.org/officeDocument/2006/relationships/customXml" Target="../customXml/item2.xml" Id="rId2" />
  <Relationship Type="http://schemas.openxmlformats.org/officeDocument/2006/relationships/customXml" Target="../customXml/item1.xml" Id="rId1" />
  <Relationship Type="http://schemas.openxmlformats.org/officeDocument/2006/relationships/styles" Target="styles.xml" Id="rId6" />
  <Relationship Type="http://schemas.openxmlformats.org/officeDocument/2006/relationships/hyperlink" Target="https://www.ippc.int/fr/core-activities/standards-setting/ispms" TargetMode="External" Id="rId11" />
  <Relationship Type="http://schemas.openxmlformats.org/officeDocument/2006/relationships/numbering" Target="numbering.xml" Id="rId5" />
  <Relationship Type="http://schemas.openxmlformats.org/officeDocument/2006/relationships/theme" Target="theme/theme1.xml" Id="rId15" />
  <Relationship Type="http://schemas.openxmlformats.org/officeDocument/2006/relationships/endnotes" Target="endnotes.xml" Id="rId10" />
  <Relationship Type="http://schemas.openxmlformats.org/officeDocument/2006/relationships/customXml" Target="../customXml/item4.xml" Id="rId4" />
  <Relationship Type="http://schemas.openxmlformats.org/officeDocument/2006/relationships/footnotes" Target="footnotes.xml" Id="rId9" />
  <Relationship Type="http://schemas.openxmlformats.org/officeDocument/2006/relationships/fontTable" Target="fontTable.xml" Id="rId14" />
</Relationships>
</file>

<file path=word/_rels/settings.xml.rels>&#65279;<?xml version="1.0" encoding="utf-8"?><Relationships xmlns="http://schemas.openxmlformats.org/package/2006/relationships"><Relationship Type="http://schemas.openxmlformats.org/officeDocument/2006/relationships/attachedTemplate" Target="file:///C:\Users\Torella\Download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953A3-9F89-4412-A579-6CF11C9E80B0}">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1D3930A8-B5DD-4598-AC05-3B357567EA8A}">
  <ds:schemaRefs>
    <ds:schemaRef ds:uri="http://schemas.microsoft.com/sharepoint/v3/contenttype/forms"/>
  </ds:schemaRefs>
</ds:datastoreItem>
</file>

<file path=customXml/itemProps3.xml><?xml version="1.0" encoding="utf-8"?>
<ds:datastoreItem xmlns:ds="http://schemas.openxmlformats.org/officeDocument/2006/customXml" ds:itemID="{051D0288-340B-4970-9C1C-78BE57CC6A38}">
  <ds:schemaRefs>
    <ds:schemaRef ds:uri="http://schemas.openxmlformats.org/officeDocument/2006/bibliography"/>
  </ds:schemaRefs>
</ds:datastoreItem>
</file>

<file path=customXml/itemProps4.xml><?xml version="1.0" encoding="utf-8"?>
<ds:datastoreItem xmlns:ds="http://schemas.openxmlformats.org/officeDocument/2006/customXml" ds:itemID="{06B90F8E-6591-43DE-AB07-20217EDA0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f21493-a4d1-4b7f-ad07-819c824f5c4a}" enabled="0" method="" siteId="{a2f21493-a4d1-4b7f-ad07-819c824f5c4a}" removed="1"/>
</clbl:labelList>
</file>

<file path=docProps/app.xml><?xml version="1.0" encoding="utf-8"?>
<Properties xmlns="http://schemas.openxmlformats.org/officeDocument/2006/extended-properties" xmlns:vt="http://schemas.openxmlformats.org/officeDocument/2006/docPropsVTypes">
  <Template>IPPC_2024-06-17</Template>
  <TotalTime>0</TotalTime>
  <Pages>1</Pages>
  <Words>1095</Words>
  <Characters>6245</Characters>
  <Application>Microsoft Office Word</Application>
  <DocSecurity>0</DocSecurity>
  <Lines>52</Lines>
  <Paragraphs>14</Paragraphs>
  <ScaleCrop>false</ScaleCrop>
  <HeadingPairs>
    <vt:vector size="6" baseType="variant">
      <vt:variant>
        <vt:lpstr>Titre</vt:lpstr>
      </vt:variant>
      <vt:variant>
        <vt:i4>1</vt:i4>
      </vt:variant>
      <vt:variant>
        <vt:lpstr>Title</vt:lpstr>
      </vt:variant>
      <vt:variant>
        <vt:i4>1</vt:i4>
      </vt:variant>
      <vt:variant>
        <vt:lpstr>Headings</vt:lpstr>
      </vt:variant>
      <vt:variant>
        <vt:i4>9</vt:i4>
      </vt:variant>
    </vt:vector>
  </HeadingPairs>
  <TitlesOfParts>
    <vt:vector size="11" baseType="lpstr">
      <vt:lpstr/>
      <vt:lpstr/>
      <vt:lpstr>ANNOTATED TEMPLATE FOR DRAFTING PHYTOSANITARY TREATMENTS</vt:lpstr>
      <vt:lpstr>    Adoption</vt:lpstr>
      <vt:lpstr>    Title</vt:lpstr>
      <vt:lpstr>Draft ANNEX to ISPM 28: Cold treatment for Zeugodacus tau on Citrus sinensis (20</vt:lpstr>
      <vt:lpstr>    Scope of the treatment</vt:lpstr>
      <vt:lpstr>    Treatment description</vt:lpstr>
      <vt:lpstr>    Treatment schedule[s]</vt:lpstr>
      <vt:lpstr>    Other relevant information</vt:lpstr>
      <vt:lpstr>    References</vt:lpstr>
    </vt:vector>
  </TitlesOfParts>
  <Company>FAO of the UN</Company>
  <LinksUpToDate>false</LinksUpToDate>
  <CharactersWithSpaces>7326</CharactersWithSpaces>
  <SharedDoc>false</SharedDoc>
  <HLinks>
    <vt:vector size="18" baseType="variant">
      <vt:variant>
        <vt:i4>7667765</vt:i4>
      </vt:variant>
      <vt:variant>
        <vt:i4>6</vt:i4>
      </vt:variant>
      <vt:variant>
        <vt:i4>0</vt:i4>
      </vt:variant>
      <vt:variant>
        <vt:i4>5</vt:i4>
      </vt:variant>
      <vt:variant>
        <vt:lpwstr>https://doi.org/10.1007/BF02981228</vt:lpwstr>
      </vt:variant>
      <vt:variant>
        <vt:lpwstr/>
      </vt:variant>
      <vt:variant>
        <vt:i4>3014778</vt:i4>
      </vt:variant>
      <vt:variant>
        <vt:i4>3</vt:i4>
      </vt:variant>
      <vt:variant>
        <vt:i4>0</vt:i4>
      </vt:variant>
      <vt:variant>
        <vt:i4>5</vt:i4>
      </vt:variant>
      <vt:variant>
        <vt:lpwstr>https://journals.flvc.org/flaent/article/view/88695</vt:lpwstr>
      </vt:variant>
      <vt:variant>
        <vt:lpwstr/>
      </vt:variant>
      <vt:variant>
        <vt:i4>1507357</vt:i4>
      </vt:variant>
      <vt:variant>
        <vt:i4>0</vt:i4>
      </vt:variant>
      <vt:variant>
        <vt:i4>0</vt:i4>
      </vt:variant>
      <vt:variant>
        <vt:i4>5</vt:i4>
      </vt:variant>
      <vt:variant>
        <vt:lpwstr>https://www.ippc.int/core-activities/standards-setting/ispms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cp:lastModifiedBy>Prizm</cp:lastModifiedBy>
  <cp:revision>2</cp:revision>
  <cp:lastPrinted>2021-08-08T05:15:00Z</cp:lastPrinted>
  <dcterms:created xsi:type="dcterms:W3CDTF">2026-07-01T10:41:00Z</dcterms:created>
  <dcterms:modified xsi:type="dcterms:W3CDTF">2026-07-01T10:41:00Z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0x010100299519679B1A8B4091DBA33CE26F55F5</vt:lpwstr>
  </property>
  <property fmtid="{D5CDD505-2E9C-101B-9397-08002B2CF9AE}" pid="4" name="GrammarlyDocumentId">
    <vt:lpwstr>5f8c7f10afdec0779cb756e9cdee81036c1bcbb0aab020dd0b198d7015b4106f</vt:lpwstr>
  </property>
  <property fmtid="{D5CDD505-2E9C-101B-9397-08002B2CF9AE}" pid="5" name="docLang">
    <vt:lpwstr>en</vt:lpwstr>
  </property>
  <property fmtid="{D5CDD505-2E9C-101B-9397-08002B2CF9AE}" pid="6" name="MSIP_Label_23e3f3ef-5eea-4282-98cf-e701503737fe_Enabled">
    <vt:lpwstr>true</vt:lpwstr>
  </property>
  <property fmtid="{D5CDD505-2E9C-101B-9397-08002B2CF9AE}" pid="7" name="MSIP_Label_23e3f3ef-5eea-4282-98cf-e701503737fe_SetDate">
    <vt:lpwstr>2026-03-23T01:24:50Z</vt:lpwstr>
  </property>
  <property fmtid="{D5CDD505-2E9C-101B-9397-08002B2CF9AE}" pid="8" name="MSIP_Label_23e3f3ef-5eea-4282-98cf-e701503737fe_Method">
    <vt:lpwstr>Privileged</vt:lpwstr>
  </property>
  <property fmtid="{D5CDD505-2E9C-101B-9397-08002B2CF9AE}" pid="9" name="MSIP_Label_23e3f3ef-5eea-4282-98cf-e701503737fe_Name">
    <vt:lpwstr>UNCLASSIFIED - No marking</vt:lpwstr>
  </property>
  <property fmtid="{D5CDD505-2E9C-101B-9397-08002B2CF9AE}" pid="10" name="MSIP_Label_23e3f3ef-5eea-4282-98cf-e701503737fe_SiteId">
    <vt:lpwstr>c30d47c4-6369-4cf2-9dd6-79a0e0aa416d</vt:lpwstr>
  </property>
  <property fmtid="{D5CDD505-2E9C-101B-9397-08002B2CF9AE}" pid="11" name="MSIP_Label_23e3f3ef-5eea-4282-98cf-e701503737fe_ActionId">
    <vt:lpwstr>6a7b8b38-61a5-4e2c-9baa-794f17ea38dc</vt:lpwstr>
  </property>
  <property fmtid="{D5CDD505-2E9C-101B-9397-08002B2CF9AE}" pid="12" name="MSIP_Label_23e3f3ef-5eea-4282-98cf-e701503737fe_ContentBits">
    <vt:lpwstr>0</vt:lpwstr>
  </property>
  <property fmtid="{D5CDD505-2E9C-101B-9397-08002B2CF9AE}" pid="13" name="MSIP_Label_23e3f3ef-5eea-4282-98cf-e701503737fe_Tag">
    <vt:lpwstr>10, 0, 1, 1</vt:lpwstr>
  </property>
</Properties>
</file>