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Consultation -2025-010- Draft specification on Revision of ISPM 3. Document title: 2025-010_DraftSpec_RevisionOfISPM3_fr.docx]</w:t>
      </w:r>
    </w:p>
    <w:p w14:paraId="21D51731" w14:textId="15DF8B99">
      <w:pPr>
        <w:pStyle w:val="IPPNormal"/>
        <w:spacing w:before="240" w:after="240"/>
        <w:rPr>
          <w:rStyle w:val="IPPNormalbold"/>
        </w:rPr>
      </w:pPr>
      <w:r>
        <w:rPr>
          <w:rStyle w:val="PleaseReviewParagraphId"/>
          <w:b w:val="off"/>
          <w:i w:val="off"/>
        </w:rPr>
        <w:t>[1]</w:t>
      </w:r>
      <w:r>
        <w:rPr>
          <w:rStyle w:val="IPPNormalbold"/>
        </w:rPr>
        <w:t>PROJET DE SPÉCIFICATION POUR UNE NIMP: Révision de la NIMP 3 (</w:t>
      </w:r>
      <w:r>
        <w:rPr>
          <w:rStyle w:val="IPPNormalbold"/>
          <w:i/>
          <w:iCs/>
        </w:rPr>
        <w:t>Directives pour l’exportation, l’expédition, l’importation et le lâcher d’agents de lutte biologique et autres organismes utiles</w:t>
      </w:r>
      <w:r>
        <w:rPr>
          <w:rStyle w:val="IPPNormalbold"/>
        </w:rPr>
        <w:t>) (2025-010)</w:t>
      </w:r>
    </w:p>
    <w:p w14:paraId="2352E023" w14:textId="2E31984B">
      <w:pPr>
        <w:pStyle w:val="IPPSubheadSpace"/>
        <w:ind w:left="0" w:firstLine="0"/>
      </w:pPr>
      <w:r>
        <w:rPr>
          <w:rStyle w:val="PleaseReviewParagraphId"/>
          <w:b w:val="off"/>
          <w:i w:val="off"/>
        </w:rPr>
        <w:t>[2]</w:t>
      </w:r>
      <w:r>
        <w:t>État d’avancement du document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8"/>
        <w:gridCol w:w="6512"/>
      </w:tblGrid>
      <w:tr w14:paraId="260272F5" w14:textId="77777777">
        <w:tc xmlns:tara="kcentrix:tara" tara:rowspan="1" tara:colspan="2">
          <w:tcPr>
            <w:tcW w:w="5000" w:type="pct"/>
            <w:gridSpan w:val="2"/>
          </w:tcPr>
          <w:p w14:paraId="3D6D527E" w14:textId="4CB9BAD3">
            <w:pPr>
              <w:pStyle w:val="IPPArialTable"/>
            </w:pPr>
            <w:r>
              <w:rPr>
                <w:rStyle w:val="PleaseReviewParagraphId"/>
                <w:b w:val="off"/>
                <w:i w:val="off"/>
              </w:rPr>
              <w:t>[3]</w:t>
            </w:r>
            <w:r>
              <w:t>Ce récapitulatif ne fait pas officiellement partie de la spécification et sera modifié par le secrétariat de la CIPV après l’approbation.</w:t>
            </w:r>
          </w:p>
        </w:tc>
      </w:tr>
      <w:tr w14:paraId="53C97D2D" w14:textId="77777777">
        <w:tc xmlns:tara="kcentrix:tara" tara:rowspan="1" tara:colspan="1">
          <w:tcPr>
            <w:tcW w:w="1406" w:type="pct"/>
          </w:tcPr>
          <w:p w14:paraId="4700E9E9" w14:textId="77777777">
            <w:pPr>
              <w:pStyle w:val="IPPArialTable"/>
              <w:rPr>
                <w:b/>
                <w:bCs/>
              </w:rPr>
            </w:pPr>
            <w:r>
              <w:rPr>
                <w:rStyle w:val="PleaseReviewParagraphId"/>
                <w:b w:val="off"/>
                <w:i w:val="off"/>
              </w:rPr>
              <w:t>[4]</w:t>
            </w:r>
            <w:r>
              <w:rPr>
                <w:b/>
              </w:rPr>
              <w:t>Date du présent document</w:t>
            </w:r>
          </w:p>
        </w:tc>
        <w:tc xmlns:tara="kcentrix:tara" tara:rowspan="1" tara:colspan="1">
          <w:tcPr>
            <w:tcW w:w="3594" w:type="pct"/>
          </w:tcPr>
          <w:p w14:paraId="091A5F5F" w14:textId="193CCFB9">
            <w:pPr>
              <w:pStyle w:val="IPPArialTable"/>
            </w:pPr>
            <w:r>
              <w:rPr>
                <w:rStyle w:val="PleaseReviewParagraphId"/>
                <w:b w:val="off"/>
                <w:i w:val="off"/>
              </w:rPr>
              <w:t>[5]</w:t>
            </w:r>
            <w:r>
              <w:t>2026-05-26</w:t>
            </w:r>
          </w:p>
        </w:tc>
      </w:tr>
      <w:tr w14:paraId="3E03BE31" w14:textId="77777777">
        <w:tc xmlns:tara="kcentrix:tara" tara:rowspan="1" tara:colspan="1">
          <w:tcPr>
            <w:tcW w:w="1406" w:type="pct"/>
          </w:tcPr>
          <w:p w14:paraId="73D413FE" w14:textId="77777777">
            <w:pPr>
              <w:pStyle w:val="IPPArialTable"/>
              <w:rPr>
                <w:b/>
                <w:bCs/>
              </w:rPr>
            </w:pPr>
            <w:r>
              <w:rPr>
                <w:rStyle w:val="PleaseReviewParagraphId"/>
                <w:b w:val="off"/>
                <w:i w:val="off"/>
              </w:rPr>
              <w:t>[6]</w:t>
            </w:r>
            <w:r>
              <w:rPr>
                <w:b/>
              </w:rPr>
              <w:t>Catégorie du document</w:t>
            </w:r>
          </w:p>
        </w:tc>
        <w:tc xmlns:tara="kcentrix:tara" tara:rowspan="1" tara:colspan="1">
          <w:tcPr>
            <w:tcW w:w="3594" w:type="pct"/>
          </w:tcPr>
          <w:p w14:paraId="2A0FDFA6" w14:textId="77777777">
            <w:pPr>
              <w:pStyle w:val="IPPArialTable"/>
            </w:pPr>
            <w:r>
              <w:rPr>
                <w:rStyle w:val="PleaseReviewParagraphId"/>
                <w:b w:val="off"/>
                <w:i w:val="off"/>
              </w:rPr>
              <w:t>[7]</w:t>
            </w:r>
            <w:r>
              <w:t>Projet de spécification pour une NIMP</w:t>
            </w:r>
          </w:p>
        </w:tc>
      </w:tr>
      <w:tr w14:paraId="47B03829" w14:textId="77777777">
        <w:tc xmlns:tara="kcentrix:tara" tara:rowspan="1" tara:colspan="1">
          <w:tcPr>
            <w:tcW w:w="1406" w:type="pct"/>
          </w:tcPr>
          <w:p w14:paraId="30A4444E" w14:textId="3647D4EE">
            <w:pPr>
              <w:pStyle w:val="IPPArialTable"/>
              <w:rPr>
                <w:b/>
                <w:bCs/>
              </w:rPr>
            </w:pPr>
            <w:r>
              <w:rPr>
                <w:rStyle w:val="PleaseReviewParagraphId"/>
                <w:b w:val="off"/>
                <w:i w:val="off"/>
              </w:rPr>
              <w:t>[8]</w:t>
            </w:r>
            <w:r>
              <w:rPr>
                <w:b/>
              </w:rPr>
              <w:t>Étape de l’élaboration du document</w:t>
            </w:r>
          </w:p>
        </w:tc>
        <w:tc xmlns:tara="kcentrix:tara" tara:rowspan="1" tara:colspan="1">
          <w:tcPr>
            <w:tcW w:w="3594" w:type="pct"/>
          </w:tcPr>
          <w:p w14:paraId="28DD2A65" w14:textId="77777777">
            <w:pPr>
              <w:pStyle w:val="IPPArialTable"/>
            </w:pPr>
            <w:r>
              <w:rPr>
                <w:rStyle w:val="PleaseReviewParagraphId"/>
                <w:b w:val="off"/>
                <w:i w:val="off"/>
              </w:rPr>
              <w:t>[9]</w:t>
            </w:r>
            <w:r>
              <w:t>Étape préalable à la première consultation</w:t>
            </w:r>
          </w:p>
        </w:tc>
      </w:tr>
      <w:tr w14:paraId="31F89171" w14:textId="77777777">
        <w:tc xmlns:tara="kcentrix:tara" tara:rowspan="1" tara:colspan="1">
          <w:tcPr>
            <w:tcW w:w="1406" w:type="pct"/>
          </w:tcPr>
          <w:p w14:paraId="4E676412" w14:textId="77777777">
            <w:pPr>
              <w:pStyle w:val="IPPArialTable"/>
              <w:rPr>
                <w:b/>
                <w:bCs/>
              </w:rPr>
            </w:pPr>
            <w:r>
              <w:rPr>
                <w:rStyle w:val="PleaseReviewParagraphId"/>
                <w:b w:val="off"/>
                <w:i w:val="off"/>
              </w:rPr>
              <w:t>[10]</w:t>
            </w:r>
            <w:r>
              <w:rPr>
                <w:b/>
              </w:rPr>
              <w:t>Principales étapes</w:t>
            </w:r>
          </w:p>
        </w:tc>
        <w:tc xmlns:tara="kcentrix:tara" tara:rowspan="1" tara:colspan="1">
          <w:tcPr>
            <w:tcW w:w="3594" w:type="pct"/>
          </w:tcPr>
          <w:p w14:paraId="6F76E4F2" w14:textId="3E182D6A">
            <w:pPr>
              <w:pStyle w:val="IPPArialTable"/>
              <w:spacing w:after="0"/>
            </w:pPr>
            <w:r>
              <w:rPr>
                <w:rStyle w:val="PleaseReviewParagraphId"/>
                <w:b w:val="off"/>
                <w:i w:val="off"/>
              </w:rPr>
              <w:t>[11]</w:t>
            </w:r>
            <w:r>
              <w:t>2026-03 La Commission des mesures phytosanitaires (CMP), à sa 20</w:t>
            </w:r>
            <w:r>
              <w:rPr>
                <w:vertAlign w:val="superscript"/>
              </w:rPr>
              <w:t>e</w:t>
            </w:r>
            <w:r>
              <w:t xml:space="preserve"> session, ajoute le thème </w:t>
            </w:r>
            <w:r>
              <w:rPr>
                <w:i/>
                <w:iCs/>
              </w:rPr>
              <w:t>Révision de la NIMP 3 (</w:t>
            </w:r>
            <w:r>
              <w:t>Directives pour l’exportation, l’expédition, l’importation et le lâcher d’agents de lutte biologique et autres organismes utiles</w:t>
            </w:r>
            <w:r>
              <w:rPr>
                <w:i/>
                <w:iCs/>
              </w:rPr>
              <w:t>)</w:t>
            </w:r>
            <w:r>
              <w:t xml:space="preserve"> (2025-010), priorité 1.</w:t>
            </w:r>
          </w:p>
          <w:p w14:paraId="3F3A1306" w14:textId="205D007C">
            <w:pPr>
              <w:pStyle w:val="IPPArialTable"/>
            </w:pPr>
            <w:r>
              <w:rPr>
                <w:rStyle w:val="PleaseReviewParagraphId"/>
                <w:b w:val="off"/>
                <w:i w:val="off"/>
              </w:rPr>
              <w:t>[12]</w:t>
            </w:r>
            <w:r>
              <w:t>2026-05 Le Comité des normes (CN) révise le projet de spécification et en approuve la présentation pour consultation.</w:t>
            </w:r>
          </w:p>
        </w:tc>
      </w:tr>
      <w:tr w14:paraId="5DB56282" w14:textId="77777777">
        <w:tc xmlns:tara="kcentrix:tara" tara:rowspan="1" tara:colspan="1">
          <w:tcPr>
            <w:tcW w:w="1406" w:type="pct"/>
          </w:tcPr>
          <w:p w14:paraId="27F061BC" w14:textId="77777777">
            <w:pPr>
              <w:pStyle w:val="IPPArialTable"/>
              <w:rPr>
                <w:b/>
                <w:bCs/>
              </w:rPr>
            </w:pPr>
            <w:r>
              <w:rPr>
                <w:rStyle w:val="PleaseReviewParagraphId"/>
                <w:b w:val="off"/>
                <w:i w:val="off"/>
              </w:rPr>
              <w:t>[13]</w:t>
            </w:r>
            <w:r>
              <w:rPr>
                <w:b/>
              </w:rPr>
              <w:t>Responsables successifs</w:t>
            </w:r>
          </w:p>
        </w:tc>
        <w:tc xmlns:tara="kcentrix:tara" tara:rowspan="1" tara:colspan="1">
          <w:tcPr>
            <w:tcW w:w="3594" w:type="pct"/>
          </w:tcPr>
          <w:p w14:paraId="4BE2404A" w14:textId="1D35BB1D">
            <w:pPr>
              <w:pStyle w:val="IPPArialTable"/>
              <w:spacing w:after="0"/>
            </w:pPr>
            <w:r>
              <w:rPr>
                <w:rStyle w:val="PleaseReviewParagraphId"/>
                <w:b w:val="off"/>
                <w:i w:val="off"/>
              </w:rPr>
              <w:t>[14]</w:t>
            </w:r>
            <w:r>
              <w:t>2026-05 CN M</w:t>
            </w:r>
            <w:r>
              <w:rPr>
                <w:vertAlign w:val="superscript"/>
              </w:rPr>
              <w:t>me</w:t>
            </w:r>
            <w:r>
              <w:t> Mariangela CIAMPITTI (IT, responsable principale)</w:t>
            </w:r>
          </w:p>
          <w:p w14:paraId="41C92C4D" w14:textId="1DFDD797">
            <w:pPr>
              <w:pStyle w:val="IPPArialTable"/>
            </w:pPr>
            <w:r>
              <w:rPr>
                <w:rStyle w:val="PleaseReviewParagraphId"/>
                <w:b w:val="off"/>
                <w:i w:val="off"/>
              </w:rPr>
              <w:t>[15]</w:t>
            </w:r>
            <w:r>
              <w:t>2026-05 CN M</w:t>
            </w:r>
            <w:r>
              <w:rPr>
                <w:vertAlign w:val="superscript"/>
              </w:rPr>
              <w:t>me</w:t>
            </w:r>
            <w:r>
              <w:t> María José MONTELONGO (UY, responsable adjointe)</w:t>
            </w:r>
          </w:p>
        </w:tc>
      </w:tr>
      <w:tr w14:paraId="6B9280CB" w14:textId="77777777">
        <w:tc xmlns:tara="kcentrix:tara" tara:rowspan="1" tara:colspan="1">
          <w:tcPr>
            <w:tcW w:w="1406" w:type="pct"/>
          </w:tcPr>
          <w:p w14:paraId="1290FB95" w14:textId="77777777">
            <w:pPr>
              <w:pStyle w:val="IPPArialTable"/>
              <w:rPr>
                <w:b/>
                <w:bCs/>
              </w:rPr>
            </w:pPr>
            <w:r>
              <w:rPr>
                <w:rStyle w:val="PleaseReviewParagraphId"/>
                <w:b w:val="off"/>
                <w:i w:val="off"/>
              </w:rPr>
              <w:t>[16]</w:t>
            </w:r>
            <w:r>
              <w:rPr>
                <w:b/>
              </w:rPr>
              <w:t>Notes</w:t>
            </w:r>
          </w:p>
        </w:tc>
        <w:tc xmlns:tara="kcentrix:tara" tara:rowspan="1" tara:colspan="1">
          <w:tcPr>
            <w:tcW w:w="3594" w:type="pct"/>
          </w:tcPr>
          <w:p w14:paraId="5F103B40" w14:textId="67BA9114">
            <w:pPr>
              <w:pStyle w:val="IPPArialTable"/>
              <w:spacing w:after="0"/>
            </w:pPr>
            <w:r>
              <w:rPr>
                <w:rStyle w:val="PleaseReviewParagraphId"/>
                <w:b w:val="off"/>
                <w:i w:val="off"/>
              </w:rPr>
              <w:t>[17]</w:t>
            </w:r>
            <w:r>
              <w:t>Le présent document est à l’état de projet.</w:t>
            </w:r>
          </w:p>
          <w:p w14:paraId="0CBDE1F7" w14:textId="4BDD1BE1">
            <w:pPr>
              <w:pStyle w:val="IPPArialTable"/>
            </w:pPr>
            <w:r>
              <w:rPr>
                <w:rStyle w:val="PleaseReviewParagraphId"/>
                <w:b w:val="off"/>
                <w:i w:val="off"/>
              </w:rPr>
              <w:t>[18]</w:t>
            </w:r>
            <w:r>
              <w:t>2026‑05 Révision éditoriale.</w:t>
            </w:r>
          </w:p>
        </w:tc>
      </w:tr>
    </w:tbl>
    <w:p w14:paraId="06E787D9" w14:textId="77777777">
      <w:pPr>
        <w:pStyle w:val="IPPSubheadSpace"/>
      </w:pPr>
      <w:r>
        <w:rPr>
          <w:rStyle w:val="PleaseReviewParagraphId"/>
          <w:b w:val="off"/>
          <w:i w:val="off"/>
        </w:rPr>
        <w:t>[19]</w:t>
      </w:r>
      <w:r>
        <w:t>Titre</w:t>
      </w:r>
    </w:p>
    <w:p w14:paraId="7B534986" w14:textId="7B6C9FFD">
      <w:pPr>
        <w:pStyle w:val="IPPParagraphnumbering"/>
        <w:numPr>
          <w:ilvl w:val="0"/>
          <w:numId w:val="0"/>
        </w:numPr>
      </w:pPr>
      <w:r>
        <w:rPr>
          <w:rStyle w:val="PleaseReviewParagraphId"/>
          <w:b w:val="off"/>
          <w:i w:val="off"/>
        </w:rPr>
        <w:t>[20]</w:t>
      </w:r>
      <w:r>
        <w:t>Révision de la NIMP 3 (</w:t>
      </w:r>
      <w:r>
        <w:rPr>
          <w:i/>
          <w:iCs/>
        </w:rPr>
        <w:t>Directives pour l’exportation, l’expédition, l’importation et le lâcher d’agents de lutte biologique et autres organismes utiles</w:t>
      </w:r>
      <w:r>
        <w:t>) (2025-010)</w:t>
      </w:r>
    </w:p>
    <w:p w14:paraId="453894A3" w14:textId="16D0E15C">
      <w:pPr>
        <w:pStyle w:val="IPPSubheadSpace"/>
        <w:rPr>
          <w:rFonts w:eastAsia="Times"/>
          <w:bCs w:val="0"/>
          <w:iCs w:val="0"/>
        </w:rPr>
      </w:pPr>
      <w:r>
        <w:rPr>
          <w:rStyle w:val="PleaseReviewParagraphId"/>
          <w:b w:val="off"/>
          <w:i w:val="off"/>
        </w:rPr>
        <w:t>[21]</w:t>
      </w:r>
      <w:r>
        <w:t>Justification de la révision de la norme</w:t>
      </w:r>
    </w:p>
    <w:p w14:paraId="26AB0DE7" w14:textId="1250D93E">
      <w:pPr>
        <w:pStyle w:val="IPPParagraphnumbering"/>
        <w:numPr>
          <w:ilvl w:val="0"/>
          <w:numId w:val="0"/>
        </w:numPr>
      </w:pPr>
      <w:r>
        <w:rPr>
          <w:rStyle w:val="PleaseReviewParagraphId"/>
          <w:b w:val="off"/>
          <w:i w:val="off"/>
        </w:rPr>
        <w:t>[22]</w:t>
      </w:r>
      <w:r>
        <w:t>La NIMP 3 (</w:t>
      </w:r>
      <w:r>
        <w:rPr>
          <w:i/>
          <w:iCs/>
        </w:rPr>
        <w:t>Directives pour l’exportation, l’expédition, l’importation et le lâcher d’agents de lutte biologique et autres organismes utiles</w:t>
      </w:r>
      <w:r>
        <w:t xml:space="preserve">) a été adoptée pour la première fois en 1995 et révisée en 2005 pour être établie sous sa forme actuelle. Depuis lors, les pratiques liées à l’utilisation d’agents de lutte biologique et autres organismes ont connu des avancées importantes, qui ont donné lieu à des évolutions dans les cadres réglementaires de nombreux pays. La NIMP 3 est maintenant dépassée et ne reflète pas les orientations et les pratiques actuelles dans le monde entier. Cela rend difficile son application par les parties contractantes dans le cadre de la réglementation des importations, des exportations ou des lâchers d’agents de lutte biologique. </w:t>
      </w:r>
    </w:p>
    <w:p w14:paraId="0B4124D9" w14:textId="0E0C2C35">
      <w:pPr>
        <w:pStyle w:val="IPPParagraphnumbering"/>
        <w:numPr>
          <w:ilvl w:val="0"/>
          <w:numId w:val="0"/>
        </w:numPr>
      </w:pPr>
      <w:r>
        <w:rPr>
          <w:rStyle w:val="PleaseReviewParagraphId"/>
          <w:b w:val="off"/>
          <w:i w:val="off"/>
        </w:rPr>
        <w:t>[23]</w:t>
      </w:r>
      <w:r>
        <w:t>En outre, la NIMP 3 a été appliquée de manière incohérente en ce qui concerne les exportations, les importations et les lâchers d’invertébrés vivants dans le cadre de la lutte biologique. De nombreux pays exigent des certificats sanitaires délivrés par le vétérinaire fonctionnaire du pays exportateur, en lieu et place ou en plus du certificat phytosanitaire prévu par la NIMP 3. Par exemple, les certificats sanitaires sont utilisés pour des invertébrés destinés à la recherche, à l’établissement de colonies et au lâcher d’agents de lutte biologique aux fins de la santé des végétaux ainsi que de la santé animale ou de la conservation. De tels cas sont constatés bien que l’Organisation mondiale de la santé animale (OMSA) ait clarifié que, pour ce qui est des insectes, le champ d’application des normes de l’OMSA était limité aux abeilles et autres insectes qui sont des vecteurs de maladies animales. Il est donc nécessaire de réviser la NIMP 3 dans un souci de clarification concernant les exportations, les importations et les lâchers d’invertébrés.</w:t>
      </w:r>
    </w:p>
    <w:p w14:paraId="5D2F48B6" w14:textId="6ACC97B1">
      <w:pPr>
        <w:pStyle w:val="IPPSubheadSpace"/>
        <w:rPr>
          <w:rFonts w:eastAsia="Times"/>
          <w:bCs w:val="0"/>
          <w:iCs w:val="0"/>
        </w:rPr>
      </w:pPr>
      <w:r>
        <w:rPr>
          <w:rStyle w:val="PleaseReviewParagraphId"/>
          <w:b w:val="off"/>
          <w:i w:val="off"/>
        </w:rPr>
        <w:t>[24]</w:t>
      </w:r>
      <w:r>
        <w:t xml:space="preserve">Champ d’action </w:t>
      </w:r>
    </w:p>
    <w:p w14:paraId="7A054A93" w14:textId="714D5A45">
      <w:pPr>
        <w:pStyle w:val="IPPParagraphnumbering"/>
        <w:numPr>
          <w:ilvl w:val="0"/>
          <w:numId w:val="0"/>
        </w:numPr>
      </w:pPr>
      <w:r>
        <w:rPr>
          <w:rStyle w:val="PleaseReviewParagraphId"/>
          <w:b w:val="off"/>
          <w:i w:val="off"/>
        </w:rPr>
        <w:t>[25]</w:t>
      </w:r>
      <w:r>
        <w:t>La norme révisée devrait décrire le processus d’analyse, de documentation et de gestion des risques phytosanitaires, des risques environnementaux et des risques pour la biodiversité que posent les agents de lutte biologique, les autres organismes utiles et les insectes stériles non indigènes, en intégrant des dispositions relatives à l’importation de tels organismes aux fins de la recherche ou de leur élevage dans des conditions de confinement.</w:t>
      </w:r>
    </w:p>
    <w:p w14:paraId="1685677D" w14:textId="2E840AD5">
      <w:pPr>
        <w:pStyle w:val="IPPParagraphnumbering"/>
        <w:numPr>
          <w:ilvl w:val="0"/>
          <w:numId w:val="0"/>
        </w:numPr>
      </w:pPr>
      <w:r>
        <w:rPr>
          <w:rStyle w:val="PleaseReviewParagraphId"/>
          <w:b w:val="off"/>
          <w:i w:val="off"/>
        </w:rPr>
        <w:t>[26]</w:t>
      </w:r>
      <w:r>
        <w:t>La norme devrait s’appliquer aux agents de lutte biologique utilisés dans le cadre d’une lutte biologique classique ou augmentative. Elle devrait aussi s’appliquer aux autres organismes utiles (les pollinisateurs, par exemple) et aux insectes stériles. La norme ne devrait pas s’appliquer aux agents de lutte biologique, aux autres organismes utiles et aux insectes stériles qui sont destinés à un usage autre que phytosanitaire.</w:t>
      </w:r>
    </w:p>
    <w:p w14:paraId="16DFE25B" w14:textId="77777777">
      <w:pPr>
        <w:pStyle w:val="IPPSubheadSpace"/>
        <w:rPr>
          <w:rFonts w:eastAsia="Times"/>
          <w:bCs w:val="0"/>
          <w:iCs w:val="0"/>
        </w:rPr>
      </w:pPr>
      <w:r>
        <w:rPr>
          <w:rStyle w:val="PleaseReviewParagraphId"/>
          <w:b w:val="off"/>
          <w:i w:val="off"/>
        </w:rPr>
        <w:t>[27]</w:t>
      </w:r>
      <w:r>
        <w:t>Objectif</w:t>
      </w:r>
    </w:p>
    <w:p w14:paraId="25FB7C86" w14:textId="74F01AA6">
      <w:pPr>
        <w:pStyle w:val="IPPParagraphnumbering"/>
        <w:numPr>
          <w:ilvl w:val="0"/>
          <w:numId w:val="0"/>
        </w:numPr>
        <w:rPr>
          <w:bCs/>
          <w:szCs w:val="22"/>
        </w:rPr>
      </w:pPr>
      <w:r>
        <w:rPr>
          <w:rStyle w:val="PleaseReviewParagraphId"/>
          <w:b w:val="off"/>
          <w:i w:val="off"/>
        </w:rPr>
        <w:t>[28]</w:t>
      </w:r>
      <w:r>
        <w:t>La révision vise à donner des orientations claires concernant l’importation, l’exportation et le lâcher d’agents de lutte biologique, d’autres organismes utiles et d’insectes stériles. Elle tiendra compte des pratiques optimales et facilitera l’harmonisation des réglementations.</w:t>
      </w:r>
    </w:p>
    <w:p w14:paraId="3BE4F4C0" w14:textId="77777777">
      <w:pPr>
        <w:pStyle w:val="IPPSubheadSpace"/>
        <w:ind w:left="0" w:firstLine="0"/>
      </w:pPr>
      <w:r>
        <w:rPr>
          <w:rStyle w:val="PleaseReviewParagraphId"/>
          <w:b w:val="off"/>
          <w:i w:val="off"/>
        </w:rPr>
        <w:t>[29]</w:t>
      </w:r>
      <w:r>
        <w:t>Tâches</w:t>
      </w:r>
    </w:p>
    <w:p w14:paraId="598E3BF2" w14:textId="7782710A">
      <w:pPr>
        <w:pStyle w:val="IPPParagraphnumberingclose"/>
        <w:numPr>
          <w:ilvl w:val="0"/>
          <w:numId w:val="0"/>
        </w:numPr>
      </w:pPr>
      <w:r>
        <w:rPr>
          <w:rStyle w:val="PleaseReviewParagraphId"/>
          <w:b w:val="off"/>
          <w:i w:val="off"/>
        </w:rPr>
        <w:t>[30]</w:t>
      </w:r>
      <w:r>
        <w:t>Le groupe de travail d’experts devrait s’acquitter des tâches suivantes:</w:t>
      </w:r>
    </w:p>
    <w:p w14:paraId="640BC113" w14:textId="073FA9A2">
      <w:pPr>
        <w:pStyle w:val="IPPNumberedList"/>
      </w:pPr>
      <w:r>
        <w:rPr>
          <w:rStyle w:val="PleaseReviewParagraphId"/>
          <w:b w:val="off"/>
          <w:i w:val="off"/>
        </w:rPr>
        <w:t>[31]</w:t>
      </w:r>
      <w:r>
        <w:t>sur la base du champ d’application de la NIMP révisée, proposer un nouveau titre de la NIMP, si nécessaire;</w:t>
      </w:r>
    </w:p>
    <w:p w14:paraId="3579959D" w14:textId="141E680A">
      <w:pPr>
        <w:pStyle w:val="IPPNumberedList"/>
      </w:pPr>
      <w:r>
        <w:rPr>
          <w:rStyle w:val="PleaseReviewParagraphId"/>
          <w:b w:val="off"/>
          <w:i w:val="off"/>
        </w:rPr>
        <w:t>[32]</w:t>
      </w:r>
      <w:r>
        <w:t>établir des définitions claires et cohérentes de termes utilisés dans la norme actuelle (par exemple, agent de lutte biologique, organisme utile) et d’autres termes pertinents aux fins de l’harmonisation terminologique pour l’utilisation dans la réglementation;</w:t>
      </w:r>
    </w:p>
    <w:p w14:paraId="596C7035" w14:textId="1C3E1A62">
      <w:pPr>
        <w:pStyle w:val="IPPNumberedList"/>
      </w:pPr>
      <w:r>
        <w:rPr>
          <w:rStyle w:val="PleaseReviewParagraphId"/>
          <w:b w:val="off"/>
          <w:i w:val="off"/>
        </w:rPr>
        <w:t>[33]</w:t>
      </w:r>
      <w:r>
        <w:t>examiner les orientations relatives à la réglementation concernant les agents de lutte biologique, les autres organismes utiles et les insectes stériles, élaborées par différentes organisations nationales pour la protection des végétaux (ONPV), d’autres autorités compétentes et des organisations régionales pour la protection des végétaux, pour faire en sorte que la norme tienne compte des pratiques optimales actuelles;</w:t>
      </w:r>
    </w:p>
    <w:p w14:paraId="50AC30A5" w14:textId="2BAF8D2E">
      <w:pPr>
        <w:pStyle w:val="IPPNumberedList"/>
      </w:pPr>
      <w:r>
        <w:rPr>
          <w:rStyle w:val="PleaseReviewParagraphId"/>
          <w:b w:val="off"/>
          <w:i w:val="off"/>
        </w:rPr>
        <w:t>[34]</w:t>
      </w:r>
      <w:r>
        <w:t>définir les exigences relatives à l’importation d’agents de lutte biologique, d’autres organismes utiles et d’insectes stériles, notamment des exigences en matière d’information, d’analyse des risques, de prise de décisions et de communication;</w:t>
      </w:r>
    </w:p>
    <w:p w14:paraId="488C4823" w14:textId="71383E24">
      <w:pPr>
        <w:pStyle w:val="IPPNumberedList"/>
      </w:pPr>
      <w:r>
        <w:rPr>
          <w:rStyle w:val="PleaseReviewParagraphId"/>
          <w:b w:val="off"/>
          <w:i w:val="off"/>
        </w:rPr>
        <w:t>[35]</w:t>
      </w:r>
      <w:r>
        <w:t>recenser les principaux facteurs à prendre en compte dans le cadre de l’évaluation des risques pour l’environnement; examiner s’il convient d’appliquer la NIMP 11 (</w:t>
      </w:r>
      <w:r>
        <w:rPr>
          <w:i/>
          <w:iCs/>
        </w:rPr>
        <w:t>Analyse du risque phytosanitaire pour les organismes de quarantaine</w:t>
      </w:r>
      <w:r>
        <w:t>) et le concept d’organisme de quarantaine à la réglementation relative aux agents de lutte biologique, aux autres organismes utiles et aux insectes stériles, notamment si l’importation intentionnelle de ces organismes requiert une évaluation supplémentaire;</w:t>
      </w:r>
    </w:p>
    <w:p w14:paraId="1A2FCFD8" w14:textId="513463FB">
      <w:pPr>
        <w:pStyle w:val="IPPNumberedList"/>
      </w:pPr>
      <w:r>
        <w:rPr>
          <w:rStyle w:val="PleaseReviewParagraphId"/>
          <w:b w:val="off"/>
          <w:i w:val="off"/>
        </w:rPr>
        <w:t>[36]</w:t>
      </w:r>
      <w:r>
        <w:t xml:space="preserve">décrire les exigences documentaires relatives à l’importation d’agents de lutte biologique, d’autres organismes utiles et d’insectes stériles, notamment les exigences en matière d’informations concernant leur établissement potentiel, la spécificité d’hôte, la propagation, les impacts directs et indirects et les bénéfices, et en matière d’informations sur les incertitudes; </w:t>
      </w:r>
    </w:p>
    <w:p w14:paraId="40E352BF" w14:textId="604C417A">
      <w:pPr>
        <w:pStyle w:val="IPPNumberedList"/>
      </w:pPr>
      <w:r>
        <w:rPr>
          <w:rStyle w:val="PleaseReviewParagraphId"/>
          <w:b w:val="off"/>
          <w:i w:val="off"/>
        </w:rPr>
        <w:t>[37]</w:t>
      </w:r>
      <w:r>
        <w:t>décrire les responsabilités des ONPV ou d’autres autorités compétentes en ce qui concerne le processus révisé d’analyse, de documentation et de gestion des risques;</w:t>
      </w:r>
    </w:p>
    <w:p w14:paraId="1CD2F410" w14:textId="35D8F767">
      <w:pPr>
        <w:pStyle w:val="IPPNumberedList"/>
      </w:pPr>
      <w:r>
        <w:rPr>
          <w:rStyle w:val="PleaseReviewParagraphId"/>
          <w:b w:val="off"/>
          <w:i w:val="off"/>
        </w:rPr>
        <w:t>[38]</w:t>
      </w:r>
      <w:r>
        <w:t>examiner et clarifier les processus d’exportation et d’importation, notamment les approches en matière de certification phytosanitaire;</w:t>
      </w:r>
    </w:p>
    <w:p w14:paraId="76E5D298" w14:textId="65CE4ACF">
      <w:pPr>
        <w:pStyle w:val="IPPNumberedList"/>
      </w:pPr>
      <w:r>
        <w:rPr>
          <w:rStyle w:val="PleaseReviewParagraphId"/>
          <w:b w:val="off"/>
          <w:i w:val="off"/>
        </w:rPr>
        <w:t>[39]</w:t>
      </w:r>
      <w:r>
        <w:t xml:space="preserve">examiner s’il convient de prendre en compte dans cette norme les espèces du genre </w:t>
      </w:r>
      <w:r>
        <w:rPr>
          <w:i/>
        </w:rPr>
        <w:t>Apis</w:t>
      </w:r>
      <w:r>
        <w:t xml:space="preserve"> en tant que pollinisateurs; </w:t>
      </w:r>
    </w:p>
    <w:p w14:paraId="4E86DC05" w14:textId="1B7C041A">
      <w:pPr>
        <w:pStyle w:val="IPPNumberedList"/>
      </w:pPr>
      <w:r>
        <w:rPr>
          <w:rStyle w:val="PleaseReviewParagraphId"/>
          <w:b w:val="off"/>
          <w:i w:val="off"/>
        </w:rPr>
        <w:t>[40]</w:t>
      </w:r>
      <w:r>
        <w:t xml:space="preserve">examiner si la norme révisée pourrait avoir des incidences particulières (positives ou négatives) sur la protection de la biodiversité et de l’environnement. Dans l’affirmative, les incidences devraient être recensées, abordées et exposées de manière précise dans le projet de norme; </w:t>
      </w:r>
    </w:p>
    <w:p w14:paraId="4AF53594" w14:textId="1C4DC665">
      <w:pPr>
        <w:pStyle w:val="IPPNumberedList"/>
      </w:pPr>
      <w:r>
        <w:rPr>
          <w:rStyle w:val="PleaseReviewParagraphId"/>
          <w:b w:val="off"/>
          <w:i w:val="off"/>
        </w:rPr>
        <w:t>[41]</w:t>
      </w:r>
      <w:r>
        <w:t xml:space="preserve">envisager l’application de la norme par les parties contractantes et déterminer les éventuels problèmes opérationnels et techniques liés à sa mise en œuvre; fournir des informations et, éventuellement, formuler des recommandations sur ces questions à l’intention du Comité des normes; </w:t>
      </w:r>
    </w:p>
    <w:p w14:paraId="1657E226" w14:textId="6EE11AFC">
      <w:pPr>
        <w:pStyle w:val="IPPNumberedList"/>
      </w:pPr>
      <w:r>
        <w:rPr>
          <w:rStyle w:val="PleaseReviewParagraphId"/>
          <w:b w:val="off"/>
          <w:i w:val="off"/>
        </w:rPr>
        <w:t>[42]</w:t>
      </w:r>
      <w:r>
        <w:t>passer en revue toutes les références faites à la NIMP 3 dans les autres NIMP pour s’assurer qu’elles restent pertinentes, et proposer des modifications à apporter s’il y a lieu; passer en revue toutes les références faites à d’autres NIMP dans la NIMP 3 révisée et proposer des amendements si nécessaire.</w:t>
      </w:r>
    </w:p>
    <w:p w14:paraId="5FEAC3FC" w14:textId="77777777">
      <w:pPr>
        <w:pStyle w:val="IPPSubheadSpace"/>
      </w:pPr>
      <w:r>
        <w:rPr>
          <w:rStyle w:val="PleaseReviewParagraphId"/>
          <w:b w:val="off"/>
          <w:i w:val="off"/>
        </w:rPr>
        <w:t>[43]</w:t>
      </w:r>
      <w:r>
        <w:t>Fourniture de ressources</w:t>
      </w:r>
      <w:r>
        <w:rPr>
          <w:color w:val="76923C"/>
        </w:rPr>
        <w:t xml:space="preserve"> </w:t>
      </w:r>
    </w:p>
    <w:p w14:paraId="4C6D8206" w14:textId="4BB98DDB">
      <w:pPr>
        <w:pStyle w:val="IPPParagraphnumbering"/>
        <w:numPr>
          <w:ilvl w:val="0"/>
          <w:numId w:val="0"/>
        </w:numPr>
      </w:pPr>
      <w:r>
        <w:rPr>
          <w:rStyle w:val="PleaseReviewParagraphId"/>
          <w:b w:val="off"/>
          <w:i w:val="off"/>
        </w:rPr>
        <w:t>[44]</w:t>
      </w:r>
      <w:r>
        <w:t>Le financement de la réunion peut être assuré grâce à des ressources hors budget ordinaire de la CIPV (FAO). Comme la Commission intérimaire des mesures phytosanitaires (CIMP) l’a recommandé à sa 2</w:t>
      </w:r>
      <w:r>
        <w:rPr>
          <w:vertAlign w:val="superscript"/>
        </w:rPr>
        <w:t>e</w:t>
      </w:r>
      <w:r>
        <w:t> session (1999), autant que possible, les participants aux activités d’établissement de normes prennent volontairement à leur charge leurs frais de voyage et de subsistance pour assister aux réunions. Ils peuvent demander une aide financière, étant entendu que les ressources sont limitées et que la priorité est donnée aux participants des pays en développement. À ce sujet, il convient de se reporter aux critères de priorité (</w:t>
      </w:r>
      <w:r>
        <w:rPr>
          <w:i/>
          <w:iCs/>
        </w:rPr>
        <w:t>Criteria used for prioritizing participants to receive travel assistance to attend meetings organized by the IPPC Secretariat</w:t>
      </w:r>
      <w:r>
        <w:t>) mis en ligne sur le Portail phytosanitaire international (PPI) (</w:t>
      </w:r>
      <w:hyperlink w:history="1" r:id="rId12">
        <w:r>
          <w:rPr>
            <w:rStyle w:val="Hyperlink"/>
          </w:rPr>
          <w:t>https://www.ippc.int/fr/about/core-activities/</w:t>
        </w:r>
      </w:hyperlink>
      <w:r>
        <w:t>).</w:t>
      </w:r>
    </w:p>
    <w:p w14:paraId="2021F41A" w14:textId="77777777">
      <w:pPr>
        <w:pStyle w:val="IPPSubheadSpace"/>
      </w:pPr>
      <w:r>
        <w:rPr>
          <w:rStyle w:val="PleaseReviewParagraphId"/>
          <w:b w:val="off"/>
          <w:i w:val="off"/>
        </w:rPr>
        <w:t>[45]</w:t>
      </w:r>
      <w:r>
        <w:t>Collaborateur</w:t>
      </w:r>
    </w:p>
    <w:p w14:paraId="519E4DB4" w14:textId="77777777">
      <w:pPr>
        <w:pStyle w:val="IPPParagraphnumbering"/>
        <w:numPr>
          <w:ilvl w:val="0"/>
          <w:numId w:val="0"/>
        </w:numPr>
      </w:pPr>
      <w:r>
        <w:rPr>
          <w:rStyle w:val="PleaseReviewParagraphId"/>
          <w:b w:val="off"/>
          <w:i w:val="off"/>
        </w:rPr>
        <w:t>[46]</w:t>
      </w:r>
      <w:r>
        <w:t>À déterminer.</w:t>
      </w:r>
    </w:p>
    <w:p w14:paraId="4117DE70" w14:textId="77777777">
      <w:pPr>
        <w:pStyle w:val="IPPSubheadSpace"/>
      </w:pPr>
      <w:r>
        <w:rPr>
          <w:rStyle w:val="PleaseReviewParagraphId"/>
          <w:b w:val="off"/>
          <w:i w:val="off"/>
        </w:rPr>
        <w:t>[47]</w:t>
      </w:r>
      <w:r>
        <w:t>Responsable</w:t>
      </w:r>
    </w:p>
    <w:p w14:paraId="4BBD45AE" w14:textId="10F69432">
      <w:pPr>
        <w:pStyle w:val="IPPParagraphnumbering"/>
        <w:numPr>
          <w:ilvl w:val="0"/>
          <w:numId w:val="0"/>
        </w:numPr>
      </w:pPr>
      <w:r>
        <w:rPr>
          <w:rStyle w:val="PleaseReviewParagraphId"/>
          <w:b w:val="off"/>
          <w:i w:val="off"/>
        </w:rPr>
        <w:t>[48]</w:t>
      </w:r>
      <w:r>
        <w:t xml:space="preserve">Prière de se reporter à la </w:t>
      </w:r>
      <w:r>
        <w:rPr>
          <w:i/>
          <w:iCs/>
        </w:rPr>
        <w:t>Liste de thèmes pour des normes de la CIPV</w:t>
      </w:r>
      <w:r>
        <w:t>, qui est en ligne sur le PPI (</w:t>
      </w:r>
      <w:hyperlink w:history="1" r:id="rId13">
        <w:r>
          <w:rPr>
            <w:rStyle w:val="Hyperlink"/>
          </w:rPr>
          <w:t>https://www.ippc.int/fr/about/core-activities/standards-setting/list-topics-ippc-standards/</w:t>
        </w:r>
      </w:hyperlink>
      <w:r>
        <w:t>).</w:t>
      </w:r>
    </w:p>
    <w:p w14:paraId="448B76D0" w14:textId="690B95A3">
      <w:pPr>
        <w:pStyle w:val="IPPSubheadSpace"/>
      </w:pPr>
      <w:r>
        <w:rPr>
          <w:rStyle w:val="PleaseReviewParagraphId"/>
          <w:b w:val="off"/>
          <w:i w:val="off"/>
        </w:rPr>
        <w:t>[49]</w:t>
      </w:r>
      <w:r>
        <w:t>Compétences d’experts</w:t>
      </w:r>
    </w:p>
    <w:p w14:paraId="3559ED71" w14:textId="331728EE">
      <w:pPr>
        <w:pStyle w:val="IPPParagraphnumberingclose"/>
        <w:numPr>
          <w:ilvl w:val="0"/>
          <w:numId w:val="0"/>
        </w:numPr>
      </w:pPr>
      <w:r>
        <w:rPr>
          <w:rStyle w:val="PleaseReviewParagraphId"/>
          <w:b w:val="off"/>
          <w:i w:val="off"/>
        </w:rPr>
        <w:t>[50]</w:t>
      </w:r>
      <w:r>
        <w:t>Membres ayant des connaissances collectives relatives aux agents de lutte biologique, aux autres organismes utiles et aux insectes stériles, ainsi qu’une expérience dans la réglementation y relative, notamment concernant au moins:</w:t>
      </w:r>
    </w:p>
    <w:p w14:paraId="55F6E6C2" w14:textId="51B70F43">
      <w:pPr>
        <w:pStyle w:val="IPPBullet1"/>
      </w:pPr>
      <w:r>
        <w:rPr>
          <w:rStyle w:val="PleaseReviewParagraphId"/>
          <w:b w:val="off"/>
          <w:i w:val="off"/>
        </w:rPr>
        <w:t>[51]</w:t>
      </w:r>
      <w:r>
        <w:t>l’évaluation des risques pour l’environnement;</w:t>
      </w:r>
    </w:p>
    <w:p w14:paraId="7BFF9117" w14:textId="295D8CFF">
      <w:pPr>
        <w:pStyle w:val="IPPBullet1"/>
      </w:pPr>
      <w:r>
        <w:rPr>
          <w:rStyle w:val="PleaseReviewParagraphId"/>
          <w:b w:val="off"/>
          <w:i w:val="off"/>
        </w:rPr>
        <w:t>[52]</w:t>
      </w:r>
      <w:r>
        <w:t>l’importation et l’exportation d’agents de lutte biologique, d’autres organismes utiles et d’insectes stériles, accompagnés d’un certificat phytosanitaire;</w:t>
      </w:r>
    </w:p>
    <w:p w14:paraId="07DEA1BC" w14:textId="7F12B4C6">
      <w:pPr>
        <w:pStyle w:val="IPPBullet1"/>
      </w:pPr>
      <w:r>
        <w:rPr>
          <w:rStyle w:val="PleaseReviewParagraphId"/>
          <w:b w:val="off"/>
          <w:i w:val="off"/>
        </w:rPr>
        <w:t>[53]</w:t>
      </w:r>
      <w:r>
        <w:t>le lâcher d’agents de lutte biologique, d’autres organismes utiles et d’insectes stériles;</w:t>
      </w:r>
    </w:p>
    <w:p w14:paraId="32F5C89E" w14:textId="314027FE">
      <w:pPr>
        <w:pStyle w:val="IPPBullet1Last"/>
      </w:pPr>
      <w:r>
        <w:rPr>
          <w:rStyle w:val="PleaseReviewParagraphId"/>
          <w:b w:val="off"/>
          <w:i w:val="off"/>
        </w:rPr>
        <w:t>[54]</w:t>
      </w:r>
      <w:r>
        <w:t>l’analyse des risques phytosanitaires liés aux agents de lutte biologique, aux autres organismes utiles et aux insectes stériles.</w:t>
      </w:r>
    </w:p>
    <w:p w14:paraId="166E1FC9" w14:textId="77777777">
      <w:pPr>
        <w:pStyle w:val="IPPSubheadSpace"/>
      </w:pPr>
      <w:r>
        <w:rPr>
          <w:rStyle w:val="PleaseReviewParagraphId"/>
          <w:b w:val="off"/>
          <w:i w:val="off"/>
        </w:rPr>
        <w:t>[55]</w:t>
      </w:r>
      <w:r>
        <w:t>Participants</w:t>
      </w:r>
    </w:p>
    <w:p w14:paraId="19C62263" w14:textId="77777777">
      <w:pPr>
        <w:pStyle w:val="IPPParagraphnumbering"/>
        <w:numPr>
          <w:ilvl w:val="0"/>
          <w:numId w:val="0"/>
        </w:numPr>
      </w:pPr>
      <w:r>
        <w:rPr>
          <w:rStyle w:val="PleaseReviewParagraphId"/>
          <w:b w:val="off"/>
          <w:i w:val="off"/>
        </w:rPr>
        <w:t>[56]</w:t>
      </w:r>
      <w:r>
        <w:t>Cinq à sept membres.</w:t>
      </w:r>
    </w:p>
    <w:p w14:paraId="6121E490" w14:textId="2D36628B">
      <w:pPr>
        <w:pStyle w:val="IPPParagraphnumbering"/>
        <w:numPr>
          <w:ilvl w:val="0"/>
          <w:numId w:val="0"/>
        </w:numPr>
      </w:pPr>
      <w:r>
        <w:rPr>
          <w:rStyle w:val="PleaseReviewParagraphId"/>
          <w:b w:val="off"/>
          <w:i w:val="off"/>
        </w:rPr>
        <w:t>[57]</w:t>
      </w:r>
      <w:r>
        <w:t>Un membre du Comité chargé de la mise en œuvre et du renforcement des capacités devrait également être invité à participer, soit en tant qu’expert invité, soit en tant que représentant du Comité.</w:t>
      </w:r>
    </w:p>
    <w:p w14:paraId="6C4A55C8" w14:textId="77777777">
      <w:pPr>
        <w:pStyle w:val="IPPSubheadSpace"/>
      </w:pPr>
      <w:r>
        <w:rPr>
          <w:rStyle w:val="PleaseReviewParagraphId"/>
          <w:b w:val="off"/>
          <w:i w:val="off"/>
        </w:rPr>
        <w:t>[58]</w:t>
      </w:r>
      <w:r>
        <w:t>Bibliographie</w:t>
      </w:r>
    </w:p>
    <w:p w14:paraId="7AC9C1F4" w14:textId="39034AC1">
      <w:pPr>
        <w:pStyle w:val="IPPParagraphnumbering"/>
        <w:numPr>
          <w:ilvl w:val="0"/>
          <w:numId w:val="0"/>
        </w:numPr>
      </w:pPr>
      <w:r>
        <w:rPr>
          <w:rStyle w:val="PleaseReviewParagraphId"/>
          <w:b w:val="off"/>
          <w:i w:val="off"/>
        </w:rPr>
        <w:t>[59]</w:t>
      </w:r>
      <w:r>
        <w:t>La CIPV, les NIMP pertinentes et les autres normes ou accords nationaux, régionaux et internationaux qui peuvent s’appliquer aux tâches à entreprendre, ainsi que les documents de travail présentés en rapport avec ces activités.</w:t>
      </w:r>
    </w:p>
    <w:p w14:paraId="2922A7DA" w14:textId="77777777">
      <w:pPr>
        <w:pStyle w:val="IPPHeading3"/>
      </w:pPr>
      <w:r>
        <w:rPr>
          <w:rStyle w:val="PleaseReviewParagraphId"/>
          <w:b w:val="off"/>
          <w:i w:val="off"/>
        </w:rPr>
        <w:t>[60]</w:t>
      </w:r>
      <w:r>
        <w:t>Références</w:t>
      </w:r>
    </w:p>
    <w:p w14:paraId="563A7D99" w14:textId="3C348881">
      <w:pPr>
        <w:pStyle w:val="IPPParagraphnumbering"/>
        <w:numPr>
          <w:ilvl w:val="0"/>
          <w:numId w:val="0"/>
        </w:numPr>
      </w:pPr>
      <w:r>
        <w:rPr>
          <w:rStyle w:val="PleaseReviewParagraphId"/>
          <w:b w:val="off"/>
          <w:i w:val="off"/>
        </w:rPr>
        <w:t>[61]</w:t>
      </w:r>
      <w:r>
        <w:rPr>
          <w:b/>
          <w:bCs/>
        </w:rPr>
        <w:t>NIMP 11</w:t>
      </w:r>
      <w:r>
        <w:t xml:space="preserve">. 2019. </w:t>
      </w:r>
      <w:r>
        <w:rPr>
          <w:i/>
        </w:rPr>
        <w:t>Analyse du risque phytosanitaire pour les organismes de quarantaine</w:t>
      </w:r>
      <w:r>
        <w:t xml:space="preserve">. Secrétariat de la CIPV. Rome, FAO. Adoptée en 2013. </w:t>
      </w:r>
      <w:hyperlink w:history="1" r:id="rId14">
        <w:r>
          <w:rPr>
            <w:rStyle w:val="Hyperlink"/>
          </w:rPr>
          <w:t>https://www.ippc.int/fr/publications/639/</w:t>
        </w:r>
      </w:hyperlink>
      <w:r>
        <w:t>.</w:t>
      </w:r>
    </w:p>
    <w:p w14:paraId="32914C16" w14:textId="77777777">
      <w:pPr>
        <w:pStyle w:val="IPPSubheadSpace"/>
      </w:pPr>
      <w:r>
        <w:rPr>
          <w:rStyle w:val="PleaseReviewParagraphId"/>
          <w:b w:val="off"/>
          <w:i w:val="off"/>
        </w:rPr>
        <w:t>[62]</w:t>
      </w:r>
      <w:r>
        <w:t>Documents de travail</w:t>
      </w:r>
    </w:p>
    <w:p w14:paraId="0B20BA7E" w14:textId="10D94F96">
      <w:pPr>
        <w:pStyle w:val="IPPParagraphnumbering"/>
        <w:numPr>
          <w:ilvl w:val="0"/>
          <w:numId w:val="0"/>
        </w:numPr>
      </w:pPr>
      <w:r>
        <w:rPr>
          <w:rStyle w:val="PleaseReviewParagraphId"/>
          <w:b w:val="off"/>
          <w:i w:val="off"/>
        </w:rPr>
        <w:t>[63]</w:t>
      </w:r>
      <w:r>
        <w:t>Les participants et les parties intéressées sont encouragés à présenter des documents de travail au secrétariat de la CIPV (</w:t>
      </w:r>
      <w:hyperlink w:history="1" r:id="rId15">
        <w:r>
          <w:rPr>
            <w:rStyle w:val="Hyperlink"/>
          </w:rPr>
          <w:t>ippc@fao.org</w:t>
        </w:r>
      </w:hyperlink>
      <w:r>
        <w:t>), en vue de leur examen par le groupe de travail d’experts.</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E5C7" w14:textId="77777777">
      <w:r>
        <w:rPr>
          <w:rStyle w:val="PleaseReviewParagraphId"/>
          <w:b w:val="off"/>
          <w:i w:val="off"/>
        </w:rPr>
        <w:t>[]</w:t>
      </w:r>
      <w:r>
        <w:separator/>
      </w:r>
    </w:p>
  </w:endnote>
  <w:endnote w:type="continuationSeparator" w:id="0">
    <w:p w14:paraId="0CDA1A24" w14:textId="77777777">
      <w:r>
        <w:rPr>
          <w:rStyle w:val="PleaseReviewParagraphId"/>
          <w:b w:val="off"/>
          <w:i w:val="off"/>
        </w:rPr>
        <w:t>[]</w:t>
      </w: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1671" w14:textId="77777777">
      <w:r>
        <w:rPr>
          <w:rStyle w:val="PleaseReviewParagraphId"/>
          <w:b w:val="off"/>
          <w:i w:val="off"/>
        </w:rPr>
        <w:t>[]</w:t>
      </w:r>
      <w:r>
        <w:separator/>
      </w:r>
    </w:p>
  </w:footnote>
  <w:footnote w:type="continuationSeparator" w:id="0">
    <w:p w14:paraId="5F8D3B5E" w14:textId="77777777">
      <w:r>
        <w:rPr>
          <w:rStyle w:val="PleaseReviewParagraphId"/>
          <w:b w:val="off"/>
          <w:i w:val="off"/>
        </w:rPr>
        <w:t>[]</w:t>
      </w:r>
      <w:r>
        <w:continuationSeparator/>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949"/>
    <w:multiLevelType w:val="hybridMultilevel"/>
    <w:tmpl w:val="50C88DAE"/>
    <w:lvl w:ilvl="0" w:tplc="040C0011">
      <w:start w:val="1"/>
      <w:numFmt w:val="decimal"/>
      <w:pStyle w:val="IPPNumberedList"/>
      <w:lvlText w:val="%1)"/>
      <w:lvlJc w:val="left"/>
      <w:pPr>
        <w:tabs>
          <w:tab w:val="num" w:pos="567"/>
        </w:tabs>
        <w:ind w:left="567" w:hanging="567"/>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713293"/>
    <w:multiLevelType w:val="hybridMultilevel"/>
    <w:tmpl w:val="F486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0DE0"/>
    <w:multiLevelType w:val="hybridMultilevel"/>
    <w:tmpl w:val="E9F2934C"/>
    <w:lvl w:ilvl="0" w:tplc="CE52D25A">
      <w:start w:val="1"/>
      <w:numFmt w:val="decimal"/>
      <w:pStyle w:val="IPPSubheadNumber"/>
      <w:lvlText w:val="%1"/>
      <w:lvlJc w:val="left"/>
      <w:pPr>
        <w:tabs>
          <w:tab w:val="num" w:pos="567"/>
        </w:tabs>
        <w:ind w:left="0" w:firstLine="0"/>
      </w:pPr>
      <w:rPr>
        <w:rFonts w:ascii="Times New Roman" w:hAnsi="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65E73"/>
    <w:multiLevelType w:val="hybridMultilevel"/>
    <w:tmpl w:val="C5AE239A"/>
    <w:lvl w:ilvl="0" w:tplc="0F929B54">
      <w:start w:val="1"/>
      <w:numFmt w:val="decimal"/>
      <w:pStyle w:val="IPPNumber"/>
      <w:lvlText w:val="%1"/>
      <w:lvlJc w:val="left"/>
      <w:pPr>
        <w:tabs>
          <w:tab w:val="num" w:pos="567"/>
        </w:tabs>
        <w:ind w:left="0" w:firstLine="0"/>
      </w:pPr>
      <w:rPr>
        <w:rFonts w:ascii="Times New Roman" w:hAnsi="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7" w15:restartNumberingAfterBreak="0">
    <w:nsid w:val="35A3795A"/>
    <w:multiLevelType w:val="hybridMultilevel"/>
    <w:tmpl w:val="F6DE69F2"/>
    <w:lvl w:ilvl="0" w:tplc="6C3249DA">
      <w:start w:val="1"/>
      <w:numFmt w:val="decimal"/>
      <w:lvlText w:val="[%1]"/>
      <w:lvlJc w:val="left"/>
      <w:pPr>
        <w:ind w:left="720" w:hanging="360"/>
      </w:pPr>
      <w:rPr>
        <w:rFonts w:ascii="Arial" w:hAnsi="Arial" w:cs="Arial" w:hint="default"/>
        <w:b w:val="0"/>
        <w:i/>
        <w:color w:val="0000FF"/>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3934902">
    <w:abstractNumId w:val="5"/>
  </w:num>
  <w:num w:numId="2" w16cid:durableId="1475174615">
    <w:abstractNumId w:val="4"/>
  </w:num>
  <w:num w:numId="3" w16cid:durableId="72168050">
    <w:abstractNumId w:val="9"/>
  </w:num>
  <w:num w:numId="4" w16cid:durableId="1901742193">
    <w:abstractNumId w:val="12"/>
  </w:num>
  <w:num w:numId="5" w16cid:durableId="1259024092">
    <w:abstractNumId w:val="2"/>
  </w:num>
  <w:num w:numId="6" w16cid:durableId="1884900620">
    <w:abstractNumId w:val="6"/>
  </w:num>
  <w:num w:numId="7" w16cid:durableId="348796393">
    <w:abstractNumId w:val="0"/>
  </w:num>
  <w:num w:numId="8" w16cid:durableId="1479104642">
    <w:abstractNumId w:val="10"/>
  </w:num>
  <w:num w:numId="9" w16cid:durableId="828906373">
    <w:abstractNumId w:val="8"/>
  </w:num>
  <w:num w:numId="10" w16cid:durableId="1926110415">
    <w:abstractNumId w:val="13"/>
  </w:num>
  <w:num w:numId="11" w16cid:durableId="1422484703">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 w16cid:durableId="588344364">
    <w:abstractNumId w:val="11"/>
  </w:num>
  <w:num w:numId="13" w16cid:durableId="178474547">
    <w:abstractNumId w:val="3"/>
  </w:num>
  <w:num w:numId="14" w16cid:durableId="1421830261">
    <w:abstractNumId w:val="7"/>
  </w:num>
  <w:numIdMacAtCleanup w:val="13"/>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70"/>
    <w:rsid w:val="000007B4"/>
    <w:rsid w:val="00012842"/>
    <w:rsid w:val="00013203"/>
    <w:rsid w:val="00020F40"/>
    <w:rsid w:val="00021E2F"/>
    <w:rsid w:val="00031F6F"/>
    <w:rsid w:val="0003437B"/>
    <w:rsid w:val="000415C4"/>
    <w:rsid w:val="00041CEC"/>
    <w:rsid w:val="00042041"/>
    <w:rsid w:val="00044DFD"/>
    <w:rsid w:val="0004626B"/>
    <w:rsid w:val="00050EE5"/>
    <w:rsid w:val="00051A86"/>
    <w:rsid w:val="00052C89"/>
    <w:rsid w:val="000564EC"/>
    <w:rsid w:val="00065CE8"/>
    <w:rsid w:val="00072AE0"/>
    <w:rsid w:val="000825E4"/>
    <w:rsid w:val="00083E4A"/>
    <w:rsid w:val="00087C0D"/>
    <w:rsid w:val="00094196"/>
    <w:rsid w:val="000960C9"/>
    <w:rsid w:val="000970F2"/>
    <w:rsid w:val="000A3E02"/>
    <w:rsid w:val="000A5E1E"/>
    <w:rsid w:val="000A7195"/>
    <w:rsid w:val="000B5FF7"/>
    <w:rsid w:val="000B7A65"/>
    <w:rsid w:val="000C1FE5"/>
    <w:rsid w:val="000C5C77"/>
    <w:rsid w:val="000C62A4"/>
    <w:rsid w:val="000D341F"/>
    <w:rsid w:val="000D52D9"/>
    <w:rsid w:val="000D76AE"/>
    <w:rsid w:val="000E0188"/>
    <w:rsid w:val="000E0C8E"/>
    <w:rsid w:val="000F1AAF"/>
    <w:rsid w:val="000F44EF"/>
    <w:rsid w:val="000F5442"/>
    <w:rsid w:val="000F5C99"/>
    <w:rsid w:val="00102804"/>
    <w:rsid w:val="00103DA8"/>
    <w:rsid w:val="00112E1D"/>
    <w:rsid w:val="00114045"/>
    <w:rsid w:val="001161D1"/>
    <w:rsid w:val="00116207"/>
    <w:rsid w:val="00117B8A"/>
    <w:rsid w:val="001220AC"/>
    <w:rsid w:val="001257B4"/>
    <w:rsid w:val="00131CCF"/>
    <w:rsid w:val="00132B4B"/>
    <w:rsid w:val="00133762"/>
    <w:rsid w:val="00141508"/>
    <w:rsid w:val="00142E0E"/>
    <w:rsid w:val="00144E14"/>
    <w:rsid w:val="001462E8"/>
    <w:rsid w:val="0015734F"/>
    <w:rsid w:val="00166B28"/>
    <w:rsid w:val="00166D4C"/>
    <w:rsid w:val="00175DF6"/>
    <w:rsid w:val="00180438"/>
    <w:rsid w:val="001830C1"/>
    <w:rsid w:val="00186DFB"/>
    <w:rsid w:val="00190582"/>
    <w:rsid w:val="001952F5"/>
    <w:rsid w:val="00195651"/>
    <w:rsid w:val="00196141"/>
    <w:rsid w:val="001A3B5A"/>
    <w:rsid w:val="001A6A47"/>
    <w:rsid w:val="001C30C2"/>
    <w:rsid w:val="001D0392"/>
    <w:rsid w:val="001D0993"/>
    <w:rsid w:val="001D1B94"/>
    <w:rsid w:val="001D312C"/>
    <w:rsid w:val="001D7229"/>
    <w:rsid w:val="001E0453"/>
    <w:rsid w:val="001F293A"/>
    <w:rsid w:val="001F2BF2"/>
    <w:rsid w:val="001F59B5"/>
    <w:rsid w:val="001F66A3"/>
    <w:rsid w:val="001F6E51"/>
    <w:rsid w:val="001F6ECD"/>
    <w:rsid w:val="001F7454"/>
    <w:rsid w:val="00202303"/>
    <w:rsid w:val="00202935"/>
    <w:rsid w:val="00205CC8"/>
    <w:rsid w:val="00207970"/>
    <w:rsid w:val="00213E8F"/>
    <w:rsid w:val="0021409F"/>
    <w:rsid w:val="002226CF"/>
    <w:rsid w:val="00225BBB"/>
    <w:rsid w:val="00227A46"/>
    <w:rsid w:val="00227BF6"/>
    <w:rsid w:val="00233CC8"/>
    <w:rsid w:val="002354D3"/>
    <w:rsid w:val="0023580E"/>
    <w:rsid w:val="00250653"/>
    <w:rsid w:val="00251177"/>
    <w:rsid w:val="00256312"/>
    <w:rsid w:val="0026405D"/>
    <w:rsid w:val="0026435B"/>
    <w:rsid w:val="00270A57"/>
    <w:rsid w:val="00270A7C"/>
    <w:rsid w:val="00272FDD"/>
    <w:rsid w:val="00274497"/>
    <w:rsid w:val="002816E8"/>
    <w:rsid w:val="00283A0A"/>
    <w:rsid w:val="00286FAD"/>
    <w:rsid w:val="0029569B"/>
    <w:rsid w:val="0029575B"/>
    <w:rsid w:val="002963DD"/>
    <w:rsid w:val="002A42C9"/>
    <w:rsid w:val="002B74C5"/>
    <w:rsid w:val="002B777A"/>
    <w:rsid w:val="002C1E52"/>
    <w:rsid w:val="002C1EAC"/>
    <w:rsid w:val="002C4D03"/>
    <w:rsid w:val="002C5CE0"/>
    <w:rsid w:val="002D1478"/>
    <w:rsid w:val="002D2460"/>
    <w:rsid w:val="002D61BB"/>
    <w:rsid w:val="002E36AA"/>
    <w:rsid w:val="002E38F1"/>
    <w:rsid w:val="002E4BC6"/>
    <w:rsid w:val="002E5680"/>
    <w:rsid w:val="002F0D97"/>
    <w:rsid w:val="002F7797"/>
    <w:rsid w:val="00302E3E"/>
    <w:rsid w:val="00314DE2"/>
    <w:rsid w:val="0031661B"/>
    <w:rsid w:val="00330E59"/>
    <w:rsid w:val="00331ABB"/>
    <w:rsid w:val="00334C1C"/>
    <w:rsid w:val="00342409"/>
    <w:rsid w:val="003478FB"/>
    <w:rsid w:val="003513AC"/>
    <w:rsid w:val="003534EB"/>
    <w:rsid w:val="00354F54"/>
    <w:rsid w:val="00355912"/>
    <w:rsid w:val="00355E3B"/>
    <w:rsid w:val="00362289"/>
    <w:rsid w:val="00363076"/>
    <w:rsid w:val="003653B7"/>
    <w:rsid w:val="00367F1D"/>
    <w:rsid w:val="003714C9"/>
    <w:rsid w:val="00377248"/>
    <w:rsid w:val="00380311"/>
    <w:rsid w:val="00384954"/>
    <w:rsid w:val="00391677"/>
    <w:rsid w:val="003A6FE8"/>
    <w:rsid w:val="003B5274"/>
    <w:rsid w:val="003B7AAD"/>
    <w:rsid w:val="003C1891"/>
    <w:rsid w:val="003C1A56"/>
    <w:rsid w:val="003C39C6"/>
    <w:rsid w:val="003C602D"/>
    <w:rsid w:val="003C6FB5"/>
    <w:rsid w:val="003D068E"/>
    <w:rsid w:val="003D11C8"/>
    <w:rsid w:val="003D2B6D"/>
    <w:rsid w:val="003D52A0"/>
    <w:rsid w:val="003D5FC6"/>
    <w:rsid w:val="003E3F51"/>
    <w:rsid w:val="003E5DD2"/>
    <w:rsid w:val="003E7E08"/>
    <w:rsid w:val="003F28AE"/>
    <w:rsid w:val="003F4E89"/>
    <w:rsid w:val="00412F08"/>
    <w:rsid w:val="0041356A"/>
    <w:rsid w:val="00413B2B"/>
    <w:rsid w:val="00414F1C"/>
    <w:rsid w:val="004153D0"/>
    <w:rsid w:val="0041710B"/>
    <w:rsid w:val="00417D05"/>
    <w:rsid w:val="004200E4"/>
    <w:rsid w:val="00430C0F"/>
    <w:rsid w:val="00430C54"/>
    <w:rsid w:val="00430ECB"/>
    <w:rsid w:val="00431722"/>
    <w:rsid w:val="004337CD"/>
    <w:rsid w:val="00437289"/>
    <w:rsid w:val="0043758F"/>
    <w:rsid w:val="00441BD7"/>
    <w:rsid w:val="0045108C"/>
    <w:rsid w:val="00453176"/>
    <w:rsid w:val="00454651"/>
    <w:rsid w:val="00460093"/>
    <w:rsid w:val="0046159A"/>
    <w:rsid w:val="004627E0"/>
    <w:rsid w:val="00463205"/>
    <w:rsid w:val="00475F83"/>
    <w:rsid w:val="00483B23"/>
    <w:rsid w:val="00486471"/>
    <w:rsid w:val="00495BBC"/>
    <w:rsid w:val="004A047D"/>
    <w:rsid w:val="004A1DCD"/>
    <w:rsid w:val="004A7BEA"/>
    <w:rsid w:val="004B0155"/>
    <w:rsid w:val="004B5E1F"/>
    <w:rsid w:val="004B7FD9"/>
    <w:rsid w:val="004C0F14"/>
    <w:rsid w:val="004C3505"/>
    <w:rsid w:val="004C4B2D"/>
    <w:rsid w:val="004D1453"/>
    <w:rsid w:val="004D1A59"/>
    <w:rsid w:val="004D374D"/>
    <w:rsid w:val="004D7E1C"/>
    <w:rsid w:val="004E14C9"/>
    <w:rsid w:val="004E26A1"/>
    <w:rsid w:val="004E5FA2"/>
    <w:rsid w:val="004E6007"/>
    <w:rsid w:val="004E6A72"/>
    <w:rsid w:val="004F113B"/>
    <w:rsid w:val="00500D08"/>
    <w:rsid w:val="0050159B"/>
    <w:rsid w:val="00502985"/>
    <w:rsid w:val="00505199"/>
    <w:rsid w:val="00506388"/>
    <w:rsid w:val="005070EC"/>
    <w:rsid w:val="005125C2"/>
    <w:rsid w:val="00517C5F"/>
    <w:rsid w:val="00526DFA"/>
    <w:rsid w:val="005320DB"/>
    <w:rsid w:val="0053224B"/>
    <w:rsid w:val="00532FD8"/>
    <w:rsid w:val="00533DFA"/>
    <w:rsid w:val="00541217"/>
    <w:rsid w:val="005620C9"/>
    <w:rsid w:val="0057013D"/>
    <w:rsid w:val="005731D2"/>
    <w:rsid w:val="0057771F"/>
    <w:rsid w:val="00582C87"/>
    <w:rsid w:val="00583485"/>
    <w:rsid w:val="00586B3B"/>
    <w:rsid w:val="0059444E"/>
    <w:rsid w:val="005964D9"/>
    <w:rsid w:val="005A0BC6"/>
    <w:rsid w:val="005A6BE5"/>
    <w:rsid w:val="005B13EF"/>
    <w:rsid w:val="005B1471"/>
    <w:rsid w:val="005B3B1D"/>
    <w:rsid w:val="005B5AE5"/>
    <w:rsid w:val="005C22EF"/>
    <w:rsid w:val="005C3E81"/>
    <w:rsid w:val="005C3F87"/>
    <w:rsid w:val="005D07DC"/>
    <w:rsid w:val="005D654A"/>
    <w:rsid w:val="005D6BC5"/>
    <w:rsid w:val="005E37A0"/>
    <w:rsid w:val="005E4E14"/>
    <w:rsid w:val="005F14D6"/>
    <w:rsid w:val="005F3238"/>
    <w:rsid w:val="005F56FA"/>
    <w:rsid w:val="005F7135"/>
    <w:rsid w:val="00603F2F"/>
    <w:rsid w:val="00606F90"/>
    <w:rsid w:val="00610D37"/>
    <w:rsid w:val="00613EF9"/>
    <w:rsid w:val="00617CAA"/>
    <w:rsid w:val="00620011"/>
    <w:rsid w:val="00621E23"/>
    <w:rsid w:val="0062256A"/>
    <w:rsid w:val="0062519C"/>
    <w:rsid w:val="00631CAD"/>
    <w:rsid w:val="006330CE"/>
    <w:rsid w:val="00633952"/>
    <w:rsid w:val="006359F3"/>
    <w:rsid w:val="00650F49"/>
    <w:rsid w:val="00651EDA"/>
    <w:rsid w:val="00652D18"/>
    <w:rsid w:val="00654B8F"/>
    <w:rsid w:val="00660AA6"/>
    <w:rsid w:val="0066567F"/>
    <w:rsid w:val="0067202D"/>
    <w:rsid w:val="006738E7"/>
    <w:rsid w:val="00676742"/>
    <w:rsid w:val="00676FBC"/>
    <w:rsid w:val="00682053"/>
    <w:rsid w:val="0068334A"/>
    <w:rsid w:val="0068394A"/>
    <w:rsid w:val="006A18A5"/>
    <w:rsid w:val="006A2BA2"/>
    <w:rsid w:val="006A5A63"/>
    <w:rsid w:val="006A7DA4"/>
    <w:rsid w:val="006B682A"/>
    <w:rsid w:val="006B7849"/>
    <w:rsid w:val="006B7CAD"/>
    <w:rsid w:val="006C06E7"/>
    <w:rsid w:val="006C1DD9"/>
    <w:rsid w:val="006C3BBD"/>
    <w:rsid w:val="006D0F0D"/>
    <w:rsid w:val="006D3FBA"/>
    <w:rsid w:val="006D409B"/>
    <w:rsid w:val="006D4D89"/>
    <w:rsid w:val="006D7585"/>
    <w:rsid w:val="006E12AB"/>
    <w:rsid w:val="006E3C2E"/>
    <w:rsid w:val="006E5259"/>
    <w:rsid w:val="006F387A"/>
    <w:rsid w:val="0070455B"/>
    <w:rsid w:val="00706E35"/>
    <w:rsid w:val="007116A6"/>
    <w:rsid w:val="00713F17"/>
    <w:rsid w:val="00717211"/>
    <w:rsid w:val="007203AC"/>
    <w:rsid w:val="00720C82"/>
    <w:rsid w:val="00720ECA"/>
    <w:rsid w:val="00722F1F"/>
    <w:rsid w:val="00732AC2"/>
    <w:rsid w:val="007346DB"/>
    <w:rsid w:val="00737682"/>
    <w:rsid w:val="00746B05"/>
    <w:rsid w:val="00747E7F"/>
    <w:rsid w:val="00751CFF"/>
    <w:rsid w:val="00753312"/>
    <w:rsid w:val="00757718"/>
    <w:rsid w:val="0076020D"/>
    <w:rsid w:val="007636A9"/>
    <w:rsid w:val="00763F7F"/>
    <w:rsid w:val="0077547F"/>
    <w:rsid w:val="0077709B"/>
    <w:rsid w:val="00782DF2"/>
    <w:rsid w:val="00785443"/>
    <w:rsid w:val="00791654"/>
    <w:rsid w:val="00791A19"/>
    <w:rsid w:val="0079658C"/>
    <w:rsid w:val="00796CE2"/>
    <w:rsid w:val="007B2B36"/>
    <w:rsid w:val="007B455C"/>
    <w:rsid w:val="007C32E4"/>
    <w:rsid w:val="007C7BFA"/>
    <w:rsid w:val="007D262B"/>
    <w:rsid w:val="007D4300"/>
    <w:rsid w:val="007E15F5"/>
    <w:rsid w:val="007E3777"/>
    <w:rsid w:val="007E7872"/>
    <w:rsid w:val="007F26AD"/>
    <w:rsid w:val="00801026"/>
    <w:rsid w:val="00802481"/>
    <w:rsid w:val="008052BA"/>
    <w:rsid w:val="0081103E"/>
    <w:rsid w:val="0081179B"/>
    <w:rsid w:val="008118B9"/>
    <w:rsid w:val="0081699F"/>
    <w:rsid w:val="00817C14"/>
    <w:rsid w:val="00827A1F"/>
    <w:rsid w:val="00833C5A"/>
    <w:rsid w:val="00851D2D"/>
    <w:rsid w:val="00855D6B"/>
    <w:rsid w:val="008635C1"/>
    <w:rsid w:val="008650AE"/>
    <w:rsid w:val="00866693"/>
    <w:rsid w:val="00872450"/>
    <w:rsid w:val="0087329D"/>
    <w:rsid w:val="00873B47"/>
    <w:rsid w:val="0087427C"/>
    <w:rsid w:val="00876210"/>
    <w:rsid w:val="008843D1"/>
    <w:rsid w:val="00891FFA"/>
    <w:rsid w:val="008B04D8"/>
    <w:rsid w:val="008B2DEA"/>
    <w:rsid w:val="008B3073"/>
    <w:rsid w:val="008C0091"/>
    <w:rsid w:val="008C2797"/>
    <w:rsid w:val="008C48F7"/>
    <w:rsid w:val="008D0311"/>
    <w:rsid w:val="008D4388"/>
    <w:rsid w:val="008D6897"/>
    <w:rsid w:val="008E2126"/>
    <w:rsid w:val="008E35BB"/>
    <w:rsid w:val="008E51E1"/>
    <w:rsid w:val="008E54EC"/>
    <w:rsid w:val="008E5C03"/>
    <w:rsid w:val="008E5CEB"/>
    <w:rsid w:val="008F2CDA"/>
    <w:rsid w:val="00900E5D"/>
    <w:rsid w:val="00903AC4"/>
    <w:rsid w:val="009057EF"/>
    <w:rsid w:val="00907153"/>
    <w:rsid w:val="00914BF2"/>
    <w:rsid w:val="00915F6A"/>
    <w:rsid w:val="00927932"/>
    <w:rsid w:val="00933B2E"/>
    <w:rsid w:val="00940481"/>
    <w:rsid w:val="00941340"/>
    <w:rsid w:val="00941E57"/>
    <w:rsid w:val="00943DD6"/>
    <w:rsid w:val="00950241"/>
    <w:rsid w:val="00950DDC"/>
    <w:rsid w:val="00952C00"/>
    <w:rsid w:val="009563FA"/>
    <w:rsid w:val="009647D0"/>
    <w:rsid w:val="0096577D"/>
    <w:rsid w:val="00986761"/>
    <w:rsid w:val="009917F1"/>
    <w:rsid w:val="00993837"/>
    <w:rsid w:val="009A4639"/>
    <w:rsid w:val="009B7C5C"/>
    <w:rsid w:val="009C4801"/>
    <w:rsid w:val="009C5566"/>
    <w:rsid w:val="009D1874"/>
    <w:rsid w:val="009D63E2"/>
    <w:rsid w:val="009E596A"/>
    <w:rsid w:val="009F2F07"/>
    <w:rsid w:val="009F5BB6"/>
    <w:rsid w:val="009F6D31"/>
    <w:rsid w:val="00A03BFD"/>
    <w:rsid w:val="00A102AE"/>
    <w:rsid w:val="00A106FA"/>
    <w:rsid w:val="00A11D38"/>
    <w:rsid w:val="00A14A34"/>
    <w:rsid w:val="00A21DD3"/>
    <w:rsid w:val="00A23A06"/>
    <w:rsid w:val="00A24065"/>
    <w:rsid w:val="00A3200E"/>
    <w:rsid w:val="00A42209"/>
    <w:rsid w:val="00A43E5D"/>
    <w:rsid w:val="00A6108C"/>
    <w:rsid w:val="00A619D8"/>
    <w:rsid w:val="00A66C74"/>
    <w:rsid w:val="00A70E65"/>
    <w:rsid w:val="00A719D3"/>
    <w:rsid w:val="00A71DEB"/>
    <w:rsid w:val="00A72791"/>
    <w:rsid w:val="00A761B9"/>
    <w:rsid w:val="00A7658A"/>
    <w:rsid w:val="00A76AD2"/>
    <w:rsid w:val="00A849D1"/>
    <w:rsid w:val="00A8699A"/>
    <w:rsid w:val="00A92347"/>
    <w:rsid w:val="00A94321"/>
    <w:rsid w:val="00A94B98"/>
    <w:rsid w:val="00AA2E2A"/>
    <w:rsid w:val="00AA4B92"/>
    <w:rsid w:val="00AB1E24"/>
    <w:rsid w:val="00AB207E"/>
    <w:rsid w:val="00AB21CA"/>
    <w:rsid w:val="00AB3B54"/>
    <w:rsid w:val="00AB3F9B"/>
    <w:rsid w:val="00AC5FA2"/>
    <w:rsid w:val="00AD66B7"/>
    <w:rsid w:val="00AD7C74"/>
    <w:rsid w:val="00AE19B1"/>
    <w:rsid w:val="00AE5B41"/>
    <w:rsid w:val="00AF6855"/>
    <w:rsid w:val="00B037A2"/>
    <w:rsid w:val="00B050CC"/>
    <w:rsid w:val="00B050D3"/>
    <w:rsid w:val="00B06900"/>
    <w:rsid w:val="00B06C1C"/>
    <w:rsid w:val="00B1097C"/>
    <w:rsid w:val="00B14436"/>
    <w:rsid w:val="00B24621"/>
    <w:rsid w:val="00B43685"/>
    <w:rsid w:val="00B465D7"/>
    <w:rsid w:val="00B47660"/>
    <w:rsid w:val="00B53B4B"/>
    <w:rsid w:val="00B56FB9"/>
    <w:rsid w:val="00B602E4"/>
    <w:rsid w:val="00B60DDB"/>
    <w:rsid w:val="00B74547"/>
    <w:rsid w:val="00B762B3"/>
    <w:rsid w:val="00B80A7F"/>
    <w:rsid w:val="00B813F2"/>
    <w:rsid w:val="00B87F49"/>
    <w:rsid w:val="00B9232A"/>
    <w:rsid w:val="00B95A49"/>
    <w:rsid w:val="00B97ADA"/>
    <w:rsid w:val="00BA081F"/>
    <w:rsid w:val="00BB30A2"/>
    <w:rsid w:val="00BB7B43"/>
    <w:rsid w:val="00BC2897"/>
    <w:rsid w:val="00BC3A0B"/>
    <w:rsid w:val="00BC478A"/>
    <w:rsid w:val="00BC6796"/>
    <w:rsid w:val="00BC7A95"/>
    <w:rsid w:val="00BD12A2"/>
    <w:rsid w:val="00BF0D7D"/>
    <w:rsid w:val="00BF1E28"/>
    <w:rsid w:val="00BF5702"/>
    <w:rsid w:val="00BF792D"/>
    <w:rsid w:val="00BF7EB7"/>
    <w:rsid w:val="00C06EC8"/>
    <w:rsid w:val="00C114D9"/>
    <w:rsid w:val="00C141D0"/>
    <w:rsid w:val="00C20187"/>
    <w:rsid w:val="00C21914"/>
    <w:rsid w:val="00C2375A"/>
    <w:rsid w:val="00C24834"/>
    <w:rsid w:val="00C27D07"/>
    <w:rsid w:val="00C301B0"/>
    <w:rsid w:val="00C332F9"/>
    <w:rsid w:val="00C34F85"/>
    <w:rsid w:val="00C35297"/>
    <w:rsid w:val="00C3550F"/>
    <w:rsid w:val="00C4528E"/>
    <w:rsid w:val="00C51092"/>
    <w:rsid w:val="00C53B12"/>
    <w:rsid w:val="00C57104"/>
    <w:rsid w:val="00C62660"/>
    <w:rsid w:val="00C6377D"/>
    <w:rsid w:val="00C92A7A"/>
    <w:rsid w:val="00C9329C"/>
    <w:rsid w:val="00CA191A"/>
    <w:rsid w:val="00CA5AD6"/>
    <w:rsid w:val="00CA6E84"/>
    <w:rsid w:val="00CB1CA2"/>
    <w:rsid w:val="00CB50B7"/>
    <w:rsid w:val="00CB50CA"/>
    <w:rsid w:val="00CB61B1"/>
    <w:rsid w:val="00CC4302"/>
    <w:rsid w:val="00CC6482"/>
    <w:rsid w:val="00CC6D1E"/>
    <w:rsid w:val="00CD05B4"/>
    <w:rsid w:val="00CD5759"/>
    <w:rsid w:val="00CD5AF7"/>
    <w:rsid w:val="00CD6E70"/>
    <w:rsid w:val="00CE142C"/>
    <w:rsid w:val="00CF2078"/>
    <w:rsid w:val="00CF47FE"/>
    <w:rsid w:val="00D03BB3"/>
    <w:rsid w:val="00D03CF7"/>
    <w:rsid w:val="00D10306"/>
    <w:rsid w:val="00D11B8C"/>
    <w:rsid w:val="00D16869"/>
    <w:rsid w:val="00D16E5D"/>
    <w:rsid w:val="00D226D5"/>
    <w:rsid w:val="00D275BD"/>
    <w:rsid w:val="00D3141F"/>
    <w:rsid w:val="00D35A1B"/>
    <w:rsid w:val="00D368F3"/>
    <w:rsid w:val="00D37C5F"/>
    <w:rsid w:val="00D541A6"/>
    <w:rsid w:val="00D574CC"/>
    <w:rsid w:val="00D60325"/>
    <w:rsid w:val="00D74025"/>
    <w:rsid w:val="00D83AD6"/>
    <w:rsid w:val="00D85DC2"/>
    <w:rsid w:val="00D9185C"/>
    <w:rsid w:val="00D954D8"/>
    <w:rsid w:val="00D96B9D"/>
    <w:rsid w:val="00DA0F57"/>
    <w:rsid w:val="00DA456F"/>
    <w:rsid w:val="00DB4329"/>
    <w:rsid w:val="00DC2427"/>
    <w:rsid w:val="00DC370F"/>
    <w:rsid w:val="00DC3AB9"/>
    <w:rsid w:val="00DC520D"/>
    <w:rsid w:val="00DD2E69"/>
    <w:rsid w:val="00DD3987"/>
    <w:rsid w:val="00DD3E05"/>
    <w:rsid w:val="00DD42EA"/>
    <w:rsid w:val="00DE323B"/>
    <w:rsid w:val="00DE4B4D"/>
    <w:rsid w:val="00DE56E3"/>
    <w:rsid w:val="00DE634F"/>
    <w:rsid w:val="00DF4459"/>
    <w:rsid w:val="00DF5EA9"/>
    <w:rsid w:val="00E02206"/>
    <w:rsid w:val="00E03CE5"/>
    <w:rsid w:val="00E03E34"/>
    <w:rsid w:val="00E42BEE"/>
    <w:rsid w:val="00E45BBB"/>
    <w:rsid w:val="00E5142A"/>
    <w:rsid w:val="00E60BC2"/>
    <w:rsid w:val="00E623EE"/>
    <w:rsid w:val="00E62F78"/>
    <w:rsid w:val="00E63AF4"/>
    <w:rsid w:val="00E64B81"/>
    <w:rsid w:val="00E64FF8"/>
    <w:rsid w:val="00E65B71"/>
    <w:rsid w:val="00E6789B"/>
    <w:rsid w:val="00E70301"/>
    <w:rsid w:val="00E70992"/>
    <w:rsid w:val="00E71DCC"/>
    <w:rsid w:val="00E7775D"/>
    <w:rsid w:val="00E82F9C"/>
    <w:rsid w:val="00E85FA4"/>
    <w:rsid w:val="00E915F5"/>
    <w:rsid w:val="00EA307B"/>
    <w:rsid w:val="00EB2717"/>
    <w:rsid w:val="00EB55B7"/>
    <w:rsid w:val="00EB5AD9"/>
    <w:rsid w:val="00EC1718"/>
    <w:rsid w:val="00EC5FC3"/>
    <w:rsid w:val="00EC618F"/>
    <w:rsid w:val="00ED447D"/>
    <w:rsid w:val="00EF4AE0"/>
    <w:rsid w:val="00EF5AC3"/>
    <w:rsid w:val="00EF7E54"/>
    <w:rsid w:val="00F0232E"/>
    <w:rsid w:val="00F031E3"/>
    <w:rsid w:val="00F05223"/>
    <w:rsid w:val="00F06191"/>
    <w:rsid w:val="00F1053B"/>
    <w:rsid w:val="00F10ACE"/>
    <w:rsid w:val="00F11888"/>
    <w:rsid w:val="00F1668D"/>
    <w:rsid w:val="00F2050A"/>
    <w:rsid w:val="00F21A9A"/>
    <w:rsid w:val="00F245FB"/>
    <w:rsid w:val="00F27D86"/>
    <w:rsid w:val="00F311D8"/>
    <w:rsid w:val="00F33E50"/>
    <w:rsid w:val="00F4056C"/>
    <w:rsid w:val="00F41EB4"/>
    <w:rsid w:val="00F44265"/>
    <w:rsid w:val="00F455BF"/>
    <w:rsid w:val="00F45C05"/>
    <w:rsid w:val="00F471A2"/>
    <w:rsid w:val="00F542EC"/>
    <w:rsid w:val="00F650B9"/>
    <w:rsid w:val="00F674A8"/>
    <w:rsid w:val="00F74F8B"/>
    <w:rsid w:val="00F7557F"/>
    <w:rsid w:val="00F8762B"/>
    <w:rsid w:val="00F94F29"/>
    <w:rsid w:val="00FA1560"/>
    <w:rsid w:val="00FA5510"/>
    <w:rsid w:val="00FA589A"/>
    <w:rsid w:val="00FB1837"/>
    <w:rsid w:val="00FB6168"/>
    <w:rsid w:val="00FC6698"/>
    <w:rsid w:val="00FC778D"/>
    <w:rsid w:val="00FD0FD8"/>
    <w:rsid w:val="00FD19A7"/>
    <w:rsid w:val="00FD1A0B"/>
    <w:rsid w:val="00FD1B8D"/>
    <w:rsid w:val="00FD51AA"/>
    <w:rsid w:val="00FD572D"/>
    <w:rsid w:val="00FE13E9"/>
    <w:rsid w:val="00FF3E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22B52"/>
  <w15:chartTrackingRefBased/>
  <w15:docId w15:val="{844A335C-5F32-45BF-9851-FB315A0A4B0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MS Mincho"/>
      <w:sz w:val="22"/>
      <w:szCs w:val="24"/>
      <w:lang w:eastAsia="en-US"/>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before="60"/>
    </w:pPr>
    <w:rPr>
      <w:sz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character" w:styleId="PageNumber">
    <w:name w:val="page number"/>
    <w:rPr>
      <w:rFonts w:ascii="Arial" w:hAnsi="Arial"/>
      <w:b/>
      <w:sz w:val="18"/>
    </w:rPr>
  </w:style>
  <w:style w:type="character" w:customStyle="1" w:styleId="Underline">
    <w:name w:val="Underline"/>
    <w:rPr>
      <w:u w:val="single"/>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nhideWhenUsed/>
    <w:rPr>
      <w:color w:val="96607D" w:themeColor="followedHyperlink"/>
      <w:u w:val="single"/>
    </w:rPr>
  </w:style>
  <w:style w:type="table" w:styleId="TableGrid">
    <w:name w:val="Table Grid"/>
    <w:basedOn w:val="TableNormal"/>
    <w:rPr>
      <w:rFonts w:ascii="Cambria" w:eastAsia="MS Mincho"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paragraph" w:customStyle="1" w:styleId="IPPBullet2">
    <w:name w:val="IPP Bullet2"/>
    <w:basedOn w:val="IPPNormal"/>
    <w:next w:val="IPPBullet1"/>
    <w:qFormat/>
    <w:pPr>
      <w:numPr>
        <w:numId w:val="4"/>
      </w:numPr>
      <w:tabs>
        <w:tab w:val="left" w:pos="1134"/>
      </w:tabs>
      <w:spacing w:after="60"/>
      <w:ind w:left="1134" w:hanging="567"/>
    </w:pPr>
  </w:style>
  <w:style w:type="paragraph" w:customStyle="1" w:styleId="IPPTitle16ptIndent">
    <w:name w:val="IPP Title16pt Indent"/>
    <w:basedOn w:val="Normal"/>
    <w:qFormat/>
    <w:pPr>
      <w:spacing w:after="720"/>
      <w:ind w:left="1701" w:right="1701"/>
      <w:jc w:val="center"/>
    </w:pPr>
    <w:rPr>
      <w:rFonts w:ascii="Arial" w:hAnsi="Arial" w:cs="Arial"/>
      <w:b/>
      <w:bCs/>
      <w:sz w:val="32"/>
      <w:szCs w:val="32"/>
    </w:r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character" w:customStyle="1" w:styleId="Heading1Char">
    <w:name w:val="Heading 1 Char"/>
    <w:basedOn w:val="DefaultParagraphFont"/>
    <w:link w:val="Heading1"/>
    <w:rPr>
      <w:rFonts w:eastAsia="MS Mincho"/>
      <w:b/>
      <w:bCs/>
      <w:sz w:val="22"/>
      <w:szCs w:val="24"/>
      <w:lang w:val="fr-FR"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qFormat/>
    <w:rPr>
      <w:rFonts w:eastAsia="Times New Roman"/>
      <w:sz w:val="20"/>
      <w:szCs w:val="20"/>
      <w:lang w:eastAsia="x-none"/>
    </w:rPr>
  </w:style>
  <w:style w:type="character" w:customStyle="1" w:styleId="CommentTextChar">
    <w:name w:val="Comment Text Char"/>
    <w:link w:val="CommentText"/>
    <w:uiPriority w:val="99"/>
    <w:qFormat/>
    <w:rPr>
      <w:lang w:val="fr-FR"/>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b/>
      <w:bCs/>
      <w:lang w:val="fr-FR"/>
    </w:rPr>
  </w:style>
  <w:style w:type="paragraph" w:customStyle="1" w:styleId="Comments">
    <w:name w:val="Comments"/>
    <w:basedOn w:val="Normal"/>
    <w:pPr>
      <w:ind w:left="284" w:hanging="284"/>
    </w:p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paragraph" w:customStyle="1" w:styleId="IPPNumberedList">
    <w:name w:val="IPP NumberedList"/>
    <w:basedOn w:val="IPPBullet1"/>
    <w:qFormat/>
    <w:pPr>
      <w:numPr>
        <w:numId w:val="7"/>
      </w:numPr>
    </w:pPr>
  </w:style>
  <w:style w:type="paragraph" w:customStyle="1" w:styleId="IPPBullet1">
    <w:name w:val="IPP Bullet1"/>
    <w:basedOn w:val="IPPBullet1Last"/>
    <w:qFormat/>
    <w:pPr>
      <w:numPr>
        <w:numId w:val="12"/>
      </w:numPr>
      <w:spacing w:after="60"/>
      <w:ind w:left="567" w:hanging="567"/>
    </w:pPr>
  </w:style>
  <w:style w:type="paragraph" w:customStyle="1" w:styleId="IPPBullet1Last">
    <w:name w:val="IPP Bullet1Last"/>
    <w:basedOn w:val="IPPNormal"/>
    <w:next w:val="IPPNormal"/>
    <w:qFormat/>
    <w:pPr>
      <w:numPr>
        <w:numId w:val="3"/>
      </w:numPr>
    </w:pPr>
  </w:style>
  <w:style w:type="paragraph" w:customStyle="1" w:styleId="IPPNumberClose">
    <w:name w:val="IPP NumberClose"/>
    <w:basedOn w:val="IPPNumber"/>
    <w:qFormat/>
    <w:pPr>
      <w:keepNext/>
      <w:spacing w:after="60"/>
    </w:p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Number">
    <w:name w:val="IPP Number"/>
    <w:basedOn w:val="IPPNormal"/>
    <w:qFormat/>
    <w:pPr>
      <w:numPr>
        <w:numId w:val="1"/>
      </w:numPr>
    </w:p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List">
    <w:name w:val="IPP List"/>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NumberedListLast">
    <w:name w:val="IPP NumberedListLast"/>
    <w:basedOn w:val="IPPNumberedList"/>
    <w:qFormat/>
    <w:pPr>
      <w:spacing w:after="180"/>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rPr>
  </w:style>
  <w:style w:type="paragraph" w:styleId="TOC5">
    <w:name w:val="toc 5"/>
    <w:basedOn w:val="Normal"/>
    <w:next w:val="Normal"/>
    <w:autoRedefine/>
    <w:uiPriority w:val="39"/>
    <w:pPr>
      <w:spacing w:after="120"/>
      <w:ind w:left="880"/>
    </w:pPr>
    <w:rPr>
      <w:rFonts w:eastAsia="Times"/>
    </w:rPr>
  </w:style>
  <w:style w:type="paragraph" w:styleId="TOC6">
    <w:name w:val="toc 6"/>
    <w:basedOn w:val="Normal"/>
    <w:next w:val="Normal"/>
    <w:autoRedefine/>
    <w:uiPriority w:val="39"/>
    <w:pPr>
      <w:spacing w:after="120"/>
      <w:ind w:left="1100"/>
    </w:pPr>
    <w:rPr>
      <w:rFonts w:eastAsia="Times"/>
    </w:rPr>
  </w:style>
  <w:style w:type="paragraph" w:styleId="TOC7">
    <w:name w:val="toc 7"/>
    <w:basedOn w:val="Normal"/>
    <w:next w:val="Normal"/>
    <w:autoRedefine/>
    <w:uiPriority w:val="39"/>
    <w:pPr>
      <w:spacing w:after="120"/>
      <w:ind w:left="1320"/>
    </w:pPr>
    <w:rPr>
      <w:rFonts w:eastAsia="Times"/>
    </w:rPr>
  </w:style>
  <w:style w:type="paragraph" w:styleId="TOC8">
    <w:name w:val="toc 8"/>
    <w:basedOn w:val="Normal"/>
    <w:next w:val="Normal"/>
    <w:autoRedefine/>
    <w:uiPriority w:val="39"/>
    <w:pPr>
      <w:spacing w:after="120"/>
      <w:ind w:left="1540"/>
    </w:pPr>
    <w:rPr>
      <w:rFonts w:eastAsia="Times"/>
    </w:rPr>
  </w:style>
  <w:style w:type="paragraph" w:styleId="TOC9">
    <w:name w:val="toc 9"/>
    <w:basedOn w:val="Normal"/>
    <w:next w:val="Normal"/>
    <w:autoRedefine/>
    <w:uiPriority w:val="39"/>
    <w:pPr>
      <w:spacing w:after="120"/>
      <w:ind w:left="1760"/>
    </w:pPr>
    <w:rPr>
      <w:rFonts w:eastAsia="Times"/>
    </w:rPr>
  </w:style>
  <w:style w:type="paragraph" w:customStyle="1" w:styleId="IPPReferences">
    <w:name w:val="IPP References"/>
    <w:basedOn w:val="IPPNormal"/>
    <w:qFormat/>
    <w:pPr>
      <w:spacing w:after="60"/>
      <w:ind w:left="567" w:hanging="567"/>
    </w:pPr>
  </w:style>
  <w:style w:type="character" w:customStyle="1" w:styleId="Heading2Char">
    <w:name w:val="Heading 2 Char"/>
    <w:basedOn w:val="DefaultParagraphFont"/>
    <w:link w:val="Heading2"/>
    <w:rPr>
      <w:rFonts w:ascii="Calibri" w:eastAsia="MS Mincho" w:hAnsi="Calibri"/>
      <w:b/>
      <w:bCs/>
      <w:i/>
      <w:iCs/>
      <w:sz w:val="28"/>
      <w:szCs w:val="28"/>
      <w:lang w:val="fr-FR" w:eastAsia="en-US"/>
    </w:rPr>
  </w:style>
  <w:style w:type="character" w:customStyle="1" w:styleId="Heading3Char">
    <w:name w:val="Heading 3 Char"/>
    <w:basedOn w:val="DefaultParagraphFont"/>
    <w:link w:val="Heading3"/>
    <w:rPr>
      <w:rFonts w:ascii="Calibri" w:eastAsia="MS Mincho" w:hAnsi="Calibri"/>
      <w:b/>
      <w:bCs/>
      <w:sz w:val="26"/>
      <w:szCs w:val="26"/>
      <w:lang w:val="fr-FR" w:eastAsia="en-US"/>
    </w:r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character" w:customStyle="1" w:styleId="FootnoteTextChar">
    <w:name w:val="Footnote Text Char"/>
    <w:basedOn w:val="DefaultParagraphFont"/>
    <w:link w:val="FootnoteText"/>
    <w:semiHidden/>
    <w:rPr>
      <w:rFonts w:eastAsia="MS Mincho"/>
      <w:szCs w:val="24"/>
      <w:lang w:val="fr-FR" w:eastAsia="en-US"/>
    </w:rPr>
  </w:style>
  <w:style w:type="paragraph" w:customStyle="1" w:styleId="Indent1">
    <w:name w:val="Indent 1"/>
    <w:basedOn w:val="Normal"/>
    <w:qFormat/>
    <w:pPr>
      <w:spacing w:after="60"/>
      <w:ind w:left="567"/>
      <w:jc w:val="left"/>
    </w:pPr>
    <w:rPr>
      <w:rFonts w:ascii="Georgia" w:eastAsia="Times" w:hAnsi="Georgia"/>
      <w:sz w:val="18"/>
    </w:rPr>
  </w:style>
  <w:style w:type="paragraph" w:customStyle="1" w:styleId="Subhead">
    <w:name w:val="Subhead"/>
    <w:basedOn w:val="Normal"/>
    <w:qFormat/>
    <w:pPr>
      <w:keepNext/>
      <w:spacing w:before="120" w:after="60"/>
      <w:jc w:val="left"/>
    </w:pPr>
    <w:rPr>
      <w:rFonts w:ascii="Georgia" w:eastAsia="Times" w:hAnsi="Georgia"/>
      <w:b/>
      <w:sz w:val="19"/>
    </w:rPr>
  </w:style>
  <w:style w:type="paragraph" w:styleId="PlainText">
    <w:name w:val="Plain Text"/>
    <w:basedOn w:val="Normal"/>
    <w:link w:val="PlainTextChar"/>
    <w:uiPriority w:val="99"/>
    <w:unhideWhenUsed/>
    <w:pPr>
      <w:jc w:val="left"/>
    </w:pPr>
    <w:rPr>
      <w:rFonts w:ascii="Courier" w:eastAsia="Times" w:hAnsi="Courier"/>
      <w:sz w:val="21"/>
      <w:szCs w:val="21"/>
    </w:rPr>
  </w:style>
  <w:style w:type="character" w:customStyle="1" w:styleId="PlainTextChar">
    <w:name w:val="Plain Text Char"/>
    <w:basedOn w:val="DefaultParagraphFont"/>
    <w:link w:val="PlainText"/>
    <w:uiPriority w:val="99"/>
    <w:rPr>
      <w:rFonts w:ascii="Courier" w:eastAsia="Times" w:hAnsi="Courier"/>
      <w:sz w:val="21"/>
      <w:szCs w:val="21"/>
      <w:lang w:val="fr-FR" w:eastAsia="en-US"/>
    </w:rPr>
  </w:style>
  <w:style w:type="paragraph" w:customStyle="1" w:styleId="IPPNumberSubhead">
    <w:name w:val="IPP NumberSubhead"/>
    <w:basedOn w:val="IPPNumber"/>
    <w:qFormat/>
    <w:pPr>
      <w:keepNext/>
      <w:spacing w:after="60"/>
    </w:pPr>
    <w:rPr>
      <w:b/>
    </w:rPr>
  </w:style>
  <w:style w:type="paragraph" w:customStyle="1" w:styleId="IPPSubheadNumber">
    <w:name w:val="IPP SubheadNumber"/>
    <w:basedOn w:val="IPPSubhead"/>
    <w:qFormat/>
    <w:pPr>
      <w:numPr>
        <w:numId w:val="2"/>
      </w:numPr>
    </w:pPr>
  </w:style>
  <w:style w:type="paragraph" w:customStyle="1" w:styleId="IPPLetterList">
    <w:name w:val="IPP LetterList"/>
    <w:basedOn w:val="IPPBullet2"/>
    <w:qFormat/>
    <w:pPr>
      <w:numPr>
        <w:numId w:val="8"/>
      </w:numPr>
      <w:jc w:val="left"/>
    </w:pPr>
  </w:style>
  <w:style w:type="paragraph" w:customStyle="1" w:styleId="IPPLetterListIndent">
    <w:name w:val="IPP LetterList Indent"/>
    <w:basedOn w:val="IPPLetterList"/>
    <w:qFormat/>
    <w:pPr>
      <w:numPr>
        <w:numId w:val="5"/>
      </w:numPr>
    </w:pPr>
  </w:style>
  <w:style w:type="paragraph" w:customStyle="1" w:styleId="CharChar">
    <w:name w:val="(文字) (文字) Char (文字) (文字) Char"/>
    <w:basedOn w:val="Normal"/>
    <w:pPr>
      <w:spacing w:after="160" w:line="240" w:lineRule="exact"/>
      <w:jc w:val="left"/>
    </w:pPr>
    <w:rPr>
      <w:rFonts w:ascii="Tahoma" w:hAnsi="Tahoma"/>
      <w:sz w:val="20"/>
    </w:rPr>
  </w:style>
  <w:style w:type="paragraph" w:customStyle="1" w:styleId="IPPSubheadSpace">
    <w:name w:val="IPP Subhead Space"/>
    <w:basedOn w:val="IPPSubhead"/>
    <w:qFormat/>
    <w:pPr>
      <w:tabs>
        <w:tab w:val="left" w:pos="567"/>
      </w:tabs>
      <w:spacing w:before="60" w:after="60"/>
    </w:pPr>
  </w:style>
  <w:style w:type="paragraph" w:customStyle="1" w:styleId="CarCar">
    <w:name w:val="Car Car"/>
    <w:basedOn w:val="Normal"/>
    <w:pPr>
      <w:spacing w:after="160" w:line="240" w:lineRule="exact"/>
      <w:jc w:val="left"/>
    </w:pPr>
    <w:rPr>
      <w:rFonts w:ascii="Tahoma" w:hAnsi="Tahoma"/>
      <w:sz w:val="20"/>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Hdg1Num">
    <w:name w:val="IPP Hdg1Num"/>
    <w:basedOn w:val="IPPHeading1"/>
    <w:next w:val="IPPNormal"/>
    <w:qFormat/>
    <w:pPr>
      <w:numPr>
        <w:numId w:val="9"/>
      </w:numPr>
    </w:pPr>
  </w:style>
  <w:style w:type="paragraph" w:customStyle="1" w:styleId="IPPHdg2Num">
    <w:name w:val="IPP Hdg2Num"/>
    <w:basedOn w:val="IPPHeading2"/>
    <w:next w:val="IPPNormal"/>
    <w:qFormat/>
    <w:pPr>
      <w:numPr>
        <w:ilvl w:val="1" numString="1.1. "/>
        <w:numId w:val="10"/>
      </w:numPr>
    </w:p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NumberedListArial">
    <w:name w:val="IPP NumberedListArial"/>
    <w:basedOn w:val="IPPNumberedList"/>
    <w:qFormat/>
    <w:pPr>
      <w:numPr>
        <w:numId w:val="0"/>
      </w:numPr>
      <w:tabs>
        <w:tab w:val="num" w:pos="1134"/>
      </w:tabs>
      <w:ind w:left="1134" w:hanging="567"/>
    </w:pPr>
    <w:rPr>
      <w:rFonts w:ascii="Arial" w:hAnsi="Arial"/>
      <w:sz w:val="18"/>
    </w:rPr>
  </w:style>
  <w:style w:type="paragraph" w:customStyle="1" w:styleId="IPPSubheadSpaceAfter">
    <w:name w:val="IPP Subhead SpaceAfter"/>
    <w:basedOn w:val="IPPSubhead"/>
    <w:qFormat/>
    <w:pPr>
      <w:spacing w:after="60"/>
    </w:pPr>
  </w:style>
  <w:style w:type="character" w:customStyle="1" w:styleId="HeaderChar">
    <w:name w:val="Header Char"/>
    <w:basedOn w:val="DefaultParagraphFont"/>
    <w:link w:val="Header"/>
    <w:rPr>
      <w:rFonts w:eastAsia="MS Mincho"/>
      <w:sz w:val="22"/>
      <w:szCs w:val="24"/>
      <w:lang w:val="fr-FR" w:eastAsia="en-US"/>
    </w:rPr>
  </w:style>
  <w:style w:type="character" w:customStyle="1" w:styleId="FooterChar">
    <w:name w:val="Footer Char"/>
    <w:basedOn w:val="DefaultParagraphFont"/>
    <w:link w:val="Footer"/>
    <w:rPr>
      <w:rFonts w:eastAsia="MS Mincho"/>
      <w:sz w:val="22"/>
      <w:szCs w:val="24"/>
      <w:lang w:val="fr-FR" w:eastAsia="en-US"/>
    </w:rPr>
  </w:style>
  <w:style w:type="character" w:customStyle="1" w:styleId="IPPNormalChar">
    <w:name w:val="IPP Normal Char"/>
    <w:link w:val="IPPNormal"/>
    <w:rPr>
      <w:rFonts w:eastAsia="Times"/>
      <w:sz w:val="22"/>
      <w:szCs w:val="24"/>
      <w:lang w:val="fr-FR" w:eastAsia="en-US"/>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character" w:customStyle="1" w:styleId="BalloonTextChar">
    <w:name w:val="Balloon Text Char"/>
    <w:basedOn w:val="DefaultParagraphFont"/>
    <w:link w:val="BalloonText"/>
    <w:rPr>
      <w:rFonts w:ascii="Tahoma" w:eastAsia="MS Mincho" w:hAnsi="Tahoma" w:cs="Tahoma"/>
      <w:sz w:val="16"/>
      <w:szCs w:val="16"/>
      <w:lang w:val="fr-FR" w:eastAsia="en-US"/>
    </w:r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fr-FR"/>
    </w:rPr>
  </w:style>
  <w:style w:type="character" w:customStyle="1" w:styleId="IPPNormalbold">
    <w:name w:val="IPP Normal bold"/>
    <w:basedOn w:val="PlainTextChar"/>
    <w:rPr>
      <w:rFonts w:ascii="Times New Roman" w:eastAsia="Times" w:hAnsi="Times New Roman"/>
      <w:b/>
      <w:sz w:val="22"/>
      <w:szCs w:val="21"/>
      <w:lang w:val="fr-FR" w:eastAsia="en-US"/>
    </w:rPr>
  </w:style>
  <w:style w:type="character" w:customStyle="1" w:styleId="IPPNormalunderlined">
    <w:name w:val="IPP Normal underlined"/>
    <w:basedOn w:val="DefaultParagraphFont"/>
    <w:rPr>
      <w:rFonts w:ascii="Times New Roman" w:hAnsi="Times New Roman"/>
      <w:sz w:val="22"/>
      <w:u w:val="single"/>
      <w:lang w:val="fr-FR"/>
    </w:rPr>
  </w:style>
  <w:style w:type="character" w:customStyle="1" w:styleId="IPPNormalstrikethrough">
    <w:name w:val="IPP Normal strikethrough"/>
    <w:rPr>
      <w:rFonts w:ascii="Times New Roman" w:hAnsi="Times New Roman"/>
      <w:strike/>
      <w:dstrike w:val="0"/>
      <w:sz w:val="22"/>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numbering" w:customStyle="1" w:styleId="IPPParagraphnumberedlist">
    <w:name w:val="IPP Paragraph numbered list"/>
    <w:pPr>
      <w:numPr>
        <w:numId w:val="6"/>
      </w:numPr>
    </w:p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eastAsia="nl-NL"/>
    </w:rPr>
  </w:style>
  <w:style w:type="paragraph" w:customStyle="1" w:styleId="IPPParagraphnumbering">
    <w:name w:val="IPP Paragraph numbering"/>
    <w:basedOn w:val="IPPNormal"/>
    <w:qFormat/>
    <w:pPr>
      <w:numPr>
        <w:numId w:val="11"/>
      </w:numPr>
    </w:pPr>
  </w:style>
  <w:style w:type="paragraph" w:customStyle="1" w:styleId="IPPParagraphnumberingclose">
    <w:name w:val="IPP Paragraph numbering close"/>
    <w:basedOn w:val="IPPParagraphnumbering"/>
    <w:qFormat/>
    <w:pPr>
      <w:keepNext/>
      <w:spacing w:after="60"/>
    </w:pPr>
  </w:style>
  <w:style w:type="paragraph" w:customStyle="1" w:styleId="IPPPargraphnumbering">
    <w:name w:val="IPP Pargraph numbering"/>
    <w:basedOn w:val="IPPNormal"/>
    <w:qFormat/>
    <w:pPr>
      <w:tabs>
        <w:tab w:val="num" w:pos="360"/>
      </w:tabs>
    </w:pPr>
  </w:style>
  <w:style w:type="character" w:styleId="UnresolvedMention">
    <w:name w:val="Unresolved Mention"/>
    <w:uiPriority w:val="99"/>
    <w:semiHidden/>
    <w:unhideWhenUsed/>
    <w:rPr>
      <w:color w:val="605E5C"/>
      <w:shd w:val="clear" w:color="auto" w:fill="E1DFDD"/>
    </w:rPr>
  </w:style>
  <w:style w:type="paragraph" w:styleId="Revision">
    <w:name w:val="Revision"/>
    <w:hidden/>
    <w:rPr>
      <w:rFonts w:eastAsia="MS Mincho"/>
      <w:sz w:val="22"/>
      <w:szCs w:val="24"/>
      <w:lang w:eastAsia="en-US"/>
    </w:rPr>
  </w:style>
  <w:style w:type="character" w:customStyle="1" w:styleId="PleaseReviewParagraphId">
    <w:name w:val="PleaseReviewParagraphId"/>
    <w:rPr>
      <w:rFonts w:ascii="Arial" w:hAnsi="Arial" w:cs="Arial" w:hint="default"/>
      <w:b w:val="0"/>
      <w:bCs w:val="0"/>
      <w:i w:val="0"/>
      <w:iCs w:val="0"/>
      <w:strike w:val="0"/>
      <w:dstrike w:val="0"/>
      <w:color w:val="000080"/>
      <w:sz w:val="16"/>
      <w:u w:val="none"/>
      <w:effect w:val="none"/>
    </w:rPr>
  </w:style>
  <w:style w:type="paragraph" w:styleId="NormalWeb">
    <w:name w:val="Normal (Web)"/>
    <w:basedOn w:val="Normal"/>
    <w:uiPriority w:val="99"/>
    <w:unhideWhenUsed/>
    <w:pPr>
      <w:spacing w:before="100" w:beforeAutospacing="1" w:after="100" w:afterAutospacing="1"/>
      <w:jc w:val="left"/>
    </w:pPr>
    <w:rPr>
      <w:rFonts w:eastAsia="Times New Roman"/>
      <w:sz w:val="24"/>
      <w:lang w:eastAsia="en-GB"/>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6500">
      <w:bodyDiv w:val="1"/>
      <w:marLeft w:val="0"/>
      <w:marRight w:val="0"/>
      <w:marTop w:val="0"/>
      <w:marBottom w:val="0"/>
      <w:divBdr>
        <w:top w:val="none" w:sz="0" w:space="0" w:color="auto"/>
        <w:left w:val="none" w:sz="0" w:space="0" w:color="auto"/>
        <w:bottom w:val="none" w:sz="0" w:space="0" w:color="auto"/>
        <w:right w:val="none" w:sz="0" w:space="0" w:color="auto"/>
      </w:divBdr>
    </w:div>
    <w:div w:id="984818688">
      <w:bodyDiv w:val="1"/>
      <w:marLeft w:val="24"/>
      <w:marRight w:val="0"/>
      <w:marTop w:val="24"/>
      <w:marBottom w:val="0"/>
      <w:divBdr>
        <w:top w:val="none" w:sz="0" w:space="0" w:color="auto"/>
        <w:left w:val="none" w:sz="0" w:space="0" w:color="auto"/>
        <w:bottom w:val="none" w:sz="0" w:space="0" w:color="auto"/>
        <w:right w:val="none" w:sz="0" w:space="0" w:color="auto"/>
      </w:divBdr>
    </w:div>
    <w:div w:id="19219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ippc.int/fr/about/core-activities/standards-setting/list-topics-ippc-standards/"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ippc.int/fr/about/core-activitie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ippc@fao.org" TargetMode="Externa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ippc.int/fr/publications/639/" TargetMode="External" Id="rId14" /></Relationships>
</file>

<file path=word/_rels/settings.xml.rels>&#65279;<?xml version="1.0" encoding="utf-8"?><Relationships xmlns="http://schemas.openxmlformats.org/package/2006/relationships"><Relationship Type="http://schemas.openxmlformats.org/officeDocument/2006/relationships/attachedTemplate" Target="file:///C:\Users\karen\Desktop\IPPC_2024-06-17.dotx" TargetMode="External"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6;#Official|14c80daa-741b-422c-9722-f71693c9ede4;#10;#Team|ff0485df-0575-416f-802f-e999165821b7;#9;#Internal Defra Group|0867f7b3-e76e-40ca-bb1f-5ba341a49230;#8;#Core Defra|026223dd-2e56-4615-868d-7c5bfd566810;#7;#Crown|69589897-2828-4761-976e-717fd8e631c9</LongProp>
</Long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Props1.xml><?xml version="1.0" encoding="utf-8"?>
<ds:datastoreItem xmlns:ds="http://schemas.openxmlformats.org/officeDocument/2006/customXml" ds:itemID="{8A76A17E-BCC5-4503-8078-12F85CF57844}">
  <ds:schemaRefs>
    <ds:schemaRef ds:uri="http://schemas.microsoft.com/sharepoint/v3/contenttype/forms"/>
  </ds:schemaRefs>
</ds:datastoreItem>
</file>

<file path=customXml/itemProps2.xml><?xml version="1.0" encoding="utf-8"?>
<ds:datastoreItem xmlns:ds="http://schemas.openxmlformats.org/officeDocument/2006/customXml" ds:itemID="{13559223-7084-4412-AEDB-08546A5478E2}">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2854917-E026-4C3F-AA72-5A6642E03953}">
  <ds:schemaRefs>
    <ds:schemaRef ds:uri="http://schemas.openxmlformats.org/officeDocument/2006/bibliography"/>
  </ds:schemaRefs>
</ds:datastoreItem>
</file>

<file path=customXml/itemProps4.xml><?xml version="1.0" encoding="utf-8"?>
<ds:datastoreItem xmlns:ds="http://schemas.openxmlformats.org/officeDocument/2006/customXml" ds:itemID="{3AF2F3FD-8FA7-4348-AD1D-BB3098A9C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612681-37AC-4FDF-8E5A-1A55D925F6BC}">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1586</Words>
  <Characters>9046</Characters>
  <Application>Microsoft Office Word</Application>
  <DocSecurity>0</DocSecurity>
  <Lines>75</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IPPC-Styles</vt:lpstr>
    </vt:vector>
  </TitlesOfParts>
  <Company>FAO of the UN</Company>
  <LinksUpToDate>false</LinksUpToDate>
  <CharactersWithSpaces>10611</CharactersWithSpaces>
  <SharedDoc>false</SharedDoc>
  <HyperlinkBase/>
  <HLinks>
    <vt:vector size="6" baseType="variant">
      <vt:variant>
        <vt:i4>393279</vt:i4>
      </vt:variant>
      <vt:variant>
        <vt:i4>0</vt:i4>
      </vt:variant>
      <vt:variant>
        <vt:i4>0</vt:i4>
      </vt:variant>
      <vt:variant>
        <vt:i4>5</vt:i4>
      </vt:variant>
      <vt:variant>
        <vt:lpwstr>mailto:ippc@fao.org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Hedley</dc:creator>
  <cp:keywords/>
  <cp:lastModifiedBy>Prizm</cp:lastModifiedBy>
  <cp:revision>2</cp:revision>
  <cp:lastPrinted>2026-06-29T08:44:00Z</cp:lastPrinted>
  <dcterms:created xsi:type="dcterms:W3CDTF">2026-06-30T15:29:00Z</dcterms:created>
  <dcterms:modified xsi:type="dcterms:W3CDTF">2026-06-30T15:29:00Z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0x010100299519679B1A8B4091DBA33CE26F55F5</vt:lpwstr>
  </property>
  <property fmtid="{D5CDD505-2E9C-101B-9397-08002B2CF9AE}" pid="4" name="HOGovernmentSecurityClassification">
    <vt:lpwstr>6;#Official|14c80daa-741b-422c-9722-f71693c9ede4</vt:lpwstr>
  </property>
  <property fmtid="{D5CDD505-2E9C-101B-9397-08002B2CF9AE}" pid="5" name="InformationType">
    <vt:lpwstr/>
  </property>
  <property fmtid="{D5CDD505-2E9C-101B-9397-08002B2CF9AE}" pid="6" name="OrganisationalUnit">
    <vt:lpwstr>8;#Core Defra|026223dd-2e56-4615-868d-7c5bfd566810</vt:lpwstr>
  </property>
  <property fmtid="{D5CDD505-2E9C-101B-9397-08002B2CF9AE}" pid="7" name="HOSiteType">
    <vt:lpwstr>10;#Team|ff0485df-0575-416f-802f-e999165821b7</vt:lpwstr>
  </property>
  <property fmtid="{D5CDD505-2E9C-101B-9397-08002B2CF9AE}" pid="8" name="Distribution">
    <vt:lpwstr>9;#Internal Defra Group|0867f7b3-e76e-40ca-bb1f-5ba341a49230</vt:lpwstr>
  </property>
  <property fmtid="{D5CDD505-2E9C-101B-9397-08002B2CF9AE}" pid="9" name="HOCopyrightLevel">
    <vt:lpwstr>7;#Crown|69589897-2828-4761-976e-717fd8e631c9</vt:lpwstr>
  </property>
  <property fmtid="{D5CDD505-2E9C-101B-9397-08002B2CF9AE}" pid="10" name="MediaServiceImageTags">
    <vt:lpwstr/>
  </property>
  <property fmtid="{D5CDD505-2E9C-101B-9397-08002B2CF9AE}" pid="11" name="docLang">
    <vt:lpwstr>en</vt:lpwstr>
  </property>
</Properties>
</file>